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9A" w:rsidRDefault="0011339A" w:rsidP="0011339A">
      <w:pPr>
        <w:spacing w:after="0" w:line="240" w:lineRule="auto"/>
        <w:ind w:firstLine="709"/>
        <w:jc w:val="center"/>
        <w:rPr>
          <w:rFonts w:ascii="Times New Roman" w:hAnsi="Times New Roman"/>
          <w:b/>
          <w:sz w:val="24"/>
          <w:szCs w:val="24"/>
        </w:rPr>
      </w:pPr>
      <w:r>
        <w:rPr>
          <w:rFonts w:ascii="Times New Roman" w:hAnsi="Times New Roman"/>
          <w:b/>
          <w:sz w:val="24"/>
          <w:szCs w:val="24"/>
        </w:rPr>
        <w:t xml:space="preserve">Quais os impactos da </w:t>
      </w:r>
      <w:r>
        <w:rPr>
          <w:rFonts w:ascii="Times New Roman" w:hAnsi="Times New Roman"/>
          <w:b/>
          <w:i/>
          <w:sz w:val="24"/>
          <w:szCs w:val="24"/>
        </w:rPr>
        <w:t>desaposentação</w:t>
      </w:r>
      <w:r>
        <w:rPr>
          <w:rFonts w:ascii="Times New Roman" w:hAnsi="Times New Roman"/>
          <w:b/>
          <w:sz w:val="24"/>
          <w:szCs w:val="24"/>
        </w:rPr>
        <w:t>? Um estudo para as Aposentadorias por Tempo de Contribuição do Regime Geral de Previdência Social</w:t>
      </w:r>
    </w:p>
    <w:p w:rsidR="006E24FB" w:rsidRPr="006E24FB" w:rsidRDefault="006E24FB" w:rsidP="006E24FB">
      <w:pPr>
        <w:spacing w:after="0" w:line="240" w:lineRule="auto"/>
        <w:ind w:firstLine="709"/>
        <w:jc w:val="center"/>
        <w:rPr>
          <w:rFonts w:ascii="Times New Roman" w:hAnsi="Times New Roman"/>
          <w:b/>
          <w:sz w:val="12"/>
          <w:szCs w:val="24"/>
        </w:rPr>
      </w:pPr>
    </w:p>
    <w:p w:rsidR="006E24FB" w:rsidRPr="00434A9B" w:rsidRDefault="006E24FB" w:rsidP="006E24FB">
      <w:pPr>
        <w:spacing w:after="0" w:line="240" w:lineRule="auto"/>
        <w:ind w:firstLine="709"/>
        <w:jc w:val="center"/>
        <w:rPr>
          <w:rFonts w:ascii="Times New Roman" w:hAnsi="Times New Roman"/>
          <w:sz w:val="24"/>
          <w:szCs w:val="24"/>
        </w:rPr>
      </w:pPr>
      <w:proofErr w:type="spellStart"/>
      <w:r w:rsidRPr="006E24FB">
        <w:rPr>
          <w:rFonts w:ascii="Times New Roman" w:hAnsi="Times New Roman"/>
          <w:sz w:val="24"/>
          <w:szCs w:val="24"/>
        </w:rPr>
        <w:t>Angelo</w:t>
      </w:r>
      <w:proofErr w:type="spellEnd"/>
      <w:r w:rsidRPr="006E24FB">
        <w:rPr>
          <w:rFonts w:ascii="Times New Roman" w:hAnsi="Times New Roman"/>
          <w:sz w:val="24"/>
          <w:szCs w:val="24"/>
        </w:rPr>
        <w:t xml:space="preserve"> José Zanella</w:t>
      </w:r>
      <w:r w:rsidR="00434A9B" w:rsidRPr="00434A9B">
        <w:rPr>
          <w:rFonts w:ascii="Times New Roman" w:hAnsi="Times New Roman"/>
          <w:sz w:val="24"/>
          <w:szCs w:val="24"/>
          <w:u w:val="single"/>
        </w:rPr>
        <w:t xml:space="preserve"> </w:t>
      </w:r>
      <w:r w:rsidR="00434A9B">
        <w:rPr>
          <w:rFonts w:ascii="Times New Roman" w:hAnsi="Times New Roman"/>
          <w:sz w:val="24"/>
          <w:szCs w:val="24"/>
          <w:u w:val="single"/>
        </w:rPr>
        <w:t>(</w:t>
      </w:r>
      <w:r w:rsidR="00434A9B" w:rsidRPr="006E24FB">
        <w:rPr>
          <w:rFonts w:ascii="Times New Roman" w:hAnsi="Times New Roman"/>
          <w:sz w:val="24"/>
          <w:szCs w:val="24"/>
          <w:u w:val="single"/>
        </w:rPr>
        <w:t>ajzanella@gmail.com</w:t>
      </w:r>
      <w:r w:rsidR="00434A9B">
        <w:rPr>
          <w:rFonts w:ascii="Times New Roman" w:hAnsi="Times New Roman"/>
          <w:sz w:val="24"/>
          <w:szCs w:val="24"/>
          <w:u w:val="single"/>
        </w:rPr>
        <w:t>)</w:t>
      </w:r>
    </w:p>
    <w:p w:rsidR="006E24FB" w:rsidRPr="006E24FB" w:rsidRDefault="006E24FB" w:rsidP="006E24FB">
      <w:pPr>
        <w:spacing w:after="0" w:line="240" w:lineRule="auto"/>
        <w:ind w:firstLine="709"/>
        <w:jc w:val="center"/>
        <w:rPr>
          <w:rFonts w:ascii="Times New Roman" w:hAnsi="Times New Roman"/>
          <w:sz w:val="24"/>
          <w:szCs w:val="24"/>
        </w:rPr>
      </w:pPr>
      <w:r w:rsidRPr="006E24FB">
        <w:rPr>
          <w:rFonts w:ascii="Times New Roman" w:hAnsi="Times New Roman"/>
          <w:sz w:val="24"/>
          <w:szCs w:val="24"/>
        </w:rPr>
        <w:t>Escola Superior de Administração e Gestão</w:t>
      </w:r>
    </w:p>
    <w:p w:rsidR="006E24FB" w:rsidRPr="00F55F51" w:rsidRDefault="006E24FB" w:rsidP="006E24FB">
      <w:pPr>
        <w:spacing w:after="0" w:line="240" w:lineRule="auto"/>
        <w:ind w:firstLine="709"/>
        <w:jc w:val="center"/>
        <w:rPr>
          <w:rFonts w:ascii="Times New Roman" w:hAnsi="Times New Roman"/>
          <w:sz w:val="16"/>
          <w:szCs w:val="24"/>
        </w:rPr>
      </w:pPr>
    </w:p>
    <w:p w:rsidR="006E24FB" w:rsidRPr="006E24FB" w:rsidRDefault="006E24FB" w:rsidP="006E24FB">
      <w:pPr>
        <w:spacing w:after="0" w:line="240" w:lineRule="auto"/>
        <w:ind w:firstLine="709"/>
        <w:jc w:val="center"/>
        <w:rPr>
          <w:rFonts w:ascii="Times New Roman" w:hAnsi="Times New Roman"/>
          <w:sz w:val="24"/>
          <w:szCs w:val="24"/>
        </w:rPr>
      </w:pPr>
      <w:r w:rsidRPr="006E24FB">
        <w:rPr>
          <w:rFonts w:ascii="Times New Roman" w:hAnsi="Times New Roman"/>
          <w:sz w:val="24"/>
          <w:szCs w:val="24"/>
        </w:rPr>
        <w:t>João Vinícius de França Carvalho</w:t>
      </w:r>
      <w:r w:rsidR="00434A9B">
        <w:rPr>
          <w:rFonts w:ascii="Times New Roman" w:hAnsi="Times New Roman"/>
          <w:sz w:val="24"/>
          <w:szCs w:val="24"/>
        </w:rPr>
        <w:t xml:space="preserve"> (</w:t>
      </w:r>
      <w:r w:rsidR="00434A9B" w:rsidRPr="006E24FB">
        <w:rPr>
          <w:rFonts w:ascii="Times New Roman" w:hAnsi="Times New Roman"/>
          <w:sz w:val="24"/>
          <w:szCs w:val="24"/>
          <w:u w:val="single"/>
        </w:rPr>
        <w:t>jvfcarvalho@gmail.com</w:t>
      </w:r>
      <w:r w:rsidR="00434A9B">
        <w:rPr>
          <w:rFonts w:ascii="Times New Roman" w:hAnsi="Times New Roman"/>
          <w:sz w:val="24"/>
          <w:szCs w:val="24"/>
          <w:u w:val="single"/>
        </w:rPr>
        <w:t>)</w:t>
      </w:r>
    </w:p>
    <w:p w:rsidR="006E24FB" w:rsidRPr="006E24FB" w:rsidRDefault="006E24FB" w:rsidP="006E24FB">
      <w:pPr>
        <w:spacing w:after="0" w:line="240" w:lineRule="auto"/>
        <w:ind w:firstLine="709"/>
        <w:jc w:val="center"/>
        <w:rPr>
          <w:rFonts w:ascii="Times New Roman" w:hAnsi="Times New Roman"/>
          <w:sz w:val="24"/>
          <w:szCs w:val="24"/>
        </w:rPr>
      </w:pPr>
      <w:r w:rsidRPr="006E24FB">
        <w:rPr>
          <w:rFonts w:ascii="Times New Roman" w:hAnsi="Times New Roman"/>
          <w:sz w:val="24"/>
          <w:szCs w:val="24"/>
        </w:rPr>
        <w:t>Escola Superior de Administração e Gestão</w:t>
      </w:r>
    </w:p>
    <w:p w:rsidR="006E24FB" w:rsidRPr="00F55F51" w:rsidRDefault="006E24FB" w:rsidP="006E24FB">
      <w:pPr>
        <w:spacing w:after="0" w:line="240" w:lineRule="auto"/>
        <w:ind w:firstLine="709"/>
        <w:jc w:val="center"/>
        <w:rPr>
          <w:rFonts w:ascii="Times New Roman" w:hAnsi="Times New Roman"/>
          <w:sz w:val="16"/>
          <w:szCs w:val="24"/>
        </w:rPr>
      </w:pPr>
    </w:p>
    <w:p w:rsidR="006E24FB" w:rsidRPr="00434A9B" w:rsidRDefault="006E24FB" w:rsidP="006E24FB">
      <w:pPr>
        <w:spacing w:after="0" w:line="240" w:lineRule="auto"/>
        <w:ind w:firstLine="709"/>
        <w:jc w:val="center"/>
        <w:rPr>
          <w:rFonts w:ascii="Times New Roman" w:hAnsi="Times New Roman"/>
          <w:sz w:val="24"/>
          <w:szCs w:val="24"/>
          <w:u w:val="single"/>
        </w:rPr>
      </w:pPr>
      <w:r w:rsidRPr="006E24FB">
        <w:rPr>
          <w:rFonts w:ascii="Times New Roman" w:hAnsi="Times New Roman"/>
          <w:sz w:val="24"/>
          <w:szCs w:val="24"/>
        </w:rPr>
        <w:t>Luís Eduardo Afonso</w:t>
      </w:r>
      <w:r w:rsidR="00434A9B">
        <w:rPr>
          <w:rFonts w:ascii="Times New Roman" w:hAnsi="Times New Roman"/>
          <w:sz w:val="24"/>
          <w:szCs w:val="24"/>
        </w:rPr>
        <w:t xml:space="preserve"> </w:t>
      </w:r>
      <w:r w:rsidR="00434A9B" w:rsidRPr="00434A9B">
        <w:rPr>
          <w:rFonts w:ascii="Times New Roman" w:hAnsi="Times New Roman"/>
          <w:sz w:val="24"/>
          <w:szCs w:val="24"/>
        </w:rPr>
        <w:t>(</w:t>
      </w:r>
      <w:r w:rsidR="00434A9B">
        <w:rPr>
          <w:rFonts w:ascii="Times New Roman" w:hAnsi="Times New Roman"/>
          <w:sz w:val="24"/>
          <w:szCs w:val="24"/>
          <w:u w:val="single"/>
        </w:rPr>
        <w:t>lafonso@usp.br)</w:t>
      </w:r>
    </w:p>
    <w:p w:rsidR="006E24FB" w:rsidRPr="006E24FB" w:rsidRDefault="006E24FB" w:rsidP="006E24FB">
      <w:pPr>
        <w:spacing w:after="0" w:line="240" w:lineRule="auto"/>
        <w:ind w:firstLine="709"/>
        <w:jc w:val="center"/>
        <w:rPr>
          <w:rFonts w:ascii="Times New Roman" w:hAnsi="Times New Roman"/>
          <w:sz w:val="24"/>
          <w:szCs w:val="24"/>
        </w:rPr>
      </w:pPr>
      <w:r w:rsidRPr="006E24FB">
        <w:rPr>
          <w:rFonts w:ascii="Times New Roman" w:hAnsi="Times New Roman"/>
          <w:sz w:val="24"/>
          <w:szCs w:val="24"/>
        </w:rPr>
        <w:t xml:space="preserve">Departamento de Contabilidade e Atuária – FEA-USP </w:t>
      </w:r>
    </w:p>
    <w:p w:rsidR="00434A9B" w:rsidRDefault="00434A9B" w:rsidP="006E24FB">
      <w:pPr>
        <w:spacing w:after="0" w:line="240" w:lineRule="auto"/>
        <w:ind w:left="720" w:hanging="720"/>
        <w:jc w:val="both"/>
        <w:rPr>
          <w:rFonts w:ascii="Times New Roman" w:hAnsi="Times New Roman"/>
          <w:b/>
          <w:sz w:val="24"/>
          <w:szCs w:val="24"/>
        </w:rPr>
      </w:pPr>
    </w:p>
    <w:p w:rsidR="00B904A6" w:rsidRPr="009A2249" w:rsidRDefault="00B904A6" w:rsidP="006E24FB">
      <w:pPr>
        <w:spacing w:after="0" w:line="240" w:lineRule="auto"/>
        <w:ind w:left="720" w:hanging="720"/>
        <w:jc w:val="both"/>
        <w:rPr>
          <w:rFonts w:ascii="Times New Roman" w:hAnsi="Times New Roman"/>
          <w:b/>
          <w:sz w:val="24"/>
          <w:szCs w:val="24"/>
        </w:rPr>
      </w:pPr>
      <w:r w:rsidRPr="009A2249">
        <w:rPr>
          <w:rFonts w:ascii="Times New Roman" w:hAnsi="Times New Roman"/>
          <w:b/>
          <w:sz w:val="24"/>
          <w:szCs w:val="24"/>
        </w:rPr>
        <w:t xml:space="preserve">Resumo </w:t>
      </w:r>
    </w:p>
    <w:p w:rsidR="00F55F51" w:rsidRDefault="00B904A6" w:rsidP="006E24FB">
      <w:pPr>
        <w:spacing w:after="0" w:line="240" w:lineRule="auto"/>
        <w:jc w:val="both"/>
        <w:rPr>
          <w:rFonts w:ascii="Times New Roman" w:hAnsi="Times New Roman"/>
          <w:sz w:val="24"/>
          <w:szCs w:val="24"/>
        </w:rPr>
      </w:pPr>
      <w:r w:rsidRPr="009A2249">
        <w:rPr>
          <w:rFonts w:ascii="Times New Roman" w:hAnsi="Times New Roman"/>
          <w:sz w:val="24"/>
          <w:szCs w:val="24"/>
        </w:rPr>
        <w:t xml:space="preserve">Este trabalho tem por objetivo avaliar os impactos da </w:t>
      </w:r>
      <w:r w:rsidRPr="009A2249">
        <w:rPr>
          <w:rFonts w:ascii="Times New Roman" w:hAnsi="Times New Roman"/>
          <w:i/>
          <w:sz w:val="24"/>
          <w:szCs w:val="24"/>
        </w:rPr>
        <w:t>desaposentação</w:t>
      </w:r>
      <w:r w:rsidR="00FC7F50">
        <w:rPr>
          <w:rFonts w:ascii="Times New Roman" w:hAnsi="Times New Roman"/>
          <w:sz w:val="24"/>
          <w:szCs w:val="24"/>
        </w:rPr>
        <w:t>,</w:t>
      </w:r>
      <w:r w:rsidR="00510DC0" w:rsidRPr="009A2249">
        <w:rPr>
          <w:rFonts w:ascii="Times New Roman" w:hAnsi="Times New Roman"/>
          <w:sz w:val="24"/>
          <w:szCs w:val="24"/>
        </w:rPr>
        <w:t xml:space="preserve"> termo empregado </w:t>
      </w:r>
      <w:r w:rsidRPr="009A2249">
        <w:rPr>
          <w:rFonts w:ascii="Times New Roman" w:hAnsi="Times New Roman"/>
          <w:sz w:val="24"/>
          <w:szCs w:val="24"/>
        </w:rPr>
        <w:t xml:space="preserve">quando </w:t>
      </w:r>
      <w:r w:rsidR="00C407BC" w:rsidRPr="009A2249">
        <w:rPr>
          <w:rFonts w:ascii="Times New Roman" w:hAnsi="Times New Roman"/>
          <w:sz w:val="24"/>
          <w:szCs w:val="24"/>
        </w:rPr>
        <w:t xml:space="preserve">um </w:t>
      </w:r>
      <w:r w:rsidRPr="009A2249">
        <w:rPr>
          <w:rFonts w:ascii="Times New Roman" w:hAnsi="Times New Roman"/>
          <w:sz w:val="24"/>
          <w:szCs w:val="24"/>
        </w:rPr>
        <w:t>segurado do INSS se aposenta, mas mant</w:t>
      </w:r>
      <w:r w:rsidR="00AA218B" w:rsidRPr="009A2249">
        <w:rPr>
          <w:rFonts w:ascii="Times New Roman" w:hAnsi="Times New Roman"/>
          <w:sz w:val="24"/>
          <w:szCs w:val="24"/>
        </w:rPr>
        <w:t>é</w:t>
      </w:r>
      <w:r w:rsidRPr="009A2249">
        <w:rPr>
          <w:rFonts w:ascii="Times New Roman" w:hAnsi="Times New Roman"/>
          <w:sz w:val="24"/>
          <w:szCs w:val="24"/>
        </w:rPr>
        <w:t>m-se no mercado de trabalho formal, contribuindo para o RGPS</w:t>
      </w:r>
      <w:r w:rsidR="00510DC0" w:rsidRPr="009A2249">
        <w:rPr>
          <w:rFonts w:ascii="Times New Roman" w:hAnsi="Times New Roman"/>
          <w:sz w:val="24"/>
          <w:szCs w:val="24"/>
        </w:rPr>
        <w:t xml:space="preserve"> e a</w:t>
      </w:r>
      <w:r w:rsidRPr="009A2249">
        <w:rPr>
          <w:rFonts w:ascii="Times New Roman" w:hAnsi="Times New Roman"/>
          <w:sz w:val="24"/>
          <w:szCs w:val="24"/>
        </w:rPr>
        <w:t xml:space="preserve">pós alguns anos pede que o valor da aposentadoria seja recalculado, tendo em vista o acréscimo no período contributivo. A </w:t>
      </w:r>
      <w:r w:rsidRPr="009A2249">
        <w:rPr>
          <w:rFonts w:ascii="Times New Roman" w:hAnsi="Times New Roman"/>
          <w:i/>
          <w:sz w:val="24"/>
          <w:szCs w:val="24"/>
        </w:rPr>
        <w:t>desaposentação</w:t>
      </w:r>
      <w:r w:rsidR="007231A3" w:rsidRPr="009A2249">
        <w:rPr>
          <w:rFonts w:ascii="Times New Roman" w:hAnsi="Times New Roman"/>
          <w:sz w:val="24"/>
          <w:szCs w:val="24"/>
        </w:rPr>
        <w:t xml:space="preserve">, ainda pouco estudada, </w:t>
      </w:r>
      <w:r w:rsidR="00416D78">
        <w:rPr>
          <w:rFonts w:ascii="Times New Roman" w:hAnsi="Times New Roman"/>
          <w:sz w:val="24"/>
          <w:szCs w:val="24"/>
        </w:rPr>
        <w:t>é</w:t>
      </w:r>
      <w:r w:rsidRPr="009A2249">
        <w:rPr>
          <w:rFonts w:ascii="Times New Roman" w:hAnsi="Times New Roman"/>
          <w:sz w:val="24"/>
          <w:szCs w:val="24"/>
        </w:rPr>
        <w:t xml:space="preserve"> um fenômeno tipicamente brasileiro. </w:t>
      </w:r>
      <w:r w:rsidR="004A5541" w:rsidRPr="009A2249">
        <w:rPr>
          <w:rFonts w:ascii="Times New Roman" w:hAnsi="Times New Roman"/>
          <w:sz w:val="24"/>
          <w:szCs w:val="24"/>
        </w:rPr>
        <w:t xml:space="preserve">Na </w:t>
      </w:r>
      <w:r w:rsidR="004A5541" w:rsidRPr="009A2249">
        <w:rPr>
          <w:rFonts w:ascii="Times New Roman" w:hAnsi="Times New Roman"/>
          <w:i/>
          <w:sz w:val="24"/>
          <w:szCs w:val="24"/>
        </w:rPr>
        <w:t>desaposentação</w:t>
      </w:r>
      <w:r w:rsidR="004A5541" w:rsidRPr="009A2249">
        <w:rPr>
          <w:rFonts w:ascii="Times New Roman" w:hAnsi="Times New Roman"/>
          <w:sz w:val="24"/>
          <w:szCs w:val="24"/>
        </w:rPr>
        <w:t xml:space="preserve"> h</w:t>
      </w:r>
      <w:r w:rsidR="00510DC0" w:rsidRPr="009A2249">
        <w:rPr>
          <w:rFonts w:ascii="Times New Roman" w:hAnsi="Times New Roman"/>
          <w:sz w:val="24"/>
          <w:szCs w:val="24"/>
        </w:rPr>
        <w:t>á</w:t>
      </w:r>
      <w:r w:rsidRPr="009A2249">
        <w:rPr>
          <w:rFonts w:ascii="Times New Roman" w:hAnsi="Times New Roman"/>
          <w:sz w:val="24"/>
          <w:szCs w:val="24"/>
        </w:rPr>
        <w:t xml:space="preserve"> um</w:t>
      </w:r>
      <w:r w:rsidR="00510DC0" w:rsidRPr="009A2249">
        <w:rPr>
          <w:rFonts w:ascii="Times New Roman" w:hAnsi="Times New Roman"/>
          <w:sz w:val="24"/>
          <w:szCs w:val="24"/>
        </w:rPr>
        <w:t xml:space="preserve"> </w:t>
      </w:r>
      <w:r w:rsidR="004A5541" w:rsidRPr="009A2249">
        <w:rPr>
          <w:rFonts w:ascii="Times New Roman" w:hAnsi="Times New Roman"/>
          <w:i/>
          <w:sz w:val="24"/>
          <w:szCs w:val="24"/>
        </w:rPr>
        <w:t>tra</w:t>
      </w:r>
      <w:r w:rsidRPr="009A2249">
        <w:rPr>
          <w:rFonts w:ascii="Times New Roman" w:hAnsi="Times New Roman"/>
          <w:i/>
          <w:sz w:val="24"/>
          <w:szCs w:val="24"/>
        </w:rPr>
        <w:t>deoff</w:t>
      </w:r>
      <w:r w:rsidR="00677E22">
        <w:rPr>
          <w:rFonts w:ascii="Times New Roman" w:hAnsi="Times New Roman"/>
          <w:sz w:val="24"/>
          <w:szCs w:val="24"/>
        </w:rPr>
        <w:t>:</w:t>
      </w:r>
      <w:r w:rsidR="004A5541" w:rsidRPr="009A2249">
        <w:rPr>
          <w:rFonts w:ascii="Times New Roman" w:hAnsi="Times New Roman"/>
          <w:sz w:val="24"/>
          <w:szCs w:val="24"/>
        </w:rPr>
        <w:t xml:space="preserve"> </w:t>
      </w:r>
      <w:r w:rsidR="00677E22">
        <w:rPr>
          <w:rFonts w:ascii="Times New Roman" w:hAnsi="Times New Roman"/>
          <w:sz w:val="24"/>
          <w:szCs w:val="24"/>
        </w:rPr>
        <w:t>q</w:t>
      </w:r>
      <w:r w:rsidR="004A5541" w:rsidRPr="009A2249">
        <w:rPr>
          <w:rFonts w:ascii="Times New Roman" w:hAnsi="Times New Roman"/>
          <w:sz w:val="24"/>
          <w:szCs w:val="24"/>
        </w:rPr>
        <w:t xml:space="preserve">uanto </w:t>
      </w:r>
      <w:r w:rsidRPr="009A2249">
        <w:rPr>
          <w:rFonts w:ascii="Times New Roman" w:hAnsi="Times New Roman"/>
          <w:sz w:val="24"/>
          <w:szCs w:val="24"/>
        </w:rPr>
        <w:t xml:space="preserve">mais tempo o segurado </w:t>
      </w:r>
      <w:proofErr w:type="gramStart"/>
      <w:r w:rsidRPr="009A2249">
        <w:rPr>
          <w:rFonts w:ascii="Times New Roman" w:hAnsi="Times New Roman"/>
          <w:sz w:val="24"/>
          <w:szCs w:val="24"/>
        </w:rPr>
        <w:t>demorar para</w:t>
      </w:r>
      <w:proofErr w:type="gramEnd"/>
      <w:r w:rsidRPr="009A2249">
        <w:rPr>
          <w:rFonts w:ascii="Times New Roman" w:hAnsi="Times New Roman"/>
          <w:sz w:val="24"/>
          <w:szCs w:val="24"/>
        </w:rPr>
        <w:t xml:space="preserve"> pedir sua </w:t>
      </w:r>
      <w:r w:rsidR="00E17C70" w:rsidRPr="009A2249">
        <w:rPr>
          <w:rFonts w:ascii="Times New Roman" w:hAnsi="Times New Roman"/>
          <w:i/>
          <w:sz w:val="24"/>
          <w:szCs w:val="24"/>
        </w:rPr>
        <w:t>desaposentação</w:t>
      </w:r>
      <w:r w:rsidRPr="009A2249">
        <w:rPr>
          <w:rFonts w:ascii="Times New Roman" w:hAnsi="Times New Roman"/>
          <w:sz w:val="24"/>
          <w:szCs w:val="24"/>
        </w:rPr>
        <w:t xml:space="preserve">, maior será o incremento no valor do benefício. Porém, o tempo </w:t>
      </w:r>
      <w:r w:rsidR="00F55F51">
        <w:rPr>
          <w:rFonts w:ascii="Times New Roman" w:hAnsi="Times New Roman"/>
          <w:sz w:val="24"/>
          <w:szCs w:val="24"/>
        </w:rPr>
        <w:t>de</w:t>
      </w:r>
      <w:r w:rsidR="004A5541" w:rsidRPr="009A2249">
        <w:rPr>
          <w:rFonts w:ascii="Times New Roman" w:hAnsi="Times New Roman"/>
          <w:sz w:val="24"/>
          <w:szCs w:val="24"/>
        </w:rPr>
        <w:t xml:space="preserve"> </w:t>
      </w:r>
      <w:r w:rsidRPr="009A2249">
        <w:rPr>
          <w:rFonts w:ascii="Times New Roman" w:hAnsi="Times New Roman"/>
          <w:sz w:val="24"/>
          <w:szCs w:val="24"/>
        </w:rPr>
        <w:t>usufru</w:t>
      </w:r>
      <w:r w:rsidR="00F55F51">
        <w:rPr>
          <w:rFonts w:ascii="Times New Roman" w:hAnsi="Times New Roman"/>
          <w:sz w:val="24"/>
          <w:szCs w:val="24"/>
        </w:rPr>
        <w:t>to</w:t>
      </w:r>
      <w:r w:rsidRPr="009A2249">
        <w:rPr>
          <w:rFonts w:ascii="Times New Roman" w:hAnsi="Times New Roman"/>
          <w:sz w:val="24"/>
          <w:szCs w:val="24"/>
        </w:rPr>
        <w:t xml:space="preserve"> deste ganho será menor. De forma oposta, quanto </w:t>
      </w:r>
      <w:r w:rsidR="004A5541" w:rsidRPr="009A2249">
        <w:rPr>
          <w:rFonts w:ascii="Times New Roman" w:hAnsi="Times New Roman"/>
          <w:sz w:val="24"/>
          <w:szCs w:val="24"/>
        </w:rPr>
        <w:t xml:space="preserve">mais </w:t>
      </w:r>
      <w:r w:rsidRPr="009A2249">
        <w:rPr>
          <w:rFonts w:ascii="Times New Roman" w:hAnsi="Times New Roman"/>
          <w:sz w:val="24"/>
          <w:szCs w:val="24"/>
        </w:rPr>
        <w:t xml:space="preserve">prematura a </w:t>
      </w:r>
      <w:r w:rsidRPr="00F55F51">
        <w:rPr>
          <w:rFonts w:ascii="Times New Roman" w:hAnsi="Times New Roman"/>
          <w:i/>
          <w:sz w:val="24"/>
          <w:szCs w:val="24"/>
        </w:rPr>
        <w:t>desaposentação</w:t>
      </w:r>
      <w:r w:rsidRPr="009A2249">
        <w:rPr>
          <w:rFonts w:ascii="Times New Roman" w:hAnsi="Times New Roman"/>
          <w:sz w:val="24"/>
          <w:szCs w:val="24"/>
        </w:rPr>
        <w:t>, menor será o aumento no benefício</w:t>
      </w:r>
      <w:r w:rsidR="00510DC0" w:rsidRPr="009A2249">
        <w:rPr>
          <w:rFonts w:ascii="Times New Roman" w:hAnsi="Times New Roman"/>
          <w:sz w:val="24"/>
          <w:szCs w:val="24"/>
        </w:rPr>
        <w:t>, porém</w:t>
      </w:r>
      <w:r w:rsidRPr="009A2249">
        <w:rPr>
          <w:rFonts w:ascii="Times New Roman" w:hAnsi="Times New Roman"/>
          <w:sz w:val="24"/>
          <w:szCs w:val="24"/>
        </w:rPr>
        <w:t xml:space="preserve"> maior o período de desfrute do ganho obtido. </w:t>
      </w:r>
      <w:r w:rsidR="00F55F51">
        <w:rPr>
          <w:rFonts w:ascii="Times New Roman" w:hAnsi="Times New Roman"/>
          <w:sz w:val="24"/>
          <w:szCs w:val="24"/>
        </w:rPr>
        <w:t>A</w:t>
      </w:r>
      <w:r w:rsidR="00FC7F50">
        <w:rPr>
          <w:rFonts w:ascii="Times New Roman" w:hAnsi="Times New Roman"/>
          <w:sz w:val="24"/>
          <w:szCs w:val="24"/>
        </w:rPr>
        <w:t xml:space="preserve"> fundamentação</w:t>
      </w:r>
      <w:r w:rsidR="004A5541" w:rsidRPr="009A2249">
        <w:rPr>
          <w:rFonts w:ascii="Times New Roman" w:hAnsi="Times New Roman"/>
          <w:sz w:val="24"/>
          <w:szCs w:val="24"/>
        </w:rPr>
        <w:t xml:space="preserve"> teórica </w:t>
      </w:r>
      <w:r w:rsidR="00F55F51">
        <w:rPr>
          <w:rFonts w:ascii="Times New Roman" w:hAnsi="Times New Roman"/>
          <w:sz w:val="24"/>
          <w:szCs w:val="24"/>
        </w:rPr>
        <w:t>baseia-se</w:t>
      </w:r>
      <w:r w:rsidR="004A5541" w:rsidRPr="009A2249">
        <w:rPr>
          <w:rFonts w:ascii="Times New Roman" w:hAnsi="Times New Roman"/>
          <w:sz w:val="24"/>
          <w:szCs w:val="24"/>
        </w:rPr>
        <w:t xml:space="preserve"> nos conceitos de justiça atuarial e neutralidade atuarial. </w:t>
      </w:r>
      <w:r w:rsidR="00FC7F50">
        <w:rPr>
          <w:rFonts w:ascii="Times New Roman" w:hAnsi="Times New Roman"/>
          <w:sz w:val="24"/>
          <w:szCs w:val="24"/>
        </w:rPr>
        <w:t>Empregaram-se</w:t>
      </w:r>
      <w:r w:rsidR="004A5541" w:rsidRPr="009A2249">
        <w:rPr>
          <w:rFonts w:ascii="Times New Roman" w:hAnsi="Times New Roman"/>
          <w:sz w:val="24"/>
          <w:szCs w:val="24"/>
        </w:rPr>
        <w:t xml:space="preserve"> </w:t>
      </w:r>
      <w:proofErr w:type="gramStart"/>
      <w:r w:rsidR="004A5541" w:rsidRPr="009A2249">
        <w:rPr>
          <w:rFonts w:ascii="Times New Roman" w:hAnsi="Times New Roman"/>
          <w:sz w:val="24"/>
          <w:szCs w:val="24"/>
        </w:rPr>
        <w:t>4</w:t>
      </w:r>
      <w:proofErr w:type="gramEnd"/>
      <w:r w:rsidR="004A5541" w:rsidRPr="009A2249">
        <w:rPr>
          <w:rFonts w:ascii="Times New Roman" w:hAnsi="Times New Roman"/>
          <w:sz w:val="24"/>
          <w:szCs w:val="24"/>
        </w:rPr>
        <w:t xml:space="preserve"> indicadores </w:t>
      </w:r>
      <w:r w:rsidR="00FC7F50">
        <w:rPr>
          <w:rFonts w:ascii="Times New Roman" w:hAnsi="Times New Roman"/>
          <w:sz w:val="24"/>
          <w:szCs w:val="24"/>
        </w:rPr>
        <w:t>bastante</w:t>
      </w:r>
      <w:r w:rsidR="004A5541" w:rsidRPr="009A2249">
        <w:rPr>
          <w:rFonts w:ascii="Times New Roman" w:hAnsi="Times New Roman"/>
          <w:sz w:val="24"/>
          <w:szCs w:val="24"/>
        </w:rPr>
        <w:t xml:space="preserve"> difundido</w:t>
      </w:r>
      <w:r w:rsidR="00FC7F50">
        <w:rPr>
          <w:rFonts w:ascii="Times New Roman" w:hAnsi="Times New Roman"/>
          <w:sz w:val="24"/>
          <w:szCs w:val="24"/>
        </w:rPr>
        <w:t>s</w:t>
      </w:r>
      <w:r w:rsidR="004A5541" w:rsidRPr="009A2249">
        <w:rPr>
          <w:rFonts w:ascii="Times New Roman" w:hAnsi="Times New Roman"/>
          <w:sz w:val="24"/>
          <w:szCs w:val="24"/>
        </w:rPr>
        <w:t xml:space="preserve"> na literatura previdenciária: </w:t>
      </w:r>
      <w:r w:rsidR="004A5541" w:rsidRPr="009A2249">
        <w:rPr>
          <w:rFonts w:ascii="Times New Roman" w:hAnsi="Times New Roman"/>
          <w:i/>
          <w:sz w:val="24"/>
          <w:szCs w:val="24"/>
        </w:rPr>
        <w:t>Taxa de Reposição</w:t>
      </w:r>
      <w:r w:rsidR="004A5541" w:rsidRPr="009A2249">
        <w:rPr>
          <w:rFonts w:ascii="Times New Roman" w:hAnsi="Times New Roman"/>
          <w:sz w:val="24"/>
          <w:szCs w:val="24"/>
        </w:rPr>
        <w:t xml:space="preserve">, </w:t>
      </w:r>
      <w:r w:rsidR="004A5541" w:rsidRPr="009A2249">
        <w:rPr>
          <w:rFonts w:ascii="Times New Roman" w:hAnsi="Times New Roman"/>
          <w:i/>
          <w:sz w:val="24"/>
          <w:szCs w:val="24"/>
        </w:rPr>
        <w:t>Taxa Interna de Retorno</w:t>
      </w:r>
      <w:r w:rsidR="004A5541" w:rsidRPr="009A2249">
        <w:rPr>
          <w:rFonts w:ascii="Times New Roman" w:hAnsi="Times New Roman"/>
          <w:sz w:val="24"/>
          <w:szCs w:val="24"/>
        </w:rPr>
        <w:t xml:space="preserve">, </w:t>
      </w:r>
      <w:r w:rsidR="004A5541" w:rsidRPr="009A2249">
        <w:rPr>
          <w:rFonts w:ascii="Times New Roman" w:hAnsi="Times New Roman"/>
          <w:i/>
          <w:sz w:val="24"/>
          <w:szCs w:val="24"/>
        </w:rPr>
        <w:t>Alíquota Necessária</w:t>
      </w:r>
      <w:r w:rsidR="004A5541" w:rsidRPr="009A2249">
        <w:rPr>
          <w:rFonts w:ascii="Times New Roman" w:hAnsi="Times New Roman"/>
          <w:sz w:val="24"/>
          <w:szCs w:val="24"/>
        </w:rPr>
        <w:t xml:space="preserve"> e </w:t>
      </w:r>
      <w:r w:rsidR="004A5541" w:rsidRPr="009A2249">
        <w:rPr>
          <w:rFonts w:ascii="Times New Roman" w:hAnsi="Times New Roman"/>
          <w:i/>
          <w:sz w:val="24"/>
          <w:szCs w:val="24"/>
        </w:rPr>
        <w:t>Alíquota Efetiva</w:t>
      </w:r>
      <w:r w:rsidR="004A5541" w:rsidRPr="009A2249">
        <w:rPr>
          <w:rFonts w:ascii="Times New Roman" w:hAnsi="Times New Roman"/>
          <w:sz w:val="24"/>
          <w:szCs w:val="24"/>
        </w:rPr>
        <w:t xml:space="preserve">. </w:t>
      </w:r>
      <w:r w:rsidRPr="009A2249">
        <w:rPr>
          <w:rFonts w:ascii="Times New Roman" w:hAnsi="Times New Roman"/>
          <w:sz w:val="24"/>
          <w:szCs w:val="24"/>
        </w:rPr>
        <w:t xml:space="preserve">Os resultados mostraram que há um período ótimo para pedir a </w:t>
      </w:r>
      <w:r w:rsidRPr="009A2249">
        <w:rPr>
          <w:rFonts w:ascii="Times New Roman" w:hAnsi="Times New Roman"/>
          <w:i/>
          <w:sz w:val="24"/>
          <w:szCs w:val="24"/>
        </w:rPr>
        <w:t>desaposentação</w:t>
      </w:r>
      <w:r w:rsidRPr="009A2249">
        <w:rPr>
          <w:rFonts w:ascii="Times New Roman" w:hAnsi="Times New Roman"/>
          <w:sz w:val="24"/>
          <w:szCs w:val="24"/>
        </w:rPr>
        <w:t xml:space="preserve"> após se aposentar cumprindo os requisitos mínimos</w:t>
      </w:r>
      <w:r w:rsidR="00E17C70">
        <w:rPr>
          <w:rFonts w:ascii="Times New Roman" w:hAnsi="Times New Roman"/>
          <w:sz w:val="24"/>
          <w:szCs w:val="24"/>
        </w:rPr>
        <w:t xml:space="preserve">: </w:t>
      </w:r>
      <w:r w:rsidR="00A26A46" w:rsidRPr="009A2249">
        <w:rPr>
          <w:rFonts w:ascii="Times New Roman" w:hAnsi="Times New Roman"/>
          <w:sz w:val="24"/>
          <w:szCs w:val="24"/>
        </w:rPr>
        <w:t>pelo menos 4</w:t>
      </w:r>
      <w:r w:rsidR="00F55F51">
        <w:rPr>
          <w:rFonts w:ascii="Times New Roman" w:hAnsi="Times New Roman"/>
          <w:sz w:val="24"/>
          <w:szCs w:val="24"/>
        </w:rPr>
        <w:t>,83</w:t>
      </w:r>
      <w:r w:rsidR="00A26A46" w:rsidRPr="009A2249">
        <w:rPr>
          <w:rFonts w:ascii="Times New Roman" w:hAnsi="Times New Roman"/>
          <w:sz w:val="24"/>
          <w:szCs w:val="24"/>
        </w:rPr>
        <w:t xml:space="preserve"> anos para os homens e </w:t>
      </w:r>
      <w:r w:rsidR="00F55F51">
        <w:rPr>
          <w:rFonts w:ascii="Times New Roman" w:hAnsi="Times New Roman"/>
          <w:sz w:val="24"/>
          <w:szCs w:val="24"/>
        </w:rPr>
        <w:t>7,83</w:t>
      </w:r>
      <w:r w:rsidR="00A26A46" w:rsidRPr="009A2249">
        <w:rPr>
          <w:rFonts w:ascii="Times New Roman" w:hAnsi="Times New Roman"/>
          <w:sz w:val="24"/>
          <w:szCs w:val="24"/>
        </w:rPr>
        <w:t xml:space="preserve"> anos no caso das mulheres.</w:t>
      </w:r>
      <w:r w:rsidRPr="009A2249">
        <w:rPr>
          <w:rFonts w:ascii="Times New Roman" w:hAnsi="Times New Roman"/>
          <w:sz w:val="24"/>
          <w:szCs w:val="24"/>
        </w:rPr>
        <w:t xml:space="preserve"> </w:t>
      </w:r>
      <w:r w:rsidR="00E17C70">
        <w:rPr>
          <w:rFonts w:ascii="Times New Roman" w:hAnsi="Times New Roman"/>
          <w:sz w:val="24"/>
          <w:szCs w:val="24"/>
        </w:rPr>
        <w:t>A</w:t>
      </w:r>
      <w:r w:rsidRPr="009A2249">
        <w:rPr>
          <w:rFonts w:ascii="Times New Roman" w:hAnsi="Times New Roman"/>
          <w:sz w:val="24"/>
          <w:szCs w:val="24"/>
        </w:rPr>
        <w:t xml:space="preserve">dotando </w:t>
      </w:r>
      <w:r w:rsidR="005C6665" w:rsidRPr="009A2249">
        <w:rPr>
          <w:rFonts w:ascii="Times New Roman" w:hAnsi="Times New Roman"/>
          <w:sz w:val="24"/>
          <w:szCs w:val="24"/>
        </w:rPr>
        <w:t>a obrigatoriedade</w:t>
      </w:r>
      <w:r w:rsidRPr="009A2249">
        <w:rPr>
          <w:rFonts w:ascii="Times New Roman" w:hAnsi="Times New Roman"/>
          <w:sz w:val="24"/>
          <w:szCs w:val="24"/>
        </w:rPr>
        <w:t xml:space="preserve"> de devolução do benefício an</w:t>
      </w:r>
      <w:r w:rsidR="005C6665" w:rsidRPr="009A2249">
        <w:rPr>
          <w:rFonts w:ascii="Times New Roman" w:hAnsi="Times New Roman"/>
          <w:sz w:val="24"/>
          <w:szCs w:val="24"/>
        </w:rPr>
        <w:t xml:space="preserve">tes do recálculo, </w:t>
      </w:r>
      <w:r w:rsidRPr="009A2249">
        <w:rPr>
          <w:rFonts w:ascii="Times New Roman" w:hAnsi="Times New Roman"/>
          <w:sz w:val="24"/>
          <w:szCs w:val="24"/>
        </w:rPr>
        <w:t xml:space="preserve">não </w:t>
      </w:r>
      <w:r w:rsidR="00E17C70">
        <w:rPr>
          <w:rFonts w:ascii="Times New Roman" w:hAnsi="Times New Roman"/>
          <w:sz w:val="24"/>
          <w:szCs w:val="24"/>
        </w:rPr>
        <w:t>há</w:t>
      </w:r>
      <w:r w:rsidR="005C6665" w:rsidRPr="009A2249">
        <w:rPr>
          <w:rFonts w:ascii="Times New Roman" w:hAnsi="Times New Roman"/>
          <w:sz w:val="24"/>
          <w:szCs w:val="24"/>
        </w:rPr>
        <w:t xml:space="preserve"> vantagens</w:t>
      </w:r>
      <w:r w:rsidRPr="009A2249">
        <w:rPr>
          <w:rFonts w:ascii="Times New Roman" w:hAnsi="Times New Roman"/>
          <w:sz w:val="24"/>
          <w:szCs w:val="24"/>
        </w:rPr>
        <w:t xml:space="preserve"> </w:t>
      </w:r>
      <w:r w:rsidR="00F55F51">
        <w:rPr>
          <w:rFonts w:ascii="Times New Roman" w:hAnsi="Times New Roman"/>
          <w:sz w:val="24"/>
          <w:szCs w:val="24"/>
        </w:rPr>
        <w:t>na</w:t>
      </w:r>
      <w:r w:rsidRPr="009A2249">
        <w:rPr>
          <w:rFonts w:ascii="Times New Roman" w:hAnsi="Times New Roman"/>
          <w:sz w:val="24"/>
          <w:szCs w:val="24"/>
        </w:rPr>
        <w:t xml:space="preserve"> </w:t>
      </w:r>
      <w:r w:rsidRPr="009A2249">
        <w:rPr>
          <w:rFonts w:ascii="Times New Roman" w:hAnsi="Times New Roman"/>
          <w:i/>
          <w:sz w:val="24"/>
          <w:szCs w:val="24"/>
        </w:rPr>
        <w:t>desaposenta</w:t>
      </w:r>
      <w:r w:rsidR="00F55F51">
        <w:rPr>
          <w:rFonts w:ascii="Times New Roman" w:hAnsi="Times New Roman"/>
          <w:i/>
          <w:sz w:val="24"/>
          <w:szCs w:val="24"/>
        </w:rPr>
        <w:t>ção</w:t>
      </w:r>
      <w:r w:rsidR="00AD2C23" w:rsidRPr="009A2249">
        <w:rPr>
          <w:rFonts w:ascii="Times New Roman" w:hAnsi="Times New Roman"/>
          <w:sz w:val="24"/>
          <w:szCs w:val="24"/>
        </w:rPr>
        <w:t>.</w:t>
      </w:r>
    </w:p>
    <w:p w:rsidR="00484BE0" w:rsidRDefault="00DA730D" w:rsidP="006E24FB">
      <w:pPr>
        <w:spacing w:after="0" w:line="240" w:lineRule="auto"/>
        <w:jc w:val="both"/>
        <w:rPr>
          <w:rFonts w:ascii="Times New Roman" w:hAnsi="Times New Roman"/>
          <w:sz w:val="24"/>
          <w:szCs w:val="24"/>
        </w:rPr>
      </w:pPr>
      <w:r w:rsidRPr="00FE4C90">
        <w:rPr>
          <w:rFonts w:ascii="Times New Roman" w:hAnsi="Times New Roman"/>
          <w:b/>
          <w:sz w:val="24"/>
          <w:szCs w:val="24"/>
        </w:rPr>
        <w:t>Palavras-chave</w:t>
      </w:r>
      <w:r w:rsidR="00B147CC" w:rsidRPr="009A2249">
        <w:rPr>
          <w:rFonts w:ascii="Times New Roman" w:hAnsi="Times New Roman"/>
          <w:sz w:val="24"/>
          <w:szCs w:val="24"/>
        </w:rPr>
        <w:t>: Previdência Social, desaposentação, aposentadoria, justiça atuarial</w:t>
      </w:r>
      <w:r w:rsidR="00E17C70">
        <w:rPr>
          <w:rFonts w:ascii="Times New Roman" w:hAnsi="Times New Roman"/>
          <w:sz w:val="24"/>
          <w:szCs w:val="24"/>
        </w:rPr>
        <w:t>.</w:t>
      </w:r>
    </w:p>
    <w:p w:rsidR="00F55F51" w:rsidRPr="00434A9B" w:rsidRDefault="00F55F51" w:rsidP="006E24FB">
      <w:pPr>
        <w:spacing w:after="0" w:line="240" w:lineRule="auto"/>
        <w:jc w:val="both"/>
        <w:rPr>
          <w:rFonts w:ascii="Times New Roman" w:hAnsi="Times New Roman"/>
          <w:sz w:val="24"/>
          <w:szCs w:val="24"/>
        </w:rPr>
      </w:pPr>
    </w:p>
    <w:p w:rsidR="00FA0CD8" w:rsidRPr="00FA0CD8" w:rsidRDefault="00FA0CD8" w:rsidP="006E24FB">
      <w:pPr>
        <w:spacing w:after="0" w:line="240" w:lineRule="auto"/>
        <w:ind w:left="720" w:hanging="720"/>
        <w:jc w:val="both"/>
        <w:rPr>
          <w:rFonts w:ascii="Times New Roman" w:hAnsi="Times New Roman"/>
          <w:b/>
          <w:sz w:val="24"/>
          <w:szCs w:val="24"/>
          <w:lang w:val="en-US"/>
        </w:rPr>
      </w:pPr>
      <w:r>
        <w:rPr>
          <w:rFonts w:ascii="Times New Roman" w:hAnsi="Times New Roman"/>
          <w:b/>
          <w:sz w:val="24"/>
          <w:szCs w:val="24"/>
          <w:lang w:val="en-US"/>
        </w:rPr>
        <w:t>Abstract</w:t>
      </w:r>
    </w:p>
    <w:p w:rsidR="00FA0CD8" w:rsidRPr="00FA0CD8" w:rsidRDefault="00F55F51" w:rsidP="006E24FB">
      <w:pPr>
        <w:spacing w:after="0" w:line="240" w:lineRule="auto"/>
        <w:jc w:val="both"/>
        <w:rPr>
          <w:rFonts w:ascii="Times New Roman" w:hAnsi="Times New Roman"/>
          <w:sz w:val="24"/>
          <w:szCs w:val="24"/>
          <w:lang w:val="en-US"/>
        </w:rPr>
      </w:pPr>
      <w:r w:rsidRPr="00A2721A">
        <w:rPr>
          <w:rFonts w:ascii="Times New Roman" w:hAnsi="Times New Roman"/>
          <w:sz w:val="24"/>
          <w:szCs w:val="24"/>
          <w:lang w:val="en-US"/>
        </w:rPr>
        <w:t xml:space="preserve">This study aims to assess the impacts of </w:t>
      </w:r>
      <w:r w:rsidR="00692CBF" w:rsidRPr="00A2721A">
        <w:rPr>
          <w:rFonts w:ascii="Times New Roman" w:hAnsi="Times New Roman"/>
          <w:i/>
          <w:sz w:val="24"/>
          <w:szCs w:val="24"/>
          <w:lang w:val="en-US"/>
        </w:rPr>
        <w:t>re-retirement</w:t>
      </w:r>
      <w:r w:rsidRPr="00A2721A">
        <w:rPr>
          <w:rFonts w:ascii="Times New Roman" w:hAnsi="Times New Roman"/>
          <w:sz w:val="24"/>
          <w:szCs w:val="24"/>
          <w:lang w:val="en-US"/>
        </w:rPr>
        <w:t>, a term used when an</w:t>
      </w:r>
      <w:r w:rsidR="00AA08E0" w:rsidRPr="00A2721A">
        <w:rPr>
          <w:rFonts w:ascii="Times New Roman" w:hAnsi="Times New Roman"/>
          <w:sz w:val="24"/>
          <w:szCs w:val="24"/>
          <w:lang w:val="en-US"/>
        </w:rPr>
        <w:t xml:space="preserve"> </w:t>
      </w:r>
      <w:r w:rsidR="00A2721A" w:rsidRPr="00A2721A">
        <w:rPr>
          <w:rFonts w:ascii="Times New Roman" w:hAnsi="Times New Roman"/>
          <w:sz w:val="24"/>
          <w:szCs w:val="24"/>
          <w:lang w:val="en-US"/>
        </w:rPr>
        <w:t xml:space="preserve">National Pension System </w:t>
      </w:r>
      <w:r w:rsidRPr="00A2721A">
        <w:rPr>
          <w:rFonts w:ascii="Times New Roman" w:hAnsi="Times New Roman"/>
          <w:sz w:val="24"/>
          <w:szCs w:val="24"/>
          <w:lang w:val="en-US"/>
        </w:rPr>
        <w:t xml:space="preserve">insured retires but remains on the formal labor market, contributing to the General Regime and after some years asks the </w:t>
      </w:r>
      <w:r w:rsidR="00AA08E0" w:rsidRPr="00A2721A">
        <w:rPr>
          <w:rFonts w:ascii="Times New Roman" w:hAnsi="Times New Roman"/>
          <w:sz w:val="24"/>
          <w:szCs w:val="24"/>
          <w:lang w:val="en-US"/>
        </w:rPr>
        <w:t>value</w:t>
      </w:r>
      <w:r w:rsidRPr="00A2721A">
        <w:rPr>
          <w:rFonts w:ascii="Times New Roman" w:hAnsi="Times New Roman"/>
          <w:sz w:val="24"/>
          <w:szCs w:val="24"/>
          <w:lang w:val="en-US"/>
        </w:rPr>
        <w:t xml:space="preserve"> of pension is recalculated, taking into view the increase in the contributory period. The </w:t>
      </w:r>
      <w:r w:rsidR="00692CBF" w:rsidRPr="00A2721A">
        <w:rPr>
          <w:rFonts w:ascii="Times New Roman" w:hAnsi="Times New Roman"/>
          <w:sz w:val="24"/>
          <w:szCs w:val="24"/>
          <w:lang w:val="en-US"/>
        </w:rPr>
        <w:t>re-retirement</w:t>
      </w:r>
      <w:r w:rsidRPr="00A2721A">
        <w:rPr>
          <w:rFonts w:ascii="Times New Roman" w:hAnsi="Times New Roman"/>
          <w:sz w:val="24"/>
          <w:szCs w:val="24"/>
          <w:lang w:val="en-US"/>
        </w:rPr>
        <w:t xml:space="preserve">, yet little studied, is a </w:t>
      </w:r>
      <w:r w:rsidR="00846429" w:rsidRPr="00A2721A">
        <w:rPr>
          <w:rFonts w:ascii="Times New Roman" w:hAnsi="Times New Roman"/>
          <w:sz w:val="24"/>
          <w:szCs w:val="24"/>
          <w:lang w:val="en-US"/>
        </w:rPr>
        <w:t xml:space="preserve">typically Brazilian </w:t>
      </w:r>
      <w:r w:rsidRPr="00A2721A">
        <w:rPr>
          <w:rFonts w:ascii="Times New Roman" w:hAnsi="Times New Roman"/>
          <w:sz w:val="24"/>
          <w:szCs w:val="24"/>
          <w:lang w:val="en-US"/>
        </w:rPr>
        <w:t xml:space="preserve">phenomenon. </w:t>
      </w:r>
      <w:r w:rsidR="00AA08E0" w:rsidRPr="00A2721A">
        <w:rPr>
          <w:rFonts w:ascii="Times New Roman" w:hAnsi="Times New Roman"/>
          <w:sz w:val="24"/>
          <w:szCs w:val="24"/>
          <w:lang w:val="en-US"/>
        </w:rPr>
        <w:t>T</w:t>
      </w:r>
      <w:r w:rsidRPr="00A2721A">
        <w:rPr>
          <w:rFonts w:ascii="Times New Roman" w:hAnsi="Times New Roman"/>
          <w:sz w:val="24"/>
          <w:szCs w:val="24"/>
          <w:lang w:val="en-US"/>
        </w:rPr>
        <w:t>here is a tradeoff</w:t>
      </w:r>
      <w:r w:rsidR="00AA08E0" w:rsidRPr="00A2721A">
        <w:rPr>
          <w:rFonts w:ascii="Times New Roman" w:hAnsi="Times New Roman"/>
          <w:sz w:val="24"/>
          <w:szCs w:val="24"/>
          <w:lang w:val="en-US"/>
        </w:rPr>
        <w:t xml:space="preserve"> in </w:t>
      </w:r>
      <w:r w:rsidR="00AA08E0" w:rsidRPr="00A2721A">
        <w:rPr>
          <w:rFonts w:ascii="Times New Roman" w:hAnsi="Times New Roman"/>
          <w:i/>
          <w:sz w:val="24"/>
          <w:szCs w:val="24"/>
          <w:lang w:val="en-US"/>
        </w:rPr>
        <w:t>re-retirement</w:t>
      </w:r>
      <w:r w:rsidRPr="00A2721A">
        <w:rPr>
          <w:rFonts w:ascii="Times New Roman" w:hAnsi="Times New Roman"/>
          <w:sz w:val="24"/>
          <w:szCs w:val="24"/>
          <w:lang w:val="en-US"/>
        </w:rPr>
        <w:t xml:space="preserve">: the longer the insured take to ask </w:t>
      </w:r>
      <w:r w:rsidR="00846429" w:rsidRPr="00A2721A">
        <w:rPr>
          <w:rFonts w:ascii="Times New Roman" w:hAnsi="Times New Roman"/>
          <w:sz w:val="24"/>
          <w:szCs w:val="24"/>
          <w:lang w:val="en-US"/>
        </w:rPr>
        <w:t>his</w:t>
      </w:r>
      <w:r w:rsidRPr="00A2721A">
        <w:rPr>
          <w:rFonts w:ascii="Times New Roman" w:hAnsi="Times New Roman"/>
          <w:sz w:val="24"/>
          <w:szCs w:val="24"/>
          <w:lang w:val="en-US"/>
        </w:rPr>
        <w:t xml:space="preserve"> </w:t>
      </w:r>
      <w:r w:rsidR="00692CBF" w:rsidRPr="00A2721A">
        <w:rPr>
          <w:rFonts w:ascii="Times New Roman" w:hAnsi="Times New Roman"/>
          <w:i/>
          <w:sz w:val="24"/>
          <w:szCs w:val="24"/>
          <w:lang w:val="en-US"/>
        </w:rPr>
        <w:t>re-retirement</w:t>
      </w:r>
      <w:r w:rsidRPr="00A2721A">
        <w:rPr>
          <w:rFonts w:ascii="Times New Roman" w:hAnsi="Times New Roman"/>
          <w:sz w:val="24"/>
          <w:szCs w:val="24"/>
          <w:lang w:val="en-US"/>
        </w:rPr>
        <w:t xml:space="preserve">, the greater the increase in the value of the benefit. However, the time of enjoyment of this gain will be </w:t>
      </w:r>
      <w:r w:rsidR="00846429" w:rsidRPr="00A2721A">
        <w:rPr>
          <w:rFonts w:ascii="Times New Roman" w:hAnsi="Times New Roman"/>
          <w:sz w:val="24"/>
          <w:szCs w:val="24"/>
          <w:lang w:val="en-US"/>
        </w:rPr>
        <w:t>reduced</w:t>
      </w:r>
      <w:r w:rsidRPr="00A2721A">
        <w:rPr>
          <w:rFonts w:ascii="Times New Roman" w:hAnsi="Times New Roman"/>
          <w:sz w:val="24"/>
          <w:szCs w:val="24"/>
          <w:lang w:val="en-US"/>
        </w:rPr>
        <w:t xml:space="preserve">. </w:t>
      </w:r>
      <w:proofErr w:type="gramStart"/>
      <w:r w:rsidRPr="00A2721A">
        <w:rPr>
          <w:rFonts w:ascii="Times New Roman" w:hAnsi="Times New Roman"/>
          <w:sz w:val="24"/>
          <w:szCs w:val="24"/>
          <w:lang w:val="en-US"/>
        </w:rPr>
        <w:t xml:space="preserve">Conversely, the more premature </w:t>
      </w:r>
      <w:r w:rsidR="00692CBF" w:rsidRPr="00A2721A">
        <w:rPr>
          <w:rFonts w:ascii="Times New Roman" w:hAnsi="Times New Roman"/>
          <w:i/>
          <w:sz w:val="24"/>
          <w:szCs w:val="24"/>
          <w:lang w:val="en-US"/>
        </w:rPr>
        <w:t>re-retirement</w:t>
      </w:r>
      <w:r w:rsidRPr="00A2721A">
        <w:rPr>
          <w:rFonts w:ascii="Times New Roman" w:hAnsi="Times New Roman"/>
          <w:sz w:val="24"/>
          <w:szCs w:val="24"/>
          <w:lang w:val="en-US"/>
        </w:rPr>
        <w:t>, the smaller the increase in benefit, however the longer the period of the gain obtained with enjoyment.</w:t>
      </w:r>
      <w:proofErr w:type="gramEnd"/>
      <w:r w:rsidRPr="00A2721A">
        <w:rPr>
          <w:rFonts w:ascii="Times New Roman" w:hAnsi="Times New Roman"/>
          <w:sz w:val="24"/>
          <w:szCs w:val="24"/>
          <w:lang w:val="en-US"/>
        </w:rPr>
        <w:t xml:space="preserve"> The theoretical framework is based on the concepts of </w:t>
      </w:r>
      <w:r w:rsidR="00846429" w:rsidRPr="00A2721A">
        <w:rPr>
          <w:rFonts w:ascii="Times New Roman" w:hAnsi="Times New Roman"/>
          <w:sz w:val="24"/>
          <w:szCs w:val="24"/>
          <w:lang w:val="en-US"/>
        </w:rPr>
        <w:t xml:space="preserve">actuarial </w:t>
      </w:r>
      <w:r w:rsidRPr="00A2721A">
        <w:rPr>
          <w:rFonts w:ascii="Times New Roman" w:hAnsi="Times New Roman"/>
          <w:sz w:val="24"/>
          <w:szCs w:val="24"/>
          <w:lang w:val="en-US"/>
        </w:rPr>
        <w:t>justice and actuarial neutrality. 4 indicators widespread in literature pension</w:t>
      </w:r>
      <w:r w:rsidR="00846429" w:rsidRPr="00A2721A">
        <w:rPr>
          <w:rFonts w:ascii="Times New Roman" w:hAnsi="Times New Roman"/>
          <w:sz w:val="24"/>
          <w:szCs w:val="24"/>
          <w:lang w:val="en-US"/>
        </w:rPr>
        <w:t xml:space="preserve"> were employed</w:t>
      </w:r>
      <w:r w:rsidRPr="00A2721A">
        <w:rPr>
          <w:rFonts w:ascii="Times New Roman" w:hAnsi="Times New Roman"/>
          <w:sz w:val="24"/>
          <w:szCs w:val="24"/>
          <w:lang w:val="en-US"/>
        </w:rPr>
        <w:t xml:space="preserve">: </w:t>
      </w:r>
      <w:r w:rsidRPr="00A2721A">
        <w:rPr>
          <w:rFonts w:ascii="Times New Roman" w:hAnsi="Times New Roman"/>
          <w:i/>
          <w:sz w:val="24"/>
          <w:szCs w:val="24"/>
          <w:lang w:val="en-US"/>
        </w:rPr>
        <w:t>Replacement Rate</w:t>
      </w:r>
      <w:r w:rsidRPr="00A2721A">
        <w:rPr>
          <w:rFonts w:ascii="Times New Roman" w:hAnsi="Times New Roman"/>
          <w:sz w:val="24"/>
          <w:szCs w:val="24"/>
          <w:lang w:val="en-US"/>
        </w:rPr>
        <w:t xml:space="preserve">, </w:t>
      </w:r>
      <w:r w:rsidRPr="00A2721A">
        <w:rPr>
          <w:rFonts w:ascii="Times New Roman" w:hAnsi="Times New Roman"/>
          <w:i/>
          <w:sz w:val="24"/>
          <w:szCs w:val="24"/>
          <w:lang w:val="en-US"/>
        </w:rPr>
        <w:t>Internal Rate of Return</w:t>
      </w:r>
      <w:r w:rsidRPr="00A2721A">
        <w:rPr>
          <w:rFonts w:ascii="Times New Roman" w:hAnsi="Times New Roman"/>
          <w:sz w:val="24"/>
          <w:szCs w:val="24"/>
          <w:lang w:val="en-US"/>
        </w:rPr>
        <w:t xml:space="preserve">, </w:t>
      </w:r>
      <w:r w:rsidR="00A2721A" w:rsidRPr="00A2721A">
        <w:rPr>
          <w:rFonts w:ascii="Times New Roman" w:hAnsi="Times New Roman"/>
          <w:i/>
          <w:sz w:val="24"/>
          <w:szCs w:val="24"/>
          <w:lang w:val="en-US"/>
        </w:rPr>
        <w:t>N</w:t>
      </w:r>
      <w:r w:rsidR="00A2721A">
        <w:rPr>
          <w:rFonts w:ascii="Times New Roman" w:hAnsi="Times New Roman"/>
          <w:i/>
          <w:sz w:val="24"/>
          <w:szCs w:val="24"/>
          <w:lang w:val="en-US"/>
        </w:rPr>
        <w:t>ecessary</w:t>
      </w:r>
      <w:r w:rsidRPr="00A2721A">
        <w:rPr>
          <w:rFonts w:ascii="Times New Roman" w:hAnsi="Times New Roman"/>
          <w:i/>
          <w:sz w:val="24"/>
          <w:szCs w:val="24"/>
          <w:lang w:val="en-US"/>
        </w:rPr>
        <w:t xml:space="preserve"> Rate</w:t>
      </w:r>
      <w:r w:rsidRPr="00A2721A">
        <w:rPr>
          <w:rFonts w:ascii="Times New Roman" w:hAnsi="Times New Roman"/>
          <w:sz w:val="24"/>
          <w:szCs w:val="24"/>
          <w:lang w:val="en-US"/>
        </w:rPr>
        <w:t xml:space="preserve"> and </w:t>
      </w:r>
      <w:r w:rsidRPr="00A2721A">
        <w:rPr>
          <w:rFonts w:ascii="Times New Roman" w:hAnsi="Times New Roman"/>
          <w:i/>
          <w:sz w:val="24"/>
          <w:szCs w:val="24"/>
          <w:lang w:val="en-US"/>
        </w:rPr>
        <w:t>Effective Rate</w:t>
      </w:r>
      <w:r w:rsidRPr="00A2721A">
        <w:rPr>
          <w:rFonts w:ascii="Times New Roman" w:hAnsi="Times New Roman"/>
          <w:sz w:val="24"/>
          <w:szCs w:val="24"/>
          <w:lang w:val="en-US"/>
        </w:rPr>
        <w:t xml:space="preserve">. The results showed that there is an optimal period to ask </w:t>
      </w:r>
      <w:r w:rsidR="00692CBF" w:rsidRPr="00A2721A">
        <w:rPr>
          <w:rFonts w:ascii="Times New Roman" w:hAnsi="Times New Roman"/>
          <w:i/>
          <w:sz w:val="24"/>
          <w:szCs w:val="24"/>
          <w:lang w:val="en-US"/>
        </w:rPr>
        <w:t>re-retirement</w:t>
      </w:r>
      <w:r w:rsidRPr="00A2721A">
        <w:rPr>
          <w:rFonts w:ascii="Times New Roman" w:hAnsi="Times New Roman"/>
          <w:sz w:val="24"/>
          <w:szCs w:val="24"/>
          <w:lang w:val="en-US"/>
        </w:rPr>
        <w:t xml:space="preserve"> after fulfilling the minimum requirements</w:t>
      </w:r>
      <w:r w:rsidR="00846429" w:rsidRPr="00A2721A">
        <w:rPr>
          <w:rFonts w:ascii="Times New Roman" w:hAnsi="Times New Roman"/>
          <w:sz w:val="24"/>
          <w:szCs w:val="24"/>
          <w:lang w:val="en-US"/>
        </w:rPr>
        <w:t xml:space="preserve"> of retirement</w:t>
      </w:r>
      <w:r w:rsidRPr="00A2721A">
        <w:rPr>
          <w:rFonts w:ascii="Times New Roman" w:hAnsi="Times New Roman"/>
          <w:sz w:val="24"/>
          <w:szCs w:val="24"/>
          <w:lang w:val="en-US"/>
        </w:rPr>
        <w:t xml:space="preserve">: at least 4.83 years for men and 7.83 years for women. Adopting the obligation to return the money before the recalculation, there is no advantage in </w:t>
      </w:r>
      <w:r w:rsidR="00692CBF" w:rsidRPr="00A2721A">
        <w:rPr>
          <w:rFonts w:ascii="Times New Roman" w:hAnsi="Times New Roman"/>
          <w:i/>
          <w:sz w:val="24"/>
          <w:szCs w:val="24"/>
          <w:lang w:val="en-US"/>
        </w:rPr>
        <w:t>re-retirement</w:t>
      </w:r>
      <w:r w:rsidRPr="00A2721A">
        <w:rPr>
          <w:rFonts w:ascii="Times New Roman" w:hAnsi="Times New Roman"/>
          <w:sz w:val="24"/>
          <w:szCs w:val="24"/>
          <w:lang w:val="en-US"/>
        </w:rPr>
        <w:t>.</w:t>
      </w:r>
    </w:p>
    <w:p w:rsidR="00FA0CD8" w:rsidRPr="006E24FB" w:rsidRDefault="006E24FB" w:rsidP="006E24FB">
      <w:pPr>
        <w:spacing w:after="0" w:line="240" w:lineRule="auto"/>
        <w:jc w:val="both"/>
        <w:rPr>
          <w:rFonts w:ascii="Times New Roman" w:hAnsi="Times New Roman"/>
          <w:sz w:val="24"/>
          <w:szCs w:val="24"/>
          <w:lang w:val="en-US"/>
        </w:rPr>
      </w:pPr>
      <w:r w:rsidRPr="006E24FB">
        <w:rPr>
          <w:rFonts w:ascii="Times New Roman" w:hAnsi="Times New Roman"/>
          <w:b/>
          <w:sz w:val="24"/>
          <w:szCs w:val="24"/>
          <w:lang w:val="en-US"/>
        </w:rPr>
        <w:t>Key-words</w:t>
      </w:r>
      <w:r w:rsidR="00FA0CD8" w:rsidRPr="006E24FB">
        <w:rPr>
          <w:rFonts w:ascii="Times New Roman" w:hAnsi="Times New Roman"/>
          <w:sz w:val="24"/>
          <w:szCs w:val="24"/>
          <w:lang w:val="en-US"/>
        </w:rPr>
        <w:t xml:space="preserve">: </w:t>
      </w:r>
      <w:r w:rsidR="001632B6" w:rsidRPr="006E24FB">
        <w:rPr>
          <w:rFonts w:ascii="Times New Roman" w:hAnsi="Times New Roman"/>
          <w:sz w:val="24"/>
          <w:szCs w:val="24"/>
          <w:lang w:val="en-US"/>
        </w:rPr>
        <w:t>Social Security</w:t>
      </w:r>
      <w:r w:rsidR="00FA0CD8" w:rsidRPr="006E24FB">
        <w:rPr>
          <w:rFonts w:ascii="Times New Roman" w:hAnsi="Times New Roman"/>
          <w:sz w:val="24"/>
          <w:szCs w:val="24"/>
          <w:lang w:val="en-US"/>
        </w:rPr>
        <w:t xml:space="preserve">, </w:t>
      </w:r>
      <w:r w:rsidR="001632B6" w:rsidRPr="006E24FB">
        <w:rPr>
          <w:rFonts w:ascii="Times New Roman" w:hAnsi="Times New Roman"/>
          <w:sz w:val="24"/>
          <w:szCs w:val="24"/>
          <w:lang w:val="en-US"/>
        </w:rPr>
        <w:t>re-retirement</w:t>
      </w:r>
      <w:r w:rsidR="00FA0CD8" w:rsidRPr="006E24FB">
        <w:rPr>
          <w:rFonts w:ascii="Times New Roman" w:hAnsi="Times New Roman"/>
          <w:sz w:val="24"/>
          <w:szCs w:val="24"/>
          <w:lang w:val="en-US"/>
        </w:rPr>
        <w:t xml:space="preserve">, </w:t>
      </w:r>
      <w:r w:rsidR="001632B6" w:rsidRPr="006E24FB">
        <w:rPr>
          <w:rFonts w:ascii="Times New Roman" w:hAnsi="Times New Roman"/>
          <w:sz w:val="24"/>
          <w:szCs w:val="24"/>
          <w:lang w:val="en-US"/>
        </w:rPr>
        <w:t>retirement</w:t>
      </w:r>
      <w:r w:rsidR="00FA0CD8" w:rsidRPr="006E24FB">
        <w:rPr>
          <w:rFonts w:ascii="Times New Roman" w:hAnsi="Times New Roman"/>
          <w:sz w:val="24"/>
          <w:szCs w:val="24"/>
          <w:lang w:val="en-US"/>
        </w:rPr>
        <w:t xml:space="preserve">, </w:t>
      </w:r>
      <w:r w:rsidR="001632B6" w:rsidRPr="006E24FB">
        <w:rPr>
          <w:rFonts w:ascii="Times New Roman" w:hAnsi="Times New Roman"/>
          <w:sz w:val="24"/>
          <w:szCs w:val="24"/>
          <w:lang w:val="en-US"/>
        </w:rPr>
        <w:t>actuarial fairness</w:t>
      </w:r>
      <w:r w:rsidR="00F55F51">
        <w:rPr>
          <w:rFonts w:ascii="Times New Roman" w:hAnsi="Times New Roman"/>
          <w:sz w:val="24"/>
          <w:szCs w:val="24"/>
          <w:lang w:val="en-US"/>
        </w:rPr>
        <w:t>.</w:t>
      </w:r>
    </w:p>
    <w:p w:rsidR="00FA0CD8" w:rsidRDefault="00FA0CD8" w:rsidP="006E24FB">
      <w:pPr>
        <w:spacing w:after="0" w:line="240" w:lineRule="auto"/>
        <w:jc w:val="both"/>
        <w:rPr>
          <w:rFonts w:ascii="Times New Roman" w:hAnsi="Times New Roman"/>
          <w:sz w:val="24"/>
          <w:szCs w:val="24"/>
        </w:rPr>
      </w:pPr>
      <w:r w:rsidRPr="00FE4C90">
        <w:rPr>
          <w:rFonts w:ascii="Times New Roman" w:hAnsi="Times New Roman"/>
          <w:b/>
          <w:sz w:val="24"/>
          <w:szCs w:val="24"/>
        </w:rPr>
        <w:t>Classificação JEL</w:t>
      </w:r>
      <w:r w:rsidRPr="009A2249">
        <w:rPr>
          <w:rFonts w:ascii="Times New Roman" w:hAnsi="Times New Roman"/>
          <w:sz w:val="24"/>
          <w:szCs w:val="24"/>
        </w:rPr>
        <w:t>: H55, J26</w:t>
      </w:r>
      <w:r>
        <w:rPr>
          <w:rFonts w:ascii="Times New Roman" w:hAnsi="Times New Roman"/>
          <w:sz w:val="24"/>
          <w:szCs w:val="24"/>
        </w:rPr>
        <w:t>.</w:t>
      </w:r>
    </w:p>
    <w:p w:rsidR="006E24FB" w:rsidRPr="006E24FB" w:rsidRDefault="006E24FB" w:rsidP="006E24FB">
      <w:pPr>
        <w:spacing w:after="120" w:line="240" w:lineRule="auto"/>
        <w:jc w:val="both"/>
        <w:rPr>
          <w:rFonts w:ascii="Times New Roman" w:hAnsi="Times New Roman"/>
          <w:sz w:val="24"/>
          <w:szCs w:val="24"/>
        </w:rPr>
      </w:pPr>
      <w:r w:rsidRPr="006E24FB">
        <w:rPr>
          <w:rFonts w:ascii="Times New Roman" w:hAnsi="Times New Roman"/>
          <w:b/>
          <w:iCs/>
          <w:sz w:val="24"/>
          <w:szCs w:val="24"/>
        </w:rPr>
        <w:t xml:space="preserve">Classificação </w:t>
      </w:r>
      <w:proofErr w:type="spellStart"/>
      <w:r w:rsidRPr="006E24FB">
        <w:rPr>
          <w:rFonts w:ascii="Times New Roman" w:hAnsi="Times New Roman"/>
          <w:b/>
          <w:iCs/>
          <w:sz w:val="24"/>
          <w:szCs w:val="24"/>
        </w:rPr>
        <w:t>Anpec</w:t>
      </w:r>
      <w:proofErr w:type="spellEnd"/>
      <w:r w:rsidRPr="006E24FB">
        <w:rPr>
          <w:rFonts w:ascii="Times New Roman" w:hAnsi="Times New Roman"/>
          <w:sz w:val="24"/>
          <w:szCs w:val="24"/>
        </w:rPr>
        <w:t xml:space="preserve">: Área </w:t>
      </w:r>
      <w:r>
        <w:rPr>
          <w:rFonts w:ascii="Times New Roman" w:hAnsi="Times New Roman"/>
          <w:sz w:val="24"/>
          <w:szCs w:val="24"/>
        </w:rPr>
        <w:t>5</w:t>
      </w:r>
      <w:r w:rsidRPr="006E24FB">
        <w:rPr>
          <w:rFonts w:ascii="Times New Roman" w:hAnsi="Times New Roman"/>
          <w:sz w:val="24"/>
          <w:szCs w:val="24"/>
        </w:rPr>
        <w:t xml:space="preserve"> - </w:t>
      </w:r>
      <w:r w:rsidRPr="006E24FB">
        <w:rPr>
          <w:rFonts w:ascii="Times New Roman" w:hAnsi="Times New Roman"/>
          <w:bCs/>
          <w:sz w:val="24"/>
          <w:szCs w:val="24"/>
        </w:rPr>
        <w:t>Economia do Setor Público</w:t>
      </w:r>
      <w:r w:rsidRPr="006E24FB">
        <w:rPr>
          <w:rFonts w:ascii="Times New Roman" w:hAnsi="Times New Roman"/>
          <w:sz w:val="24"/>
          <w:szCs w:val="24"/>
        </w:rPr>
        <w:t>.</w:t>
      </w:r>
    </w:p>
    <w:p w:rsidR="00FA0CD8" w:rsidRDefault="00FA0CD8" w:rsidP="008C6C9C">
      <w:pPr>
        <w:spacing w:after="120" w:line="240" w:lineRule="auto"/>
        <w:jc w:val="both"/>
        <w:rPr>
          <w:rFonts w:ascii="Times New Roman" w:hAnsi="Times New Roman"/>
          <w:sz w:val="24"/>
          <w:szCs w:val="24"/>
        </w:rPr>
      </w:pPr>
    </w:p>
    <w:p w:rsidR="00902A51" w:rsidRDefault="00902A51">
      <w:pPr>
        <w:spacing w:after="0" w:line="240" w:lineRule="auto"/>
        <w:rPr>
          <w:rFonts w:ascii="Times New Roman" w:hAnsi="Times New Roman"/>
          <w:sz w:val="24"/>
          <w:szCs w:val="24"/>
        </w:rPr>
      </w:pPr>
      <w:r>
        <w:rPr>
          <w:rFonts w:ascii="Times New Roman" w:hAnsi="Times New Roman"/>
          <w:sz w:val="24"/>
          <w:szCs w:val="24"/>
        </w:rPr>
        <w:br w:type="page"/>
      </w:r>
    </w:p>
    <w:p w:rsidR="00B904A6" w:rsidRPr="009A2249" w:rsidRDefault="00B904A6" w:rsidP="008C6C9C">
      <w:pPr>
        <w:pStyle w:val="PargrafodaLista"/>
        <w:numPr>
          <w:ilvl w:val="0"/>
          <w:numId w:val="3"/>
        </w:numPr>
        <w:spacing w:after="120"/>
        <w:jc w:val="both"/>
        <w:rPr>
          <w:b/>
        </w:rPr>
      </w:pPr>
      <w:r w:rsidRPr="009A2249">
        <w:rPr>
          <w:b/>
        </w:rPr>
        <w:lastRenderedPageBreak/>
        <w:t>Introdução</w:t>
      </w:r>
    </w:p>
    <w:p w:rsidR="00C407BC" w:rsidRPr="009A2249" w:rsidRDefault="00C407BC" w:rsidP="008C6C9C">
      <w:pPr>
        <w:spacing w:after="120" w:line="240" w:lineRule="auto"/>
        <w:ind w:firstLine="709"/>
        <w:jc w:val="both"/>
        <w:rPr>
          <w:rFonts w:ascii="Times New Roman" w:hAnsi="Times New Roman"/>
          <w:sz w:val="24"/>
          <w:szCs w:val="24"/>
        </w:rPr>
      </w:pPr>
      <w:r w:rsidRPr="00A35F86">
        <w:rPr>
          <w:rFonts w:ascii="Times New Roman" w:hAnsi="Times New Roman"/>
          <w:sz w:val="24"/>
          <w:szCs w:val="24"/>
        </w:rPr>
        <w:t>No Brasil, os trabalhadores formais do setor privado devem compulsoriamente contribuir ao Regime Geral de Previdência Social (RGPS) do Instituto Nacional do Seguro Social (INSS). Após 35 (30) anos de contribuição, no caso dos homens (mulheres) atingem a única condição mínima de elegibilidade para a obtenção de uma Aposentadoria por Tempo de Contribuição (ATC)</w:t>
      </w:r>
      <w:r w:rsidR="00BE76BA" w:rsidRPr="00A35F86">
        <w:rPr>
          <w:rFonts w:ascii="Times New Roman" w:hAnsi="Times New Roman"/>
          <w:sz w:val="24"/>
          <w:szCs w:val="24"/>
        </w:rPr>
        <w:t>, paga mensalmente, de forma vitalícia</w:t>
      </w:r>
      <w:r w:rsidRPr="00A35F86">
        <w:rPr>
          <w:rFonts w:ascii="Times New Roman" w:hAnsi="Times New Roman"/>
          <w:sz w:val="24"/>
          <w:szCs w:val="24"/>
        </w:rPr>
        <w:t>.</w:t>
      </w:r>
      <w:r w:rsidR="00CA54F5" w:rsidRPr="00A35F86">
        <w:rPr>
          <w:rFonts w:ascii="Times New Roman" w:hAnsi="Times New Roman"/>
          <w:sz w:val="24"/>
          <w:szCs w:val="24"/>
        </w:rPr>
        <w:t xml:space="preserve"> No final de 2012 havia 4.862.215 benefícios de ATC emitidos, representando 18,7% dos 26.032.855 benefícios em estoque do RGPS. </w:t>
      </w:r>
      <w:r w:rsidR="00CA5869" w:rsidRPr="00A35F86">
        <w:rPr>
          <w:rFonts w:ascii="Times New Roman" w:hAnsi="Times New Roman"/>
          <w:sz w:val="24"/>
          <w:szCs w:val="24"/>
        </w:rPr>
        <w:t>Somente em 2012 foram concedidos 275.840 novas aposentadorias por tempo de contribuição. Devido a ATC ser</w:t>
      </w:r>
      <w:r w:rsidR="00CA54F5" w:rsidRPr="00A35F86">
        <w:rPr>
          <w:rFonts w:ascii="Times New Roman" w:hAnsi="Times New Roman"/>
          <w:sz w:val="24"/>
          <w:szCs w:val="24"/>
        </w:rPr>
        <w:t xml:space="preserve"> o benefício de valor médio (R$ 1.357) mais elevado</w:t>
      </w:r>
      <w:r w:rsidR="00CA5869" w:rsidRPr="00A35F86">
        <w:rPr>
          <w:rFonts w:ascii="Times New Roman" w:hAnsi="Times New Roman"/>
          <w:sz w:val="24"/>
          <w:szCs w:val="24"/>
        </w:rPr>
        <w:t>, representou pouco mais de</w:t>
      </w:r>
      <w:r w:rsidR="00CA54F5" w:rsidRPr="00A35F86">
        <w:rPr>
          <w:rFonts w:ascii="Times New Roman" w:hAnsi="Times New Roman"/>
          <w:sz w:val="24"/>
          <w:szCs w:val="24"/>
        </w:rPr>
        <w:t xml:space="preserve"> </w:t>
      </w:r>
      <w:r w:rsidR="00CA5869" w:rsidRPr="00A35F86">
        <w:rPr>
          <w:rFonts w:ascii="Times New Roman" w:hAnsi="Times New Roman"/>
          <w:sz w:val="24"/>
          <w:szCs w:val="24"/>
        </w:rPr>
        <w:t>27,5</w:t>
      </w:r>
      <w:r w:rsidR="00CA54F5" w:rsidRPr="00A35F86">
        <w:rPr>
          <w:rFonts w:ascii="Times New Roman" w:hAnsi="Times New Roman"/>
          <w:sz w:val="24"/>
          <w:szCs w:val="24"/>
        </w:rPr>
        <w:t xml:space="preserve">% </w:t>
      </w:r>
      <w:r w:rsidR="00BE76BA" w:rsidRPr="00A35F86">
        <w:rPr>
          <w:rFonts w:ascii="Times New Roman" w:hAnsi="Times New Roman"/>
          <w:sz w:val="24"/>
          <w:szCs w:val="24"/>
        </w:rPr>
        <w:t>com benefícios previdenciários</w:t>
      </w:r>
      <w:r w:rsidR="00CA5869" w:rsidRPr="00A35F86">
        <w:rPr>
          <w:rFonts w:ascii="Times New Roman" w:hAnsi="Times New Roman"/>
          <w:sz w:val="24"/>
          <w:szCs w:val="24"/>
        </w:rPr>
        <w:t xml:space="preserve"> do RGPS.</w:t>
      </w:r>
    </w:p>
    <w:p w:rsidR="00B904A6" w:rsidRPr="009A2249" w:rsidRDefault="004C5A0C"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valor do benefício é calculado com base na média salarial do segurado (ver maiores detalhes da expressão de cálculo na seção 3) e do </w:t>
      </w:r>
      <w:r w:rsidRPr="009A2249">
        <w:rPr>
          <w:rFonts w:ascii="Times New Roman" w:hAnsi="Times New Roman"/>
          <w:i/>
          <w:sz w:val="24"/>
          <w:szCs w:val="24"/>
        </w:rPr>
        <w:t>Fator Previdenciário</w:t>
      </w:r>
      <w:r w:rsidRPr="009A2249">
        <w:rPr>
          <w:rFonts w:ascii="Times New Roman" w:hAnsi="Times New Roman"/>
          <w:sz w:val="24"/>
          <w:szCs w:val="24"/>
        </w:rPr>
        <w:t xml:space="preserve">. (maior detalhamento da forma de cálculo é apresentado na seção 3). Esta engenhosa fórmula foi criada em 1999 por meio da Lei </w:t>
      </w:r>
      <w:r w:rsidR="00B904A6" w:rsidRPr="009A2249">
        <w:rPr>
          <w:rFonts w:ascii="Times New Roman" w:hAnsi="Times New Roman"/>
          <w:sz w:val="24"/>
          <w:szCs w:val="24"/>
        </w:rPr>
        <w:t>9.876</w:t>
      </w:r>
      <w:r w:rsidRPr="009A2249">
        <w:rPr>
          <w:rFonts w:ascii="Times New Roman" w:hAnsi="Times New Roman"/>
          <w:sz w:val="24"/>
          <w:szCs w:val="24"/>
        </w:rPr>
        <w:t xml:space="preserve"> e tem por objetivo introduzir maior grau de equilíbrio atuarial à relação entre contribuições e benefícios. Sua lógica é bastante simples: visa</w:t>
      </w:r>
      <w:r w:rsidR="00B904A6" w:rsidRPr="009A2249">
        <w:rPr>
          <w:rFonts w:ascii="Times New Roman" w:hAnsi="Times New Roman"/>
          <w:sz w:val="24"/>
          <w:szCs w:val="24"/>
        </w:rPr>
        <w:t xml:space="preserve"> incentivar as pessoas a postergarem a aposentadoria</w:t>
      </w:r>
      <w:r w:rsidRPr="009A2249">
        <w:rPr>
          <w:rFonts w:ascii="Times New Roman" w:hAnsi="Times New Roman"/>
          <w:sz w:val="24"/>
          <w:szCs w:val="24"/>
        </w:rPr>
        <w:t xml:space="preserve">, por meio da </w:t>
      </w:r>
      <w:r w:rsidR="00B904A6" w:rsidRPr="009A2249">
        <w:rPr>
          <w:rFonts w:ascii="Times New Roman" w:hAnsi="Times New Roman"/>
          <w:sz w:val="24"/>
          <w:szCs w:val="24"/>
        </w:rPr>
        <w:t>redu</w:t>
      </w:r>
      <w:r w:rsidRPr="009A2249">
        <w:rPr>
          <w:rFonts w:ascii="Times New Roman" w:hAnsi="Times New Roman"/>
          <w:sz w:val="24"/>
          <w:szCs w:val="24"/>
        </w:rPr>
        <w:t xml:space="preserve">ção do valor do </w:t>
      </w:r>
      <w:r w:rsidR="00B904A6" w:rsidRPr="009A2249">
        <w:rPr>
          <w:rFonts w:ascii="Times New Roman" w:hAnsi="Times New Roman"/>
          <w:sz w:val="24"/>
          <w:szCs w:val="24"/>
        </w:rPr>
        <w:t>benefício d</w:t>
      </w:r>
      <w:r w:rsidRPr="009A2249">
        <w:rPr>
          <w:rFonts w:ascii="Times New Roman" w:hAnsi="Times New Roman"/>
          <w:sz w:val="24"/>
          <w:szCs w:val="24"/>
        </w:rPr>
        <w:t>aqueles que decidiram se aposentar mais cedo, desde que, obviamente cumpram o requisito mínimo de período contributivo</w:t>
      </w:r>
      <w:r w:rsidR="00B904A6" w:rsidRPr="009A2249">
        <w:rPr>
          <w:rFonts w:ascii="Times New Roman" w:hAnsi="Times New Roman"/>
          <w:sz w:val="24"/>
          <w:szCs w:val="24"/>
        </w:rPr>
        <w:t>.</w:t>
      </w:r>
    </w:p>
    <w:p w:rsidR="00B904A6"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Uma parcela não desprezível dos aposentados, mesmo recebendo o benefício previdenciário, continua no mercado de trabalho formal</w:t>
      </w:r>
      <w:r w:rsidR="00676CB2" w:rsidRPr="009A2249">
        <w:rPr>
          <w:rFonts w:ascii="Times New Roman" w:hAnsi="Times New Roman"/>
          <w:sz w:val="24"/>
          <w:szCs w:val="24"/>
        </w:rPr>
        <w:t xml:space="preserve"> e </w:t>
      </w:r>
      <w:r w:rsidRPr="009A2249">
        <w:rPr>
          <w:rFonts w:ascii="Times New Roman" w:hAnsi="Times New Roman"/>
          <w:sz w:val="24"/>
          <w:szCs w:val="24"/>
        </w:rPr>
        <w:t>contribuindo para o RGPS. Após alguns anos nessa situação, a idade do segurado para a aposentadoria e o tempo de contribuição são maiores</w:t>
      </w:r>
      <w:r w:rsidR="00FD0EF3" w:rsidRPr="009A2249">
        <w:rPr>
          <w:rFonts w:ascii="Times New Roman" w:hAnsi="Times New Roman"/>
          <w:sz w:val="24"/>
          <w:szCs w:val="24"/>
        </w:rPr>
        <w:t xml:space="preserve"> e sua condição de elegibilidade, a priori, se mantém</w:t>
      </w:r>
      <w:r w:rsidRPr="009A2249">
        <w:rPr>
          <w:rFonts w:ascii="Times New Roman" w:hAnsi="Times New Roman"/>
          <w:sz w:val="24"/>
          <w:szCs w:val="24"/>
        </w:rPr>
        <w:t>. Diante disso, o segurado pede um recálculo d</w:t>
      </w:r>
      <w:r w:rsidR="00FD0EF3" w:rsidRPr="009A2249">
        <w:rPr>
          <w:rFonts w:ascii="Times New Roman" w:hAnsi="Times New Roman"/>
          <w:sz w:val="24"/>
          <w:szCs w:val="24"/>
        </w:rPr>
        <w:t xml:space="preserve">o valor da aposentadoria. Ou seja, é como se solicitasse um aumento do valor recebido. </w:t>
      </w:r>
      <w:r w:rsidRPr="009A2249">
        <w:rPr>
          <w:rFonts w:ascii="Times New Roman" w:hAnsi="Times New Roman"/>
          <w:sz w:val="24"/>
          <w:szCs w:val="24"/>
        </w:rPr>
        <w:t xml:space="preserve">Este recálculo do benefício previdenciário, a fim de obter um benefício </w:t>
      </w:r>
      <w:r w:rsidR="00676CB2" w:rsidRPr="009A2249">
        <w:rPr>
          <w:rFonts w:ascii="Times New Roman" w:hAnsi="Times New Roman"/>
          <w:sz w:val="24"/>
          <w:szCs w:val="24"/>
        </w:rPr>
        <w:t>maior, dado</w:t>
      </w:r>
      <w:r w:rsidRPr="009A2249">
        <w:rPr>
          <w:rFonts w:ascii="Times New Roman" w:hAnsi="Times New Roman"/>
          <w:sz w:val="24"/>
          <w:szCs w:val="24"/>
        </w:rPr>
        <w:t xml:space="preserve"> seu novo tempo de contribuição, é conhecido como </w:t>
      </w:r>
      <w:r w:rsidRPr="009A2249">
        <w:rPr>
          <w:rFonts w:ascii="Times New Roman" w:hAnsi="Times New Roman"/>
          <w:i/>
          <w:sz w:val="24"/>
          <w:szCs w:val="24"/>
        </w:rPr>
        <w:t>desaposentação</w:t>
      </w:r>
      <w:r w:rsidR="00BA6695">
        <w:rPr>
          <w:rFonts w:ascii="Times New Roman" w:hAnsi="Times New Roman"/>
          <w:sz w:val="24"/>
          <w:szCs w:val="24"/>
        </w:rPr>
        <w:t>.</w:t>
      </w:r>
    </w:p>
    <w:p w:rsidR="00BA6695" w:rsidRPr="00BA6695" w:rsidRDefault="00BA6695" w:rsidP="00BA6695">
      <w:pPr>
        <w:spacing w:after="120" w:line="240" w:lineRule="auto"/>
        <w:ind w:firstLine="709"/>
        <w:jc w:val="both"/>
        <w:rPr>
          <w:rFonts w:ascii="Times New Roman" w:hAnsi="Times New Roman"/>
          <w:sz w:val="24"/>
          <w:szCs w:val="24"/>
          <w:lang w:val="pt-PT"/>
        </w:rPr>
      </w:pPr>
      <w:r w:rsidRPr="00BA6695">
        <w:rPr>
          <w:rFonts w:ascii="Times New Roman" w:hAnsi="Times New Roman"/>
          <w:sz w:val="24"/>
          <w:szCs w:val="24"/>
          <w:lang w:val="pt-PT"/>
        </w:rPr>
        <w:t xml:space="preserve">O Gráfico </w:t>
      </w:r>
      <w:proofErr w:type="gramStart"/>
      <w:r w:rsidRPr="00BA6695">
        <w:rPr>
          <w:rFonts w:ascii="Times New Roman" w:hAnsi="Times New Roman"/>
          <w:sz w:val="24"/>
          <w:szCs w:val="24"/>
          <w:lang w:val="pt-PT"/>
        </w:rPr>
        <w:t>1</w:t>
      </w:r>
      <w:proofErr w:type="gramEnd"/>
      <w:r w:rsidRPr="00BA6695">
        <w:rPr>
          <w:rFonts w:ascii="Times New Roman" w:hAnsi="Times New Roman"/>
          <w:sz w:val="24"/>
          <w:szCs w:val="24"/>
          <w:lang w:val="pt-PT"/>
        </w:rPr>
        <w:t xml:space="preserve"> apresenta algumas evidências de que o contingente de pessoas que podem vir a pleitear a desaposentação pode ser considerado expressivo para as idades mais avançadas. Neste gráfico os indivíduos são classificados de acordo com três características </w:t>
      </w:r>
      <w:proofErr w:type="gramStart"/>
      <w:r w:rsidRPr="00BA6695">
        <w:rPr>
          <w:rFonts w:ascii="Times New Roman" w:hAnsi="Times New Roman"/>
          <w:sz w:val="24"/>
          <w:szCs w:val="24"/>
          <w:lang w:val="pt-PT"/>
        </w:rPr>
        <w:t>não-excludentes</w:t>
      </w:r>
      <w:proofErr w:type="gramEnd"/>
      <w:r w:rsidRPr="00BA6695">
        <w:rPr>
          <w:rFonts w:ascii="Times New Roman" w:hAnsi="Times New Roman"/>
          <w:sz w:val="24"/>
          <w:szCs w:val="24"/>
          <w:vertAlign w:val="superscript"/>
          <w:lang w:val="pt-PT"/>
        </w:rPr>
        <w:footnoteReference w:id="1"/>
      </w:r>
      <w:r w:rsidRPr="00BA6695">
        <w:rPr>
          <w:rFonts w:ascii="Times New Roman" w:hAnsi="Times New Roman"/>
          <w:sz w:val="24"/>
          <w:szCs w:val="24"/>
          <w:lang w:val="pt-PT"/>
        </w:rPr>
        <w:t>:</w:t>
      </w:r>
    </w:p>
    <w:p w:rsidR="00BA6695" w:rsidRPr="00BA6695" w:rsidRDefault="00BA6695" w:rsidP="00BA6695">
      <w:pPr>
        <w:numPr>
          <w:ilvl w:val="0"/>
          <w:numId w:val="8"/>
        </w:numPr>
        <w:spacing w:after="120" w:line="240" w:lineRule="auto"/>
        <w:jc w:val="both"/>
        <w:rPr>
          <w:rFonts w:ascii="Times New Roman" w:hAnsi="Times New Roman"/>
          <w:sz w:val="24"/>
          <w:szCs w:val="24"/>
          <w:lang w:val="pt-PT"/>
        </w:rPr>
      </w:pPr>
      <w:r w:rsidRPr="00BA6695">
        <w:rPr>
          <w:rFonts w:ascii="Times New Roman" w:hAnsi="Times New Roman"/>
          <w:sz w:val="24"/>
          <w:szCs w:val="24"/>
          <w:lang w:val="pt-PT"/>
        </w:rPr>
        <w:t>Fazer parte ou não da PEA;</w:t>
      </w:r>
    </w:p>
    <w:p w:rsidR="00BA6695" w:rsidRPr="00BA6695" w:rsidRDefault="00BA6695" w:rsidP="00BA6695">
      <w:pPr>
        <w:numPr>
          <w:ilvl w:val="0"/>
          <w:numId w:val="8"/>
        </w:numPr>
        <w:spacing w:after="120" w:line="240" w:lineRule="auto"/>
        <w:jc w:val="both"/>
        <w:rPr>
          <w:rFonts w:ascii="Times New Roman" w:hAnsi="Times New Roman"/>
          <w:sz w:val="24"/>
          <w:szCs w:val="24"/>
          <w:lang w:val="pt-PT"/>
        </w:rPr>
      </w:pPr>
      <w:r w:rsidRPr="00BA6695">
        <w:rPr>
          <w:rFonts w:ascii="Times New Roman" w:hAnsi="Times New Roman"/>
          <w:sz w:val="24"/>
          <w:szCs w:val="24"/>
          <w:lang w:val="pt-PT"/>
        </w:rPr>
        <w:t>Recebimento de aposentadoria</w:t>
      </w:r>
    </w:p>
    <w:p w:rsidR="00BA6695" w:rsidRPr="00BA6695" w:rsidRDefault="00BA6695" w:rsidP="00BA6695">
      <w:pPr>
        <w:numPr>
          <w:ilvl w:val="0"/>
          <w:numId w:val="8"/>
        </w:numPr>
        <w:spacing w:after="120" w:line="240" w:lineRule="auto"/>
        <w:jc w:val="both"/>
        <w:rPr>
          <w:rFonts w:ascii="Times New Roman" w:hAnsi="Times New Roman"/>
          <w:sz w:val="24"/>
          <w:szCs w:val="24"/>
          <w:lang w:val="pt-PT"/>
        </w:rPr>
      </w:pPr>
      <w:r w:rsidRPr="00BA6695">
        <w:rPr>
          <w:rFonts w:ascii="Times New Roman" w:hAnsi="Times New Roman"/>
          <w:sz w:val="24"/>
          <w:szCs w:val="24"/>
          <w:lang w:val="pt-PT"/>
        </w:rPr>
        <w:t>Recebimento de pensão</w:t>
      </w:r>
    </w:p>
    <w:p w:rsidR="00C92BFA" w:rsidRDefault="00BA6695" w:rsidP="00C92BFA">
      <w:pPr>
        <w:spacing w:after="120" w:line="240" w:lineRule="auto"/>
        <w:ind w:firstLine="709"/>
        <w:jc w:val="both"/>
        <w:rPr>
          <w:rFonts w:ascii="Times New Roman" w:hAnsi="Times New Roman"/>
          <w:sz w:val="24"/>
          <w:szCs w:val="24"/>
          <w:lang w:val="pt-PT"/>
        </w:rPr>
      </w:pPr>
      <w:r w:rsidRPr="00BA6695">
        <w:rPr>
          <w:rFonts w:ascii="Times New Roman" w:hAnsi="Times New Roman"/>
          <w:sz w:val="24"/>
          <w:szCs w:val="24"/>
          <w:lang w:val="pt-PT"/>
        </w:rPr>
        <w:t>É importante lembrar que de acordo com a legislação brasileira, uma pessoa não precisa deixar o mercado de trabalho ao começar a receber o benefício previdenciário. Da mesma forma, uma pessoa pode ser simultaneamente aposentada e pensionista e ainda assim continuar trabalhando.</w:t>
      </w:r>
    </w:p>
    <w:p w:rsidR="00C92BFA" w:rsidRDefault="00C92BFA" w:rsidP="00C92BFA">
      <w:pPr>
        <w:spacing w:after="120" w:line="240" w:lineRule="auto"/>
        <w:jc w:val="both"/>
        <w:rPr>
          <w:rFonts w:ascii="Times New Roman" w:hAnsi="Times New Roman"/>
          <w:sz w:val="24"/>
          <w:szCs w:val="24"/>
          <w:lang w:val="pt-PT"/>
        </w:rPr>
      </w:pPr>
    </w:p>
    <w:p w:rsidR="00776F86" w:rsidRDefault="00776F86" w:rsidP="00C92BFA">
      <w:pPr>
        <w:spacing w:after="120" w:line="240" w:lineRule="auto"/>
        <w:jc w:val="both"/>
        <w:rPr>
          <w:rFonts w:ascii="Times New Roman" w:hAnsi="Times New Roman"/>
          <w:sz w:val="24"/>
          <w:szCs w:val="24"/>
          <w:lang w:val="pt-PT"/>
        </w:rPr>
      </w:pPr>
    </w:p>
    <w:p w:rsidR="00776F86" w:rsidRDefault="00776F86" w:rsidP="00C92BFA">
      <w:pPr>
        <w:spacing w:after="120" w:line="240" w:lineRule="auto"/>
        <w:jc w:val="both"/>
        <w:rPr>
          <w:rFonts w:ascii="Times New Roman" w:hAnsi="Times New Roman"/>
          <w:sz w:val="24"/>
          <w:szCs w:val="24"/>
          <w:lang w:val="pt-PT"/>
        </w:rPr>
      </w:pPr>
    </w:p>
    <w:p w:rsidR="00776F86" w:rsidRDefault="00776F86" w:rsidP="00C92BFA">
      <w:pPr>
        <w:spacing w:after="120" w:line="240" w:lineRule="auto"/>
        <w:jc w:val="both"/>
        <w:rPr>
          <w:rFonts w:ascii="Times New Roman" w:hAnsi="Times New Roman"/>
          <w:sz w:val="24"/>
          <w:szCs w:val="24"/>
          <w:lang w:val="pt-PT"/>
        </w:rPr>
      </w:pPr>
    </w:p>
    <w:p w:rsidR="00776F86" w:rsidRDefault="00776F86" w:rsidP="00C92BFA">
      <w:pPr>
        <w:spacing w:after="120" w:line="240" w:lineRule="auto"/>
        <w:jc w:val="both"/>
        <w:rPr>
          <w:rFonts w:ascii="Times New Roman" w:hAnsi="Times New Roman"/>
          <w:sz w:val="24"/>
          <w:szCs w:val="24"/>
          <w:lang w:val="pt-PT"/>
        </w:rPr>
      </w:pPr>
    </w:p>
    <w:p w:rsidR="00BA6695" w:rsidRPr="00C92BFA" w:rsidRDefault="00B5651D" w:rsidP="00C92BFA">
      <w:pPr>
        <w:spacing w:after="120" w:line="240" w:lineRule="auto"/>
        <w:jc w:val="both"/>
        <w:rPr>
          <w:rFonts w:ascii="Times New Roman" w:hAnsi="Times New Roman"/>
          <w:b/>
          <w:sz w:val="24"/>
          <w:szCs w:val="24"/>
          <w:lang w:val="pt-PT"/>
        </w:rPr>
      </w:pPr>
      <w:r w:rsidRPr="00C92BFA">
        <w:rPr>
          <w:rFonts w:ascii="Times New Roman" w:hAnsi="Times New Roman"/>
          <w:b/>
          <w:sz w:val="24"/>
          <w:szCs w:val="24"/>
        </w:rPr>
        <w:lastRenderedPageBreak/>
        <w:t xml:space="preserve">Gráfico </w:t>
      </w:r>
      <w:r w:rsidR="00FE60AC" w:rsidRPr="00C92BFA">
        <w:rPr>
          <w:rFonts w:ascii="Times New Roman" w:hAnsi="Times New Roman"/>
          <w:b/>
          <w:sz w:val="24"/>
          <w:szCs w:val="24"/>
        </w:rPr>
        <w:fldChar w:fldCharType="begin"/>
      </w:r>
      <w:r w:rsidRPr="00C92BFA">
        <w:rPr>
          <w:rFonts w:ascii="Times New Roman" w:hAnsi="Times New Roman"/>
          <w:b/>
          <w:sz w:val="24"/>
          <w:szCs w:val="24"/>
        </w:rPr>
        <w:instrText xml:space="preserve"> SEQ Gráfico \* ARABIC </w:instrText>
      </w:r>
      <w:r w:rsidR="00FE60AC" w:rsidRPr="00C92BFA">
        <w:rPr>
          <w:rFonts w:ascii="Times New Roman" w:hAnsi="Times New Roman"/>
          <w:b/>
          <w:sz w:val="24"/>
          <w:szCs w:val="24"/>
        </w:rPr>
        <w:fldChar w:fldCharType="separate"/>
      </w:r>
      <w:r w:rsidRPr="00C92BFA">
        <w:rPr>
          <w:rFonts w:ascii="Times New Roman" w:hAnsi="Times New Roman"/>
          <w:b/>
          <w:sz w:val="24"/>
          <w:szCs w:val="24"/>
        </w:rPr>
        <w:t>1</w:t>
      </w:r>
      <w:r w:rsidR="00FE60AC" w:rsidRPr="00C92BFA">
        <w:rPr>
          <w:rFonts w:ascii="Times New Roman" w:hAnsi="Times New Roman"/>
          <w:b/>
          <w:sz w:val="24"/>
          <w:szCs w:val="24"/>
          <w:lang w:val="pt-PT"/>
        </w:rPr>
        <w:fldChar w:fldCharType="end"/>
      </w:r>
      <w:r w:rsidRPr="00C92BFA">
        <w:rPr>
          <w:rFonts w:ascii="Times New Roman" w:hAnsi="Times New Roman"/>
          <w:b/>
          <w:sz w:val="24"/>
          <w:szCs w:val="24"/>
        </w:rPr>
        <w:t xml:space="preserve"> </w:t>
      </w:r>
      <w:r w:rsidR="00BA6695" w:rsidRPr="00C92BFA">
        <w:rPr>
          <w:rFonts w:ascii="Times New Roman" w:hAnsi="Times New Roman"/>
          <w:b/>
          <w:sz w:val="24"/>
          <w:szCs w:val="24"/>
          <w:lang w:val="pt-PT"/>
        </w:rPr>
        <w:t>– Distribuição dos indivíduos conforme a inserção na PEA e condição de aposentado e/ou pensionista</w:t>
      </w:r>
    </w:p>
    <w:p w:rsidR="00BA6695" w:rsidRPr="00BA6695" w:rsidRDefault="001A5C1C" w:rsidP="001A5C1C">
      <w:pPr>
        <w:spacing w:after="120" w:line="240" w:lineRule="auto"/>
        <w:jc w:val="center"/>
        <w:rPr>
          <w:rFonts w:ascii="Times New Roman" w:hAnsi="Times New Roman"/>
          <w:sz w:val="24"/>
          <w:szCs w:val="24"/>
          <w:lang w:val="pt-PT"/>
        </w:rPr>
      </w:pPr>
      <w:r w:rsidRPr="001A5C1C">
        <w:rPr>
          <w:noProof/>
          <w:szCs w:val="24"/>
          <w:lang w:eastAsia="pt-BR"/>
        </w:rPr>
        <w:drawing>
          <wp:inline distT="0" distB="0" distL="0" distR="0">
            <wp:extent cx="5612130" cy="4276090"/>
            <wp:effectExtent l="0" t="0" r="26670" b="1016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6695" w:rsidRPr="00434A9B" w:rsidRDefault="00BA6695" w:rsidP="00776F86">
      <w:pPr>
        <w:spacing w:after="120" w:line="240" w:lineRule="auto"/>
        <w:ind w:firstLine="709"/>
        <w:jc w:val="right"/>
        <w:rPr>
          <w:rFonts w:ascii="Times New Roman" w:hAnsi="Times New Roman"/>
          <w:sz w:val="20"/>
          <w:szCs w:val="24"/>
          <w:lang w:val="pt-PT"/>
        </w:rPr>
      </w:pPr>
      <w:r w:rsidRPr="00434A9B">
        <w:rPr>
          <w:rFonts w:ascii="Times New Roman" w:hAnsi="Times New Roman"/>
          <w:sz w:val="20"/>
          <w:szCs w:val="24"/>
          <w:lang w:val="pt-PT"/>
        </w:rPr>
        <w:t>Fonte: Microdados da PNA</w:t>
      </w:r>
      <w:r w:rsidR="00776F86" w:rsidRPr="00434A9B">
        <w:rPr>
          <w:rFonts w:ascii="Times New Roman" w:hAnsi="Times New Roman"/>
          <w:sz w:val="20"/>
          <w:szCs w:val="24"/>
          <w:lang w:val="pt-PT"/>
        </w:rPr>
        <w:t>D 2011. Tabulações próprias.</w:t>
      </w:r>
    </w:p>
    <w:p w:rsidR="00BA6695" w:rsidRPr="009A2249" w:rsidRDefault="00BA6695" w:rsidP="00BA6695">
      <w:pPr>
        <w:spacing w:after="120" w:line="240" w:lineRule="auto"/>
        <w:ind w:firstLine="709"/>
        <w:jc w:val="both"/>
        <w:rPr>
          <w:rFonts w:ascii="Times New Roman" w:hAnsi="Times New Roman"/>
          <w:sz w:val="24"/>
          <w:szCs w:val="24"/>
        </w:rPr>
      </w:pPr>
      <w:r w:rsidRPr="00BA6695">
        <w:rPr>
          <w:rFonts w:ascii="Times New Roman" w:hAnsi="Times New Roman"/>
          <w:sz w:val="24"/>
          <w:szCs w:val="24"/>
          <w:lang w:val="pt-PT"/>
        </w:rPr>
        <w:t>Para os propósitos deste trabalho, os indivíduos com as características mais relevantes são aqueles das duas faixas superiores: que fazem parte da PEA</w:t>
      </w:r>
      <w:proofErr w:type="gramStart"/>
      <w:r w:rsidRPr="00BA6695">
        <w:rPr>
          <w:rFonts w:ascii="Times New Roman" w:hAnsi="Times New Roman"/>
          <w:sz w:val="24"/>
          <w:szCs w:val="24"/>
          <w:lang w:val="pt-PT"/>
        </w:rPr>
        <w:t>, recebem</w:t>
      </w:r>
      <w:proofErr w:type="gramEnd"/>
      <w:r w:rsidRPr="00BA6695">
        <w:rPr>
          <w:rFonts w:ascii="Times New Roman" w:hAnsi="Times New Roman"/>
          <w:sz w:val="24"/>
          <w:szCs w:val="24"/>
          <w:lang w:val="pt-PT"/>
        </w:rPr>
        <w:t xml:space="preserve"> aposentadoria e recebem pensão (azul escuro) e, principalmente, que fazem parte da PEA e recebem aposentadoria, mas não recebem pensão (verde-claro). Para as faixas etárias apresentadas no gráfico, estão incluídos nestas faixas, respectivamente, 141.259 e 3.136.061 pessoas. A soma de ambos os valores perfaz o universo de possíveis pleiteantes da desaposentação junto ao INSS</w:t>
      </w:r>
      <w:r w:rsidRPr="00BA6695">
        <w:rPr>
          <w:rFonts w:ascii="Times New Roman" w:hAnsi="Times New Roman"/>
          <w:sz w:val="24"/>
          <w:szCs w:val="24"/>
          <w:vertAlign w:val="superscript"/>
          <w:lang w:val="pt-PT"/>
        </w:rPr>
        <w:footnoteReference w:id="2"/>
      </w:r>
      <w:r w:rsidRPr="00BA6695">
        <w:rPr>
          <w:rFonts w:ascii="Times New Roman" w:hAnsi="Times New Roman"/>
          <w:sz w:val="24"/>
          <w:szCs w:val="24"/>
          <w:lang w:val="pt-PT"/>
        </w:rPr>
        <w:t>. Note-se que por volta dos 65 anos, estes indivíduos representam quase 15% do total da população apresentada.</w:t>
      </w:r>
    </w:p>
    <w:p w:rsidR="003342AB" w:rsidRPr="009A2249" w:rsidRDefault="003342AB" w:rsidP="008C6C9C">
      <w:pPr>
        <w:spacing w:after="120" w:line="240" w:lineRule="auto"/>
        <w:ind w:firstLine="709"/>
        <w:jc w:val="both"/>
        <w:rPr>
          <w:rFonts w:ascii="Times New Roman" w:hAnsi="Times New Roman"/>
          <w:sz w:val="24"/>
          <w:szCs w:val="24"/>
          <w:lang w:val="pt-PT"/>
        </w:rPr>
      </w:pPr>
      <w:r w:rsidRPr="009A2249">
        <w:rPr>
          <w:rFonts w:ascii="Times New Roman" w:hAnsi="Times New Roman"/>
          <w:sz w:val="24"/>
          <w:szCs w:val="24"/>
          <w:lang w:val="pt-PT"/>
        </w:rPr>
        <w:t xml:space="preserve">No Brasil os benefícios previdenciários não são </w:t>
      </w:r>
      <w:r w:rsidRPr="009A2249">
        <w:rPr>
          <w:rFonts w:ascii="Times New Roman" w:hAnsi="Times New Roman"/>
          <w:i/>
          <w:sz w:val="24"/>
          <w:szCs w:val="24"/>
          <w:lang w:val="pt-PT"/>
        </w:rPr>
        <w:t>means tested</w:t>
      </w:r>
      <w:r w:rsidRPr="009A2249">
        <w:rPr>
          <w:rFonts w:ascii="Times New Roman" w:hAnsi="Times New Roman"/>
          <w:sz w:val="24"/>
          <w:szCs w:val="24"/>
          <w:lang w:val="pt-PT"/>
        </w:rPr>
        <w:t xml:space="preserve">, como ocorre, por exemplo, nos EUA. Isto significa que o valor do benefício previdenciário independe da existência de outras fontes de renda. Logo, o trabalhador tem um forte incentivo a se aposentar precocemente (em termos internacionais) por tempo de contribuição, continuar no mercado de trabalho formal e buscar posteriormente a desaposentação. Agindo desta maneira, o benefício previdenciário acaba funcionando, de forma distorcida, como um seguro contra riscos inerentes ao mercado de trabalho, como o desemprego. Se o trabalhador já aposentado perder o emprego, terá uma garantia de renda, de forma vitalícia e em prestações continuadas, </w:t>
      </w:r>
      <w:r w:rsidRPr="009A2249">
        <w:rPr>
          <w:rFonts w:ascii="Times New Roman" w:hAnsi="Times New Roman"/>
          <w:sz w:val="24"/>
          <w:szCs w:val="24"/>
          <w:lang w:val="pt-PT"/>
        </w:rPr>
        <w:lastRenderedPageBreak/>
        <w:t>dada pela previdência social. Desta maneira, ele está de certa forma, transferindo seu risco para a entidade previdenciária.</w:t>
      </w:r>
    </w:p>
    <w:p w:rsidR="00B904A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Este trabalho tem </w:t>
      </w:r>
      <w:proofErr w:type="gramStart"/>
      <w:r w:rsidRPr="009A2249">
        <w:rPr>
          <w:rFonts w:ascii="Times New Roman" w:hAnsi="Times New Roman"/>
          <w:sz w:val="24"/>
          <w:szCs w:val="24"/>
        </w:rPr>
        <w:t>4</w:t>
      </w:r>
      <w:proofErr w:type="gramEnd"/>
      <w:r w:rsidRPr="009A2249">
        <w:rPr>
          <w:rFonts w:ascii="Times New Roman" w:hAnsi="Times New Roman"/>
          <w:sz w:val="24"/>
          <w:szCs w:val="24"/>
        </w:rPr>
        <w:t xml:space="preserve"> seções além desta introdução. A seção 2 trata do refer</w:t>
      </w:r>
      <w:r w:rsidR="0031286F" w:rsidRPr="009A2249">
        <w:rPr>
          <w:rFonts w:ascii="Times New Roman" w:hAnsi="Times New Roman"/>
          <w:sz w:val="24"/>
          <w:szCs w:val="24"/>
        </w:rPr>
        <w:t>encial teórico sobre o qual o tema da desaposentação se aplica. N</w:t>
      </w:r>
      <w:r w:rsidRPr="009A2249">
        <w:rPr>
          <w:rFonts w:ascii="Times New Roman" w:hAnsi="Times New Roman"/>
          <w:sz w:val="24"/>
          <w:szCs w:val="24"/>
        </w:rPr>
        <w:t xml:space="preserve">a seção 3 </w:t>
      </w:r>
      <w:r w:rsidR="0031286F" w:rsidRPr="009A2249">
        <w:rPr>
          <w:rFonts w:ascii="Times New Roman" w:hAnsi="Times New Roman"/>
          <w:sz w:val="24"/>
          <w:szCs w:val="24"/>
        </w:rPr>
        <w:t>é apresentado o modelo empregado no trabalho e os indicadores previdenciários.</w:t>
      </w:r>
      <w:r w:rsidRPr="009A2249">
        <w:rPr>
          <w:rFonts w:ascii="Times New Roman" w:hAnsi="Times New Roman"/>
          <w:sz w:val="24"/>
          <w:szCs w:val="24"/>
        </w:rPr>
        <w:t xml:space="preserve"> </w:t>
      </w:r>
      <w:r w:rsidR="0031286F" w:rsidRPr="009A2249">
        <w:rPr>
          <w:rFonts w:ascii="Times New Roman" w:hAnsi="Times New Roman"/>
          <w:sz w:val="24"/>
          <w:szCs w:val="24"/>
        </w:rPr>
        <w:t xml:space="preserve">A seção seguinte traz os resultados. Finalmente, </w:t>
      </w:r>
      <w:r w:rsidRPr="009A2249">
        <w:rPr>
          <w:rFonts w:ascii="Times New Roman" w:hAnsi="Times New Roman"/>
          <w:sz w:val="24"/>
          <w:szCs w:val="24"/>
        </w:rPr>
        <w:t xml:space="preserve">a seção 5 </w:t>
      </w:r>
      <w:r w:rsidR="0031286F" w:rsidRPr="009A2249">
        <w:rPr>
          <w:rFonts w:ascii="Times New Roman" w:hAnsi="Times New Roman"/>
          <w:sz w:val="24"/>
          <w:szCs w:val="24"/>
        </w:rPr>
        <w:t>apresenta as considerações finais</w:t>
      </w:r>
      <w:r w:rsidRPr="009A2249">
        <w:rPr>
          <w:rFonts w:ascii="Times New Roman" w:hAnsi="Times New Roman"/>
          <w:sz w:val="24"/>
          <w:szCs w:val="24"/>
        </w:rPr>
        <w:t>.</w:t>
      </w:r>
    </w:p>
    <w:p w:rsidR="00B904A6" w:rsidRPr="009A2249" w:rsidRDefault="00B904A6" w:rsidP="008C6C9C">
      <w:pPr>
        <w:pStyle w:val="PargrafodaLista"/>
        <w:numPr>
          <w:ilvl w:val="0"/>
          <w:numId w:val="3"/>
        </w:numPr>
        <w:spacing w:after="120"/>
        <w:jc w:val="both"/>
        <w:rPr>
          <w:b/>
        </w:rPr>
      </w:pPr>
      <w:r w:rsidRPr="009A2249">
        <w:rPr>
          <w:b/>
        </w:rPr>
        <w:t>Fundamentação Teórica</w:t>
      </w:r>
    </w:p>
    <w:p w:rsidR="00484BE0" w:rsidRPr="009A2249" w:rsidRDefault="00B904A6" w:rsidP="00484BE0">
      <w:pPr>
        <w:pStyle w:val="PargrafodaLista"/>
        <w:numPr>
          <w:ilvl w:val="1"/>
          <w:numId w:val="3"/>
        </w:numPr>
        <w:ind w:left="284" w:hanging="284"/>
        <w:jc w:val="both"/>
        <w:rPr>
          <w:b/>
        </w:rPr>
      </w:pPr>
      <w:r w:rsidRPr="009A2249">
        <w:rPr>
          <w:b/>
        </w:rPr>
        <w:t>Os aspectos econômicos e atuariais</w:t>
      </w:r>
    </w:p>
    <w:p w:rsidR="007B3079" w:rsidRPr="009A2249" w:rsidRDefault="00847D19"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marco teórico para estudar a desaposentação </w:t>
      </w:r>
      <w:r w:rsidR="007B3079" w:rsidRPr="009A2249">
        <w:rPr>
          <w:rFonts w:ascii="Times New Roman" w:hAnsi="Times New Roman"/>
          <w:sz w:val="24"/>
          <w:szCs w:val="24"/>
        </w:rPr>
        <w:t xml:space="preserve">vem da literatura econômico-atuarial. O ponto central é, em primeiro lugar, o momento de entrada da aposentadoria. Em segundo lugar, qual o impacto de uma alteração neste momento. Com esta finalidade, dois conceitos são fundamentais. O primeiro é a </w:t>
      </w:r>
      <w:r w:rsidR="007B3079" w:rsidRPr="009A2249">
        <w:rPr>
          <w:rFonts w:ascii="Times New Roman" w:hAnsi="Times New Roman"/>
          <w:i/>
          <w:sz w:val="24"/>
          <w:szCs w:val="24"/>
        </w:rPr>
        <w:t>justiça atuarial</w:t>
      </w:r>
      <w:r w:rsidR="002736CF" w:rsidRPr="009A2249">
        <w:rPr>
          <w:rFonts w:ascii="Times New Roman" w:hAnsi="Times New Roman"/>
          <w:i/>
          <w:sz w:val="24"/>
          <w:szCs w:val="24"/>
        </w:rPr>
        <w:t xml:space="preserve"> </w:t>
      </w:r>
      <w:r w:rsidR="002736CF" w:rsidRPr="009A2249">
        <w:rPr>
          <w:rFonts w:ascii="Times New Roman" w:hAnsi="Times New Roman"/>
          <w:sz w:val="24"/>
          <w:szCs w:val="24"/>
        </w:rPr>
        <w:t>(</w:t>
      </w:r>
      <w:r w:rsidR="002736CF" w:rsidRPr="009A2249">
        <w:rPr>
          <w:rFonts w:ascii="Times New Roman" w:hAnsi="Times New Roman"/>
          <w:i/>
          <w:sz w:val="24"/>
          <w:szCs w:val="24"/>
        </w:rPr>
        <w:t>Actuarial Fairness</w:t>
      </w:r>
      <w:r w:rsidR="002736CF" w:rsidRPr="009A2249">
        <w:rPr>
          <w:rFonts w:ascii="Times New Roman" w:hAnsi="Times New Roman"/>
          <w:sz w:val="24"/>
          <w:szCs w:val="24"/>
        </w:rPr>
        <w:t>)</w:t>
      </w:r>
      <w:r w:rsidR="007B3079" w:rsidRPr="009A2249">
        <w:rPr>
          <w:rFonts w:ascii="Times New Roman" w:hAnsi="Times New Roman"/>
          <w:sz w:val="24"/>
          <w:szCs w:val="24"/>
        </w:rPr>
        <w:t>, apresentado no</w:t>
      </w:r>
      <w:r w:rsidR="002736CF" w:rsidRPr="009A2249">
        <w:rPr>
          <w:rFonts w:ascii="Times New Roman" w:hAnsi="Times New Roman"/>
          <w:sz w:val="24"/>
          <w:szCs w:val="24"/>
        </w:rPr>
        <w:t>s</w:t>
      </w:r>
      <w:r w:rsidR="007B3079" w:rsidRPr="009A2249">
        <w:rPr>
          <w:rFonts w:ascii="Times New Roman" w:hAnsi="Times New Roman"/>
          <w:sz w:val="24"/>
          <w:szCs w:val="24"/>
        </w:rPr>
        <w:t xml:space="preserve"> trabalho</w:t>
      </w:r>
      <w:r w:rsidR="002736CF" w:rsidRPr="009A2249">
        <w:rPr>
          <w:rFonts w:ascii="Times New Roman" w:hAnsi="Times New Roman"/>
          <w:sz w:val="24"/>
          <w:szCs w:val="24"/>
        </w:rPr>
        <w:t>s</w:t>
      </w:r>
      <w:r w:rsidR="007B3079" w:rsidRPr="009A2249">
        <w:rPr>
          <w:rFonts w:ascii="Times New Roman" w:hAnsi="Times New Roman"/>
          <w:sz w:val="24"/>
          <w:szCs w:val="24"/>
        </w:rPr>
        <w:t xml:space="preserve"> de </w:t>
      </w:r>
      <w:r w:rsidR="002736CF" w:rsidRPr="009A2249">
        <w:rPr>
          <w:rFonts w:ascii="Times New Roman" w:hAnsi="Times New Roman"/>
          <w:sz w:val="24"/>
          <w:szCs w:val="24"/>
        </w:rPr>
        <w:t>Queisser e Whitehouse (2006, p. 7-8) e Börsch-Supan (2006, p. 50)</w:t>
      </w:r>
      <w:r w:rsidR="007B3079" w:rsidRPr="009A2249">
        <w:rPr>
          <w:rFonts w:ascii="Times New Roman" w:hAnsi="Times New Roman"/>
          <w:sz w:val="24"/>
          <w:szCs w:val="24"/>
        </w:rPr>
        <w:t>.</w:t>
      </w:r>
      <w:r w:rsidR="002736CF" w:rsidRPr="009A2249">
        <w:rPr>
          <w:rFonts w:ascii="Times New Roman" w:hAnsi="Times New Roman"/>
          <w:sz w:val="24"/>
          <w:szCs w:val="24"/>
        </w:rPr>
        <w:t xml:space="preserve"> De acordo com estes autores, um sistema previdenciário pode ser classificado como atuarialmente justo se os valores presentes esperados das contribuições efetuadas e dos benefícios recebidos pelos segurados forem iguais. </w:t>
      </w:r>
      <w:r w:rsidR="007B3079" w:rsidRPr="009A2249">
        <w:rPr>
          <w:rFonts w:ascii="Times New Roman" w:hAnsi="Times New Roman"/>
          <w:sz w:val="24"/>
          <w:szCs w:val="24"/>
        </w:rPr>
        <w:t xml:space="preserve">O segundo conceito é a </w:t>
      </w:r>
      <w:r w:rsidR="007B3079" w:rsidRPr="009A2249">
        <w:rPr>
          <w:rFonts w:ascii="Times New Roman" w:hAnsi="Times New Roman"/>
          <w:i/>
          <w:sz w:val="24"/>
          <w:szCs w:val="24"/>
        </w:rPr>
        <w:t>neutralidade atuarial</w:t>
      </w:r>
      <w:r w:rsidR="002736CF" w:rsidRPr="009A2249">
        <w:rPr>
          <w:rFonts w:ascii="Times New Roman" w:hAnsi="Times New Roman"/>
          <w:i/>
          <w:sz w:val="24"/>
          <w:szCs w:val="24"/>
        </w:rPr>
        <w:t xml:space="preserve"> </w:t>
      </w:r>
      <w:r w:rsidR="002736CF" w:rsidRPr="009A2249">
        <w:rPr>
          <w:rFonts w:ascii="Times New Roman" w:hAnsi="Times New Roman"/>
          <w:sz w:val="24"/>
          <w:szCs w:val="24"/>
        </w:rPr>
        <w:t>(</w:t>
      </w:r>
      <w:r w:rsidR="002736CF" w:rsidRPr="009A2249">
        <w:rPr>
          <w:rFonts w:ascii="Times New Roman" w:hAnsi="Times New Roman"/>
          <w:i/>
          <w:sz w:val="24"/>
          <w:szCs w:val="24"/>
        </w:rPr>
        <w:t>Actuarial Neutrality</w:t>
      </w:r>
      <w:r w:rsidR="002736CF" w:rsidRPr="009A2249">
        <w:rPr>
          <w:rFonts w:ascii="Times New Roman" w:hAnsi="Times New Roman"/>
          <w:sz w:val="24"/>
          <w:szCs w:val="24"/>
        </w:rPr>
        <w:t xml:space="preserve">). Neste caso, o conceito está ligado aos ganhos (em termos dos benefícios) e custos (em termos das contribuições) marginais associados a um desvio em relação a uma dada decisão de aposentadoria, ou seja, uma postergação ou adiantamento da aposentadoria. Em outras palavras, vale a neutralidade atuarial se </w:t>
      </w:r>
      <w:r w:rsidR="00E0088B" w:rsidRPr="009A2249">
        <w:rPr>
          <w:rFonts w:ascii="Times New Roman" w:hAnsi="Times New Roman"/>
          <w:sz w:val="24"/>
          <w:szCs w:val="24"/>
        </w:rPr>
        <w:t xml:space="preserve">os benefícios marginais líquidos (diferença entre benefícios e contribuições) não se </w:t>
      </w:r>
      <w:r w:rsidR="00981D2A" w:rsidRPr="009A2249">
        <w:rPr>
          <w:rFonts w:ascii="Times New Roman" w:hAnsi="Times New Roman"/>
          <w:sz w:val="24"/>
          <w:szCs w:val="24"/>
        </w:rPr>
        <w:t>alteram</w:t>
      </w:r>
      <w:r w:rsidR="00E0088B" w:rsidRPr="009A2249">
        <w:rPr>
          <w:rFonts w:ascii="Times New Roman" w:hAnsi="Times New Roman"/>
          <w:sz w:val="24"/>
          <w:szCs w:val="24"/>
        </w:rPr>
        <w:t xml:space="preserve"> devido a uma alteração na data de aposentadoria. Com base em Hassler e Lindbeck </w:t>
      </w:r>
      <w:r w:rsidR="00E608BD" w:rsidRPr="009A2249">
        <w:rPr>
          <w:rFonts w:ascii="Times New Roman" w:hAnsi="Times New Roman"/>
          <w:sz w:val="24"/>
          <w:szCs w:val="24"/>
        </w:rPr>
        <w:t xml:space="preserve">(1996) </w:t>
      </w:r>
      <w:r w:rsidR="00E0088B" w:rsidRPr="009A2249">
        <w:rPr>
          <w:rFonts w:ascii="Times New Roman" w:hAnsi="Times New Roman"/>
          <w:sz w:val="24"/>
          <w:szCs w:val="24"/>
        </w:rPr>
        <w:t xml:space="preserve">pode-se </w:t>
      </w:r>
      <w:r w:rsidR="00E608BD" w:rsidRPr="009A2249">
        <w:rPr>
          <w:rFonts w:ascii="Times New Roman" w:hAnsi="Times New Roman"/>
          <w:sz w:val="24"/>
          <w:szCs w:val="24"/>
        </w:rPr>
        <w:t>argumentar que neutralidade atuarial de um sistema previdenciário está relacionada à decisão ótima da oferta de trabalho d</w:t>
      </w:r>
      <w:r w:rsidR="00BE76BA" w:rsidRPr="009A2249">
        <w:rPr>
          <w:rFonts w:ascii="Times New Roman" w:hAnsi="Times New Roman"/>
          <w:sz w:val="24"/>
          <w:szCs w:val="24"/>
        </w:rPr>
        <w:t>o</w:t>
      </w:r>
      <w:r w:rsidR="00E608BD" w:rsidRPr="009A2249">
        <w:rPr>
          <w:rFonts w:ascii="Times New Roman" w:hAnsi="Times New Roman"/>
          <w:sz w:val="24"/>
          <w:szCs w:val="24"/>
        </w:rPr>
        <w:t xml:space="preserve"> segurado.</w:t>
      </w:r>
    </w:p>
    <w:p w:rsidR="00FC340B" w:rsidRPr="009A2249" w:rsidRDefault="00BB5F32"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A literatura que trata de neutralidade e justiça atuariais tem poucas contribuições. Entre os trabalhos teóricos podem ser citados Breyer e Kifmann (2002), que ressaltam a importância de </w:t>
      </w:r>
      <w:proofErr w:type="gramStart"/>
      <w:r w:rsidRPr="009A2249">
        <w:rPr>
          <w:rFonts w:ascii="Times New Roman" w:hAnsi="Times New Roman"/>
          <w:sz w:val="24"/>
          <w:szCs w:val="24"/>
        </w:rPr>
        <w:t>não-linearidades</w:t>
      </w:r>
      <w:proofErr w:type="gramEnd"/>
      <w:r w:rsidRPr="009A2249">
        <w:rPr>
          <w:rFonts w:ascii="Times New Roman" w:hAnsi="Times New Roman"/>
          <w:sz w:val="24"/>
          <w:szCs w:val="24"/>
        </w:rPr>
        <w:t xml:space="preserve">, </w:t>
      </w:r>
      <w:r w:rsidRPr="009A2249">
        <w:rPr>
          <w:rFonts w:ascii="Times New Roman" w:hAnsi="Times New Roman"/>
          <w:i/>
          <w:sz w:val="24"/>
          <w:szCs w:val="24"/>
        </w:rPr>
        <w:t>brackets</w:t>
      </w:r>
      <w:r w:rsidRPr="009A2249">
        <w:rPr>
          <w:rFonts w:ascii="Times New Roman" w:hAnsi="Times New Roman"/>
          <w:sz w:val="24"/>
          <w:szCs w:val="24"/>
        </w:rPr>
        <w:t xml:space="preserve"> e mecanismos de ajustamento.</w:t>
      </w:r>
      <w:r w:rsidR="003A549A" w:rsidRPr="009A2249">
        <w:rPr>
          <w:rFonts w:ascii="Times New Roman" w:hAnsi="Times New Roman"/>
          <w:sz w:val="24"/>
          <w:szCs w:val="24"/>
        </w:rPr>
        <w:t xml:space="preserve"> </w:t>
      </w:r>
      <w:r w:rsidR="00FC340B" w:rsidRPr="009A2249">
        <w:rPr>
          <w:rFonts w:ascii="Times New Roman" w:hAnsi="Times New Roman"/>
          <w:sz w:val="24"/>
          <w:szCs w:val="24"/>
        </w:rPr>
        <w:t xml:space="preserve">Tais resultados são corroborados por </w:t>
      </w:r>
      <w:r w:rsidRPr="009A2249">
        <w:rPr>
          <w:rFonts w:ascii="Times New Roman" w:hAnsi="Times New Roman"/>
          <w:sz w:val="24"/>
          <w:szCs w:val="24"/>
        </w:rPr>
        <w:t xml:space="preserve">Fisher e Keuschinigg (2010). </w:t>
      </w:r>
      <w:r w:rsidR="00FC340B" w:rsidRPr="009A2249">
        <w:rPr>
          <w:rFonts w:ascii="Times New Roman" w:hAnsi="Times New Roman"/>
          <w:sz w:val="24"/>
          <w:szCs w:val="24"/>
        </w:rPr>
        <w:t xml:space="preserve">Dentre os trabalhos empíricos podem ser elencados Reznik, Weaver e Biggs (2009), Forteza e Ourens (2012) e Shoven e Slavov (2012a e 2012b). </w:t>
      </w:r>
      <w:r w:rsidRPr="009A2249">
        <w:rPr>
          <w:rFonts w:ascii="Times New Roman" w:hAnsi="Times New Roman"/>
          <w:sz w:val="24"/>
          <w:szCs w:val="24"/>
        </w:rPr>
        <w:t xml:space="preserve">De forma genérica, pode-se </w:t>
      </w:r>
      <w:r w:rsidR="00FC340B" w:rsidRPr="009A2249">
        <w:rPr>
          <w:rFonts w:ascii="Times New Roman" w:hAnsi="Times New Roman"/>
          <w:sz w:val="24"/>
          <w:szCs w:val="24"/>
        </w:rPr>
        <w:t>apontar que os resultados da literatura são bastante inconclusivos. Até onde se tem conhecimento, não há trabalhos nacionais que abordem este tema. Desta forma, pretende-se que esta seja a contribuição original deste trabalho</w:t>
      </w:r>
      <w:r w:rsidR="006A4EEE" w:rsidRPr="009A2249">
        <w:rPr>
          <w:rFonts w:ascii="Times New Roman" w:hAnsi="Times New Roman"/>
          <w:sz w:val="24"/>
          <w:szCs w:val="24"/>
        </w:rPr>
        <w:t>.</w:t>
      </w:r>
    </w:p>
    <w:p w:rsidR="00484BE0" w:rsidRPr="009A2249" w:rsidRDefault="00484BE0" w:rsidP="008C6C9C">
      <w:pPr>
        <w:spacing w:after="120" w:line="240" w:lineRule="auto"/>
        <w:ind w:firstLine="709"/>
        <w:jc w:val="both"/>
        <w:rPr>
          <w:rFonts w:ascii="Times New Roman" w:hAnsi="Times New Roman"/>
          <w:sz w:val="24"/>
          <w:szCs w:val="24"/>
        </w:rPr>
      </w:pPr>
    </w:p>
    <w:p w:rsidR="00B904A6" w:rsidRPr="009A2249" w:rsidRDefault="00637456" w:rsidP="008C6C9C">
      <w:pPr>
        <w:pStyle w:val="PargrafodaLista"/>
        <w:numPr>
          <w:ilvl w:val="1"/>
          <w:numId w:val="3"/>
        </w:numPr>
        <w:spacing w:after="120"/>
        <w:ind w:left="284" w:hanging="284"/>
        <w:jc w:val="both"/>
        <w:rPr>
          <w:b/>
        </w:rPr>
      </w:pPr>
      <w:r w:rsidRPr="009A2249">
        <w:rPr>
          <w:b/>
        </w:rPr>
        <w:t>A</w:t>
      </w:r>
      <w:r w:rsidR="00B904A6" w:rsidRPr="009A2249">
        <w:rPr>
          <w:b/>
        </w:rPr>
        <w:t>spectos jurídicos</w:t>
      </w:r>
    </w:p>
    <w:p w:rsidR="00731744" w:rsidRPr="009A2249" w:rsidRDefault="00731744" w:rsidP="00C75F3C">
      <w:pPr>
        <w:spacing w:after="0" w:line="240" w:lineRule="auto"/>
        <w:ind w:firstLine="709"/>
        <w:jc w:val="both"/>
        <w:rPr>
          <w:rFonts w:ascii="Times New Roman" w:hAnsi="Times New Roman"/>
          <w:sz w:val="24"/>
          <w:szCs w:val="24"/>
        </w:rPr>
      </w:pPr>
      <w:r w:rsidRPr="009A2249">
        <w:rPr>
          <w:rFonts w:ascii="Times New Roman" w:hAnsi="Times New Roman"/>
          <w:sz w:val="24"/>
          <w:szCs w:val="24"/>
        </w:rPr>
        <w:t xml:space="preserve">Parece ser correto afirmar que não há consenso </w:t>
      </w:r>
      <w:r w:rsidR="009E6FEF" w:rsidRPr="009A2249">
        <w:rPr>
          <w:rFonts w:ascii="Times New Roman" w:hAnsi="Times New Roman"/>
          <w:sz w:val="24"/>
          <w:szCs w:val="24"/>
        </w:rPr>
        <w:t>claro</w:t>
      </w:r>
      <w:r w:rsidR="00D97B6C" w:rsidRPr="009A2249">
        <w:rPr>
          <w:rFonts w:ascii="Times New Roman" w:hAnsi="Times New Roman"/>
          <w:sz w:val="24"/>
          <w:szCs w:val="24"/>
        </w:rPr>
        <w:t xml:space="preserve"> </w:t>
      </w:r>
      <w:r w:rsidRPr="009A2249">
        <w:rPr>
          <w:rFonts w:ascii="Times New Roman" w:hAnsi="Times New Roman"/>
          <w:sz w:val="24"/>
          <w:szCs w:val="24"/>
        </w:rPr>
        <w:t xml:space="preserve">sobre a legalidade ou não da desaposentação. </w:t>
      </w:r>
      <w:r w:rsidR="008E3614" w:rsidRPr="009A2249">
        <w:rPr>
          <w:rFonts w:ascii="Times New Roman" w:hAnsi="Times New Roman"/>
          <w:sz w:val="24"/>
          <w:szCs w:val="24"/>
        </w:rPr>
        <w:t>Pode-se interpretar que o</w:t>
      </w:r>
      <w:r w:rsidRPr="009A2249">
        <w:rPr>
          <w:rFonts w:ascii="Times New Roman" w:hAnsi="Times New Roman"/>
          <w:sz w:val="24"/>
          <w:szCs w:val="24"/>
        </w:rPr>
        <w:t xml:space="preserve"> primeiro marco legal </w:t>
      </w:r>
      <w:r w:rsidR="008E3614" w:rsidRPr="009A2249">
        <w:rPr>
          <w:rFonts w:ascii="Times New Roman" w:hAnsi="Times New Roman"/>
          <w:sz w:val="24"/>
          <w:szCs w:val="24"/>
        </w:rPr>
        <w:t xml:space="preserve">a tratar do assunto, ainda que de forma indireta, </w:t>
      </w:r>
      <w:r w:rsidRPr="009A2249">
        <w:rPr>
          <w:rFonts w:ascii="Times New Roman" w:hAnsi="Times New Roman"/>
          <w:sz w:val="24"/>
          <w:szCs w:val="24"/>
        </w:rPr>
        <w:t>foi o Regulamento da Previdência Social (Decreto 3048/</w:t>
      </w:r>
      <w:r w:rsidR="008E3614" w:rsidRPr="009A2249">
        <w:rPr>
          <w:rFonts w:ascii="Times New Roman" w:hAnsi="Times New Roman"/>
          <w:sz w:val="24"/>
          <w:szCs w:val="24"/>
        </w:rPr>
        <w:t>19</w:t>
      </w:r>
      <w:r w:rsidRPr="009A2249">
        <w:rPr>
          <w:rFonts w:ascii="Times New Roman" w:hAnsi="Times New Roman"/>
          <w:sz w:val="24"/>
          <w:szCs w:val="24"/>
        </w:rPr>
        <w:t xml:space="preserve">99), que em seu artigo XXII, </w:t>
      </w:r>
      <w:bookmarkStart w:id="0" w:name="art60§2"/>
      <w:bookmarkEnd w:id="0"/>
      <w:r w:rsidRPr="009A2249">
        <w:rPr>
          <w:rFonts w:ascii="Times New Roman" w:hAnsi="Times New Roman"/>
          <w:color w:val="000000"/>
          <w:sz w:val="24"/>
          <w:szCs w:val="24"/>
        </w:rPr>
        <w:t xml:space="preserve">§ 2 afirma que “As aposentadorias por idade, tempo de contribuição e especial concedidas pela previdência social, na forma deste Regulamento, são irreversíveis e irrenunciáveis.”. Posteriormente, </w:t>
      </w:r>
      <w:r w:rsidR="008E3614" w:rsidRPr="009A2249">
        <w:rPr>
          <w:rFonts w:ascii="Times New Roman" w:hAnsi="Times New Roman"/>
          <w:color w:val="000000"/>
          <w:sz w:val="24"/>
          <w:szCs w:val="24"/>
        </w:rPr>
        <w:t>esta determinação foi ratificada por meio do Decreto 3265/1999, cujo artigo 181-B tem a mesma redação. A única exceção possível</w:t>
      </w:r>
      <w:r w:rsidR="00791DEE" w:rsidRPr="009A2249">
        <w:rPr>
          <w:rFonts w:ascii="Times New Roman" w:hAnsi="Times New Roman"/>
          <w:color w:val="000000"/>
          <w:sz w:val="24"/>
          <w:szCs w:val="24"/>
        </w:rPr>
        <w:t xml:space="preserve">, ainda assim de forma indireta, </w:t>
      </w:r>
      <w:r w:rsidR="008E3614" w:rsidRPr="009A2249">
        <w:rPr>
          <w:rFonts w:ascii="Times New Roman" w:hAnsi="Times New Roman"/>
          <w:color w:val="000000"/>
          <w:sz w:val="24"/>
          <w:szCs w:val="24"/>
        </w:rPr>
        <w:t>foi incorporada nos termos do Decreto 6208/2007, que dá nova redação ao artigo 181-B do Decreto 3048:</w:t>
      </w:r>
    </w:p>
    <w:p w:rsidR="00B904A6" w:rsidRPr="009A2249" w:rsidRDefault="00B904A6" w:rsidP="00C75F3C">
      <w:pPr>
        <w:pStyle w:val="Recuodecorpodetexto"/>
        <w:spacing w:before="0" w:beforeAutospacing="0" w:after="0" w:afterAutospacing="0"/>
        <w:ind w:left="1418"/>
        <w:jc w:val="both"/>
      </w:pPr>
      <w:r w:rsidRPr="009A2249">
        <w:t>Parágrafo</w:t>
      </w:r>
      <w:r w:rsidR="008E3614" w:rsidRPr="009A2249">
        <w:t xml:space="preserve"> </w:t>
      </w:r>
      <w:r w:rsidRPr="009A2249">
        <w:t>único.</w:t>
      </w:r>
      <w:r w:rsidR="008E3614" w:rsidRPr="009A2249">
        <w:t xml:space="preserve"> </w:t>
      </w:r>
      <w:r w:rsidRPr="009A2249">
        <w:t>O segurado pode desistir do seu pedido de aposentadoria desde que manifeste esta intenção e requeira o arquivamento definitivo do pedido antes da ocorrência do primeiro de um dos seguintes atos:</w:t>
      </w:r>
    </w:p>
    <w:p w:rsidR="00B904A6" w:rsidRPr="009A2249" w:rsidRDefault="00B904A6" w:rsidP="008C6C9C">
      <w:pPr>
        <w:pStyle w:val="Recuodecorpodetexto"/>
        <w:spacing w:before="0" w:beforeAutospacing="0" w:after="0" w:afterAutospacing="0"/>
        <w:ind w:left="1418"/>
        <w:jc w:val="both"/>
      </w:pPr>
      <w:r w:rsidRPr="009A2249">
        <w:t>I</w:t>
      </w:r>
      <w:r w:rsidR="008E3614" w:rsidRPr="009A2249">
        <w:t xml:space="preserve"> </w:t>
      </w:r>
      <w:r w:rsidRPr="009A2249">
        <w:t>-</w:t>
      </w:r>
      <w:r w:rsidR="008E3614" w:rsidRPr="009A2249">
        <w:t xml:space="preserve"> </w:t>
      </w:r>
      <w:r w:rsidRPr="009A2249">
        <w:t xml:space="preserve">recebimento do primeiro pagamento do benefício; </w:t>
      </w:r>
      <w:proofErr w:type="gramStart"/>
      <w:r w:rsidRPr="009A2249">
        <w:t>ou</w:t>
      </w:r>
      <w:proofErr w:type="gramEnd"/>
    </w:p>
    <w:p w:rsidR="00B904A6" w:rsidRPr="009A2249" w:rsidRDefault="00B904A6" w:rsidP="008C6C9C">
      <w:pPr>
        <w:pStyle w:val="Recuodecorpodetexto"/>
        <w:spacing w:before="0" w:beforeAutospacing="0" w:after="0" w:afterAutospacing="0"/>
        <w:ind w:left="1418"/>
        <w:jc w:val="both"/>
      </w:pPr>
      <w:r w:rsidRPr="009A2249">
        <w:t>II</w:t>
      </w:r>
      <w:r w:rsidR="008E3614" w:rsidRPr="009A2249">
        <w:t xml:space="preserve"> </w:t>
      </w:r>
      <w:r w:rsidRPr="009A2249">
        <w:t>-</w:t>
      </w:r>
      <w:r w:rsidR="008E3614" w:rsidRPr="009A2249">
        <w:t xml:space="preserve"> </w:t>
      </w:r>
      <w:r w:rsidRPr="009A2249">
        <w:t>saque do respectivo Fundo de Garantia do Tempo de Serviço ou do Programa de Integração Social.</w:t>
      </w:r>
    </w:p>
    <w:p w:rsidR="00B904A6" w:rsidRPr="009A2249" w:rsidRDefault="00791DEE" w:rsidP="008C6C9C">
      <w:pPr>
        <w:spacing w:after="120" w:line="240" w:lineRule="auto"/>
        <w:ind w:firstLine="709"/>
        <w:jc w:val="both"/>
        <w:rPr>
          <w:rFonts w:ascii="Times New Roman" w:hAnsi="Times New Roman"/>
          <w:sz w:val="24"/>
          <w:szCs w:val="24"/>
          <w:lang w:val="pt-PT"/>
        </w:rPr>
      </w:pPr>
      <w:r w:rsidRPr="009A2249">
        <w:rPr>
          <w:rFonts w:ascii="Times New Roman" w:hAnsi="Times New Roman"/>
          <w:sz w:val="24"/>
          <w:szCs w:val="24"/>
          <w:lang w:val="pt-PT"/>
        </w:rPr>
        <w:lastRenderedPageBreak/>
        <w:t xml:space="preserve">Talvez a defesa jurídica </w:t>
      </w:r>
      <w:r w:rsidR="0054437A" w:rsidRPr="009A2249">
        <w:rPr>
          <w:rFonts w:ascii="Times New Roman" w:hAnsi="Times New Roman"/>
          <w:sz w:val="24"/>
          <w:szCs w:val="24"/>
          <w:lang w:val="pt-PT"/>
        </w:rPr>
        <w:t>favorável à</w:t>
      </w:r>
      <w:r w:rsidRPr="009A2249">
        <w:rPr>
          <w:rFonts w:ascii="Times New Roman" w:hAnsi="Times New Roman"/>
          <w:sz w:val="24"/>
          <w:szCs w:val="24"/>
          <w:lang w:val="pt-PT"/>
        </w:rPr>
        <w:t xml:space="preserve"> desaposentação </w:t>
      </w:r>
      <w:r w:rsidR="00141A56" w:rsidRPr="009A2249">
        <w:rPr>
          <w:rFonts w:ascii="Times New Roman" w:hAnsi="Times New Roman"/>
          <w:sz w:val="24"/>
          <w:szCs w:val="24"/>
          <w:lang w:val="pt-PT"/>
        </w:rPr>
        <w:t>esteja amparada no</w:t>
      </w:r>
      <w:r w:rsidRPr="009A2249">
        <w:rPr>
          <w:rFonts w:ascii="Times New Roman" w:hAnsi="Times New Roman"/>
          <w:sz w:val="24"/>
          <w:szCs w:val="24"/>
          <w:lang w:val="pt-PT"/>
        </w:rPr>
        <w:t xml:space="preserve"> próprio texto constitucional. O caput do artigo 195 menciona que “A seguridade social será financiada por toda a sociedade, de forma direta e indireta, nos termos da lei, mediante recursos provenientes dos orçamentos da União, dos Estados, do Distrito Federal e dos Municípios, e das seguintes contribuições sociais:” Dentre estas contribuições sociais inclui-se a contribuição previdenciária sobre o rendimento dos trabalhadores. Desta maneira, um trabalhador aposent</w:t>
      </w:r>
      <w:r w:rsidR="00141A56" w:rsidRPr="009A2249">
        <w:rPr>
          <w:rFonts w:ascii="Times New Roman" w:hAnsi="Times New Roman"/>
          <w:sz w:val="24"/>
          <w:szCs w:val="24"/>
          <w:lang w:val="pt-PT"/>
        </w:rPr>
        <w:t>ado que se mantém no mercado de trabalho, continua a contribuir à previdência como qualquer outro segurado. Por este argumento estaria enquadrado para pleitear uma nova aposentadoria no futuro. Adicionalmente, como o artigo citado menciona a “toda a sociedade”, seu critério de enquadramento é reafirmado, tendo em vista que já atendeu a condição de elegibilidade anteriormente.</w:t>
      </w:r>
    </w:p>
    <w:p w:rsidR="00E158B4" w:rsidRPr="009A2249" w:rsidRDefault="00E158B4" w:rsidP="008C6C9C">
      <w:pPr>
        <w:spacing w:after="120" w:line="240" w:lineRule="auto"/>
        <w:ind w:firstLine="709"/>
        <w:jc w:val="both"/>
        <w:rPr>
          <w:rFonts w:ascii="Times New Roman" w:hAnsi="Times New Roman"/>
          <w:sz w:val="24"/>
          <w:szCs w:val="24"/>
          <w:lang w:val="pt-PT"/>
        </w:rPr>
      </w:pPr>
      <w:r w:rsidRPr="009A2249">
        <w:rPr>
          <w:rFonts w:ascii="Times New Roman" w:hAnsi="Times New Roman"/>
          <w:sz w:val="24"/>
          <w:szCs w:val="24"/>
          <w:lang w:val="pt-PT"/>
        </w:rPr>
        <w:t xml:space="preserve">Em uma das poucas referências jurídicas sobre o tema, Ibrahim (2011) </w:t>
      </w:r>
      <w:r w:rsidR="00D40AEC" w:rsidRPr="009A2249">
        <w:rPr>
          <w:rFonts w:ascii="Times New Roman" w:hAnsi="Times New Roman"/>
          <w:sz w:val="24"/>
          <w:szCs w:val="24"/>
          <w:lang w:val="pt-PT"/>
        </w:rPr>
        <w:t>afirma que, apesar de</w:t>
      </w:r>
      <w:r w:rsidRPr="009A2249">
        <w:rPr>
          <w:rFonts w:ascii="Times New Roman" w:hAnsi="Times New Roman"/>
          <w:sz w:val="24"/>
          <w:szCs w:val="24"/>
          <w:lang w:val="pt-PT"/>
        </w:rPr>
        <w:t xml:space="preserve"> não possui</w:t>
      </w:r>
      <w:r w:rsidR="00D40AEC" w:rsidRPr="009A2249">
        <w:rPr>
          <w:rFonts w:ascii="Times New Roman" w:hAnsi="Times New Roman"/>
          <w:sz w:val="24"/>
          <w:szCs w:val="24"/>
          <w:lang w:val="pt-PT"/>
        </w:rPr>
        <w:t>r</w:t>
      </w:r>
      <w:r w:rsidRPr="009A2249">
        <w:rPr>
          <w:rFonts w:ascii="Times New Roman" w:hAnsi="Times New Roman"/>
          <w:sz w:val="24"/>
          <w:szCs w:val="24"/>
          <w:lang w:val="pt-PT"/>
        </w:rPr>
        <w:t xml:space="preserve"> previsão legal expressa</w:t>
      </w:r>
      <w:r w:rsidR="00D40AEC" w:rsidRPr="009A2249">
        <w:rPr>
          <w:rFonts w:ascii="Times New Roman" w:hAnsi="Times New Roman"/>
          <w:sz w:val="24"/>
          <w:szCs w:val="24"/>
          <w:lang w:val="pt-PT"/>
        </w:rPr>
        <w:t xml:space="preserve">, a </w:t>
      </w:r>
      <w:r w:rsidR="0041770C" w:rsidRPr="009A2249">
        <w:rPr>
          <w:rFonts w:ascii="Times New Roman" w:hAnsi="Times New Roman"/>
          <w:i/>
          <w:sz w:val="24"/>
          <w:szCs w:val="24"/>
          <w:lang w:val="pt-PT"/>
        </w:rPr>
        <w:t>desaposentação</w:t>
      </w:r>
      <w:r w:rsidR="00D40AEC" w:rsidRPr="009A2249">
        <w:rPr>
          <w:rFonts w:ascii="Times New Roman" w:hAnsi="Times New Roman"/>
          <w:sz w:val="24"/>
          <w:szCs w:val="24"/>
          <w:lang w:val="pt-PT"/>
        </w:rPr>
        <w:t xml:space="preserve"> poderia existir em qualquer regime previdenciário, desde que houvesse algum tipo de vantagem econômica para o segurado. Seu argumento sustenta-se no fato de que o expediente da </w:t>
      </w:r>
      <w:r w:rsidR="00D40AEC" w:rsidRPr="009A2249">
        <w:rPr>
          <w:rFonts w:ascii="Times New Roman" w:hAnsi="Times New Roman"/>
          <w:i/>
          <w:sz w:val="24"/>
          <w:szCs w:val="24"/>
          <w:lang w:val="pt-PT"/>
        </w:rPr>
        <w:t>desaposentação</w:t>
      </w:r>
      <w:r w:rsidR="00D40AEC" w:rsidRPr="009A2249">
        <w:rPr>
          <w:rFonts w:ascii="Times New Roman" w:hAnsi="Times New Roman"/>
          <w:sz w:val="24"/>
          <w:szCs w:val="24"/>
          <w:lang w:val="pt-PT"/>
        </w:rPr>
        <w:t>, em vez de violar direitos, apenas os amplia</w:t>
      </w:r>
      <w:r w:rsidRPr="009A2249">
        <w:rPr>
          <w:rFonts w:ascii="Times New Roman" w:hAnsi="Times New Roman"/>
          <w:sz w:val="24"/>
          <w:szCs w:val="24"/>
          <w:lang w:val="pt-PT"/>
        </w:rPr>
        <w:t>. O autor também é claro em fazer a distinção do correto termo a ser utilizado: aposentação é o "ato capaz de produzir mudança do status previdenciário do segurado, de ativo para inativo". Já aposentadoria é a "nova co</w:t>
      </w:r>
      <w:r w:rsidR="00E62727" w:rsidRPr="009A2249">
        <w:rPr>
          <w:rFonts w:ascii="Times New Roman" w:hAnsi="Times New Roman"/>
          <w:sz w:val="24"/>
          <w:szCs w:val="24"/>
          <w:lang w:val="pt-PT"/>
        </w:rPr>
        <w:t>ndição jurídica assumida pela pessoa".</w:t>
      </w:r>
      <w:r w:rsidR="00D40AEC" w:rsidRPr="009A2249">
        <w:rPr>
          <w:rFonts w:ascii="Times New Roman" w:hAnsi="Times New Roman"/>
          <w:sz w:val="24"/>
          <w:szCs w:val="24"/>
          <w:lang w:val="pt-PT"/>
        </w:rPr>
        <w:t xml:space="preserve"> Portanto, </w:t>
      </w:r>
      <w:r w:rsidR="0041770C" w:rsidRPr="009A2249">
        <w:rPr>
          <w:rFonts w:ascii="Times New Roman" w:hAnsi="Times New Roman"/>
          <w:i/>
          <w:sz w:val="24"/>
          <w:szCs w:val="24"/>
          <w:lang w:val="pt-PT"/>
        </w:rPr>
        <w:t>desaposentação</w:t>
      </w:r>
      <w:r w:rsidR="00D40AEC" w:rsidRPr="009A2249">
        <w:rPr>
          <w:rFonts w:ascii="Times New Roman" w:hAnsi="Times New Roman"/>
          <w:sz w:val="24"/>
          <w:szCs w:val="24"/>
          <w:lang w:val="pt-PT"/>
        </w:rPr>
        <w:t xml:space="preserve"> é a terminologia a ser utilizada.</w:t>
      </w:r>
    </w:p>
    <w:p w:rsidR="00524A9A" w:rsidRPr="009A2249" w:rsidRDefault="00524A9A" w:rsidP="008C6C9C">
      <w:pPr>
        <w:spacing w:after="120" w:line="240" w:lineRule="auto"/>
        <w:ind w:firstLine="709"/>
        <w:jc w:val="both"/>
        <w:rPr>
          <w:rFonts w:ascii="Times New Roman" w:hAnsi="Times New Roman"/>
          <w:sz w:val="24"/>
          <w:szCs w:val="24"/>
          <w:lang w:val="pt-PT"/>
        </w:rPr>
      </w:pPr>
      <w:r w:rsidRPr="009A2249">
        <w:rPr>
          <w:rFonts w:ascii="Times New Roman" w:hAnsi="Times New Roman"/>
          <w:sz w:val="24"/>
          <w:szCs w:val="24"/>
          <w:lang w:val="pt-PT"/>
        </w:rPr>
        <w:t>Alguns projetos de lei na Câmara dos Deputados e no Senado da República sobre esta matéria</w:t>
      </w:r>
      <w:r w:rsidR="00ED0DBD" w:rsidRPr="009A2249">
        <w:rPr>
          <w:rFonts w:ascii="Times New Roman" w:hAnsi="Times New Roman"/>
          <w:sz w:val="24"/>
          <w:szCs w:val="24"/>
          <w:lang w:val="pt-PT"/>
        </w:rPr>
        <w:t xml:space="preserve">, que permitiriam a existência da </w:t>
      </w:r>
      <w:r w:rsidR="0041770C" w:rsidRPr="009A2249">
        <w:rPr>
          <w:rFonts w:ascii="Times New Roman" w:hAnsi="Times New Roman"/>
          <w:i/>
          <w:sz w:val="24"/>
          <w:szCs w:val="24"/>
          <w:lang w:val="pt-PT"/>
        </w:rPr>
        <w:t>desaposentação</w:t>
      </w:r>
      <w:r w:rsidR="00ED0DBD" w:rsidRPr="009A2249">
        <w:rPr>
          <w:rFonts w:ascii="Times New Roman" w:hAnsi="Times New Roman"/>
          <w:sz w:val="24"/>
          <w:szCs w:val="24"/>
          <w:lang w:val="pt-PT"/>
        </w:rPr>
        <w:t>,</w:t>
      </w:r>
      <w:r w:rsidRPr="009A2249">
        <w:rPr>
          <w:rFonts w:ascii="Times New Roman" w:hAnsi="Times New Roman"/>
          <w:sz w:val="24"/>
          <w:szCs w:val="24"/>
          <w:lang w:val="pt-PT"/>
        </w:rPr>
        <w:t xml:space="preserve"> foram </w:t>
      </w:r>
      <w:r w:rsidR="002169D1" w:rsidRPr="009A2249">
        <w:rPr>
          <w:rFonts w:ascii="Times New Roman" w:hAnsi="Times New Roman"/>
          <w:sz w:val="24"/>
          <w:szCs w:val="24"/>
          <w:lang w:val="pt-PT"/>
        </w:rPr>
        <w:t>submetidos para apreciação nas duas casas</w:t>
      </w:r>
      <w:r w:rsidRPr="009A2249">
        <w:rPr>
          <w:rFonts w:ascii="Times New Roman" w:hAnsi="Times New Roman"/>
          <w:sz w:val="24"/>
          <w:szCs w:val="24"/>
          <w:lang w:val="pt-PT"/>
        </w:rPr>
        <w:t xml:space="preserve">. </w:t>
      </w:r>
      <w:r w:rsidR="002169D1" w:rsidRPr="009A2249">
        <w:rPr>
          <w:rFonts w:ascii="Times New Roman" w:hAnsi="Times New Roman"/>
          <w:sz w:val="24"/>
          <w:szCs w:val="24"/>
          <w:lang w:val="pt-PT"/>
        </w:rPr>
        <w:t xml:space="preserve">Na Câmara, propostas de </w:t>
      </w:r>
      <w:r w:rsidR="002169D1" w:rsidRPr="009A2249">
        <w:rPr>
          <w:rFonts w:ascii="Times New Roman" w:hAnsi="Times New Roman"/>
          <w:sz w:val="24"/>
          <w:szCs w:val="24"/>
        </w:rPr>
        <w:t>regulação do direito de renúncia à aposentadoria por tempo de contribuição e especial, sem prejuízo para a contagem do tempo de contribuição tramitaram entre 2007 e 2010, notadamente nos projetos de lei 2682/2007, 3884/2008, 4264/2008 e 7092/2010</w:t>
      </w:r>
      <w:r w:rsidR="002169D1" w:rsidRPr="009A2249">
        <w:rPr>
          <w:rFonts w:ascii="Times New Roman" w:hAnsi="Times New Roman"/>
          <w:sz w:val="24"/>
          <w:szCs w:val="24"/>
          <w:lang w:val="pt-PT"/>
        </w:rPr>
        <w:t xml:space="preserve">. </w:t>
      </w:r>
      <w:r w:rsidR="00BA6695">
        <w:rPr>
          <w:rFonts w:ascii="Times New Roman" w:hAnsi="Times New Roman"/>
          <w:sz w:val="24"/>
          <w:szCs w:val="24"/>
          <w:lang w:val="pt-PT"/>
        </w:rPr>
        <w:t>O único não rejeitado pela casa foi o PL 3884/2010. No momento em que este trabalho era redigido este projeto se encontrava sujeito à apreciação da Comissão de Finanças e Tributação</w:t>
      </w:r>
      <w:r w:rsidR="002169D1" w:rsidRPr="009A2249">
        <w:rPr>
          <w:rFonts w:ascii="Times New Roman" w:hAnsi="Times New Roman"/>
          <w:sz w:val="24"/>
          <w:szCs w:val="24"/>
          <w:lang w:val="pt-PT"/>
        </w:rPr>
        <w:t>.</w:t>
      </w:r>
      <w:r w:rsidR="00ED0DBD" w:rsidRPr="009A2249">
        <w:rPr>
          <w:rFonts w:ascii="Times New Roman" w:hAnsi="Times New Roman"/>
          <w:sz w:val="24"/>
          <w:szCs w:val="24"/>
          <w:lang w:val="pt-PT"/>
        </w:rPr>
        <w:t xml:space="preserve"> Vale ressaltar que o </w:t>
      </w:r>
      <w:r w:rsidR="009E4FBB" w:rsidRPr="009A2249">
        <w:rPr>
          <w:rFonts w:ascii="Times New Roman" w:hAnsi="Times New Roman"/>
          <w:sz w:val="24"/>
          <w:szCs w:val="24"/>
          <w:lang w:val="pt-PT"/>
        </w:rPr>
        <w:t xml:space="preserve">texto do </w:t>
      </w:r>
      <w:r w:rsidR="00ED0DBD" w:rsidRPr="009A2249">
        <w:rPr>
          <w:rFonts w:ascii="Times New Roman" w:hAnsi="Times New Roman"/>
          <w:sz w:val="24"/>
          <w:szCs w:val="24"/>
          <w:lang w:val="pt-PT"/>
        </w:rPr>
        <w:t>PL 3884/2010</w:t>
      </w:r>
      <w:r w:rsidR="009E4FBB" w:rsidRPr="009A2249">
        <w:rPr>
          <w:rFonts w:ascii="Times New Roman" w:hAnsi="Times New Roman"/>
          <w:sz w:val="24"/>
          <w:szCs w:val="24"/>
          <w:lang w:val="pt-PT"/>
        </w:rPr>
        <w:t>,</w:t>
      </w:r>
      <w:r w:rsidR="00ED0DBD" w:rsidRPr="009A2249">
        <w:rPr>
          <w:rFonts w:ascii="Times New Roman" w:hAnsi="Times New Roman"/>
          <w:sz w:val="24"/>
          <w:szCs w:val="24"/>
          <w:lang w:val="pt-PT"/>
        </w:rPr>
        <w:t xml:space="preserve"> além </w:t>
      </w:r>
      <w:r w:rsidR="00ED0DBD" w:rsidRPr="009A2249">
        <w:rPr>
          <w:rFonts w:ascii="Times New Roman" w:hAnsi="Times New Roman"/>
          <w:sz w:val="24"/>
          <w:szCs w:val="24"/>
        </w:rPr>
        <w:t xml:space="preserve">de permitir a renúncia e o recálculo do benefício, é explícito </w:t>
      </w:r>
      <w:r w:rsidR="009E4FBB" w:rsidRPr="009A2249">
        <w:rPr>
          <w:rFonts w:ascii="Times New Roman" w:hAnsi="Times New Roman"/>
          <w:sz w:val="24"/>
          <w:szCs w:val="24"/>
        </w:rPr>
        <w:t xml:space="preserve">quanto </w:t>
      </w:r>
      <w:proofErr w:type="gramStart"/>
      <w:r w:rsidR="009E4FBB" w:rsidRPr="009A2249">
        <w:rPr>
          <w:rFonts w:ascii="Times New Roman" w:hAnsi="Times New Roman"/>
          <w:sz w:val="24"/>
          <w:szCs w:val="24"/>
        </w:rPr>
        <w:t>à</w:t>
      </w:r>
      <w:proofErr w:type="gramEnd"/>
      <w:r w:rsidR="009E4FBB" w:rsidRPr="009A2249">
        <w:rPr>
          <w:rFonts w:ascii="Times New Roman" w:hAnsi="Times New Roman"/>
          <w:sz w:val="24"/>
          <w:szCs w:val="24"/>
        </w:rPr>
        <w:t xml:space="preserve"> não-obrigatoriedade do </w:t>
      </w:r>
      <w:r w:rsidR="00ED0DBD" w:rsidRPr="009A2249">
        <w:rPr>
          <w:rFonts w:ascii="Times New Roman" w:hAnsi="Times New Roman"/>
          <w:sz w:val="24"/>
          <w:szCs w:val="24"/>
        </w:rPr>
        <w:t xml:space="preserve">aposentado a devolver ao INSS os valores recebidos </w:t>
      </w:r>
      <w:r w:rsidR="009E4FBB" w:rsidRPr="009A2249">
        <w:rPr>
          <w:rFonts w:ascii="Times New Roman" w:hAnsi="Times New Roman"/>
          <w:sz w:val="24"/>
          <w:szCs w:val="24"/>
        </w:rPr>
        <w:t>quando da</w:t>
      </w:r>
      <w:r w:rsidR="00ED0DBD" w:rsidRPr="009A2249">
        <w:rPr>
          <w:rFonts w:ascii="Times New Roman" w:hAnsi="Times New Roman"/>
          <w:sz w:val="24"/>
          <w:szCs w:val="24"/>
        </w:rPr>
        <w:t xml:space="preserve"> primeira aposentadoria.</w:t>
      </w:r>
    </w:p>
    <w:p w:rsidR="00764946" w:rsidRPr="009A2249" w:rsidRDefault="00764946" w:rsidP="008C6C9C">
      <w:pPr>
        <w:spacing w:after="120" w:line="240" w:lineRule="auto"/>
        <w:ind w:firstLine="709"/>
        <w:jc w:val="both"/>
        <w:rPr>
          <w:rFonts w:ascii="Times New Roman" w:hAnsi="Times New Roman"/>
          <w:sz w:val="24"/>
          <w:szCs w:val="24"/>
          <w:lang w:val="pt-PT"/>
        </w:rPr>
      </w:pPr>
      <w:r w:rsidRPr="009A2249">
        <w:rPr>
          <w:rFonts w:ascii="Times New Roman" w:hAnsi="Times New Roman"/>
          <w:sz w:val="24"/>
          <w:szCs w:val="24"/>
          <w:lang w:val="pt-PT"/>
        </w:rPr>
        <w:t xml:space="preserve">Já no Senado, </w:t>
      </w:r>
      <w:r w:rsidR="00ED0DBD" w:rsidRPr="009A2249">
        <w:rPr>
          <w:rFonts w:ascii="Times New Roman" w:hAnsi="Times New Roman"/>
          <w:sz w:val="24"/>
          <w:szCs w:val="24"/>
          <w:lang w:val="pt-PT"/>
        </w:rPr>
        <w:t>um</w:t>
      </w:r>
      <w:r w:rsidRPr="009A2249">
        <w:rPr>
          <w:rFonts w:ascii="Times New Roman" w:hAnsi="Times New Roman"/>
          <w:sz w:val="24"/>
          <w:szCs w:val="24"/>
          <w:lang w:val="pt-PT"/>
        </w:rPr>
        <w:t xml:space="preserve"> projeto </w:t>
      </w:r>
      <w:r w:rsidR="00ED0DBD" w:rsidRPr="009A2249">
        <w:rPr>
          <w:rFonts w:ascii="Times New Roman" w:hAnsi="Times New Roman"/>
          <w:sz w:val="24"/>
          <w:szCs w:val="24"/>
          <w:lang w:val="pt-PT"/>
        </w:rPr>
        <w:t>com objetivo similar foi proposto: PLS 91/2010</w:t>
      </w:r>
      <w:r w:rsidR="009E4FBB" w:rsidRPr="009A2249">
        <w:rPr>
          <w:rFonts w:ascii="Times New Roman" w:hAnsi="Times New Roman"/>
          <w:sz w:val="24"/>
          <w:szCs w:val="24"/>
          <w:lang w:val="pt-PT"/>
        </w:rPr>
        <w:t>, texto que, até a elaboração deste trabalho</w:t>
      </w:r>
      <w:bookmarkStart w:id="1" w:name="_GoBack"/>
      <w:bookmarkEnd w:id="1"/>
      <w:r w:rsidR="009E4FBB" w:rsidRPr="009A2249">
        <w:rPr>
          <w:rFonts w:ascii="Times New Roman" w:hAnsi="Times New Roman"/>
          <w:sz w:val="24"/>
          <w:szCs w:val="24"/>
          <w:lang w:val="pt-PT"/>
        </w:rPr>
        <w:t xml:space="preserve">, </w:t>
      </w:r>
      <w:r w:rsidR="00E62727" w:rsidRPr="009A2249">
        <w:rPr>
          <w:rFonts w:ascii="Times New Roman" w:hAnsi="Times New Roman"/>
          <w:sz w:val="24"/>
          <w:szCs w:val="24"/>
          <w:lang w:val="pt-PT"/>
        </w:rPr>
        <w:t xml:space="preserve">se </w:t>
      </w:r>
      <w:r w:rsidR="009E4FBB" w:rsidRPr="009A2249">
        <w:rPr>
          <w:rFonts w:ascii="Times New Roman" w:hAnsi="Times New Roman"/>
          <w:sz w:val="24"/>
          <w:szCs w:val="24"/>
          <w:lang w:val="pt-PT"/>
        </w:rPr>
        <w:t xml:space="preserve">encontra </w:t>
      </w:r>
      <w:r w:rsidR="00E62727" w:rsidRPr="009A2249">
        <w:rPr>
          <w:rFonts w:ascii="Times New Roman" w:hAnsi="Times New Roman"/>
          <w:sz w:val="24"/>
          <w:szCs w:val="24"/>
          <w:lang w:val="pt-PT"/>
        </w:rPr>
        <w:t>sujeito à apreciação da Comissão de Agricultura e Reforma Agrária</w:t>
      </w:r>
      <w:r w:rsidR="00ED0DBD" w:rsidRPr="009A2249">
        <w:rPr>
          <w:rFonts w:ascii="Times New Roman" w:hAnsi="Times New Roman"/>
          <w:sz w:val="24"/>
          <w:szCs w:val="24"/>
          <w:lang w:val="pt-PT"/>
        </w:rPr>
        <w:t>.</w:t>
      </w:r>
    </w:p>
    <w:p w:rsidR="00484BE0" w:rsidRPr="009A2249" w:rsidRDefault="00484BE0" w:rsidP="008C6C9C">
      <w:pPr>
        <w:spacing w:after="120" w:line="240" w:lineRule="auto"/>
        <w:ind w:firstLine="709"/>
        <w:jc w:val="both"/>
        <w:rPr>
          <w:rFonts w:ascii="Times New Roman" w:hAnsi="Times New Roman"/>
          <w:sz w:val="24"/>
          <w:szCs w:val="24"/>
          <w:lang w:val="pt-PT"/>
        </w:rPr>
      </w:pPr>
    </w:p>
    <w:p w:rsidR="00B904A6" w:rsidRPr="009A2249" w:rsidRDefault="00B904A6" w:rsidP="00EC2368">
      <w:pPr>
        <w:pStyle w:val="PargrafodaLista"/>
        <w:numPr>
          <w:ilvl w:val="0"/>
          <w:numId w:val="3"/>
        </w:numPr>
        <w:jc w:val="both"/>
      </w:pPr>
      <w:r w:rsidRPr="009A2249">
        <w:rPr>
          <w:b/>
        </w:rPr>
        <w:t>O Modelo</w:t>
      </w:r>
    </w:p>
    <w:p w:rsidR="00B904A6" w:rsidRPr="009A2249" w:rsidRDefault="00B904A6" w:rsidP="00EC2368">
      <w:pPr>
        <w:spacing w:after="0" w:line="240" w:lineRule="auto"/>
        <w:ind w:firstLine="709"/>
        <w:jc w:val="both"/>
        <w:rPr>
          <w:rFonts w:ascii="Times New Roman" w:hAnsi="Times New Roman"/>
          <w:sz w:val="24"/>
          <w:szCs w:val="24"/>
        </w:rPr>
      </w:pPr>
      <w:r w:rsidRPr="009A2249">
        <w:rPr>
          <w:rFonts w:ascii="Times New Roman" w:hAnsi="Times New Roman"/>
          <w:sz w:val="24"/>
          <w:szCs w:val="24"/>
        </w:rPr>
        <w:t>Nessa seção, será apresentado o modelo empregado na parte empírica. Enfatiza-se aqui que o trabalho concentra sua atenção sobre o benefício de Aposentadoria por Tempo de Contribuição (</w:t>
      </w:r>
      <w:r w:rsidRPr="009A2249">
        <w:rPr>
          <w:rFonts w:ascii="Times New Roman" w:hAnsi="Times New Roman"/>
          <w:i/>
          <w:sz w:val="24"/>
          <w:szCs w:val="24"/>
        </w:rPr>
        <w:t>ATC</w:t>
      </w:r>
      <w:r w:rsidRPr="009A2249">
        <w:rPr>
          <w:rFonts w:ascii="Times New Roman" w:hAnsi="Times New Roman"/>
          <w:sz w:val="24"/>
          <w:szCs w:val="24"/>
        </w:rPr>
        <w:t>), de acordo com as regras do Regime Geral de Previdência Social (</w:t>
      </w:r>
      <w:r w:rsidRPr="009A2249">
        <w:rPr>
          <w:rFonts w:ascii="Times New Roman" w:hAnsi="Times New Roman"/>
          <w:i/>
          <w:sz w:val="24"/>
          <w:szCs w:val="24"/>
        </w:rPr>
        <w:t>RGPS</w:t>
      </w:r>
      <w:r w:rsidRPr="009A2249">
        <w:rPr>
          <w:rFonts w:ascii="Times New Roman" w:hAnsi="Times New Roman"/>
          <w:sz w:val="24"/>
          <w:szCs w:val="24"/>
        </w:rPr>
        <w:t>) do Instituto Nacional do Seguro Social (</w:t>
      </w:r>
      <w:r w:rsidRPr="009A2249">
        <w:rPr>
          <w:rFonts w:ascii="Times New Roman" w:hAnsi="Times New Roman"/>
          <w:i/>
          <w:sz w:val="24"/>
          <w:szCs w:val="24"/>
        </w:rPr>
        <w:t>INSS</w:t>
      </w:r>
      <w:r w:rsidRPr="009A2249">
        <w:rPr>
          <w:rFonts w:ascii="Times New Roman" w:hAnsi="Times New Roman"/>
          <w:sz w:val="24"/>
          <w:szCs w:val="24"/>
        </w:rPr>
        <w:t xml:space="preserve">) para os assalariados urbanos do setor privado formal. A primeira parte trata das contribuições e a segunda parte, dos </w:t>
      </w:r>
      <w:proofErr w:type="gramStart"/>
      <w:r w:rsidRPr="009A2249">
        <w:rPr>
          <w:rFonts w:ascii="Times New Roman" w:hAnsi="Times New Roman"/>
          <w:sz w:val="24"/>
          <w:szCs w:val="24"/>
        </w:rPr>
        <w:t>benefícios</w:t>
      </w:r>
      <w:proofErr w:type="gramEnd"/>
    </w:p>
    <w:p w:rsidR="008B1647" w:rsidRPr="009A2249" w:rsidRDefault="008B1647" w:rsidP="00EC2368">
      <w:pPr>
        <w:spacing w:after="0" w:line="240" w:lineRule="auto"/>
        <w:ind w:firstLine="709"/>
        <w:jc w:val="both"/>
        <w:rPr>
          <w:rFonts w:ascii="Times New Roman" w:hAnsi="Times New Roman"/>
          <w:sz w:val="24"/>
          <w:szCs w:val="24"/>
        </w:rPr>
      </w:pPr>
    </w:p>
    <w:p w:rsidR="00B904A6" w:rsidRPr="009A2249" w:rsidRDefault="00B904A6" w:rsidP="008C6C9C">
      <w:pPr>
        <w:pStyle w:val="PargrafodaLista"/>
        <w:numPr>
          <w:ilvl w:val="1"/>
          <w:numId w:val="3"/>
        </w:numPr>
        <w:ind w:left="284" w:hanging="284"/>
        <w:jc w:val="both"/>
      </w:pPr>
      <w:r w:rsidRPr="009A2249">
        <w:rPr>
          <w:b/>
        </w:rPr>
        <w:t>Contribuições</w:t>
      </w:r>
    </w:p>
    <w:p w:rsidR="00E623F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O RGPS é gerido, grosso modo, de acordo com um regime de repartição. Isto significa que os benefícios são financiados pelas contribuições dos segurados, sem que haja a formação de um fundo de reserva. As contribuições dos assalariados urbanos são feitas de forma não igualitária entre empregadores e empregados. Para os primeiros, a alíquota é de 20% da remuneração do empregado, sem limite superior</w:t>
      </w:r>
      <w:r w:rsidRPr="009A2249">
        <w:rPr>
          <w:rStyle w:val="Refdenotaderodap"/>
          <w:rFonts w:ascii="Times New Roman" w:hAnsi="Times New Roman"/>
          <w:sz w:val="24"/>
          <w:szCs w:val="24"/>
        </w:rPr>
        <w:footnoteReference w:id="3"/>
      </w:r>
      <w:r w:rsidRPr="009A2249">
        <w:rPr>
          <w:rFonts w:ascii="Times New Roman" w:hAnsi="Times New Roman"/>
          <w:sz w:val="24"/>
          <w:szCs w:val="24"/>
        </w:rPr>
        <w:t xml:space="preserve">. Para os empregados, apresenta uma </w:t>
      </w:r>
      <w:proofErr w:type="gramStart"/>
      <w:r w:rsidRPr="009A2249">
        <w:rPr>
          <w:rFonts w:ascii="Times New Roman" w:hAnsi="Times New Roman"/>
          <w:sz w:val="24"/>
          <w:szCs w:val="24"/>
        </w:rPr>
        <w:t>não-</w:t>
      </w:r>
      <w:r w:rsidRPr="009A2249">
        <w:rPr>
          <w:rFonts w:ascii="Times New Roman" w:hAnsi="Times New Roman"/>
          <w:sz w:val="24"/>
          <w:szCs w:val="24"/>
        </w:rPr>
        <w:lastRenderedPageBreak/>
        <w:t>linearidade</w:t>
      </w:r>
      <w:proofErr w:type="gramEnd"/>
      <w:r w:rsidRPr="009A2249">
        <w:rPr>
          <w:rFonts w:ascii="Times New Roman" w:hAnsi="Times New Roman"/>
          <w:sz w:val="24"/>
          <w:szCs w:val="24"/>
        </w:rPr>
        <w:t>, com a alíquota variando de acordo com a renda bruta do trabalhador</w:t>
      </w:r>
      <w:r w:rsidR="00B030FB" w:rsidRPr="009A2249">
        <w:rPr>
          <w:rFonts w:ascii="Times New Roman" w:hAnsi="Times New Roman"/>
          <w:sz w:val="24"/>
          <w:szCs w:val="24"/>
        </w:rPr>
        <w:t xml:space="preserve"> um limite máximo, conforme é apresentado na Tabela 1</w:t>
      </w:r>
      <w:r w:rsidRPr="009A2249">
        <w:rPr>
          <w:rFonts w:ascii="Times New Roman" w:hAnsi="Times New Roman"/>
          <w:sz w:val="24"/>
          <w:szCs w:val="24"/>
        </w:rPr>
        <w:t xml:space="preserve">. Nos termos do MPS, o </w:t>
      </w:r>
      <w:r w:rsidRPr="009A2249">
        <w:rPr>
          <w:rFonts w:ascii="Times New Roman" w:hAnsi="Times New Roman"/>
          <w:i/>
          <w:sz w:val="24"/>
          <w:szCs w:val="24"/>
        </w:rPr>
        <w:t>salário-de-contribuição</w:t>
      </w:r>
      <w:r w:rsidRPr="009A2249">
        <w:rPr>
          <w:rFonts w:ascii="Times New Roman" w:hAnsi="Times New Roman"/>
          <w:sz w:val="24"/>
          <w:szCs w:val="24"/>
        </w:rPr>
        <w:t xml:space="preserve"> corresponde à renda do trabalhador, até o limite superior</w:t>
      </w:r>
      <w:r w:rsidR="00B030FB" w:rsidRPr="009A2249">
        <w:rPr>
          <w:rStyle w:val="Refdenotaderodap"/>
          <w:rFonts w:ascii="Times New Roman" w:hAnsi="Times New Roman"/>
          <w:sz w:val="24"/>
          <w:szCs w:val="24"/>
        </w:rPr>
        <w:footnoteReference w:id="4"/>
      </w:r>
      <w:r w:rsidR="00EC2368" w:rsidRPr="009A2249">
        <w:rPr>
          <w:rFonts w:ascii="Times New Roman" w:hAnsi="Times New Roman"/>
          <w:sz w:val="24"/>
          <w:szCs w:val="24"/>
        </w:rPr>
        <w:t>.</w:t>
      </w:r>
    </w:p>
    <w:p w:rsidR="00B904A6" w:rsidRPr="009A2249" w:rsidRDefault="00B904A6" w:rsidP="008C6C9C">
      <w:pPr>
        <w:pStyle w:val="Legenda"/>
        <w:keepNext/>
        <w:spacing w:after="0"/>
        <w:jc w:val="center"/>
        <w:rPr>
          <w:color w:val="auto"/>
          <w:sz w:val="24"/>
          <w:szCs w:val="24"/>
        </w:rPr>
      </w:pPr>
      <w:r w:rsidRPr="009A2249">
        <w:rPr>
          <w:color w:val="auto"/>
          <w:sz w:val="24"/>
          <w:szCs w:val="24"/>
        </w:rPr>
        <w:t xml:space="preserve">Tabela </w:t>
      </w:r>
      <w:r w:rsidR="00FE60AC" w:rsidRPr="009A2249">
        <w:rPr>
          <w:color w:val="auto"/>
          <w:sz w:val="24"/>
          <w:szCs w:val="24"/>
        </w:rPr>
        <w:fldChar w:fldCharType="begin"/>
      </w:r>
      <w:r w:rsidRPr="009A2249">
        <w:rPr>
          <w:color w:val="auto"/>
          <w:sz w:val="24"/>
          <w:szCs w:val="24"/>
        </w:rPr>
        <w:instrText xml:space="preserve"> SEQ Tabela \* ARABIC </w:instrText>
      </w:r>
      <w:r w:rsidR="00FE60AC" w:rsidRPr="009A2249">
        <w:rPr>
          <w:color w:val="auto"/>
          <w:sz w:val="24"/>
          <w:szCs w:val="24"/>
        </w:rPr>
        <w:fldChar w:fldCharType="separate"/>
      </w:r>
      <w:r w:rsidR="00676CB2" w:rsidRPr="009A2249">
        <w:rPr>
          <w:noProof/>
          <w:color w:val="auto"/>
          <w:sz w:val="24"/>
          <w:szCs w:val="24"/>
        </w:rPr>
        <w:t>1</w:t>
      </w:r>
      <w:r w:rsidR="00FE60AC" w:rsidRPr="009A2249">
        <w:rPr>
          <w:color w:val="auto"/>
          <w:sz w:val="24"/>
          <w:szCs w:val="24"/>
        </w:rPr>
        <w:fldChar w:fldCharType="end"/>
      </w:r>
      <w:r w:rsidR="006C15EB">
        <w:rPr>
          <w:color w:val="auto"/>
          <w:sz w:val="24"/>
          <w:szCs w:val="24"/>
        </w:rPr>
        <w:t xml:space="preserve"> </w:t>
      </w:r>
      <w:r w:rsidR="006C15EB" w:rsidRPr="009A2249">
        <w:rPr>
          <w:color w:val="auto"/>
          <w:sz w:val="24"/>
          <w:szCs w:val="24"/>
        </w:rPr>
        <w:t>–</w:t>
      </w:r>
      <w:r w:rsidRPr="009A2249">
        <w:rPr>
          <w:color w:val="auto"/>
          <w:sz w:val="24"/>
          <w:szCs w:val="24"/>
        </w:rPr>
        <w:t xml:space="preserve"> Tabela de Contribuição (a partir de 1º de janeiro de 201</w:t>
      </w:r>
      <w:r w:rsidR="0073445C" w:rsidRPr="009A2249">
        <w:rPr>
          <w:color w:val="auto"/>
          <w:sz w:val="24"/>
          <w:szCs w:val="24"/>
        </w:rPr>
        <w:t>3</w:t>
      </w:r>
      <w:r w:rsidRPr="009A2249">
        <w:rPr>
          <w:color w:val="auto"/>
          <w:sz w:val="24"/>
          <w:szCs w:val="24"/>
        </w:rPr>
        <w:t>).</w:t>
      </w:r>
    </w:p>
    <w:tbl>
      <w:tblPr>
        <w:tblW w:w="0" w:type="auto"/>
        <w:jc w:val="center"/>
        <w:tblCellMar>
          <w:left w:w="70" w:type="dxa"/>
          <w:right w:w="70" w:type="dxa"/>
        </w:tblCellMar>
        <w:tblLook w:val="04A0" w:firstRow="1" w:lastRow="0" w:firstColumn="1" w:lastColumn="0" w:noHBand="0" w:noVBand="1"/>
      </w:tblPr>
      <w:tblGrid>
        <w:gridCol w:w="2412"/>
        <w:gridCol w:w="3011"/>
      </w:tblGrid>
      <w:tr w:rsidR="00B904A6" w:rsidRPr="009A2249" w:rsidTr="005F74EC">
        <w:trPr>
          <w:trHeight w:val="291"/>
          <w:jc w:val="center"/>
        </w:trPr>
        <w:tc>
          <w:tcPr>
            <w:tcW w:w="0" w:type="auto"/>
            <w:tcBorders>
              <w:top w:val="single" w:sz="4" w:space="0" w:color="auto"/>
              <w:left w:val="nil"/>
              <w:bottom w:val="single" w:sz="4" w:space="0" w:color="auto"/>
              <w:right w:val="nil"/>
            </w:tcBorders>
            <w:shd w:val="clear" w:color="auto" w:fill="auto"/>
            <w:noWrap/>
            <w:vAlign w:val="bottom"/>
            <w:hideMark/>
          </w:tcPr>
          <w:p w:rsidR="00B904A6" w:rsidRPr="009A2249" w:rsidRDefault="00B904A6" w:rsidP="008C6C9C">
            <w:pPr>
              <w:spacing w:after="0" w:line="240" w:lineRule="auto"/>
              <w:jc w:val="center"/>
              <w:rPr>
                <w:rFonts w:ascii="Times New Roman" w:hAnsi="Times New Roman"/>
                <w:color w:val="000000"/>
                <w:sz w:val="20"/>
                <w:szCs w:val="20"/>
              </w:rPr>
            </w:pPr>
            <w:r w:rsidRPr="009A2249">
              <w:rPr>
                <w:rFonts w:ascii="Times New Roman" w:hAnsi="Times New Roman"/>
                <w:color w:val="000000"/>
                <w:sz w:val="20"/>
                <w:szCs w:val="20"/>
              </w:rPr>
              <w:t>Salário de contribuição (R$)</w:t>
            </w:r>
          </w:p>
        </w:tc>
        <w:tc>
          <w:tcPr>
            <w:tcW w:w="3011" w:type="dxa"/>
            <w:tcBorders>
              <w:top w:val="single" w:sz="4" w:space="0" w:color="auto"/>
              <w:left w:val="nil"/>
              <w:bottom w:val="single" w:sz="4" w:space="0" w:color="auto"/>
              <w:right w:val="nil"/>
            </w:tcBorders>
            <w:shd w:val="clear" w:color="auto" w:fill="auto"/>
            <w:noWrap/>
            <w:vAlign w:val="bottom"/>
            <w:hideMark/>
          </w:tcPr>
          <w:p w:rsidR="00B904A6" w:rsidRPr="009A2249" w:rsidRDefault="00B904A6" w:rsidP="008C6C9C">
            <w:pPr>
              <w:spacing w:after="0" w:line="240" w:lineRule="auto"/>
              <w:jc w:val="center"/>
              <w:rPr>
                <w:rFonts w:ascii="Times New Roman" w:hAnsi="Times New Roman"/>
                <w:color w:val="000000"/>
                <w:sz w:val="20"/>
                <w:szCs w:val="20"/>
              </w:rPr>
            </w:pPr>
            <w:r w:rsidRPr="009A2249">
              <w:rPr>
                <w:rFonts w:ascii="Times New Roman" w:hAnsi="Times New Roman"/>
                <w:color w:val="000000"/>
                <w:sz w:val="20"/>
                <w:szCs w:val="20"/>
              </w:rPr>
              <w:t>Alíquota de Contribuição (%)</w:t>
            </w:r>
          </w:p>
        </w:tc>
      </w:tr>
      <w:tr w:rsidR="00B904A6" w:rsidRPr="009A2249" w:rsidTr="005F74EC">
        <w:trPr>
          <w:trHeight w:val="300"/>
          <w:jc w:val="center"/>
        </w:trPr>
        <w:tc>
          <w:tcPr>
            <w:tcW w:w="0" w:type="auto"/>
            <w:tcBorders>
              <w:top w:val="nil"/>
              <w:left w:val="nil"/>
              <w:bottom w:val="nil"/>
              <w:right w:val="nil"/>
            </w:tcBorders>
            <w:shd w:val="clear" w:color="auto" w:fill="auto"/>
            <w:noWrap/>
            <w:vAlign w:val="bottom"/>
            <w:hideMark/>
          </w:tcPr>
          <w:p w:rsidR="00B904A6" w:rsidRPr="009A2249" w:rsidRDefault="00B904A6" w:rsidP="0073445C">
            <w:pPr>
              <w:spacing w:after="0" w:line="240" w:lineRule="auto"/>
              <w:jc w:val="center"/>
              <w:rPr>
                <w:rFonts w:ascii="Times New Roman" w:hAnsi="Times New Roman"/>
                <w:color w:val="000000"/>
                <w:sz w:val="20"/>
                <w:szCs w:val="20"/>
              </w:rPr>
            </w:pPr>
            <w:proofErr w:type="gramStart"/>
            <w:r w:rsidRPr="009A2249">
              <w:rPr>
                <w:rFonts w:ascii="Times New Roman" w:hAnsi="Times New Roman"/>
                <w:color w:val="000000"/>
                <w:sz w:val="20"/>
                <w:szCs w:val="20"/>
              </w:rPr>
              <w:t>até</w:t>
            </w:r>
            <w:proofErr w:type="gramEnd"/>
            <w:r w:rsidRPr="009A2249">
              <w:rPr>
                <w:rFonts w:ascii="Times New Roman" w:hAnsi="Times New Roman"/>
                <w:color w:val="000000"/>
                <w:sz w:val="20"/>
                <w:szCs w:val="20"/>
              </w:rPr>
              <w:t xml:space="preserve"> 1.</w:t>
            </w:r>
            <w:r w:rsidR="0073445C" w:rsidRPr="009A2249">
              <w:rPr>
                <w:rFonts w:ascii="Times New Roman" w:hAnsi="Times New Roman"/>
                <w:color w:val="000000"/>
                <w:sz w:val="20"/>
                <w:szCs w:val="20"/>
              </w:rPr>
              <w:t>247,70</w:t>
            </w:r>
          </w:p>
        </w:tc>
        <w:tc>
          <w:tcPr>
            <w:tcW w:w="3011" w:type="dxa"/>
            <w:tcBorders>
              <w:top w:val="nil"/>
              <w:left w:val="nil"/>
              <w:bottom w:val="nil"/>
              <w:right w:val="nil"/>
            </w:tcBorders>
            <w:shd w:val="clear" w:color="auto" w:fill="auto"/>
            <w:noWrap/>
            <w:vAlign w:val="bottom"/>
            <w:hideMark/>
          </w:tcPr>
          <w:p w:rsidR="00B904A6" w:rsidRPr="009A2249" w:rsidRDefault="00B904A6" w:rsidP="008C6C9C">
            <w:pPr>
              <w:spacing w:after="0" w:line="240" w:lineRule="auto"/>
              <w:jc w:val="center"/>
              <w:rPr>
                <w:rFonts w:ascii="Times New Roman" w:hAnsi="Times New Roman"/>
                <w:color w:val="000000"/>
                <w:sz w:val="20"/>
                <w:szCs w:val="20"/>
              </w:rPr>
            </w:pPr>
            <w:proofErr w:type="gramStart"/>
            <w:r w:rsidRPr="009A2249">
              <w:rPr>
                <w:rFonts w:ascii="Times New Roman" w:hAnsi="Times New Roman"/>
                <w:color w:val="000000"/>
                <w:sz w:val="20"/>
                <w:szCs w:val="20"/>
              </w:rPr>
              <w:t>8</w:t>
            </w:r>
            <w:proofErr w:type="gramEnd"/>
          </w:p>
        </w:tc>
      </w:tr>
      <w:tr w:rsidR="00B904A6" w:rsidRPr="009A2249" w:rsidTr="005F74EC">
        <w:trPr>
          <w:trHeight w:val="300"/>
          <w:jc w:val="center"/>
        </w:trPr>
        <w:tc>
          <w:tcPr>
            <w:tcW w:w="0" w:type="auto"/>
            <w:tcBorders>
              <w:top w:val="nil"/>
              <w:left w:val="nil"/>
              <w:bottom w:val="nil"/>
              <w:right w:val="nil"/>
            </w:tcBorders>
            <w:shd w:val="clear" w:color="auto" w:fill="auto"/>
            <w:noWrap/>
            <w:vAlign w:val="bottom"/>
            <w:hideMark/>
          </w:tcPr>
          <w:p w:rsidR="00B904A6" w:rsidRPr="009A2249" w:rsidRDefault="0073445C" w:rsidP="008C6C9C">
            <w:pPr>
              <w:spacing w:after="0" w:line="240" w:lineRule="auto"/>
              <w:jc w:val="center"/>
              <w:rPr>
                <w:rFonts w:ascii="Times New Roman" w:hAnsi="Times New Roman"/>
                <w:color w:val="000000"/>
                <w:sz w:val="20"/>
                <w:szCs w:val="20"/>
              </w:rPr>
            </w:pPr>
            <w:proofErr w:type="gramStart"/>
            <w:r w:rsidRPr="009A2249">
              <w:rPr>
                <w:rFonts w:ascii="Times New Roman" w:hAnsi="Times New Roman"/>
                <w:color w:val="000000"/>
                <w:sz w:val="20"/>
                <w:szCs w:val="20"/>
              </w:rPr>
              <w:t>de</w:t>
            </w:r>
            <w:proofErr w:type="gramEnd"/>
            <w:r w:rsidRPr="009A2249">
              <w:rPr>
                <w:rFonts w:ascii="Times New Roman" w:hAnsi="Times New Roman"/>
                <w:color w:val="000000"/>
                <w:sz w:val="20"/>
                <w:szCs w:val="20"/>
              </w:rPr>
              <w:t xml:space="preserve"> 1.247,71</w:t>
            </w:r>
            <w:r w:rsidR="00B904A6" w:rsidRPr="009A2249">
              <w:rPr>
                <w:rFonts w:ascii="Times New Roman" w:hAnsi="Times New Roman"/>
                <w:color w:val="000000"/>
                <w:sz w:val="20"/>
                <w:szCs w:val="20"/>
              </w:rPr>
              <w:t xml:space="preserve"> a </w:t>
            </w:r>
            <w:r w:rsidRPr="009A2249">
              <w:rPr>
                <w:rFonts w:ascii="Times New Roman" w:hAnsi="Times New Roman"/>
                <w:color w:val="000000"/>
                <w:sz w:val="20"/>
                <w:szCs w:val="20"/>
              </w:rPr>
              <w:t>2.079,50</w:t>
            </w:r>
          </w:p>
        </w:tc>
        <w:tc>
          <w:tcPr>
            <w:tcW w:w="3011" w:type="dxa"/>
            <w:tcBorders>
              <w:top w:val="nil"/>
              <w:left w:val="nil"/>
              <w:bottom w:val="nil"/>
              <w:right w:val="nil"/>
            </w:tcBorders>
            <w:shd w:val="clear" w:color="auto" w:fill="auto"/>
            <w:noWrap/>
            <w:vAlign w:val="bottom"/>
            <w:hideMark/>
          </w:tcPr>
          <w:p w:rsidR="00B904A6" w:rsidRPr="009A2249" w:rsidRDefault="00B904A6" w:rsidP="008C6C9C">
            <w:pPr>
              <w:spacing w:after="0" w:line="240" w:lineRule="auto"/>
              <w:jc w:val="center"/>
              <w:rPr>
                <w:rFonts w:ascii="Times New Roman" w:hAnsi="Times New Roman"/>
                <w:color w:val="000000"/>
                <w:sz w:val="20"/>
                <w:szCs w:val="20"/>
              </w:rPr>
            </w:pPr>
            <w:proofErr w:type="gramStart"/>
            <w:r w:rsidRPr="009A2249">
              <w:rPr>
                <w:rFonts w:ascii="Times New Roman" w:hAnsi="Times New Roman"/>
                <w:color w:val="000000"/>
                <w:sz w:val="20"/>
                <w:szCs w:val="20"/>
              </w:rPr>
              <w:t>9</w:t>
            </w:r>
            <w:proofErr w:type="gramEnd"/>
          </w:p>
        </w:tc>
      </w:tr>
      <w:tr w:rsidR="00B904A6" w:rsidRPr="009A2249" w:rsidTr="005F74EC">
        <w:trPr>
          <w:trHeight w:val="315"/>
          <w:jc w:val="center"/>
        </w:trPr>
        <w:tc>
          <w:tcPr>
            <w:tcW w:w="0" w:type="auto"/>
            <w:tcBorders>
              <w:top w:val="nil"/>
              <w:left w:val="nil"/>
              <w:bottom w:val="single" w:sz="4" w:space="0" w:color="auto"/>
              <w:right w:val="nil"/>
            </w:tcBorders>
            <w:shd w:val="clear" w:color="auto" w:fill="auto"/>
            <w:noWrap/>
            <w:vAlign w:val="bottom"/>
            <w:hideMark/>
          </w:tcPr>
          <w:p w:rsidR="00B904A6" w:rsidRPr="009A2249" w:rsidRDefault="00B904A6" w:rsidP="008C6C9C">
            <w:pPr>
              <w:spacing w:after="0" w:line="240" w:lineRule="auto"/>
              <w:jc w:val="center"/>
              <w:rPr>
                <w:rFonts w:ascii="Times New Roman" w:hAnsi="Times New Roman"/>
                <w:color w:val="000000"/>
                <w:sz w:val="20"/>
                <w:szCs w:val="20"/>
              </w:rPr>
            </w:pPr>
            <w:proofErr w:type="gramStart"/>
            <w:r w:rsidRPr="009A2249">
              <w:rPr>
                <w:rFonts w:ascii="Times New Roman" w:hAnsi="Times New Roman"/>
                <w:color w:val="000000"/>
                <w:sz w:val="20"/>
                <w:szCs w:val="20"/>
              </w:rPr>
              <w:t>de</w:t>
            </w:r>
            <w:proofErr w:type="gramEnd"/>
            <w:r w:rsidRPr="009A2249">
              <w:rPr>
                <w:rFonts w:ascii="Times New Roman" w:hAnsi="Times New Roman"/>
                <w:color w:val="000000"/>
                <w:sz w:val="20"/>
                <w:szCs w:val="20"/>
              </w:rPr>
              <w:t xml:space="preserve"> </w:t>
            </w:r>
            <w:r w:rsidR="0073445C" w:rsidRPr="009A2249">
              <w:rPr>
                <w:rFonts w:ascii="Times New Roman" w:hAnsi="Times New Roman"/>
                <w:color w:val="000000"/>
                <w:sz w:val="20"/>
                <w:szCs w:val="20"/>
              </w:rPr>
              <w:t xml:space="preserve">2.079,51 </w:t>
            </w:r>
            <w:r w:rsidRPr="009A2249">
              <w:rPr>
                <w:rFonts w:ascii="Times New Roman" w:hAnsi="Times New Roman"/>
                <w:color w:val="000000"/>
                <w:sz w:val="20"/>
                <w:szCs w:val="20"/>
              </w:rPr>
              <w:t xml:space="preserve">até </w:t>
            </w:r>
            <w:r w:rsidR="0073445C" w:rsidRPr="009A2249">
              <w:rPr>
                <w:rFonts w:ascii="Times New Roman" w:hAnsi="Times New Roman"/>
                <w:color w:val="000000"/>
                <w:sz w:val="20"/>
                <w:szCs w:val="20"/>
              </w:rPr>
              <w:t>4.159,00</w:t>
            </w:r>
          </w:p>
        </w:tc>
        <w:tc>
          <w:tcPr>
            <w:tcW w:w="3011" w:type="dxa"/>
            <w:tcBorders>
              <w:top w:val="nil"/>
              <w:left w:val="nil"/>
              <w:bottom w:val="single" w:sz="4" w:space="0" w:color="auto"/>
              <w:right w:val="nil"/>
            </w:tcBorders>
            <w:shd w:val="clear" w:color="auto" w:fill="auto"/>
            <w:noWrap/>
            <w:vAlign w:val="bottom"/>
            <w:hideMark/>
          </w:tcPr>
          <w:p w:rsidR="00B904A6" w:rsidRPr="009A2249" w:rsidRDefault="00B904A6" w:rsidP="008C6C9C">
            <w:pPr>
              <w:spacing w:after="0" w:line="240" w:lineRule="auto"/>
              <w:jc w:val="center"/>
              <w:rPr>
                <w:rFonts w:ascii="Times New Roman" w:hAnsi="Times New Roman"/>
                <w:color w:val="000000"/>
                <w:sz w:val="20"/>
                <w:szCs w:val="20"/>
              </w:rPr>
            </w:pPr>
            <w:r w:rsidRPr="009A2249">
              <w:rPr>
                <w:rFonts w:ascii="Times New Roman" w:hAnsi="Times New Roman"/>
                <w:color w:val="000000"/>
                <w:sz w:val="20"/>
                <w:szCs w:val="20"/>
              </w:rPr>
              <w:t>11</w:t>
            </w:r>
          </w:p>
        </w:tc>
      </w:tr>
    </w:tbl>
    <w:p w:rsidR="00B904A6" w:rsidRPr="00434A9B" w:rsidRDefault="00B904A6" w:rsidP="008C6C9C">
      <w:pPr>
        <w:spacing w:after="120" w:line="240" w:lineRule="auto"/>
        <w:ind w:left="360" w:right="1841" w:firstLine="709"/>
        <w:jc w:val="right"/>
        <w:rPr>
          <w:rFonts w:ascii="Times New Roman" w:hAnsi="Times New Roman"/>
          <w:sz w:val="20"/>
          <w:szCs w:val="20"/>
        </w:rPr>
      </w:pPr>
      <w:r w:rsidRPr="00434A9B">
        <w:rPr>
          <w:rFonts w:ascii="Times New Roman" w:hAnsi="Times New Roman"/>
          <w:sz w:val="20"/>
          <w:szCs w:val="20"/>
        </w:rPr>
        <w:t>Fonte: Ministério da Previdência Social (MPS).</w:t>
      </w:r>
    </w:p>
    <w:p w:rsidR="00EB193C" w:rsidRPr="009A2249" w:rsidRDefault="00CD128C" w:rsidP="00EB193C">
      <w:pPr>
        <w:spacing w:after="120" w:line="240" w:lineRule="auto"/>
        <w:ind w:firstLine="709"/>
        <w:jc w:val="both"/>
        <w:rPr>
          <w:rFonts w:ascii="Times New Roman" w:hAnsi="Times New Roman"/>
          <w:sz w:val="24"/>
          <w:szCs w:val="24"/>
        </w:rPr>
      </w:pPr>
      <w:proofErr w:type="gramStart"/>
      <w:r w:rsidRPr="009A2249">
        <w:rPr>
          <w:rFonts w:ascii="Times New Roman" w:hAnsi="Times New Roman"/>
          <w:sz w:val="24"/>
          <w:szCs w:val="24"/>
        </w:rPr>
        <w:t>O primeiro passo</w:t>
      </w:r>
      <w:proofErr w:type="gramEnd"/>
      <w:r w:rsidRPr="009A2249">
        <w:rPr>
          <w:rFonts w:ascii="Times New Roman" w:hAnsi="Times New Roman"/>
          <w:sz w:val="24"/>
          <w:szCs w:val="24"/>
        </w:rPr>
        <w:t xml:space="preserve"> para calcular as contribuições é prever a evolução da renda de um segurado durante sua vida ativa, com renda inicial </w:t>
      </w:r>
      <w:r w:rsidRPr="009A2249">
        <w:rPr>
          <w:rFonts w:ascii="Times New Roman" w:hAnsi="Times New Roman"/>
          <w:i/>
          <w:sz w:val="24"/>
          <w:szCs w:val="24"/>
        </w:rPr>
        <w:t>Wo</w:t>
      </w:r>
      <w:r w:rsidRPr="009A2249">
        <w:rPr>
          <w:rFonts w:ascii="Times New Roman" w:hAnsi="Times New Roman"/>
          <w:sz w:val="24"/>
          <w:szCs w:val="24"/>
        </w:rPr>
        <w:t xml:space="preserve">. Supõe-se uma taxa de crescimento constante </w:t>
      </w:r>
      <w:r w:rsidRPr="009A2249">
        <w:rPr>
          <w:rFonts w:ascii="Times New Roman" w:hAnsi="Times New Roman"/>
          <w:i/>
          <w:sz w:val="24"/>
          <w:szCs w:val="24"/>
        </w:rPr>
        <w:t>r</w:t>
      </w:r>
      <w:r w:rsidRPr="009A2249">
        <w:rPr>
          <w:rFonts w:ascii="Times New Roman" w:hAnsi="Times New Roman"/>
          <w:sz w:val="24"/>
          <w:szCs w:val="24"/>
        </w:rPr>
        <w:t xml:space="preserve"> ao longo de seu período laboral. Portanto, seu salário mensal </w:t>
      </w:r>
      <w:r w:rsidRPr="009A2249">
        <w:rPr>
          <w:rFonts w:ascii="Times New Roman" w:hAnsi="Times New Roman"/>
          <w:i/>
          <w:sz w:val="24"/>
          <w:szCs w:val="24"/>
        </w:rPr>
        <w:t>W</w:t>
      </w:r>
      <w:r w:rsidRPr="009A2249">
        <w:rPr>
          <w:rFonts w:ascii="Times New Roman" w:hAnsi="Times New Roman"/>
          <w:i/>
          <w:sz w:val="24"/>
          <w:szCs w:val="24"/>
          <w:vertAlign w:val="subscript"/>
        </w:rPr>
        <w:t>t</w:t>
      </w:r>
      <w:r w:rsidRPr="009A2249">
        <w:rPr>
          <w:rFonts w:ascii="Times New Roman" w:hAnsi="Times New Roman"/>
          <w:sz w:val="24"/>
          <w:szCs w:val="24"/>
        </w:rPr>
        <w:t xml:space="preserve"> no instante </w:t>
      </w:r>
      <w:r w:rsidRPr="009A2249">
        <w:rPr>
          <w:rFonts w:ascii="Times New Roman" w:hAnsi="Times New Roman"/>
          <w:i/>
          <w:sz w:val="24"/>
          <w:szCs w:val="24"/>
        </w:rPr>
        <w:t>t</w:t>
      </w:r>
      <w:r w:rsidRPr="009A2249">
        <w:rPr>
          <w:rFonts w:ascii="Times New Roman" w:hAnsi="Times New Roman"/>
          <w:sz w:val="24"/>
          <w:szCs w:val="24"/>
        </w:rPr>
        <w:t xml:space="preserve"> pode ser expresso em função de seu salário inicial </w:t>
      </w:r>
      <w:r w:rsidRPr="009A2249">
        <w:rPr>
          <w:rFonts w:ascii="Times New Roman" w:hAnsi="Times New Roman"/>
          <w:i/>
          <w:sz w:val="24"/>
          <w:szCs w:val="24"/>
        </w:rPr>
        <w:t>W</w:t>
      </w:r>
      <w:r w:rsidRPr="009A2249">
        <w:rPr>
          <w:rFonts w:ascii="Times New Roman" w:hAnsi="Times New Roman"/>
          <w:i/>
          <w:sz w:val="24"/>
          <w:szCs w:val="24"/>
          <w:vertAlign w:val="subscript"/>
        </w:rPr>
        <w:t>o</w:t>
      </w:r>
      <w:r w:rsidRPr="009A2249">
        <w:rPr>
          <w:rFonts w:ascii="Times New Roman" w:hAnsi="Times New Roman"/>
          <w:sz w:val="24"/>
          <w:szCs w:val="24"/>
        </w:rPr>
        <w:t xml:space="preserve"> e do número de períodos </w:t>
      </w:r>
      <w:r w:rsidRPr="009A2249">
        <w:rPr>
          <w:rFonts w:ascii="Times New Roman" w:hAnsi="Times New Roman"/>
          <w:i/>
          <w:sz w:val="24"/>
          <w:szCs w:val="24"/>
        </w:rPr>
        <w:t>t</w:t>
      </w:r>
      <w:r w:rsidRPr="009A2249">
        <w:rPr>
          <w:rFonts w:ascii="Times New Roman" w:hAnsi="Times New Roman"/>
          <w:sz w:val="24"/>
          <w:szCs w:val="24"/>
        </w:rPr>
        <w:t xml:space="preserve">, conforme apresentado na </w:t>
      </w:r>
      <w:r w:rsidR="00125235" w:rsidRPr="009A2249">
        <w:rPr>
          <w:rFonts w:ascii="Times New Roman" w:hAnsi="Times New Roman"/>
          <w:sz w:val="24"/>
          <w:szCs w:val="24"/>
        </w:rPr>
        <w:t xml:space="preserve">Equação </w:t>
      </w:r>
      <w:proofErr w:type="gramStart"/>
      <w:r w:rsidRPr="009A2249">
        <w:rPr>
          <w:rFonts w:ascii="Times New Roman" w:hAnsi="Times New Roman"/>
          <w:sz w:val="24"/>
          <w:szCs w:val="24"/>
        </w:rPr>
        <w:t>1</w:t>
      </w:r>
      <w:proofErr w:type="gramEnd"/>
      <w:r w:rsidRPr="009A2249">
        <w:rPr>
          <w:rFonts w:ascii="Times New Roman" w:hAnsi="Times New Roman"/>
          <w:sz w:val="24"/>
          <w:szCs w:val="24"/>
        </w:rPr>
        <w:t>.</w:t>
      </w:r>
    </w:p>
    <w:p w:rsidR="00CD128C" w:rsidRPr="009A2249" w:rsidRDefault="00780ADD" w:rsidP="00EB193C">
      <w:pPr>
        <w:spacing w:after="120" w:line="240" w:lineRule="auto"/>
        <w:ind w:firstLine="709"/>
        <w:jc w:val="right"/>
        <w:rPr>
          <w:rFonts w:ascii="Times New Roman" w:hAnsi="Times New Roman"/>
          <w:sz w:val="24"/>
          <w:szCs w:val="24"/>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t</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(1+r)</m:t>
            </m:r>
          </m:e>
          <m:sup>
            <m:r>
              <w:rPr>
                <w:rFonts w:ascii="Cambria Math" w:hAnsi="Cambria Math"/>
                <w:sz w:val="26"/>
                <w:szCs w:val="26"/>
              </w:rPr>
              <m:t>t</m:t>
            </m:r>
          </m:sup>
        </m:sSup>
      </m:oMath>
      <w:r w:rsidR="008B1647" w:rsidRPr="009A2249">
        <w:rPr>
          <w:rFonts w:ascii="Times New Roman" w:hAnsi="Times New Roman"/>
          <w:sz w:val="26"/>
          <w:szCs w:val="26"/>
        </w:rPr>
        <w:t>.</w:t>
      </w:r>
      <w:r w:rsidR="00EB193C" w:rsidRPr="009A2249">
        <w:rPr>
          <w:rFonts w:ascii="Times New Roman" w:hAnsi="Times New Roman"/>
          <w:sz w:val="26"/>
          <w:szCs w:val="26"/>
        </w:rPr>
        <w:tab/>
      </w:r>
      <w:r w:rsidR="00EB193C" w:rsidRPr="009A2249">
        <w:rPr>
          <w:rFonts w:ascii="Times New Roman" w:hAnsi="Times New Roman"/>
          <w:sz w:val="26"/>
          <w:szCs w:val="26"/>
        </w:rPr>
        <w:tab/>
      </w:r>
      <w:r w:rsidR="00EB193C" w:rsidRPr="009A2249">
        <w:rPr>
          <w:rFonts w:ascii="Times New Roman" w:hAnsi="Times New Roman"/>
          <w:sz w:val="26"/>
          <w:szCs w:val="26"/>
        </w:rPr>
        <w:tab/>
      </w:r>
      <w:r w:rsidR="00EB193C" w:rsidRPr="009A2249">
        <w:rPr>
          <w:rFonts w:ascii="Times New Roman" w:hAnsi="Times New Roman"/>
          <w:sz w:val="24"/>
          <w:szCs w:val="24"/>
        </w:rPr>
        <w:tab/>
      </w:r>
      <w:r w:rsidR="00EB193C" w:rsidRPr="009A2249">
        <w:rPr>
          <w:rFonts w:ascii="Times New Roman" w:hAnsi="Times New Roman"/>
          <w:sz w:val="24"/>
          <w:szCs w:val="24"/>
        </w:rPr>
        <w:tab/>
      </w:r>
      <w:proofErr w:type="gramStart"/>
      <w:r w:rsidR="00CD128C" w:rsidRPr="009A2249">
        <w:rPr>
          <w:rFonts w:ascii="Times New Roman" w:hAnsi="Times New Roman"/>
          <w:sz w:val="24"/>
          <w:szCs w:val="24"/>
        </w:rPr>
        <w:t>(</w:t>
      </w:r>
      <w:proofErr w:type="gramEnd"/>
      <w:r w:rsidR="00FE60AC" w:rsidRPr="009A2249">
        <w:rPr>
          <w:rFonts w:ascii="Times New Roman" w:hAnsi="Times New Roman"/>
          <w:sz w:val="24"/>
          <w:szCs w:val="24"/>
        </w:rPr>
        <w:fldChar w:fldCharType="begin"/>
      </w:r>
      <w:r w:rsidR="00CD128C"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00CD128C" w:rsidRPr="009A2249">
        <w:rPr>
          <w:rFonts w:ascii="Times New Roman" w:hAnsi="Times New Roman"/>
          <w:sz w:val="24"/>
          <w:szCs w:val="24"/>
        </w:rPr>
        <w:t>)</w:t>
      </w:r>
    </w:p>
    <w:p w:rsidR="00CD128C" w:rsidRPr="009A2249" w:rsidRDefault="00CD128C"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Desta maneira, como mostra a </w:t>
      </w:r>
      <w:r w:rsidR="00125235" w:rsidRPr="009A2249">
        <w:rPr>
          <w:rFonts w:ascii="Times New Roman" w:hAnsi="Times New Roman"/>
          <w:sz w:val="24"/>
          <w:szCs w:val="24"/>
        </w:rPr>
        <w:t>E</w:t>
      </w:r>
      <w:r w:rsidRPr="009A2249">
        <w:rPr>
          <w:rFonts w:ascii="Times New Roman" w:hAnsi="Times New Roman"/>
          <w:sz w:val="24"/>
          <w:szCs w:val="24"/>
        </w:rPr>
        <w:t xml:space="preserve">quação </w:t>
      </w:r>
      <w:proofErr w:type="gramStart"/>
      <w:r w:rsidRPr="009A2249">
        <w:rPr>
          <w:rFonts w:ascii="Times New Roman" w:hAnsi="Times New Roman"/>
          <w:sz w:val="24"/>
          <w:szCs w:val="24"/>
        </w:rPr>
        <w:t>2</w:t>
      </w:r>
      <w:proofErr w:type="gramEnd"/>
      <w:r w:rsidRPr="009A2249">
        <w:rPr>
          <w:rFonts w:ascii="Times New Roman" w:hAnsi="Times New Roman"/>
          <w:sz w:val="24"/>
          <w:szCs w:val="24"/>
        </w:rPr>
        <w:t xml:space="preserve">, a cada instante do tempo </w:t>
      </w:r>
      <w:r w:rsidRPr="009A2249">
        <w:rPr>
          <w:rFonts w:ascii="Times New Roman" w:hAnsi="Times New Roman"/>
          <w:i/>
          <w:sz w:val="24"/>
          <w:szCs w:val="24"/>
        </w:rPr>
        <w:t>t</w:t>
      </w:r>
      <w:r w:rsidRPr="009A2249">
        <w:rPr>
          <w:rFonts w:ascii="Times New Roman" w:hAnsi="Times New Roman"/>
          <w:sz w:val="24"/>
          <w:szCs w:val="24"/>
        </w:rPr>
        <w:t xml:space="preserve"> o valor das contribuições previdenciárias é dado pela multiplicação do salário pela alíquota de contribuição </w:t>
      </w:r>
      <w:r w:rsidRPr="009A2249">
        <w:rPr>
          <w:rFonts w:ascii="Times New Roman" w:hAnsi="Times New Roman"/>
          <w:i/>
          <w:sz w:val="24"/>
          <w:szCs w:val="24"/>
        </w:rPr>
        <w:t>a</w:t>
      </w:r>
      <w:r w:rsidRPr="009A2249">
        <w:rPr>
          <w:rFonts w:ascii="Times New Roman" w:hAnsi="Times New Roman"/>
          <w:i/>
          <w:sz w:val="24"/>
          <w:szCs w:val="24"/>
          <w:vertAlign w:val="subscript"/>
        </w:rPr>
        <w:t>t</w:t>
      </w:r>
      <w:r w:rsidRPr="009A2249">
        <w:rPr>
          <w:rFonts w:ascii="Times New Roman" w:hAnsi="Times New Roman"/>
          <w:sz w:val="24"/>
          <w:szCs w:val="24"/>
        </w:rPr>
        <w:t xml:space="preserve"> (soma das alíquotas do empregador e do empregado, esta última dada em função da faixa de renda, pela </w:t>
      </w:r>
      <w:r w:rsidR="00E22A65" w:rsidRPr="009A2249">
        <w:rPr>
          <w:rFonts w:ascii="Times New Roman" w:hAnsi="Times New Roman"/>
          <w:sz w:val="24"/>
          <w:szCs w:val="24"/>
        </w:rPr>
        <w:t>T</w:t>
      </w:r>
      <w:r w:rsidRPr="009A2249">
        <w:rPr>
          <w:rFonts w:ascii="Times New Roman" w:hAnsi="Times New Roman"/>
          <w:sz w:val="24"/>
          <w:szCs w:val="24"/>
        </w:rPr>
        <w:t>abela 1).</w:t>
      </w:r>
    </w:p>
    <w:p w:rsidR="00CD128C" w:rsidRPr="009A2249" w:rsidRDefault="00780ADD" w:rsidP="00EB193C">
      <w:pPr>
        <w:spacing w:after="120" w:line="240" w:lineRule="auto"/>
        <w:ind w:firstLine="709"/>
        <w:jc w:val="right"/>
        <w:rPr>
          <w:rFonts w:ascii="Cambria Math" w:hAnsi="Cambria Math"/>
          <w:i/>
          <w:sz w:val="24"/>
          <w:szCs w:val="24"/>
        </w:rPr>
      </w:pPr>
      <m:oMath>
        <m:sSub>
          <m:sSubPr>
            <m:ctrlPr>
              <w:rPr>
                <w:rFonts w:ascii="Cambria Math" w:hAnsi="Cambria Math"/>
                <w:i/>
                <w:sz w:val="26"/>
                <w:szCs w:val="26"/>
              </w:rPr>
            </m:ctrlPr>
          </m:sSubPr>
          <m:e>
            <m:r>
              <w:rPr>
                <w:rFonts w:ascii="Cambria Math" w:hAnsi="Cambria Math"/>
                <w:sz w:val="26"/>
                <w:szCs w:val="26"/>
              </w:rPr>
              <m:t>VC</m:t>
            </m:r>
          </m:e>
          <m:sub>
            <m:r>
              <w:rPr>
                <w:rFonts w:ascii="Cambria Math" w:hAnsi="Cambria Math"/>
                <w:sz w:val="26"/>
                <w:szCs w:val="26"/>
              </w:rPr>
              <m:t>t</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(1+r)</m:t>
            </m:r>
          </m:e>
          <m:sup>
            <m:r>
              <w:rPr>
                <w:rFonts w:ascii="Cambria Math" w:hAnsi="Cambria Math"/>
                <w:sz w:val="26"/>
                <w:szCs w:val="26"/>
              </w:rPr>
              <m:t>t</m:t>
            </m:r>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t</m:t>
            </m:r>
          </m:sub>
        </m:sSub>
        <m:r>
          <w:rPr>
            <w:rFonts w:ascii="Cambria Math" w:hAnsi="Cambria Math"/>
            <w:sz w:val="26"/>
            <w:szCs w:val="26"/>
          </w:rPr>
          <m:t>.</m:t>
        </m:r>
      </m:oMath>
      <w:r w:rsidR="00CD128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4"/>
          <w:szCs w:val="24"/>
        </w:rPr>
        <w:tab/>
      </w:r>
      <w:r w:rsidR="00EB193C" w:rsidRPr="009A2249">
        <w:rPr>
          <w:rFonts w:ascii="Cambria Math" w:hAnsi="Cambria Math"/>
          <w:i/>
          <w:sz w:val="24"/>
          <w:szCs w:val="24"/>
        </w:rPr>
        <w:tab/>
      </w:r>
      <w:r w:rsidR="00CD128C" w:rsidRPr="009A2249">
        <w:rPr>
          <w:rFonts w:ascii="Times New Roman" w:hAnsi="Times New Roman"/>
          <w:sz w:val="24"/>
          <w:szCs w:val="24"/>
        </w:rPr>
        <w:t>(</w:t>
      </w:r>
      <w:r w:rsidR="00FE60AC" w:rsidRPr="009A2249">
        <w:rPr>
          <w:rFonts w:ascii="Times New Roman" w:hAnsi="Times New Roman"/>
          <w:sz w:val="24"/>
          <w:szCs w:val="24"/>
        </w:rPr>
        <w:fldChar w:fldCharType="begin"/>
      </w:r>
      <w:r w:rsidR="00CD128C"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00CD128C" w:rsidRPr="009A2249">
        <w:rPr>
          <w:rFonts w:ascii="Times New Roman" w:hAnsi="Times New Roman"/>
          <w:sz w:val="24"/>
          <w:szCs w:val="24"/>
        </w:rPr>
        <w:t>)</w:t>
      </w:r>
    </w:p>
    <w:p w:rsidR="00CD128C" w:rsidRPr="009A2249" w:rsidRDefault="00CD128C"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valor presente das contribuições é dado pela </w:t>
      </w:r>
      <w:r w:rsidR="00125235" w:rsidRPr="009A2249">
        <w:rPr>
          <w:rFonts w:ascii="Times New Roman" w:hAnsi="Times New Roman"/>
          <w:sz w:val="24"/>
          <w:szCs w:val="24"/>
        </w:rPr>
        <w:t>E</w:t>
      </w:r>
      <w:r w:rsidRPr="009A2249">
        <w:rPr>
          <w:rFonts w:ascii="Times New Roman" w:hAnsi="Times New Roman"/>
          <w:sz w:val="24"/>
          <w:szCs w:val="24"/>
        </w:rPr>
        <w:t xml:space="preserve">quação </w:t>
      </w:r>
      <w:proofErr w:type="gramStart"/>
      <w:r w:rsidRPr="009A2249">
        <w:rPr>
          <w:rFonts w:ascii="Times New Roman" w:hAnsi="Times New Roman"/>
          <w:sz w:val="24"/>
          <w:szCs w:val="24"/>
        </w:rPr>
        <w:t>3</w:t>
      </w:r>
      <w:proofErr w:type="gramEnd"/>
      <w:r w:rsidRPr="009A2249">
        <w:rPr>
          <w:rFonts w:ascii="Times New Roman" w:hAnsi="Times New Roman"/>
          <w:sz w:val="24"/>
          <w:szCs w:val="24"/>
        </w:rPr>
        <w:t xml:space="preserve">, na qual </w:t>
      </w:r>
      <w:r w:rsidRPr="009A2249">
        <w:rPr>
          <w:rFonts w:ascii="Times New Roman" w:hAnsi="Times New Roman"/>
          <w:i/>
          <w:sz w:val="24"/>
          <w:szCs w:val="24"/>
        </w:rPr>
        <w:t>Im</w:t>
      </w:r>
      <w:r w:rsidRPr="009A2249">
        <w:rPr>
          <w:rFonts w:ascii="Times New Roman" w:hAnsi="Times New Roman"/>
          <w:sz w:val="24"/>
          <w:szCs w:val="24"/>
        </w:rPr>
        <w:t xml:space="preserve"> é a idade de entrada no mercado de trabalho, </w:t>
      </w:r>
      <w:r w:rsidRPr="009A2249">
        <w:rPr>
          <w:rFonts w:ascii="Times New Roman" w:hAnsi="Times New Roman"/>
          <w:i/>
          <w:sz w:val="24"/>
          <w:szCs w:val="24"/>
        </w:rPr>
        <w:t>Ia</w:t>
      </w:r>
      <w:r w:rsidRPr="009A2249">
        <w:rPr>
          <w:rFonts w:ascii="Times New Roman" w:hAnsi="Times New Roman"/>
          <w:sz w:val="24"/>
          <w:szCs w:val="24"/>
        </w:rPr>
        <w:t xml:space="preserve"> é a idade de aposentadoria e </w:t>
      </w:r>
      <w:r w:rsidRPr="009A2249">
        <w:rPr>
          <w:rFonts w:ascii="Times New Roman" w:hAnsi="Times New Roman"/>
          <w:i/>
          <w:sz w:val="24"/>
          <w:szCs w:val="24"/>
        </w:rPr>
        <w:t xml:space="preserve">Tx </w:t>
      </w:r>
      <w:r w:rsidRPr="009A2249">
        <w:rPr>
          <w:rFonts w:ascii="Times New Roman" w:hAnsi="Times New Roman"/>
          <w:sz w:val="24"/>
          <w:szCs w:val="24"/>
        </w:rPr>
        <w:t>é a taxa real de juros.</w:t>
      </w:r>
      <w:r w:rsidRPr="009A2249">
        <w:rPr>
          <w:rFonts w:ascii="Times New Roman" w:hAnsi="Times New Roman"/>
          <w:b/>
          <w:sz w:val="24"/>
          <w:szCs w:val="24"/>
        </w:rPr>
        <w:t xml:space="preserve"> </w:t>
      </w:r>
      <w:r w:rsidRPr="009A2249">
        <w:rPr>
          <w:rFonts w:ascii="Times New Roman" w:hAnsi="Times New Roman"/>
          <w:sz w:val="24"/>
          <w:szCs w:val="24"/>
        </w:rPr>
        <w:t>Note-se que em cada ano há 13 contribuições, devido ao 13º salário.</w:t>
      </w:r>
    </w:p>
    <w:p w:rsidR="00CD128C" w:rsidRPr="009A2249" w:rsidRDefault="00CD128C" w:rsidP="00EB193C">
      <w:pPr>
        <w:spacing w:after="120" w:line="240" w:lineRule="auto"/>
        <w:ind w:firstLine="709"/>
        <w:jc w:val="right"/>
        <w:rPr>
          <w:rFonts w:ascii="Times New Roman" w:hAnsi="Times New Roman"/>
          <w:sz w:val="24"/>
          <w:szCs w:val="24"/>
        </w:rPr>
      </w:pPr>
      <m:oMath>
        <m:r>
          <w:rPr>
            <w:rFonts w:ascii="Cambria Math" w:hAnsi="Cambria Math"/>
            <w:sz w:val="26"/>
            <w:szCs w:val="26"/>
          </w:rPr>
          <m:t xml:space="preserve">VPC= </m:t>
        </m:r>
        <m:nary>
          <m:naryPr>
            <m:chr m:val="∑"/>
            <m:limLoc m:val="undOvr"/>
            <m:ctrlPr>
              <w:rPr>
                <w:rFonts w:ascii="Cambria Math" w:hAnsi="Cambria Math"/>
                <w:i/>
                <w:sz w:val="26"/>
                <w:szCs w:val="26"/>
              </w:rPr>
            </m:ctrlPr>
          </m:naryPr>
          <m:sub>
            <m:r>
              <w:rPr>
                <w:rFonts w:ascii="Cambria Math" w:hAnsi="Cambria Math"/>
                <w:sz w:val="26"/>
                <w:szCs w:val="26"/>
              </w:rPr>
              <m:t>n=Im</m:t>
            </m:r>
          </m:sub>
          <m:sup>
            <m:r>
              <w:rPr>
                <w:rFonts w:ascii="Cambria Math" w:hAnsi="Cambria Math"/>
                <w:sz w:val="26"/>
                <w:szCs w:val="26"/>
              </w:rPr>
              <m:t>Ia</m:t>
            </m:r>
          </m:sup>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VC</m:t>
                    </m:r>
                  </m:e>
                  <m:sub>
                    <m:r>
                      <w:rPr>
                        <w:rFonts w:ascii="Cambria Math" w:hAnsi="Cambria Math"/>
                        <w:sz w:val="26"/>
                        <w:szCs w:val="26"/>
                      </w:rPr>
                      <m:t>n</m:t>
                    </m:r>
                  </m:sub>
                </m:sSub>
              </m:num>
              <m:den>
                <m:sSup>
                  <m:sSupPr>
                    <m:ctrlPr>
                      <w:rPr>
                        <w:rFonts w:ascii="Cambria Math" w:hAnsi="Cambria Math"/>
                        <w:i/>
                        <w:sz w:val="26"/>
                        <w:szCs w:val="26"/>
                      </w:rPr>
                    </m:ctrlPr>
                  </m:sSupPr>
                  <m:e>
                    <m:r>
                      <w:rPr>
                        <w:rFonts w:ascii="Cambria Math" w:hAnsi="Cambria Math"/>
                        <w:sz w:val="26"/>
                        <w:szCs w:val="26"/>
                      </w:rPr>
                      <m:t>(1+Tx)</m:t>
                    </m:r>
                  </m:e>
                  <m:sup>
                    <m:r>
                      <w:rPr>
                        <w:rFonts w:ascii="Cambria Math" w:hAnsi="Cambria Math"/>
                        <w:sz w:val="26"/>
                        <w:szCs w:val="26"/>
                      </w:rPr>
                      <m:t>n</m:t>
                    </m:r>
                  </m:sup>
                </m:sSup>
              </m:den>
            </m:f>
          </m:e>
        </m:nary>
      </m:oMath>
      <w:r w:rsidR="008B1647" w:rsidRPr="009A2249">
        <w:rPr>
          <w:rFonts w:ascii="Cambria Math" w:hAnsi="Cambria Math"/>
          <w:i/>
          <w:sz w:val="26"/>
          <w:szCs w:val="26"/>
        </w:rPr>
        <w:t>.</w:t>
      </w:r>
      <w:r w:rsidR="00EB193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4"/>
          <w:szCs w:val="24"/>
        </w:rPr>
        <w:tab/>
      </w:r>
      <w:r w:rsidR="00EB193C" w:rsidRPr="009A2249">
        <w:rPr>
          <w:rFonts w:ascii="Times New Roman" w:hAnsi="Times New Roman"/>
          <w:i/>
          <w:sz w:val="24"/>
          <w:szCs w:val="24"/>
        </w:rPr>
        <w:tab/>
      </w:r>
      <w:proofErr w:type="gramStart"/>
      <w:r w:rsidRPr="009A2249">
        <w:rPr>
          <w:rFonts w:ascii="Times New Roman" w:hAnsi="Times New Roman"/>
          <w:sz w:val="24"/>
          <w:szCs w:val="24"/>
        </w:rPr>
        <w:t>(</w:t>
      </w:r>
      <w:proofErr w:type="gramEnd"/>
      <w:r w:rsidR="00FE60AC" w:rsidRPr="009A2249">
        <w:rPr>
          <w:rFonts w:ascii="Times New Roman" w:hAnsi="Times New Roman"/>
          <w:sz w:val="24"/>
          <w:szCs w:val="24"/>
        </w:rPr>
        <w:fldChar w:fldCharType="begin"/>
      </w:r>
      <w:r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484BE0" w:rsidRPr="009A2249" w:rsidRDefault="00484BE0" w:rsidP="00EB193C">
      <w:pPr>
        <w:spacing w:after="120" w:line="240" w:lineRule="auto"/>
        <w:ind w:firstLine="709"/>
        <w:jc w:val="right"/>
        <w:rPr>
          <w:rFonts w:ascii="Cambria Math" w:hAnsi="Cambria Math"/>
          <w:i/>
          <w:sz w:val="24"/>
          <w:szCs w:val="24"/>
        </w:rPr>
      </w:pPr>
    </w:p>
    <w:p w:rsidR="00B904A6" w:rsidRPr="009A2249" w:rsidRDefault="00B904A6" w:rsidP="008C6C9C">
      <w:pPr>
        <w:pStyle w:val="PargrafodaLista"/>
        <w:numPr>
          <w:ilvl w:val="1"/>
          <w:numId w:val="3"/>
        </w:numPr>
        <w:spacing w:after="120"/>
        <w:ind w:left="284" w:hanging="284"/>
        <w:jc w:val="both"/>
      </w:pPr>
      <w:r w:rsidRPr="009A2249">
        <w:rPr>
          <w:b/>
        </w:rPr>
        <w:t>Benefícios</w:t>
      </w:r>
    </w:p>
    <w:p w:rsidR="00B904A6" w:rsidRPr="009A2249" w:rsidRDefault="005F74EC"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A condição de elegibilidade para a A</w:t>
      </w:r>
      <w:r w:rsidR="00B904A6" w:rsidRPr="009A2249">
        <w:rPr>
          <w:rFonts w:ascii="Times New Roman" w:hAnsi="Times New Roman"/>
          <w:sz w:val="24"/>
          <w:szCs w:val="24"/>
        </w:rPr>
        <w:t xml:space="preserve">posentadoria por </w:t>
      </w:r>
      <w:r w:rsidRPr="009A2249">
        <w:rPr>
          <w:rFonts w:ascii="Times New Roman" w:hAnsi="Times New Roman"/>
          <w:sz w:val="24"/>
          <w:szCs w:val="24"/>
        </w:rPr>
        <w:t>T</w:t>
      </w:r>
      <w:r w:rsidR="00B904A6" w:rsidRPr="009A2249">
        <w:rPr>
          <w:rFonts w:ascii="Times New Roman" w:hAnsi="Times New Roman"/>
          <w:sz w:val="24"/>
          <w:szCs w:val="24"/>
        </w:rPr>
        <w:t xml:space="preserve">empo de </w:t>
      </w:r>
      <w:r w:rsidRPr="009A2249">
        <w:rPr>
          <w:rFonts w:ascii="Times New Roman" w:hAnsi="Times New Roman"/>
          <w:sz w:val="24"/>
          <w:szCs w:val="24"/>
        </w:rPr>
        <w:t>C</w:t>
      </w:r>
      <w:r w:rsidR="00B904A6" w:rsidRPr="009A2249">
        <w:rPr>
          <w:rFonts w:ascii="Times New Roman" w:hAnsi="Times New Roman"/>
          <w:sz w:val="24"/>
          <w:szCs w:val="24"/>
        </w:rPr>
        <w:t>ontribuição do RGPS</w:t>
      </w:r>
      <w:r w:rsidRPr="009A2249">
        <w:rPr>
          <w:rFonts w:ascii="Times New Roman" w:hAnsi="Times New Roman"/>
          <w:sz w:val="24"/>
          <w:szCs w:val="24"/>
        </w:rPr>
        <w:t xml:space="preserve"> são 35 anos de contribuição para homens e 30 anos para mulheres, não havendo requisito de idade mínima.</w:t>
      </w:r>
      <w:r w:rsidR="00B904A6" w:rsidRPr="009A2249">
        <w:rPr>
          <w:rFonts w:ascii="Times New Roman" w:hAnsi="Times New Roman"/>
          <w:sz w:val="24"/>
          <w:szCs w:val="24"/>
        </w:rPr>
        <w:t xml:space="preserve"> </w:t>
      </w:r>
      <w:r w:rsidRPr="009A2249">
        <w:rPr>
          <w:rFonts w:ascii="Times New Roman" w:hAnsi="Times New Roman"/>
          <w:sz w:val="24"/>
          <w:szCs w:val="24"/>
        </w:rPr>
        <w:t>Os benefícios são pagos mensalmente</w:t>
      </w:r>
      <w:r w:rsidR="00556E30" w:rsidRPr="009A2249">
        <w:rPr>
          <w:rFonts w:ascii="Times New Roman" w:hAnsi="Times New Roman"/>
          <w:sz w:val="24"/>
          <w:szCs w:val="24"/>
        </w:rPr>
        <w:t xml:space="preserve"> de forma vitalícia. Sua cessação ocorre quando do falecimento</w:t>
      </w:r>
      <w:r w:rsidR="00B904A6" w:rsidRPr="009A2249">
        <w:rPr>
          <w:rFonts w:ascii="Times New Roman" w:hAnsi="Times New Roman"/>
          <w:sz w:val="24"/>
          <w:szCs w:val="24"/>
        </w:rPr>
        <w:t xml:space="preserve"> do segurado</w:t>
      </w:r>
      <w:r w:rsidR="00556E30" w:rsidRPr="009A2249">
        <w:rPr>
          <w:rFonts w:ascii="Times New Roman" w:hAnsi="Times New Roman"/>
          <w:sz w:val="24"/>
          <w:szCs w:val="24"/>
        </w:rPr>
        <w:t xml:space="preserve">, a não ser que este tenha </w:t>
      </w:r>
      <w:proofErr w:type="gramStart"/>
      <w:r w:rsidR="00556E30" w:rsidRPr="009A2249">
        <w:rPr>
          <w:rFonts w:ascii="Times New Roman" w:hAnsi="Times New Roman"/>
          <w:sz w:val="24"/>
          <w:szCs w:val="24"/>
        </w:rPr>
        <w:t>dependentes</w:t>
      </w:r>
      <w:proofErr w:type="gramEnd"/>
      <w:r w:rsidR="00556E30" w:rsidRPr="009A2249">
        <w:rPr>
          <w:rFonts w:ascii="Times New Roman" w:hAnsi="Times New Roman"/>
          <w:sz w:val="24"/>
          <w:szCs w:val="24"/>
        </w:rPr>
        <w:t>. Nesse caso o benefício converte-se em pensão</w:t>
      </w:r>
      <w:r w:rsidR="00B22A2B" w:rsidRPr="009A2249">
        <w:rPr>
          <w:rFonts w:ascii="Times New Roman" w:hAnsi="Times New Roman"/>
          <w:sz w:val="24"/>
          <w:szCs w:val="24"/>
        </w:rPr>
        <w:t xml:space="preserve"> por morte</w:t>
      </w:r>
      <w:r w:rsidR="00556E30" w:rsidRPr="009A2249">
        <w:rPr>
          <w:rFonts w:ascii="Times New Roman" w:hAnsi="Times New Roman"/>
          <w:sz w:val="24"/>
          <w:szCs w:val="24"/>
        </w:rPr>
        <w:t>.</w:t>
      </w:r>
      <w:r w:rsidR="00B904A6" w:rsidRPr="009A2249">
        <w:rPr>
          <w:rFonts w:ascii="Times New Roman" w:hAnsi="Times New Roman"/>
          <w:sz w:val="24"/>
          <w:szCs w:val="24"/>
        </w:rPr>
        <w:t xml:space="preserve"> </w:t>
      </w:r>
      <w:r w:rsidR="00B22A2B" w:rsidRPr="009A2249">
        <w:rPr>
          <w:rFonts w:ascii="Times New Roman" w:hAnsi="Times New Roman"/>
          <w:sz w:val="24"/>
          <w:szCs w:val="24"/>
        </w:rPr>
        <w:t>Desde 1999 o</w:t>
      </w:r>
      <w:r w:rsidR="00B904A6" w:rsidRPr="009A2249">
        <w:rPr>
          <w:rFonts w:ascii="Times New Roman" w:hAnsi="Times New Roman"/>
          <w:sz w:val="24"/>
          <w:szCs w:val="24"/>
        </w:rPr>
        <w:t xml:space="preserve"> valor do </w:t>
      </w:r>
      <w:r w:rsidR="00556E30" w:rsidRPr="009A2249">
        <w:rPr>
          <w:rFonts w:ascii="Times New Roman" w:hAnsi="Times New Roman"/>
          <w:i/>
          <w:sz w:val="24"/>
          <w:szCs w:val="24"/>
        </w:rPr>
        <w:t>Salário-de-Benefício</w:t>
      </w:r>
      <w:r w:rsidR="00B904A6" w:rsidRPr="009A2249">
        <w:rPr>
          <w:rFonts w:ascii="Times New Roman" w:hAnsi="Times New Roman"/>
          <w:sz w:val="24"/>
          <w:szCs w:val="24"/>
        </w:rPr>
        <w:t xml:space="preserve"> </w:t>
      </w:r>
      <w:r w:rsidR="00D13E4B" w:rsidRPr="009A2249">
        <w:rPr>
          <w:rFonts w:ascii="Times New Roman" w:hAnsi="Times New Roman"/>
          <w:i/>
          <w:sz w:val="24"/>
          <w:szCs w:val="24"/>
        </w:rPr>
        <w:t>SB</w:t>
      </w:r>
      <w:r w:rsidR="00D13E4B" w:rsidRPr="009A2249">
        <w:rPr>
          <w:rFonts w:ascii="Times New Roman" w:hAnsi="Times New Roman"/>
          <w:sz w:val="24"/>
          <w:szCs w:val="24"/>
        </w:rPr>
        <w:t xml:space="preserve"> </w:t>
      </w:r>
      <w:r w:rsidR="00556E30" w:rsidRPr="009A2249">
        <w:rPr>
          <w:rFonts w:ascii="Times New Roman" w:hAnsi="Times New Roman"/>
          <w:sz w:val="24"/>
          <w:szCs w:val="24"/>
        </w:rPr>
        <w:t xml:space="preserve">é calculado por meio da multiplicação da média aritmética </w:t>
      </w:r>
      <w:r w:rsidR="00556E30" w:rsidRPr="009A2249">
        <w:rPr>
          <w:rFonts w:ascii="Times New Roman" w:hAnsi="Times New Roman"/>
          <w:i/>
          <w:sz w:val="24"/>
          <w:szCs w:val="24"/>
        </w:rPr>
        <w:t>M</w:t>
      </w:r>
      <w:r w:rsidR="00556E30" w:rsidRPr="009A2249">
        <w:rPr>
          <w:rFonts w:ascii="Times New Roman" w:hAnsi="Times New Roman"/>
          <w:sz w:val="24"/>
          <w:szCs w:val="24"/>
        </w:rPr>
        <w:t xml:space="preserve"> dos 80% maiores salários de contribuição pelo Fator Previdenciário </w:t>
      </w:r>
      <w:r w:rsidR="00556E30" w:rsidRPr="009A2249">
        <w:rPr>
          <w:rFonts w:ascii="Times New Roman" w:hAnsi="Times New Roman"/>
          <w:i/>
          <w:sz w:val="24"/>
          <w:szCs w:val="24"/>
        </w:rPr>
        <w:t>f</w:t>
      </w:r>
      <w:r w:rsidR="00556E30" w:rsidRPr="009A2249">
        <w:rPr>
          <w:rFonts w:ascii="Times New Roman" w:hAnsi="Times New Roman"/>
          <w:sz w:val="24"/>
          <w:szCs w:val="24"/>
        </w:rPr>
        <w:t xml:space="preserve">, </w:t>
      </w:r>
      <w:r w:rsidR="00B904A6" w:rsidRPr="009A2249">
        <w:rPr>
          <w:rFonts w:ascii="Times New Roman" w:hAnsi="Times New Roman"/>
          <w:sz w:val="24"/>
          <w:szCs w:val="24"/>
        </w:rPr>
        <w:t xml:space="preserve">conforme </w:t>
      </w:r>
      <w:r w:rsidR="00556E30" w:rsidRPr="009A2249">
        <w:rPr>
          <w:rFonts w:ascii="Times New Roman" w:hAnsi="Times New Roman"/>
          <w:sz w:val="24"/>
          <w:szCs w:val="24"/>
        </w:rPr>
        <w:t xml:space="preserve">apresentado na </w:t>
      </w:r>
      <w:r w:rsidR="00125235" w:rsidRPr="009A2249">
        <w:rPr>
          <w:rFonts w:ascii="Times New Roman" w:hAnsi="Times New Roman"/>
          <w:sz w:val="24"/>
          <w:szCs w:val="24"/>
        </w:rPr>
        <w:t>E</w:t>
      </w:r>
      <w:r w:rsidR="00B904A6" w:rsidRPr="009A2249">
        <w:rPr>
          <w:rFonts w:ascii="Times New Roman" w:hAnsi="Times New Roman"/>
          <w:sz w:val="24"/>
          <w:szCs w:val="24"/>
        </w:rPr>
        <w:t xml:space="preserve">quação </w:t>
      </w:r>
      <w:proofErr w:type="gramStart"/>
      <w:r w:rsidR="00534C4E" w:rsidRPr="009A2249">
        <w:rPr>
          <w:rFonts w:ascii="Times New Roman" w:hAnsi="Times New Roman"/>
          <w:sz w:val="24"/>
          <w:szCs w:val="24"/>
        </w:rPr>
        <w:t>4</w:t>
      </w:r>
      <w:proofErr w:type="gramEnd"/>
      <w:r w:rsidR="00B904A6" w:rsidRPr="009A2249">
        <w:rPr>
          <w:rFonts w:ascii="Times New Roman" w:hAnsi="Times New Roman"/>
          <w:sz w:val="24"/>
          <w:szCs w:val="24"/>
        </w:rPr>
        <w:t>.</w:t>
      </w:r>
    </w:p>
    <w:p w:rsidR="00B904A6" w:rsidRPr="009A2249" w:rsidRDefault="00B904A6" w:rsidP="00EB193C">
      <w:pPr>
        <w:spacing w:after="120" w:line="240" w:lineRule="auto"/>
        <w:ind w:firstLine="709"/>
        <w:jc w:val="right"/>
        <w:rPr>
          <w:rFonts w:ascii="Cambria Math" w:hAnsi="Cambria Math"/>
          <w:i/>
          <w:sz w:val="26"/>
          <w:szCs w:val="26"/>
        </w:rPr>
      </w:pPr>
      <m:oMath>
        <m:r>
          <w:rPr>
            <w:rFonts w:ascii="Cambria Math" w:hAnsi="Cambria Math"/>
            <w:sz w:val="26"/>
            <w:szCs w:val="26"/>
          </w:rPr>
          <m:t>SB= M×f.</m:t>
        </m:r>
      </m:oMath>
      <w:r w:rsidR="005D49B6"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6"/>
          <w:szCs w:val="26"/>
        </w:rPr>
        <w:tab/>
      </w:r>
      <w:r w:rsidRPr="009A2249">
        <w:rPr>
          <w:rFonts w:ascii="Times New Roman" w:hAnsi="Times New Roman"/>
          <w:sz w:val="24"/>
          <w:szCs w:val="24"/>
        </w:rPr>
        <w:t>(</w:t>
      </w:r>
      <w:r w:rsidR="00FE60AC" w:rsidRPr="009A2249">
        <w:rPr>
          <w:rFonts w:ascii="Times New Roman" w:hAnsi="Times New Roman"/>
          <w:sz w:val="24"/>
          <w:szCs w:val="24"/>
        </w:rPr>
        <w:fldChar w:fldCharType="begin"/>
      </w:r>
      <w:r w:rsidR="00FC5B94"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B22A2B"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fator previdenciário </w:t>
      </w:r>
      <w:r w:rsidR="00B22A2B" w:rsidRPr="009A2249">
        <w:rPr>
          <w:rFonts w:ascii="Times New Roman" w:hAnsi="Times New Roman"/>
          <w:i/>
          <w:sz w:val="24"/>
          <w:szCs w:val="24"/>
        </w:rPr>
        <w:t>f</w:t>
      </w:r>
      <w:r w:rsidR="00B22A2B" w:rsidRPr="009A2249">
        <w:rPr>
          <w:rFonts w:ascii="Times New Roman" w:hAnsi="Times New Roman"/>
          <w:sz w:val="24"/>
          <w:szCs w:val="24"/>
        </w:rPr>
        <w:t xml:space="preserve">, apresentado na </w:t>
      </w:r>
      <w:r w:rsidR="00125235" w:rsidRPr="009A2249">
        <w:rPr>
          <w:rFonts w:ascii="Times New Roman" w:hAnsi="Times New Roman"/>
          <w:sz w:val="24"/>
          <w:szCs w:val="24"/>
        </w:rPr>
        <w:t>E</w:t>
      </w:r>
      <w:r w:rsidR="00B22A2B" w:rsidRPr="009A2249">
        <w:rPr>
          <w:rFonts w:ascii="Times New Roman" w:hAnsi="Times New Roman"/>
          <w:sz w:val="24"/>
          <w:szCs w:val="24"/>
        </w:rPr>
        <w:t xml:space="preserve">quação </w:t>
      </w:r>
      <w:proofErr w:type="gramStart"/>
      <w:r w:rsidR="00534C4E" w:rsidRPr="009A2249">
        <w:rPr>
          <w:rFonts w:ascii="Times New Roman" w:hAnsi="Times New Roman"/>
          <w:sz w:val="24"/>
          <w:szCs w:val="24"/>
        </w:rPr>
        <w:t>5</w:t>
      </w:r>
      <w:proofErr w:type="gramEnd"/>
      <w:r w:rsidR="00B22A2B" w:rsidRPr="009A2249">
        <w:rPr>
          <w:rFonts w:ascii="Times New Roman" w:hAnsi="Times New Roman"/>
          <w:sz w:val="24"/>
          <w:szCs w:val="24"/>
        </w:rPr>
        <w:t xml:space="preserve">, </w:t>
      </w:r>
      <w:r w:rsidRPr="009A2249">
        <w:rPr>
          <w:rFonts w:ascii="Times New Roman" w:hAnsi="Times New Roman"/>
          <w:sz w:val="24"/>
          <w:szCs w:val="24"/>
        </w:rPr>
        <w:t xml:space="preserve">é uma </w:t>
      </w:r>
      <w:r w:rsidR="00B22A2B" w:rsidRPr="009A2249">
        <w:rPr>
          <w:rFonts w:ascii="Times New Roman" w:hAnsi="Times New Roman"/>
          <w:sz w:val="24"/>
          <w:szCs w:val="24"/>
        </w:rPr>
        <w:t>formulação</w:t>
      </w:r>
      <w:r w:rsidRPr="009A2249">
        <w:rPr>
          <w:rFonts w:ascii="Times New Roman" w:hAnsi="Times New Roman"/>
          <w:sz w:val="24"/>
          <w:szCs w:val="24"/>
        </w:rPr>
        <w:t xml:space="preserve"> </w:t>
      </w:r>
      <w:r w:rsidR="00B22A2B" w:rsidRPr="009A2249">
        <w:rPr>
          <w:rFonts w:ascii="Times New Roman" w:hAnsi="Times New Roman"/>
          <w:i/>
          <w:sz w:val="24"/>
          <w:szCs w:val="24"/>
        </w:rPr>
        <w:t>ad hoc</w:t>
      </w:r>
      <w:r w:rsidR="00B22A2B" w:rsidRPr="009A2249">
        <w:rPr>
          <w:rFonts w:ascii="Times New Roman" w:hAnsi="Times New Roman"/>
          <w:sz w:val="24"/>
          <w:szCs w:val="24"/>
        </w:rPr>
        <w:t xml:space="preserve">, apresentada no Decreto 3265/1999. Nesta expressão </w:t>
      </w:r>
      <w:r w:rsidR="00B22A2B" w:rsidRPr="009A2249">
        <w:rPr>
          <w:rFonts w:ascii="Times New Roman" w:hAnsi="Times New Roman"/>
          <w:i/>
          <w:sz w:val="24"/>
          <w:szCs w:val="24"/>
        </w:rPr>
        <w:t>Tc</w:t>
      </w:r>
      <w:r w:rsidR="0073445C" w:rsidRPr="009A2249">
        <w:rPr>
          <w:rFonts w:ascii="Times New Roman" w:hAnsi="Times New Roman"/>
          <w:sz w:val="24"/>
          <w:szCs w:val="24"/>
        </w:rPr>
        <w:t>,</w:t>
      </w:r>
      <w:r w:rsidR="00B22A2B" w:rsidRPr="009A2249">
        <w:rPr>
          <w:rFonts w:ascii="Times New Roman" w:hAnsi="Times New Roman"/>
          <w:sz w:val="24"/>
          <w:szCs w:val="24"/>
        </w:rPr>
        <w:t xml:space="preserve"> i</w:t>
      </w:r>
      <w:r w:rsidR="0073445C" w:rsidRPr="009A2249">
        <w:rPr>
          <w:rFonts w:ascii="Times New Roman" w:hAnsi="Times New Roman"/>
          <w:sz w:val="24"/>
          <w:szCs w:val="24"/>
        </w:rPr>
        <w:t>,</w:t>
      </w:r>
      <w:r w:rsidR="00B22A2B" w:rsidRPr="009A2249">
        <w:rPr>
          <w:rFonts w:ascii="Times New Roman" w:hAnsi="Times New Roman"/>
          <w:sz w:val="24"/>
          <w:szCs w:val="24"/>
        </w:rPr>
        <w:t xml:space="preserve"> </w:t>
      </w:r>
      <w:r w:rsidR="00B22A2B" w:rsidRPr="009A2249">
        <w:rPr>
          <w:rFonts w:ascii="Times New Roman" w:hAnsi="Times New Roman"/>
          <w:i/>
          <w:sz w:val="24"/>
          <w:szCs w:val="24"/>
        </w:rPr>
        <w:t>Id</w:t>
      </w:r>
      <w:r w:rsidR="00B22A2B" w:rsidRPr="009A2249">
        <w:rPr>
          <w:rFonts w:ascii="Times New Roman" w:hAnsi="Times New Roman"/>
          <w:sz w:val="24"/>
          <w:szCs w:val="24"/>
        </w:rPr>
        <w:t xml:space="preserve"> são, respectivamente, o tempo de contribuição e a idade quando do pedido de aposentadoria, </w:t>
      </w:r>
      <w:r w:rsidR="00B22A2B" w:rsidRPr="009A2249">
        <w:rPr>
          <w:rFonts w:ascii="Times New Roman" w:hAnsi="Times New Roman"/>
          <w:i/>
          <w:sz w:val="24"/>
          <w:szCs w:val="24"/>
        </w:rPr>
        <w:t>a</w:t>
      </w:r>
      <w:r w:rsidR="00B22A2B" w:rsidRPr="009A2249">
        <w:rPr>
          <w:rFonts w:ascii="Times New Roman" w:hAnsi="Times New Roman"/>
          <w:sz w:val="24"/>
          <w:szCs w:val="24"/>
        </w:rPr>
        <w:t xml:space="preserve"> é alíquota de contribuição (de valor igual a 0,31 para todos os segurados) e </w:t>
      </w:r>
      <w:proofErr w:type="gramStart"/>
      <w:r w:rsidR="00B22A2B" w:rsidRPr="009A2249">
        <w:rPr>
          <w:rFonts w:ascii="Times New Roman" w:hAnsi="Times New Roman"/>
          <w:i/>
          <w:sz w:val="24"/>
          <w:szCs w:val="24"/>
        </w:rPr>
        <w:t>Es</w:t>
      </w:r>
      <w:proofErr w:type="gramEnd"/>
      <w:r w:rsidR="00B22A2B" w:rsidRPr="009A2249">
        <w:rPr>
          <w:rFonts w:ascii="Times New Roman" w:hAnsi="Times New Roman"/>
          <w:sz w:val="24"/>
          <w:szCs w:val="24"/>
        </w:rPr>
        <w:t xml:space="preserve"> é a expectativa de sobrevida para ambos os sexos, calculado anualmente pelo IBGE.</w:t>
      </w:r>
    </w:p>
    <w:p w:rsidR="00B904A6" w:rsidRPr="009A2249" w:rsidRDefault="00B904A6" w:rsidP="00EB193C">
      <w:pPr>
        <w:spacing w:after="120" w:line="240" w:lineRule="auto"/>
        <w:ind w:firstLine="709"/>
        <w:jc w:val="right"/>
        <w:rPr>
          <w:rFonts w:ascii="Cambria Math" w:hAnsi="Cambria Math"/>
          <w:i/>
          <w:sz w:val="26"/>
          <w:szCs w:val="26"/>
        </w:rPr>
      </w:pPr>
      <m:oMath>
        <m:r>
          <w:rPr>
            <w:rFonts w:ascii="Cambria Math" w:hAnsi="Cambria Math"/>
            <w:sz w:val="26"/>
            <w:szCs w:val="26"/>
          </w:rPr>
          <m:t>f=</m:t>
        </m:r>
        <m:f>
          <m:fPr>
            <m:ctrlPr>
              <w:rPr>
                <w:rFonts w:ascii="Cambria Math" w:hAnsi="Cambria Math"/>
                <w:i/>
                <w:sz w:val="26"/>
                <w:szCs w:val="26"/>
              </w:rPr>
            </m:ctrlPr>
          </m:fPr>
          <m:num>
            <m:r>
              <w:rPr>
                <w:rFonts w:ascii="Cambria Math" w:hAnsi="Cambria Math"/>
                <w:sz w:val="26"/>
                <w:szCs w:val="26"/>
              </w:rPr>
              <m:t>Tc×a</m:t>
            </m:r>
          </m:num>
          <m:den>
            <m:r>
              <w:rPr>
                <w:rFonts w:ascii="Cambria Math" w:hAnsi="Cambria Math"/>
                <w:sz w:val="26"/>
                <w:szCs w:val="26"/>
              </w:rPr>
              <m:t>Es</m:t>
            </m:r>
          </m:den>
        </m:f>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 xml:space="preserve">1+ </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Id+Tc×a</m:t>
                    </m:r>
                  </m:e>
                </m:d>
              </m:num>
              <m:den>
                <m:r>
                  <w:rPr>
                    <w:rFonts w:ascii="Cambria Math" w:hAnsi="Cambria Math"/>
                    <w:sz w:val="26"/>
                    <w:szCs w:val="26"/>
                  </w:rPr>
                  <m:t>100</m:t>
                </m:r>
              </m:den>
            </m:f>
          </m:e>
        </m:d>
      </m:oMath>
      <w:r w:rsidR="005D49B6" w:rsidRPr="009A2249">
        <w:rPr>
          <w:rFonts w:ascii="Cambria Math" w:hAnsi="Cambria Math"/>
          <w:i/>
          <w:sz w:val="26"/>
          <w:szCs w:val="26"/>
        </w:rPr>
        <w:t>.</w:t>
      </w:r>
      <w:r w:rsidR="00EB193C" w:rsidRPr="009A2249">
        <w:rPr>
          <w:rFonts w:ascii="Cambria Math" w:hAnsi="Cambria Math"/>
          <w:i/>
          <w:sz w:val="26"/>
          <w:szCs w:val="26"/>
        </w:rPr>
        <w:tab/>
      </w:r>
      <w:r w:rsidR="00EB193C" w:rsidRPr="009A2249">
        <w:rPr>
          <w:rFonts w:ascii="Cambria Math" w:hAnsi="Cambria Math"/>
          <w:i/>
          <w:sz w:val="26"/>
          <w:szCs w:val="26"/>
        </w:rPr>
        <w:tab/>
      </w:r>
      <w:r w:rsidR="00EB193C" w:rsidRPr="009A2249">
        <w:rPr>
          <w:rFonts w:ascii="Cambria Math" w:hAnsi="Cambria Math"/>
          <w:i/>
          <w:sz w:val="26"/>
          <w:szCs w:val="26"/>
        </w:rPr>
        <w:tab/>
      </w:r>
      <w:r w:rsidRPr="009A2249">
        <w:rPr>
          <w:rFonts w:ascii="Cambria Math" w:hAnsi="Cambria Math"/>
          <w:i/>
          <w:sz w:val="26"/>
          <w:szCs w:val="26"/>
        </w:rPr>
        <w:tab/>
      </w:r>
      <w:proofErr w:type="gramStart"/>
      <w:r w:rsidRPr="009A2249">
        <w:rPr>
          <w:rFonts w:ascii="Times New Roman" w:hAnsi="Times New Roman"/>
          <w:sz w:val="24"/>
          <w:szCs w:val="24"/>
        </w:rPr>
        <w:t>(</w:t>
      </w:r>
      <w:proofErr w:type="gramEnd"/>
      <w:r w:rsidR="00FE60AC" w:rsidRPr="009A2249">
        <w:rPr>
          <w:rFonts w:ascii="Times New Roman" w:hAnsi="Times New Roman"/>
          <w:sz w:val="24"/>
          <w:szCs w:val="24"/>
        </w:rPr>
        <w:fldChar w:fldCharType="begin"/>
      </w:r>
      <w:r w:rsidR="00FC5B94"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363C86" w:rsidRPr="009A2249" w:rsidRDefault="00211F0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lastRenderedPageBreak/>
        <w:t xml:space="preserve">Combinando as </w:t>
      </w:r>
      <w:r w:rsidR="00776F86">
        <w:rPr>
          <w:rFonts w:ascii="Times New Roman" w:hAnsi="Times New Roman"/>
          <w:sz w:val="24"/>
          <w:szCs w:val="24"/>
        </w:rPr>
        <w:t>E</w:t>
      </w:r>
      <w:r w:rsidRPr="009A2249">
        <w:rPr>
          <w:rFonts w:ascii="Times New Roman" w:hAnsi="Times New Roman"/>
          <w:sz w:val="24"/>
          <w:szCs w:val="24"/>
        </w:rPr>
        <w:t xml:space="preserve">quações </w:t>
      </w:r>
      <w:proofErr w:type="gramStart"/>
      <w:r w:rsidR="005B51A9">
        <w:rPr>
          <w:rFonts w:ascii="Times New Roman" w:hAnsi="Times New Roman"/>
          <w:sz w:val="24"/>
          <w:szCs w:val="24"/>
        </w:rPr>
        <w:t>4</w:t>
      </w:r>
      <w:proofErr w:type="gramEnd"/>
      <w:r w:rsidRPr="009A2249">
        <w:rPr>
          <w:rFonts w:ascii="Times New Roman" w:hAnsi="Times New Roman"/>
          <w:sz w:val="24"/>
          <w:szCs w:val="24"/>
        </w:rPr>
        <w:t xml:space="preserve"> e </w:t>
      </w:r>
      <w:r w:rsidR="005B51A9">
        <w:rPr>
          <w:rFonts w:ascii="Times New Roman" w:hAnsi="Times New Roman"/>
          <w:sz w:val="24"/>
          <w:szCs w:val="24"/>
        </w:rPr>
        <w:t>5</w:t>
      </w:r>
      <w:r w:rsidRPr="009A2249">
        <w:rPr>
          <w:rFonts w:ascii="Times New Roman" w:hAnsi="Times New Roman"/>
          <w:sz w:val="24"/>
          <w:szCs w:val="24"/>
        </w:rPr>
        <w:t xml:space="preserve">, tem-se a expressão para o cálculo do valor do Salário-de-Benefício </w:t>
      </w:r>
      <w:r w:rsidRPr="009A2249">
        <w:rPr>
          <w:rFonts w:ascii="Times New Roman" w:hAnsi="Times New Roman"/>
          <w:i/>
          <w:sz w:val="24"/>
          <w:szCs w:val="24"/>
        </w:rPr>
        <w:t>SB</w:t>
      </w:r>
      <w:r w:rsidRPr="009A2249">
        <w:rPr>
          <w:rFonts w:ascii="Times New Roman" w:hAnsi="Times New Roman"/>
          <w:sz w:val="24"/>
          <w:szCs w:val="24"/>
        </w:rPr>
        <w:t xml:space="preserve"> dada pela expressão 6.</w:t>
      </w:r>
      <w:r w:rsidR="00FF6A3B" w:rsidRPr="009A2249">
        <w:rPr>
          <w:rFonts w:ascii="Times New Roman" w:hAnsi="Times New Roman"/>
          <w:sz w:val="24"/>
          <w:szCs w:val="24"/>
        </w:rPr>
        <w:t xml:space="preserve"> </w:t>
      </w:r>
      <w:r w:rsidR="00BE76BA" w:rsidRPr="009A2249">
        <w:rPr>
          <w:rFonts w:ascii="Times New Roman" w:hAnsi="Times New Roman"/>
          <w:sz w:val="24"/>
          <w:szCs w:val="24"/>
        </w:rPr>
        <w:t>O</w:t>
      </w:r>
      <w:r w:rsidR="00FF6A3B" w:rsidRPr="009A2249">
        <w:rPr>
          <w:rFonts w:ascii="Times New Roman" w:hAnsi="Times New Roman"/>
          <w:sz w:val="24"/>
          <w:szCs w:val="24"/>
        </w:rPr>
        <w:t xml:space="preserve"> valor do Salário-de-Benefício está sujeito ao mesmo limite que o Salário-</w:t>
      </w:r>
      <w:r w:rsidR="00C50F66">
        <w:rPr>
          <w:rFonts w:ascii="Times New Roman" w:hAnsi="Times New Roman"/>
          <w:sz w:val="24"/>
          <w:szCs w:val="24"/>
        </w:rPr>
        <w:t>de-</w:t>
      </w:r>
      <w:r w:rsidR="00FF6A3B" w:rsidRPr="009A2249">
        <w:rPr>
          <w:rFonts w:ascii="Times New Roman" w:hAnsi="Times New Roman"/>
          <w:sz w:val="24"/>
          <w:szCs w:val="24"/>
        </w:rPr>
        <w:t xml:space="preserve">Contribuição (R$ </w:t>
      </w:r>
      <w:r w:rsidR="0073445C" w:rsidRPr="009A2249">
        <w:rPr>
          <w:rFonts w:ascii="Times New Roman" w:hAnsi="Times New Roman"/>
          <w:sz w:val="24"/>
          <w:szCs w:val="24"/>
        </w:rPr>
        <w:t>4.159</w:t>
      </w:r>
      <w:r w:rsidR="00FF6A3B" w:rsidRPr="009A2249">
        <w:rPr>
          <w:rFonts w:ascii="Times New Roman" w:hAnsi="Times New Roman"/>
          <w:sz w:val="24"/>
          <w:szCs w:val="24"/>
        </w:rPr>
        <w:t>,</w:t>
      </w:r>
      <w:r w:rsidR="0073445C" w:rsidRPr="009A2249">
        <w:rPr>
          <w:rFonts w:ascii="Times New Roman" w:hAnsi="Times New Roman"/>
          <w:sz w:val="24"/>
          <w:szCs w:val="24"/>
        </w:rPr>
        <w:t>0</w:t>
      </w:r>
      <w:r w:rsidR="00FF6A3B" w:rsidRPr="009A2249">
        <w:rPr>
          <w:rFonts w:ascii="Times New Roman" w:hAnsi="Times New Roman"/>
          <w:sz w:val="24"/>
          <w:szCs w:val="24"/>
        </w:rPr>
        <w:t>0), conforme apresentado na Tabela 1.</w:t>
      </w:r>
    </w:p>
    <w:p w:rsidR="00363C86" w:rsidRPr="009A2249" w:rsidRDefault="00363C86" w:rsidP="00EB193C">
      <w:pPr>
        <w:spacing w:after="120" w:line="240" w:lineRule="auto"/>
        <w:ind w:firstLine="709"/>
        <w:jc w:val="right"/>
        <w:rPr>
          <w:rFonts w:ascii="Cambria Math" w:hAnsi="Cambria Math"/>
          <w:sz w:val="26"/>
          <w:szCs w:val="26"/>
        </w:rPr>
      </w:pPr>
      <m:oMath>
        <m:r>
          <w:rPr>
            <w:rFonts w:ascii="Cambria Math" w:hAnsi="Cambria Math"/>
            <w:sz w:val="26"/>
            <w:szCs w:val="26"/>
          </w:rPr>
          <m:t>SB= M×</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Tc×a</m:t>
                </m:r>
              </m:num>
              <m:den>
                <m:r>
                  <w:rPr>
                    <w:rFonts w:ascii="Cambria Math" w:hAnsi="Cambria Math"/>
                    <w:sz w:val="26"/>
                    <w:szCs w:val="26"/>
                  </w:rPr>
                  <m:t>Es</m:t>
                </m:r>
              </m:den>
            </m:f>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 xml:space="preserve">1+ </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Id+Tc×a</m:t>
                        </m:r>
                      </m:e>
                    </m:d>
                  </m:num>
                  <m:den>
                    <m:r>
                      <w:rPr>
                        <w:rFonts w:ascii="Cambria Math" w:hAnsi="Cambria Math"/>
                        <w:sz w:val="26"/>
                        <w:szCs w:val="26"/>
                      </w:rPr>
                      <m:t>100</m:t>
                    </m:r>
                  </m:den>
                </m:f>
              </m:e>
            </m:d>
          </m:e>
        </m:d>
      </m:oMath>
      <w:r w:rsidRPr="009A2249">
        <w:rPr>
          <w:rFonts w:ascii="Cambria Math" w:hAnsi="Cambria Math"/>
          <w:i/>
          <w:sz w:val="26"/>
          <w:szCs w:val="26"/>
        </w:rPr>
        <w:t xml:space="preserve"> </w:t>
      </w:r>
      <w:r w:rsidR="005D3C28" w:rsidRPr="009A2249">
        <w:rPr>
          <w:rFonts w:ascii="Cambria Math" w:hAnsi="Cambria Math"/>
          <w:i/>
          <w:sz w:val="26"/>
          <w:szCs w:val="26"/>
        </w:rPr>
        <w:t>.</w:t>
      </w:r>
      <w:r w:rsidR="00EB193C" w:rsidRPr="009A2249">
        <w:rPr>
          <w:rFonts w:ascii="Cambria Math" w:hAnsi="Cambria Math"/>
          <w:i/>
          <w:sz w:val="26"/>
          <w:szCs w:val="26"/>
        </w:rPr>
        <w:tab/>
      </w:r>
      <w:r w:rsidR="00EB193C" w:rsidRPr="009A2249">
        <w:rPr>
          <w:rFonts w:ascii="Cambria Math" w:hAnsi="Cambria Math"/>
          <w:i/>
          <w:sz w:val="26"/>
          <w:szCs w:val="26"/>
        </w:rPr>
        <w:tab/>
      </w:r>
      <w:r w:rsidRPr="009A2249">
        <w:rPr>
          <w:rFonts w:ascii="Cambria Math" w:hAnsi="Cambria Math"/>
          <w:i/>
          <w:sz w:val="26"/>
          <w:szCs w:val="26"/>
        </w:rPr>
        <w:tab/>
      </w:r>
      <w:proofErr w:type="gramStart"/>
      <w:r w:rsidRPr="009A2249">
        <w:rPr>
          <w:rFonts w:ascii="Times New Roman" w:hAnsi="Times New Roman"/>
          <w:sz w:val="26"/>
          <w:szCs w:val="26"/>
        </w:rPr>
        <w:t>(</w:t>
      </w:r>
      <w:proofErr w:type="gramEnd"/>
      <w:r w:rsidR="00FE60AC" w:rsidRPr="009A2249">
        <w:rPr>
          <w:rFonts w:ascii="Times New Roman" w:hAnsi="Times New Roman"/>
          <w:sz w:val="26"/>
          <w:szCs w:val="26"/>
        </w:rPr>
        <w:fldChar w:fldCharType="begin"/>
      </w:r>
      <w:r w:rsidR="00FC5B94" w:rsidRPr="009A2249">
        <w:rPr>
          <w:rFonts w:ascii="Times New Roman" w:hAnsi="Times New Roman"/>
          <w:sz w:val="26"/>
          <w:szCs w:val="26"/>
        </w:rPr>
        <w:instrText xml:space="preserve"> AUTONUMLGL  \* Arabic \e </w:instrText>
      </w:r>
      <w:r w:rsidR="00FE60AC" w:rsidRPr="009A2249">
        <w:rPr>
          <w:rFonts w:ascii="Times New Roman" w:hAnsi="Times New Roman"/>
          <w:sz w:val="26"/>
          <w:szCs w:val="26"/>
        </w:rPr>
        <w:fldChar w:fldCharType="end"/>
      </w:r>
      <w:r w:rsidRPr="009A2249">
        <w:rPr>
          <w:rFonts w:ascii="Times New Roman" w:hAnsi="Times New Roman"/>
          <w:sz w:val="26"/>
          <w:szCs w:val="26"/>
        </w:rPr>
        <w:t>)</w:t>
      </w:r>
    </w:p>
    <w:p w:rsidR="003F6FDF" w:rsidRPr="009A2249" w:rsidRDefault="00363C8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w:t>
      </w:r>
      <w:r w:rsidR="003F6FDF" w:rsidRPr="009A2249">
        <w:rPr>
          <w:rFonts w:ascii="Times New Roman" w:hAnsi="Times New Roman"/>
          <w:sz w:val="24"/>
          <w:szCs w:val="24"/>
        </w:rPr>
        <w:t>fator</w:t>
      </w:r>
      <w:r w:rsidR="005D3C28" w:rsidRPr="009A2249">
        <w:rPr>
          <w:rFonts w:ascii="Times New Roman" w:hAnsi="Times New Roman"/>
          <w:sz w:val="24"/>
          <w:szCs w:val="24"/>
        </w:rPr>
        <w:t xml:space="preserve"> previdenciário</w:t>
      </w:r>
      <w:r w:rsidR="003F6FDF" w:rsidRPr="009A2249">
        <w:rPr>
          <w:rFonts w:ascii="Times New Roman" w:hAnsi="Times New Roman"/>
          <w:sz w:val="24"/>
          <w:szCs w:val="24"/>
        </w:rPr>
        <w:t xml:space="preserve"> </w:t>
      </w:r>
      <w:r w:rsidRPr="009A2249">
        <w:rPr>
          <w:rFonts w:ascii="Times New Roman" w:hAnsi="Times New Roman"/>
          <w:sz w:val="24"/>
          <w:szCs w:val="24"/>
        </w:rPr>
        <w:t>tem</w:t>
      </w:r>
      <w:r w:rsidR="003F6FDF" w:rsidRPr="009A2249">
        <w:rPr>
          <w:rFonts w:ascii="Times New Roman" w:hAnsi="Times New Roman"/>
          <w:sz w:val="24"/>
          <w:szCs w:val="24"/>
        </w:rPr>
        <w:t xml:space="preserve"> </w:t>
      </w:r>
      <w:r w:rsidRPr="009A2249">
        <w:rPr>
          <w:rFonts w:ascii="Times New Roman" w:hAnsi="Times New Roman"/>
          <w:sz w:val="24"/>
          <w:szCs w:val="24"/>
        </w:rPr>
        <w:t>por objetivo aumentar o grau de</w:t>
      </w:r>
      <w:r w:rsidR="003F6FDF" w:rsidRPr="009A2249">
        <w:rPr>
          <w:rFonts w:ascii="Times New Roman" w:hAnsi="Times New Roman"/>
          <w:sz w:val="24"/>
          <w:szCs w:val="24"/>
        </w:rPr>
        <w:t xml:space="preserve"> justiça atuarial </w:t>
      </w:r>
      <w:r w:rsidRPr="009A2249">
        <w:rPr>
          <w:rFonts w:ascii="Times New Roman" w:hAnsi="Times New Roman"/>
          <w:sz w:val="24"/>
          <w:szCs w:val="24"/>
        </w:rPr>
        <w:t xml:space="preserve">(nos termos de </w:t>
      </w:r>
      <w:proofErr w:type="spellStart"/>
      <w:r w:rsidR="00C55C92">
        <w:rPr>
          <w:rFonts w:ascii="Times New Roman" w:hAnsi="Times New Roman"/>
          <w:sz w:val="24"/>
          <w:szCs w:val="24"/>
        </w:rPr>
        <w:t>Queisser</w:t>
      </w:r>
      <w:proofErr w:type="spellEnd"/>
      <w:r w:rsidR="00C55C92">
        <w:rPr>
          <w:rFonts w:ascii="Times New Roman" w:hAnsi="Times New Roman"/>
          <w:sz w:val="24"/>
          <w:szCs w:val="24"/>
        </w:rPr>
        <w:t xml:space="preserve"> e </w:t>
      </w:r>
      <w:proofErr w:type="spellStart"/>
      <w:r w:rsidR="00C55C92">
        <w:rPr>
          <w:rFonts w:ascii="Times New Roman" w:hAnsi="Times New Roman"/>
          <w:sz w:val="24"/>
          <w:szCs w:val="24"/>
        </w:rPr>
        <w:t>Whitehouse</w:t>
      </w:r>
      <w:proofErr w:type="spellEnd"/>
      <w:r w:rsidR="00C55C92">
        <w:rPr>
          <w:rFonts w:ascii="Times New Roman" w:hAnsi="Times New Roman"/>
          <w:sz w:val="24"/>
          <w:szCs w:val="24"/>
        </w:rPr>
        <w:t>, 2006</w:t>
      </w:r>
      <w:r w:rsidRPr="009A2249">
        <w:rPr>
          <w:rFonts w:ascii="Times New Roman" w:hAnsi="Times New Roman"/>
          <w:sz w:val="24"/>
          <w:szCs w:val="24"/>
        </w:rPr>
        <w:t>) das</w:t>
      </w:r>
      <w:r w:rsidR="003F6FDF" w:rsidRPr="009A2249">
        <w:rPr>
          <w:rFonts w:ascii="Times New Roman" w:hAnsi="Times New Roman"/>
          <w:sz w:val="24"/>
          <w:szCs w:val="24"/>
        </w:rPr>
        <w:t xml:space="preserve"> aposentadorias</w:t>
      </w:r>
      <w:r w:rsidRPr="009A2249">
        <w:rPr>
          <w:rFonts w:ascii="Times New Roman" w:hAnsi="Times New Roman"/>
          <w:sz w:val="24"/>
          <w:szCs w:val="24"/>
        </w:rPr>
        <w:t xml:space="preserve"> concedidas pelo INSS</w:t>
      </w:r>
      <w:r w:rsidR="003F6FDF" w:rsidRPr="009A2249">
        <w:rPr>
          <w:rStyle w:val="Refdenotaderodap"/>
          <w:rFonts w:ascii="Times New Roman" w:hAnsi="Times New Roman"/>
          <w:sz w:val="24"/>
          <w:szCs w:val="24"/>
        </w:rPr>
        <w:footnoteReference w:id="5"/>
      </w:r>
      <w:r w:rsidRPr="009A2249">
        <w:rPr>
          <w:rFonts w:ascii="Times New Roman" w:hAnsi="Times New Roman"/>
          <w:sz w:val="24"/>
          <w:szCs w:val="24"/>
        </w:rPr>
        <w:t>. Quanto mais o segurado postergar sua aposentadoria, mais elevado será o fator e, portanto, o valor do benefício</w:t>
      </w:r>
      <w:r w:rsidR="003F6FDF" w:rsidRPr="009A2249">
        <w:rPr>
          <w:rFonts w:ascii="Times New Roman" w:hAnsi="Times New Roman"/>
          <w:sz w:val="24"/>
          <w:szCs w:val="24"/>
        </w:rPr>
        <w:t xml:space="preserve">. </w:t>
      </w:r>
      <w:r w:rsidRPr="009A2249">
        <w:rPr>
          <w:rFonts w:ascii="Times New Roman" w:hAnsi="Times New Roman"/>
          <w:sz w:val="24"/>
          <w:szCs w:val="24"/>
        </w:rPr>
        <w:t>De forma oposta, aposentadorias mais precoces (atendendo os requisitos mínimos) implicam em benefícios de menor valor.</w:t>
      </w:r>
    </w:p>
    <w:p w:rsidR="003F6FDF" w:rsidRPr="009A2249" w:rsidRDefault="00FF6A3B"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Três pontos merecem destaque na formulação do Fator Previdenciário. O primeiro é a diferenciação por gênero. No caso das mulheres, há um acréscimo de </w:t>
      </w:r>
      <w:proofErr w:type="gramStart"/>
      <w:r w:rsidRPr="009A2249">
        <w:rPr>
          <w:rFonts w:ascii="Times New Roman" w:hAnsi="Times New Roman"/>
          <w:sz w:val="24"/>
          <w:szCs w:val="24"/>
        </w:rPr>
        <w:t>5</w:t>
      </w:r>
      <w:proofErr w:type="gramEnd"/>
      <w:r w:rsidRPr="009A2249">
        <w:rPr>
          <w:rFonts w:ascii="Times New Roman" w:hAnsi="Times New Roman"/>
          <w:sz w:val="24"/>
          <w:szCs w:val="24"/>
        </w:rPr>
        <w:t xml:space="preserve"> anos no tempo de contribuição, o que contribui para aumentar o valor de seu benefício. O segundo é a influência da expectativa de sobrevida: por força da lei, o</w:t>
      </w:r>
      <w:r w:rsidR="006E1D31" w:rsidRPr="009A2249">
        <w:rPr>
          <w:rFonts w:ascii="Times New Roman" w:hAnsi="Times New Roman"/>
          <w:sz w:val="24"/>
          <w:szCs w:val="24"/>
        </w:rPr>
        <w:t>s</w:t>
      </w:r>
      <w:r w:rsidRPr="009A2249">
        <w:rPr>
          <w:rFonts w:ascii="Times New Roman" w:hAnsi="Times New Roman"/>
          <w:sz w:val="24"/>
          <w:szCs w:val="24"/>
        </w:rPr>
        <w:t xml:space="preserve"> valor</w:t>
      </w:r>
      <w:r w:rsidR="006E1D31" w:rsidRPr="009A2249">
        <w:rPr>
          <w:rFonts w:ascii="Times New Roman" w:hAnsi="Times New Roman"/>
          <w:sz w:val="24"/>
          <w:szCs w:val="24"/>
        </w:rPr>
        <w:t>es</w:t>
      </w:r>
      <w:r w:rsidRPr="009A2249">
        <w:rPr>
          <w:rFonts w:ascii="Times New Roman" w:hAnsi="Times New Roman"/>
          <w:sz w:val="24"/>
          <w:szCs w:val="24"/>
        </w:rPr>
        <w:t xml:space="preserve"> de </w:t>
      </w:r>
      <w:proofErr w:type="gramStart"/>
      <w:r w:rsidRPr="009A2249">
        <w:rPr>
          <w:rFonts w:ascii="Times New Roman" w:hAnsi="Times New Roman"/>
          <w:i/>
          <w:sz w:val="24"/>
          <w:szCs w:val="24"/>
        </w:rPr>
        <w:t>Es</w:t>
      </w:r>
      <w:proofErr w:type="gramEnd"/>
      <w:r w:rsidRPr="009A2249">
        <w:rPr>
          <w:rFonts w:ascii="Times New Roman" w:hAnsi="Times New Roman"/>
          <w:sz w:val="24"/>
          <w:szCs w:val="24"/>
        </w:rPr>
        <w:t xml:space="preserve"> </w:t>
      </w:r>
      <w:r w:rsidR="006E1D31" w:rsidRPr="009A2249">
        <w:rPr>
          <w:rFonts w:ascii="Times New Roman" w:hAnsi="Times New Roman"/>
          <w:sz w:val="24"/>
          <w:szCs w:val="24"/>
        </w:rPr>
        <w:t>são</w:t>
      </w:r>
      <w:r w:rsidRPr="009A2249">
        <w:rPr>
          <w:rFonts w:ascii="Times New Roman" w:hAnsi="Times New Roman"/>
          <w:sz w:val="24"/>
          <w:szCs w:val="24"/>
        </w:rPr>
        <w:t xml:space="preserve"> divulgado</w:t>
      </w:r>
      <w:r w:rsidR="006E1D31" w:rsidRPr="009A2249">
        <w:rPr>
          <w:rFonts w:ascii="Times New Roman" w:hAnsi="Times New Roman"/>
          <w:sz w:val="24"/>
          <w:szCs w:val="24"/>
        </w:rPr>
        <w:t>s</w:t>
      </w:r>
      <w:r w:rsidRPr="009A2249">
        <w:rPr>
          <w:rFonts w:ascii="Times New Roman" w:hAnsi="Times New Roman"/>
          <w:sz w:val="24"/>
          <w:szCs w:val="24"/>
        </w:rPr>
        <w:t xml:space="preserve"> anualmente pelo IBGE</w:t>
      </w:r>
      <w:r w:rsidR="006E1D31" w:rsidRPr="009A2249">
        <w:rPr>
          <w:rFonts w:ascii="Times New Roman" w:hAnsi="Times New Roman"/>
          <w:sz w:val="24"/>
          <w:szCs w:val="24"/>
        </w:rPr>
        <w:t xml:space="preserve"> por meio das Tábuas de Mortalidade</w:t>
      </w:r>
      <w:r w:rsidRPr="009A2249">
        <w:rPr>
          <w:rFonts w:ascii="Times New Roman" w:hAnsi="Times New Roman"/>
          <w:sz w:val="24"/>
          <w:szCs w:val="24"/>
        </w:rPr>
        <w:t>, alterando-se de forma não obrigatoriamente linear</w:t>
      </w:r>
      <w:r w:rsidR="006E1D31" w:rsidRPr="009A2249">
        <w:rPr>
          <w:rFonts w:ascii="Times New Roman" w:hAnsi="Times New Roman"/>
          <w:sz w:val="24"/>
          <w:szCs w:val="24"/>
        </w:rPr>
        <w:t xml:space="preserve">. Desta maneira, determinada coortes podem ser mais afetados por aumentos na expectativa de vida (que tendem a reduzir seu benefício) do que outros. Finalmente, deve ser notado que no caso de </w:t>
      </w:r>
      <w:proofErr w:type="gramStart"/>
      <w:r w:rsidR="006E1D31" w:rsidRPr="009A2249">
        <w:rPr>
          <w:rFonts w:ascii="Times New Roman" w:hAnsi="Times New Roman"/>
          <w:i/>
          <w:sz w:val="24"/>
          <w:szCs w:val="24"/>
        </w:rPr>
        <w:t>Es</w:t>
      </w:r>
      <w:proofErr w:type="gramEnd"/>
      <w:r w:rsidR="006E1D31" w:rsidRPr="009A2249">
        <w:rPr>
          <w:rFonts w:ascii="Times New Roman" w:hAnsi="Times New Roman"/>
          <w:sz w:val="24"/>
          <w:szCs w:val="24"/>
        </w:rPr>
        <w:t xml:space="preserve"> não há diferenciação por gênero: são empregados os valores da Tábua Ambos os Sexos do IBGE. Novamente as mulheres são beneficiadas, pois a expectativa de vida média adotada nos cálculos é inferior à sua expectativa real.</w:t>
      </w:r>
    </w:p>
    <w:p w:rsidR="00B904A6" w:rsidRPr="009A2249" w:rsidRDefault="00B10F65"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De forma análoga ao apresentado para as contribuições, o</w:t>
      </w:r>
      <w:r w:rsidR="00B904A6" w:rsidRPr="009A2249">
        <w:rPr>
          <w:rFonts w:ascii="Times New Roman" w:hAnsi="Times New Roman"/>
          <w:sz w:val="24"/>
          <w:szCs w:val="24"/>
        </w:rPr>
        <w:t xml:space="preserve"> valor presente dos benefícios é d</w:t>
      </w:r>
      <w:r w:rsidR="00CD128C" w:rsidRPr="009A2249">
        <w:rPr>
          <w:rFonts w:ascii="Times New Roman" w:hAnsi="Times New Roman"/>
          <w:sz w:val="24"/>
          <w:szCs w:val="24"/>
        </w:rPr>
        <w:t>ado p</w:t>
      </w:r>
      <w:r w:rsidR="00B904A6" w:rsidRPr="009A2249">
        <w:rPr>
          <w:rFonts w:ascii="Times New Roman" w:hAnsi="Times New Roman"/>
          <w:sz w:val="24"/>
          <w:szCs w:val="24"/>
        </w:rPr>
        <w:t xml:space="preserve">ela Equação </w:t>
      </w:r>
      <w:proofErr w:type="gramStart"/>
      <w:r w:rsidR="00B904A6" w:rsidRPr="009A2249">
        <w:rPr>
          <w:rFonts w:ascii="Times New Roman" w:hAnsi="Times New Roman"/>
          <w:sz w:val="24"/>
          <w:szCs w:val="24"/>
        </w:rPr>
        <w:t>7</w:t>
      </w:r>
      <w:proofErr w:type="gramEnd"/>
      <w:r w:rsidR="00B904A6" w:rsidRPr="009A2249">
        <w:rPr>
          <w:rFonts w:ascii="Times New Roman" w:hAnsi="Times New Roman"/>
          <w:sz w:val="24"/>
          <w:szCs w:val="24"/>
        </w:rPr>
        <w:t>.</w:t>
      </w:r>
      <w:r w:rsidR="00325384" w:rsidRPr="009A2249">
        <w:rPr>
          <w:rFonts w:ascii="Times New Roman" w:hAnsi="Times New Roman"/>
          <w:sz w:val="24"/>
          <w:szCs w:val="24"/>
        </w:rPr>
        <w:t xml:space="preserve"> O salário de benefício </w:t>
      </w:r>
      <w:r w:rsidR="00325384" w:rsidRPr="009A2249">
        <w:rPr>
          <w:rFonts w:ascii="Times New Roman" w:hAnsi="Times New Roman"/>
          <w:i/>
          <w:sz w:val="24"/>
          <w:szCs w:val="24"/>
        </w:rPr>
        <w:t>SB</w:t>
      </w:r>
      <w:r w:rsidR="00325384" w:rsidRPr="009A2249">
        <w:rPr>
          <w:rFonts w:ascii="Times New Roman" w:hAnsi="Times New Roman"/>
          <w:sz w:val="24"/>
          <w:szCs w:val="24"/>
        </w:rPr>
        <w:t xml:space="preserve"> é recebido do momento imediatamente posterior ao pedido da aposentadoria </w:t>
      </w:r>
      <w:r w:rsidR="00325384" w:rsidRPr="009A2249">
        <w:rPr>
          <w:rFonts w:ascii="Times New Roman" w:hAnsi="Times New Roman"/>
          <w:i/>
          <w:sz w:val="24"/>
          <w:szCs w:val="24"/>
        </w:rPr>
        <w:t>Ia+1</w:t>
      </w:r>
      <w:r w:rsidR="00325384" w:rsidRPr="009A2249">
        <w:rPr>
          <w:rFonts w:ascii="Times New Roman" w:hAnsi="Times New Roman"/>
          <w:sz w:val="24"/>
          <w:szCs w:val="24"/>
        </w:rPr>
        <w:t xml:space="preserve">, até a expectativa de vida </w:t>
      </w:r>
      <w:proofErr w:type="gramStart"/>
      <w:r w:rsidR="00325384" w:rsidRPr="009A2249">
        <w:rPr>
          <w:rFonts w:ascii="Times New Roman" w:hAnsi="Times New Roman"/>
          <w:i/>
          <w:sz w:val="24"/>
          <w:szCs w:val="24"/>
        </w:rPr>
        <w:t>Es</w:t>
      </w:r>
      <w:proofErr w:type="gramEnd"/>
      <w:r w:rsidR="00325384" w:rsidRPr="009A2249">
        <w:rPr>
          <w:rFonts w:ascii="Times New Roman" w:hAnsi="Times New Roman"/>
          <w:sz w:val="24"/>
          <w:szCs w:val="24"/>
        </w:rPr>
        <w:t>.</w:t>
      </w:r>
    </w:p>
    <w:p w:rsidR="00B904A6" w:rsidRPr="009A2249" w:rsidRDefault="00B904A6" w:rsidP="00861964">
      <w:pPr>
        <w:spacing w:after="120" w:line="240" w:lineRule="auto"/>
        <w:ind w:firstLine="709"/>
        <w:jc w:val="right"/>
        <w:rPr>
          <w:rFonts w:ascii="Cambria Math" w:hAnsi="Cambria Math"/>
          <w:i/>
          <w:sz w:val="26"/>
          <w:szCs w:val="26"/>
        </w:rPr>
      </w:pPr>
      <m:oMath>
        <m:r>
          <w:rPr>
            <w:rFonts w:ascii="Cambria Math" w:hAnsi="Cambria Math"/>
            <w:sz w:val="26"/>
            <w:szCs w:val="26"/>
          </w:rPr>
          <m:t>VPB=</m:t>
        </m:r>
        <m:nary>
          <m:naryPr>
            <m:chr m:val="∑"/>
            <m:limLoc m:val="undOvr"/>
            <m:ctrlPr>
              <w:rPr>
                <w:rFonts w:ascii="Cambria Math" w:hAnsi="Cambria Math"/>
                <w:i/>
                <w:sz w:val="26"/>
                <w:szCs w:val="26"/>
              </w:rPr>
            </m:ctrlPr>
          </m:naryPr>
          <m:sub>
            <m:r>
              <w:rPr>
                <w:rFonts w:ascii="Cambria Math" w:hAnsi="Cambria Math"/>
                <w:sz w:val="26"/>
                <w:szCs w:val="26"/>
              </w:rPr>
              <m:t>n=Ia+1</m:t>
            </m:r>
          </m:sub>
          <m:sup>
            <m:r>
              <w:rPr>
                <w:rFonts w:ascii="Cambria Math" w:hAnsi="Cambria Math"/>
                <w:sz w:val="26"/>
                <w:szCs w:val="26"/>
              </w:rPr>
              <m:t>Es</m:t>
            </m:r>
          </m:sup>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SB</m:t>
                    </m:r>
                  </m:e>
                  <m:sub>
                    <m:r>
                      <w:rPr>
                        <w:rFonts w:ascii="Cambria Math" w:hAnsi="Cambria Math"/>
                        <w:sz w:val="26"/>
                        <w:szCs w:val="26"/>
                      </w:rPr>
                      <m:t>n</m:t>
                    </m:r>
                  </m:sub>
                </m:sSub>
              </m:num>
              <m:den>
                <m:sSup>
                  <m:sSupPr>
                    <m:ctrlPr>
                      <w:rPr>
                        <w:rFonts w:ascii="Cambria Math" w:hAnsi="Cambria Math"/>
                        <w:i/>
                        <w:sz w:val="26"/>
                        <w:szCs w:val="26"/>
                      </w:rPr>
                    </m:ctrlPr>
                  </m:sSupPr>
                  <m:e>
                    <m:r>
                      <w:rPr>
                        <w:rFonts w:ascii="Cambria Math" w:hAnsi="Cambria Math"/>
                        <w:sz w:val="26"/>
                        <w:szCs w:val="26"/>
                      </w:rPr>
                      <m:t>(1+Tx)</m:t>
                    </m:r>
                  </m:e>
                  <m:sup>
                    <m:r>
                      <w:rPr>
                        <w:rFonts w:ascii="Cambria Math" w:hAnsi="Cambria Math"/>
                        <w:sz w:val="26"/>
                        <w:szCs w:val="26"/>
                      </w:rPr>
                      <m:t>n</m:t>
                    </m:r>
                  </m:sup>
                </m:sSup>
              </m:den>
            </m:f>
          </m:e>
        </m:nary>
      </m:oMath>
      <w:r w:rsidR="005D3C28" w:rsidRPr="009A2249">
        <w:rPr>
          <w:rFonts w:ascii="Cambria Math" w:hAnsi="Cambria Math"/>
          <w:i/>
          <w:sz w:val="26"/>
          <w:szCs w:val="26"/>
        </w:rPr>
        <w:t>.</w:t>
      </w:r>
      <w:r w:rsidR="00861964" w:rsidRPr="009A2249">
        <w:rPr>
          <w:rFonts w:ascii="Cambria Math" w:hAnsi="Cambria Math"/>
          <w:i/>
          <w:sz w:val="26"/>
          <w:szCs w:val="26"/>
        </w:rPr>
        <w:tab/>
      </w:r>
      <w:r w:rsidR="00861964" w:rsidRPr="009A2249">
        <w:rPr>
          <w:rFonts w:ascii="Cambria Math" w:hAnsi="Cambria Math"/>
          <w:i/>
          <w:sz w:val="26"/>
          <w:szCs w:val="26"/>
        </w:rPr>
        <w:tab/>
      </w:r>
      <w:r w:rsidR="00861964" w:rsidRPr="009A2249">
        <w:rPr>
          <w:rFonts w:ascii="Cambria Math" w:hAnsi="Cambria Math"/>
          <w:i/>
          <w:sz w:val="26"/>
          <w:szCs w:val="26"/>
        </w:rPr>
        <w:tab/>
      </w:r>
      <w:r w:rsidR="00861964" w:rsidRPr="009A2249">
        <w:rPr>
          <w:rFonts w:ascii="Cambria Math" w:hAnsi="Cambria Math"/>
          <w:i/>
          <w:sz w:val="26"/>
          <w:szCs w:val="26"/>
        </w:rPr>
        <w:tab/>
      </w:r>
      <w:r w:rsidRPr="009A2249">
        <w:rPr>
          <w:rFonts w:ascii="Cambria Math" w:hAnsi="Cambria Math"/>
          <w:i/>
          <w:sz w:val="26"/>
          <w:szCs w:val="26"/>
        </w:rPr>
        <w:tab/>
      </w:r>
      <w:proofErr w:type="gramStart"/>
      <w:r w:rsidRPr="009A2249">
        <w:rPr>
          <w:rFonts w:ascii="Times New Roman" w:hAnsi="Times New Roman"/>
          <w:sz w:val="24"/>
          <w:szCs w:val="24"/>
        </w:rPr>
        <w:t>(</w:t>
      </w:r>
      <w:proofErr w:type="gramEnd"/>
      <w:r w:rsidR="00FE60AC" w:rsidRPr="009A2249">
        <w:rPr>
          <w:rFonts w:ascii="Times New Roman" w:hAnsi="Times New Roman"/>
          <w:sz w:val="24"/>
          <w:szCs w:val="24"/>
        </w:rPr>
        <w:fldChar w:fldCharType="begin"/>
      </w:r>
      <w:r w:rsidR="00FC5B94"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B904A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Combinando a</w:t>
      </w:r>
      <w:r w:rsidR="00D42F23" w:rsidRPr="009A2249">
        <w:rPr>
          <w:rFonts w:ascii="Times New Roman" w:hAnsi="Times New Roman"/>
          <w:sz w:val="24"/>
          <w:szCs w:val="24"/>
        </w:rPr>
        <w:t>s</w:t>
      </w:r>
      <w:r w:rsidRPr="009A2249">
        <w:rPr>
          <w:rFonts w:ascii="Times New Roman" w:hAnsi="Times New Roman"/>
          <w:sz w:val="24"/>
          <w:szCs w:val="24"/>
        </w:rPr>
        <w:t xml:space="preserve"> </w:t>
      </w:r>
      <w:r w:rsidR="00861964" w:rsidRPr="009A2249">
        <w:rPr>
          <w:rFonts w:ascii="Times New Roman" w:hAnsi="Times New Roman"/>
          <w:sz w:val="24"/>
          <w:szCs w:val="24"/>
        </w:rPr>
        <w:t>E</w:t>
      </w:r>
      <w:r w:rsidR="00D42F23" w:rsidRPr="009A2249">
        <w:rPr>
          <w:rFonts w:ascii="Times New Roman" w:hAnsi="Times New Roman"/>
          <w:sz w:val="24"/>
          <w:szCs w:val="24"/>
        </w:rPr>
        <w:t xml:space="preserve">quações </w:t>
      </w:r>
      <w:proofErr w:type="gramStart"/>
      <w:r w:rsidR="00325384" w:rsidRPr="009A2249">
        <w:rPr>
          <w:rFonts w:ascii="Times New Roman" w:hAnsi="Times New Roman"/>
          <w:sz w:val="24"/>
          <w:szCs w:val="24"/>
        </w:rPr>
        <w:t>6</w:t>
      </w:r>
      <w:proofErr w:type="gramEnd"/>
      <w:r w:rsidR="00D42F23" w:rsidRPr="009A2249">
        <w:rPr>
          <w:rFonts w:ascii="Times New Roman" w:hAnsi="Times New Roman"/>
          <w:sz w:val="24"/>
          <w:szCs w:val="24"/>
        </w:rPr>
        <w:t xml:space="preserve"> e 7</w:t>
      </w:r>
      <w:r w:rsidR="00325384" w:rsidRPr="009A2249">
        <w:rPr>
          <w:rFonts w:ascii="Times New Roman" w:hAnsi="Times New Roman"/>
          <w:sz w:val="24"/>
          <w:szCs w:val="24"/>
        </w:rPr>
        <w:t>, tem-se a Equação 8, que expressa o valor presente dos benefícios em função das demais variáveis.</w:t>
      </w:r>
    </w:p>
    <w:p w:rsidR="00B904A6" w:rsidRPr="009A2249" w:rsidRDefault="00B904A6" w:rsidP="00861964">
      <w:pPr>
        <w:spacing w:after="120" w:line="240" w:lineRule="auto"/>
        <w:ind w:firstLine="709"/>
        <w:jc w:val="right"/>
        <w:rPr>
          <w:rFonts w:ascii="Times New Roman" w:hAnsi="Times New Roman"/>
          <w:sz w:val="24"/>
          <w:szCs w:val="24"/>
        </w:rPr>
      </w:pPr>
      <m:oMath>
        <m:r>
          <w:rPr>
            <w:rFonts w:ascii="Cambria Math" w:hAnsi="Cambria Math"/>
            <w:sz w:val="26"/>
            <w:szCs w:val="26"/>
          </w:rPr>
          <m:t xml:space="preserve">VPB= </m:t>
        </m:r>
        <m:nary>
          <m:naryPr>
            <m:chr m:val="∑"/>
            <m:limLoc m:val="undOvr"/>
            <m:ctrlPr>
              <w:rPr>
                <w:rFonts w:ascii="Cambria Math" w:hAnsi="Cambria Math"/>
                <w:i/>
                <w:sz w:val="26"/>
                <w:szCs w:val="26"/>
              </w:rPr>
            </m:ctrlPr>
          </m:naryPr>
          <m:sub>
            <m:r>
              <w:rPr>
                <w:rFonts w:ascii="Cambria Math" w:hAnsi="Cambria Math"/>
                <w:sz w:val="26"/>
                <w:szCs w:val="26"/>
              </w:rPr>
              <m:t>j=Ia</m:t>
            </m:r>
          </m:sub>
          <m:sup>
            <m:r>
              <w:rPr>
                <w:rFonts w:ascii="Cambria Math" w:hAnsi="Cambria Math"/>
                <w:sz w:val="26"/>
                <w:szCs w:val="26"/>
              </w:rPr>
              <m:t>Es</m:t>
            </m:r>
          </m:sup>
          <m:e>
            <m:f>
              <m:fPr>
                <m:ctrlPr>
                  <w:rPr>
                    <w:rFonts w:ascii="Cambria Math" w:hAnsi="Cambria Math"/>
                    <w:i/>
                    <w:sz w:val="26"/>
                    <w:szCs w:val="26"/>
                  </w:rPr>
                </m:ctrlPr>
              </m:fPr>
              <m:num>
                <m:r>
                  <w:rPr>
                    <w:rFonts w:ascii="Cambria Math" w:hAnsi="Cambria Math"/>
                    <w:sz w:val="26"/>
                    <w:szCs w:val="26"/>
                  </w:rPr>
                  <m:t>M×</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Tc×a</m:t>
                        </m:r>
                      </m:num>
                      <m:den>
                        <m:r>
                          <w:rPr>
                            <w:rFonts w:ascii="Cambria Math" w:hAnsi="Cambria Math"/>
                            <w:sz w:val="26"/>
                            <w:szCs w:val="26"/>
                          </w:rPr>
                          <m:t>Es</m:t>
                        </m:r>
                      </m:den>
                    </m:f>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 xml:space="preserve">1+ </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Id+Tc×a</m:t>
                                </m:r>
                              </m:e>
                            </m:d>
                          </m:num>
                          <m:den>
                            <m:r>
                              <w:rPr>
                                <w:rFonts w:ascii="Cambria Math" w:hAnsi="Cambria Math"/>
                                <w:sz w:val="26"/>
                                <w:szCs w:val="26"/>
                              </w:rPr>
                              <m:t>100</m:t>
                            </m:r>
                          </m:den>
                        </m:f>
                      </m:e>
                    </m:d>
                  </m:e>
                </m:d>
              </m:num>
              <m:den>
                <m:sSup>
                  <m:sSupPr>
                    <m:ctrlPr>
                      <w:rPr>
                        <w:rFonts w:ascii="Cambria Math" w:hAnsi="Cambria Math"/>
                        <w:i/>
                        <w:sz w:val="26"/>
                        <w:szCs w:val="26"/>
                      </w:rPr>
                    </m:ctrlPr>
                  </m:sSupPr>
                  <m:e>
                    <m:r>
                      <w:rPr>
                        <w:rFonts w:ascii="Cambria Math" w:hAnsi="Cambria Math"/>
                        <w:sz w:val="26"/>
                        <w:szCs w:val="26"/>
                      </w:rPr>
                      <m:t>(1+Tx)</m:t>
                    </m:r>
                  </m:e>
                  <m:sup>
                    <m:r>
                      <w:rPr>
                        <w:rFonts w:ascii="Cambria Math" w:hAnsi="Cambria Math"/>
                        <w:sz w:val="26"/>
                        <w:szCs w:val="26"/>
                      </w:rPr>
                      <m:t>j</m:t>
                    </m:r>
                  </m:sup>
                </m:sSup>
              </m:den>
            </m:f>
          </m:e>
        </m:nary>
      </m:oMath>
      <w:r w:rsidRPr="009A2249">
        <w:rPr>
          <w:rFonts w:ascii="Cambria Math" w:hAnsi="Cambria Math"/>
          <w:i/>
          <w:sz w:val="26"/>
          <w:szCs w:val="26"/>
        </w:rPr>
        <w:t xml:space="preserve"> </w:t>
      </w:r>
      <w:r w:rsidR="005D3C28" w:rsidRPr="009A2249">
        <w:rPr>
          <w:rFonts w:ascii="Cambria Math" w:hAnsi="Cambria Math"/>
          <w:i/>
          <w:sz w:val="26"/>
          <w:szCs w:val="26"/>
        </w:rPr>
        <w:t>.</w:t>
      </w:r>
      <w:r w:rsidR="00861964" w:rsidRPr="009A2249">
        <w:rPr>
          <w:rFonts w:ascii="Cambria Math" w:hAnsi="Cambria Math"/>
          <w:i/>
          <w:sz w:val="26"/>
          <w:szCs w:val="26"/>
        </w:rPr>
        <w:tab/>
      </w:r>
      <w:r w:rsidR="00861964" w:rsidRPr="009A2249">
        <w:rPr>
          <w:rFonts w:ascii="Cambria Math" w:hAnsi="Cambria Math"/>
          <w:i/>
          <w:sz w:val="26"/>
          <w:szCs w:val="26"/>
        </w:rPr>
        <w:tab/>
      </w:r>
      <w:r w:rsidRPr="009A2249">
        <w:rPr>
          <w:rFonts w:ascii="Cambria Math" w:hAnsi="Cambria Math"/>
          <w:i/>
          <w:sz w:val="26"/>
          <w:szCs w:val="26"/>
        </w:rPr>
        <w:tab/>
      </w:r>
      <w:proofErr w:type="gramStart"/>
      <w:r w:rsidRPr="009A2249">
        <w:rPr>
          <w:rFonts w:ascii="Times New Roman" w:hAnsi="Times New Roman"/>
          <w:sz w:val="24"/>
          <w:szCs w:val="24"/>
        </w:rPr>
        <w:t>(</w:t>
      </w:r>
      <w:proofErr w:type="gramEnd"/>
      <w:r w:rsidR="00FE60AC" w:rsidRPr="009A2249">
        <w:rPr>
          <w:rFonts w:ascii="Times New Roman" w:hAnsi="Times New Roman"/>
          <w:sz w:val="24"/>
          <w:szCs w:val="24"/>
        </w:rPr>
        <w:fldChar w:fldCharType="begin"/>
      </w:r>
      <w:r w:rsidR="00FC5B94"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484BE0" w:rsidRPr="009A2249" w:rsidRDefault="00484BE0" w:rsidP="00861964">
      <w:pPr>
        <w:spacing w:after="120" w:line="240" w:lineRule="auto"/>
        <w:ind w:firstLine="709"/>
        <w:jc w:val="right"/>
        <w:rPr>
          <w:rFonts w:ascii="Cambria Math" w:hAnsi="Cambria Math"/>
          <w:i/>
          <w:sz w:val="26"/>
          <w:szCs w:val="26"/>
        </w:rPr>
      </w:pPr>
    </w:p>
    <w:p w:rsidR="00B904A6" w:rsidRPr="009A2249" w:rsidRDefault="00B904A6" w:rsidP="008C6C9C">
      <w:pPr>
        <w:pStyle w:val="PargrafodaLista"/>
        <w:numPr>
          <w:ilvl w:val="1"/>
          <w:numId w:val="3"/>
        </w:numPr>
        <w:spacing w:after="120"/>
        <w:ind w:left="284" w:hanging="284"/>
        <w:jc w:val="both"/>
        <w:rPr>
          <w:b/>
        </w:rPr>
      </w:pPr>
      <w:r w:rsidRPr="009A2249">
        <w:rPr>
          <w:b/>
        </w:rPr>
        <w:t>Premissas e hipóteses</w:t>
      </w:r>
    </w:p>
    <w:p w:rsidR="00B904A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Uma vez apresentado o modelo, são explicitadas as premissas empregadas para o</w:t>
      </w:r>
      <w:r w:rsidR="003D1854" w:rsidRPr="009A2249">
        <w:rPr>
          <w:rFonts w:ascii="Times New Roman" w:hAnsi="Times New Roman"/>
          <w:sz w:val="24"/>
          <w:szCs w:val="24"/>
        </w:rPr>
        <w:t>s</w:t>
      </w:r>
      <w:r w:rsidRPr="009A2249">
        <w:rPr>
          <w:rFonts w:ascii="Times New Roman" w:hAnsi="Times New Roman"/>
          <w:sz w:val="24"/>
          <w:szCs w:val="24"/>
        </w:rPr>
        <w:t xml:space="preserve"> cálculos da </w:t>
      </w:r>
      <w:r w:rsidRPr="009A2249">
        <w:rPr>
          <w:rFonts w:ascii="Times New Roman" w:hAnsi="Times New Roman"/>
          <w:i/>
          <w:sz w:val="24"/>
          <w:szCs w:val="24"/>
        </w:rPr>
        <w:t>desaposentação</w:t>
      </w:r>
      <w:r w:rsidRPr="009A2249">
        <w:rPr>
          <w:rFonts w:ascii="Times New Roman" w:hAnsi="Times New Roman"/>
          <w:sz w:val="24"/>
          <w:szCs w:val="24"/>
        </w:rPr>
        <w:t>. Conforme apresentado anteriormente, o objeto de análise deste trabalho são os empregados do setor formal urbano, que contribuem com o Regime Geral de Previdência Social. Supõe-se que estes segurados iniciaram sua vida profissional e trabalharão por toda sua vida ativa no setor privado</w:t>
      </w:r>
      <w:r w:rsidR="006E1D31" w:rsidRPr="009A2249">
        <w:rPr>
          <w:rFonts w:ascii="Times New Roman" w:hAnsi="Times New Roman"/>
          <w:sz w:val="24"/>
          <w:szCs w:val="24"/>
        </w:rPr>
        <w:t xml:space="preserve"> formal</w:t>
      </w:r>
      <w:r w:rsidRPr="009A2249">
        <w:rPr>
          <w:rFonts w:ascii="Times New Roman" w:hAnsi="Times New Roman"/>
          <w:sz w:val="24"/>
          <w:szCs w:val="24"/>
        </w:rPr>
        <w:t xml:space="preserve">. </w:t>
      </w:r>
      <w:r w:rsidR="006E1D31" w:rsidRPr="009A2249">
        <w:rPr>
          <w:rFonts w:ascii="Times New Roman" w:hAnsi="Times New Roman"/>
          <w:sz w:val="24"/>
          <w:szCs w:val="24"/>
        </w:rPr>
        <w:t xml:space="preserve">Desta forma sua </w:t>
      </w:r>
      <w:r w:rsidR="006E1D31" w:rsidRPr="009A2249">
        <w:rPr>
          <w:rFonts w:ascii="Times New Roman" w:hAnsi="Times New Roman"/>
          <w:i/>
          <w:sz w:val="24"/>
          <w:szCs w:val="24"/>
        </w:rPr>
        <w:t>densidade de contribuições</w:t>
      </w:r>
      <w:r w:rsidR="006E1D31" w:rsidRPr="009A2249">
        <w:rPr>
          <w:rFonts w:ascii="Times New Roman" w:hAnsi="Times New Roman"/>
          <w:sz w:val="24"/>
          <w:szCs w:val="24"/>
        </w:rPr>
        <w:t xml:space="preserve"> </w:t>
      </w:r>
      <w:r w:rsidR="009E48C5" w:rsidRPr="009A2249">
        <w:rPr>
          <w:rFonts w:ascii="Times New Roman" w:hAnsi="Times New Roman"/>
          <w:sz w:val="24"/>
          <w:szCs w:val="24"/>
        </w:rPr>
        <w:t xml:space="preserve">é de 100%. </w:t>
      </w:r>
      <w:r w:rsidRPr="009A2249">
        <w:rPr>
          <w:rFonts w:ascii="Times New Roman" w:hAnsi="Times New Roman"/>
          <w:sz w:val="24"/>
          <w:szCs w:val="24"/>
        </w:rPr>
        <w:t xml:space="preserve">Supõe-se também que estes indivíduos </w:t>
      </w:r>
      <w:proofErr w:type="gramStart"/>
      <w:r w:rsidRPr="009A2249">
        <w:rPr>
          <w:rFonts w:ascii="Times New Roman" w:hAnsi="Times New Roman"/>
          <w:sz w:val="24"/>
          <w:szCs w:val="24"/>
        </w:rPr>
        <w:t>obedeçam,</w:t>
      </w:r>
      <w:proofErr w:type="gramEnd"/>
      <w:r w:rsidRPr="009A2249">
        <w:rPr>
          <w:rFonts w:ascii="Times New Roman" w:hAnsi="Times New Roman"/>
          <w:sz w:val="24"/>
          <w:szCs w:val="24"/>
        </w:rPr>
        <w:t xml:space="preserve"> ao menos em um primeiro momento, estritamente as regras e condições mínimas do RGPS. Ou seja, se aposentam tão logo preencham as condições de elegibilidade. Dadas </w:t>
      </w:r>
      <w:proofErr w:type="gramStart"/>
      <w:r w:rsidRPr="009A2249">
        <w:rPr>
          <w:rFonts w:ascii="Times New Roman" w:hAnsi="Times New Roman"/>
          <w:sz w:val="24"/>
          <w:szCs w:val="24"/>
        </w:rPr>
        <w:t>as</w:t>
      </w:r>
      <w:proofErr w:type="gramEnd"/>
      <w:r w:rsidRPr="009A2249">
        <w:rPr>
          <w:rFonts w:ascii="Times New Roman" w:hAnsi="Times New Roman"/>
          <w:sz w:val="24"/>
          <w:szCs w:val="24"/>
        </w:rPr>
        <w:t xml:space="preserve"> regras </w:t>
      </w:r>
      <w:r w:rsidR="006E1D31" w:rsidRPr="009A2249">
        <w:rPr>
          <w:rFonts w:ascii="Times New Roman" w:hAnsi="Times New Roman"/>
          <w:sz w:val="24"/>
          <w:szCs w:val="24"/>
        </w:rPr>
        <w:t>atuais</w:t>
      </w:r>
      <w:r w:rsidRPr="009A2249">
        <w:rPr>
          <w:rFonts w:ascii="Times New Roman" w:hAnsi="Times New Roman"/>
          <w:sz w:val="24"/>
          <w:szCs w:val="24"/>
        </w:rPr>
        <w:t xml:space="preserve">, os homens podem solicitar a ATC com 35 anos e as mulheres com 30 anos de contribuição. Desta forma, sua variável de escolha é o momento de solicitação da desaposentação. Admite-se por hipótese que homens e mulheres entram no mercado com 20 anos de idade. O período de recebimento </w:t>
      </w:r>
      <w:r w:rsidRPr="009A2249">
        <w:rPr>
          <w:rFonts w:ascii="Times New Roman" w:hAnsi="Times New Roman"/>
          <w:sz w:val="24"/>
          <w:szCs w:val="24"/>
        </w:rPr>
        <w:lastRenderedPageBreak/>
        <w:t>do benefício é determinado pela expectativa de vida média desagregada por gênero, d</w:t>
      </w:r>
      <w:r w:rsidR="00591E53" w:rsidRPr="009A2249">
        <w:rPr>
          <w:rFonts w:ascii="Times New Roman" w:hAnsi="Times New Roman"/>
          <w:sz w:val="24"/>
          <w:szCs w:val="24"/>
        </w:rPr>
        <w:t xml:space="preserve">ivulgada anualmente pelo IBGE. </w:t>
      </w:r>
      <w:r w:rsidRPr="009A2249">
        <w:rPr>
          <w:rFonts w:ascii="Times New Roman" w:hAnsi="Times New Roman"/>
          <w:sz w:val="24"/>
          <w:szCs w:val="24"/>
        </w:rPr>
        <w:t xml:space="preserve">No momento em que este artigo era finalizado, a expectativa era de </w:t>
      </w:r>
      <w:r w:rsidR="0073445C" w:rsidRPr="009A2249">
        <w:rPr>
          <w:rFonts w:ascii="Times New Roman" w:hAnsi="Times New Roman"/>
          <w:sz w:val="24"/>
          <w:szCs w:val="24"/>
        </w:rPr>
        <w:t>70</w:t>
      </w:r>
      <w:r w:rsidRPr="009A2249">
        <w:rPr>
          <w:rFonts w:ascii="Times New Roman" w:hAnsi="Times New Roman"/>
          <w:sz w:val="24"/>
          <w:szCs w:val="24"/>
        </w:rPr>
        <w:t>,</w:t>
      </w:r>
      <w:r w:rsidR="0073445C" w:rsidRPr="009A2249">
        <w:rPr>
          <w:rFonts w:ascii="Times New Roman" w:hAnsi="Times New Roman"/>
          <w:sz w:val="24"/>
          <w:szCs w:val="24"/>
        </w:rPr>
        <w:t>6</w:t>
      </w:r>
      <w:r w:rsidRPr="009A2249">
        <w:rPr>
          <w:rFonts w:ascii="Times New Roman" w:hAnsi="Times New Roman"/>
          <w:sz w:val="24"/>
          <w:szCs w:val="24"/>
        </w:rPr>
        <w:t>0 anos para os homens e de 77,</w:t>
      </w:r>
      <w:r w:rsidR="0073445C" w:rsidRPr="009A2249">
        <w:rPr>
          <w:rFonts w:ascii="Times New Roman" w:hAnsi="Times New Roman"/>
          <w:sz w:val="24"/>
          <w:szCs w:val="24"/>
        </w:rPr>
        <w:t>7</w:t>
      </w:r>
      <w:r w:rsidRPr="009A2249">
        <w:rPr>
          <w:rFonts w:ascii="Times New Roman" w:hAnsi="Times New Roman"/>
          <w:sz w:val="24"/>
          <w:szCs w:val="24"/>
        </w:rPr>
        <w:t xml:space="preserve">0 anos para as mulheres. </w:t>
      </w:r>
    </w:p>
    <w:p w:rsidR="00484BE0"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Todos os </w:t>
      </w:r>
      <w:r w:rsidR="00BD75CE">
        <w:rPr>
          <w:rFonts w:ascii="Times New Roman" w:hAnsi="Times New Roman"/>
          <w:sz w:val="24"/>
          <w:szCs w:val="24"/>
        </w:rPr>
        <w:t xml:space="preserve">fluxos, tanto de contribuições quanto de benefícios são mensais e os </w:t>
      </w:r>
      <w:r w:rsidRPr="009A2249">
        <w:rPr>
          <w:rFonts w:ascii="Times New Roman" w:hAnsi="Times New Roman"/>
          <w:sz w:val="24"/>
          <w:szCs w:val="24"/>
        </w:rPr>
        <w:t>valores empregados nos cálculos são reais, ou seja, é como se não houvesse inflação. Esta hipótese não altera os resultados do trabalho. Também será feita a hipótese simplificadora que a renda cresce 2% ao ano para todos os trabalhadores. A taxa de desconto empregada nos cálculos é de 3% ao ano. Para uma análise da sensibilidade dos resultados para valores distintos destas taxas, ver, por exemplo, Giambiagi e Afonso (2009).</w:t>
      </w:r>
      <w:r w:rsidR="003D1854" w:rsidRPr="009A2249">
        <w:rPr>
          <w:rFonts w:ascii="Times New Roman" w:hAnsi="Times New Roman"/>
          <w:sz w:val="24"/>
          <w:szCs w:val="24"/>
        </w:rPr>
        <w:t xml:space="preserve"> Finalmente, cabe apontar que este trabalho não aborda as pensões por morte. Apesar de sua relevância, abordar este tema significaria fazer uma série de hipóteses e análises com relação à composição dos grupos familiares, o que foge totalmente ao escopo pretendido. </w:t>
      </w:r>
    </w:p>
    <w:p w:rsidR="00484BE0" w:rsidRPr="009A2249" w:rsidRDefault="00484BE0" w:rsidP="008C6C9C">
      <w:pPr>
        <w:spacing w:after="120" w:line="240" w:lineRule="auto"/>
        <w:ind w:firstLine="709"/>
        <w:jc w:val="both"/>
        <w:rPr>
          <w:rFonts w:ascii="Times New Roman" w:hAnsi="Times New Roman"/>
          <w:sz w:val="24"/>
          <w:szCs w:val="24"/>
        </w:rPr>
      </w:pPr>
    </w:p>
    <w:p w:rsidR="00B904A6" w:rsidRPr="009A2249" w:rsidRDefault="00B904A6" w:rsidP="008C6C9C">
      <w:pPr>
        <w:pStyle w:val="PargrafodaLista"/>
        <w:numPr>
          <w:ilvl w:val="1"/>
          <w:numId w:val="3"/>
        </w:numPr>
        <w:spacing w:after="120"/>
        <w:jc w:val="both"/>
      </w:pPr>
      <w:r w:rsidRPr="009A2249">
        <w:rPr>
          <w:b/>
        </w:rPr>
        <w:t>Representação esquemática dos fluxos de contribuições e benefícios</w:t>
      </w:r>
    </w:p>
    <w:p w:rsidR="00B904A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Para </w:t>
      </w:r>
      <w:r w:rsidR="0054437A" w:rsidRPr="009A2249">
        <w:rPr>
          <w:rFonts w:ascii="Times New Roman" w:hAnsi="Times New Roman"/>
          <w:sz w:val="24"/>
          <w:szCs w:val="24"/>
        </w:rPr>
        <w:t>ilustrar</w:t>
      </w:r>
      <w:r w:rsidRPr="009A2249">
        <w:rPr>
          <w:rFonts w:ascii="Times New Roman" w:hAnsi="Times New Roman"/>
          <w:sz w:val="24"/>
          <w:szCs w:val="24"/>
        </w:rPr>
        <w:t xml:space="preserve"> o problema a ser tratado, </w:t>
      </w:r>
      <w:r w:rsidR="00636EDD" w:rsidRPr="009A2249">
        <w:rPr>
          <w:rFonts w:ascii="Times New Roman" w:hAnsi="Times New Roman"/>
          <w:sz w:val="24"/>
          <w:szCs w:val="24"/>
        </w:rPr>
        <w:t xml:space="preserve">apresenta-se aqui </w:t>
      </w:r>
      <w:r w:rsidRPr="009A2249">
        <w:rPr>
          <w:rFonts w:ascii="Times New Roman" w:hAnsi="Times New Roman"/>
          <w:sz w:val="24"/>
          <w:szCs w:val="24"/>
        </w:rPr>
        <w:t xml:space="preserve">o Gráfico </w:t>
      </w:r>
      <w:proofErr w:type="gramStart"/>
      <w:r w:rsidRPr="009A2249">
        <w:rPr>
          <w:rFonts w:ascii="Times New Roman" w:hAnsi="Times New Roman"/>
          <w:sz w:val="24"/>
          <w:szCs w:val="24"/>
        </w:rPr>
        <w:t>1</w:t>
      </w:r>
      <w:proofErr w:type="gramEnd"/>
      <w:r w:rsidRPr="009A2249">
        <w:rPr>
          <w:rFonts w:ascii="Times New Roman" w:hAnsi="Times New Roman"/>
          <w:sz w:val="24"/>
          <w:szCs w:val="24"/>
        </w:rPr>
        <w:t xml:space="preserve">, no qual </w:t>
      </w:r>
      <w:r w:rsidR="006E1D31" w:rsidRPr="009A2249">
        <w:rPr>
          <w:rFonts w:ascii="Times New Roman" w:hAnsi="Times New Roman"/>
          <w:sz w:val="24"/>
          <w:szCs w:val="24"/>
        </w:rPr>
        <w:t>são representados</w:t>
      </w:r>
      <w:r w:rsidRPr="009A2249">
        <w:rPr>
          <w:rFonts w:ascii="Times New Roman" w:hAnsi="Times New Roman"/>
          <w:sz w:val="24"/>
          <w:szCs w:val="24"/>
        </w:rPr>
        <w:t xml:space="preserve"> os fluxos </w:t>
      </w:r>
      <w:r w:rsidR="00BD75CE">
        <w:rPr>
          <w:rFonts w:ascii="Times New Roman" w:hAnsi="Times New Roman"/>
          <w:sz w:val="24"/>
          <w:szCs w:val="24"/>
        </w:rPr>
        <w:t xml:space="preserve">mensais </w:t>
      </w:r>
      <w:r w:rsidRPr="009A2249">
        <w:rPr>
          <w:rFonts w:ascii="Times New Roman" w:hAnsi="Times New Roman"/>
          <w:sz w:val="24"/>
          <w:szCs w:val="24"/>
        </w:rPr>
        <w:t xml:space="preserve">de contribuições </w:t>
      </w:r>
      <w:r w:rsidR="002F5566" w:rsidRPr="009A2249">
        <w:rPr>
          <w:rFonts w:ascii="Times New Roman" w:hAnsi="Times New Roman"/>
          <w:sz w:val="24"/>
          <w:szCs w:val="24"/>
        </w:rPr>
        <w:t xml:space="preserve">(positivos) </w:t>
      </w:r>
      <w:r w:rsidR="003D1854" w:rsidRPr="009A2249">
        <w:rPr>
          <w:rFonts w:ascii="Times New Roman" w:hAnsi="Times New Roman"/>
          <w:sz w:val="24"/>
          <w:szCs w:val="24"/>
        </w:rPr>
        <w:t xml:space="preserve">e de benefícios previdenciários </w:t>
      </w:r>
      <w:r w:rsidR="002F5566" w:rsidRPr="009A2249">
        <w:rPr>
          <w:rFonts w:ascii="Times New Roman" w:hAnsi="Times New Roman"/>
          <w:sz w:val="24"/>
          <w:szCs w:val="24"/>
        </w:rPr>
        <w:t xml:space="preserve">(negativos) </w:t>
      </w:r>
      <w:r w:rsidR="003D1854" w:rsidRPr="009A2249">
        <w:rPr>
          <w:rFonts w:ascii="Times New Roman" w:hAnsi="Times New Roman"/>
          <w:sz w:val="24"/>
          <w:szCs w:val="24"/>
        </w:rPr>
        <w:t>de um indivíduo ao longo de sua vida.</w:t>
      </w:r>
      <w:r w:rsidRPr="009A2249">
        <w:rPr>
          <w:rFonts w:ascii="Times New Roman" w:hAnsi="Times New Roman"/>
          <w:sz w:val="24"/>
          <w:szCs w:val="24"/>
        </w:rPr>
        <w:t xml:space="preserve"> </w:t>
      </w:r>
      <w:r w:rsidR="0054437A" w:rsidRPr="009A2249">
        <w:rPr>
          <w:rFonts w:ascii="Times New Roman" w:hAnsi="Times New Roman"/>
          <w:sz w:val="24"/>
          <w:szCs w:val="24"/>
        </w:rPr>
        <w:t>C</w:t>
      </w:r>
      <w:r w:rsidR="006E1D31" w:rsidRPr="009A2249">
        <w:rPr>
          <w:rFonts w:ascii="Times New Roman" w:hAnsi="Times New Roman"/>
          <w:sz w:val="24"/>
          <w:szCs w:val="24"/>
        </w:rPr>
        <w:t>onsidera-se que e</w:t>
      </w:r>
      <w:r w:rsidR="00636EDD" w:rsidRPr="009A2249">
        <w:rPr>
          <w:rFonts w:ascii="Times New Roman" w:hAnsi="Times New Roman"/>
          <w:sz w:val="24"/>
          <w:szCs w:val="24"/>
        </w:rPr>
        <w:t>ste</w:t>
      </w:r>
      <w:r w:rsidRPr="009A2249">
        <w:rPr>
          <w:rFonts w:ascii="Times New Roman" w:hAnsi="Times New Roman"/>
          <w:sz w:val="24"/>
          <w:szCs w:val="24"/>
        </w:rPr>
        <w:t xml:space="preserve"> segurado hipotético </w:t>
      </w:r>
      <w:r w:rsidR="000D4417" w:rsidRPr="009A2249">
        <w:rPr>
          <w:rFonts w:ascii="Times New Roman" w:hAnsi="Times New Roman"/>
          <w:sz w:val="24"/>
          <w:szCs w:val="24"/>
        </w:rPr>
        <w:t xml:space="preserve">do gênero masculino </w:t>
      </w:r>
      <w:r w:rsidR="00636EDD" w:rsidRPr="009A2249">
        <w:rPr>
          <w:rFonts w:ascii="Times New Roman" w:hAnsi="Times New Roman"/>
          <w:sz w:val="24"/>
          <w:szCs w:val="24"/>
        </w:rPr>
        <w:t>i</w:t>
      </w:r>
      <w:r w:rsidRPr="009A2249">
        <w:rPr>
          <w:rFonts w:ascii="Times New Roman" w:hAnsi="Times New Roman"/>
          <w:sz w:val="24"/>
          <w:szCs w:val="24"/>
        </w:rPr>
        <w:t>nici</w:t>
      </w:r>
      <w:r w:rsidR="00636EDD" w:rsidRPr="009A2249">
        <w:rPr>
          <w:rFonts w:ascii="Times New Roman" w:hAnsi="Times New Roman"/>
          <w:sz w:val="24"/>
          <w:szCs w:val="24"/>
        </w:rPr>
        <w:t>a</w:t>
      </w:r>
      <w:r w:rsidRPr="009A2249">
        <w:rPr>
          <w:rFonts w:ascii="Times New Roman" w:hAnsi="Times New Roman"/>
          <w:sz w:val="24"/>
          <w:szCs w:val="24"/>
        </w:rPr>
        <w:t xml:space="preserve"> sua vida </w:t>
      </w:r>
      <w:r w:rsidR="00636EDD" w:rsidRPr="009A2249">
        <w:rPr>
          <w:rFonts w:ascii="Times New Roman" w:hAnsi="Times New Roman"/>
          <w:sz w:val="24"/>
          <w:szCs w:val="24"/>
        </w:rPr>
        <w:t>ativa com uma</w:t>
      </w:r>
      <w:r w:rsidRPr="009A2249">
        <w:rPr>
          <w:rFonts w:ascii="Times New Roman" w:hAnsi="Times New Roman"/>
          <w:sz w:val="24"/>
          <w:szCs w:val="24"/>
        </w:rPr>
        <w:t xml:space="preserve"> renda mensal de um salário mínimo</w:t>
      </w:r>
      <w:r w:rsidR="00867EEB" w:rsidRPr="009A2249">
        <w:rPr>
          <w:rFonts w:ascii="Times New Roman" w:hAnsi="Times New Roman"/>
          <w:sz w:val="24"/>
          <w:szCs w:val="24"/>
        </w:rPr>
        <w:t xml:space="preserve"> (SM)</w:t>
      </w:r>
      <w:r w:rsidRPr="009A2249">
        <w:rPr>
          <w:rFonts w:ascii="Times New Roman" w:hAnsi="Times New Roman"/>
          <w:sz w:val="24"/>
          <w:szCs w:val="24"/>
        </w:rPr>
        <w:t xml:space="preserve"> (R$ 6</w:t>
      </w:r>
      <w:r w:rsidR="0073445C" w:rsidRPr="009A2249">
        <w:rPr>
          <w:rFonts w:ascii="Times New Roman" w:hAnsi="Times New Roman"/>
          <w:sz w:val="24"/>
          <w:szCs w:val="24"/>
        </w:rPr>
        <w:t>78</w:t>
      </w:r>
      <w:r w:rsidRPr="009A2249">
        <w:rPr>
          <w:rFonts w:ascii="Times New Roman" w:hAnsi="Times New Roman"/>
          <w:sz w:val="24"/>
          <w:szCs w:val="24"/>
        </w:rPr>
        <w:t xml:space="preserve">,00), que cresce monotonicamente. </w:t>
      </w:r>
      <w:r w:rsidR="000D4417" w:rsidRPr="009A2249">
        <w:rPr>
          <w:rFonts w:ascii="Times New Roman" w:hAnsi="Times New Roman"/>
          <w:sz w:val="24"/>
          <w:szCs w:val="24"/>
        </w:rPr>
        <w:t>Esta pessoa, tendo iniciado sua vida ativa aos 20 anos, aposenta-se por tempo de contribuição aos 55 anos</w:t>
      </w:r>
      <w:r w:rsidR="00122AFC" w:rsidRPr="009A2249">
        <w:rPr>
          <w:rFonts w:ascii="Times New Roman" w:hAnsi="Times New Roman"/>
          <w:sz w:val="24"/>
          <w:szCs w:val="24"/>
        </w:rPr>
        <w:t xml:space="preserve"> e deixa o mercado de trabalho</w:t>
      </w:r>
      <w:r w:rsidR="000D4417" w:rsidRPr="009A2249">
        <w:rPr>
          <w:rFonts w:ascii="Times New Roman" w:hAnsi="Times New Roman"/>
          <w:sz w:val="24"/>
          <w:szCs w:val="24"/>
        </w:rPr>
        <w:t>, de acordo com as regras vigentes</w:t>
      </w:r>
      <w:r w:rsidRPr="009A2249">
        <w:rPr>
          <w:rFonts w:ascii="Times New Roman" w:hAnsi="Times New Roman"/>
          <w:sz w:val="24"/>
          <w:szCs w:val="24"/>
        </w:rPr>
        <w:t xml:space="preserve">. </w:t>
      </w:r>
      <w:r w:rsidR="000D4417" w:rsidRPr="009A2249">
        <w:rPr>
          <w:rFonts w:ascii="Times New Roman" w:hAnsi="Times New Roman"/>
          <w:sz w:val="24"/>
          <w:szCs w:val="24"/>
        </w:rPr>
        <w:t>Suas contribuições durante e</w:t>
      </w:r>
      <w:r w:rsidRPr="009A2249">
        <w:rPr>
          <w:rFonts w:ascii="Times New Roman" w:hAnsi="Times New Roman"/>
          <w:sz w:val="24"/>
          <w:szCs w:val="24"/>
        </w:rPr>
        <w:t>sse período</w:t>
      </w:r>
      <w:r w:rsidR="000D4417" w:rsidRPr="009A2249">
        <w:rPr>
          <w:rFonts w:ascii="Times New Roman" w:hAnsi="Times New Roman"/>
          <w:sz w:val="24"/>
          <w:szCs w:val="24"/>
        </w:rPr>
        <w:t xml:space="preserve"> estão representadas á</w:t>
      </w:r>
      <w:r w:rsidRPr="009A2249">
        <w:rPr>
          <w:rFonts w:ascii="Times New Roman" w:hAnsi="Times New Roman"/>
          <w:sz w:val="24"/>
          <w:szCs w:val="24"/>
        </w:rPr>
        <w:t xml:space="preserve">rea </w:t>
      </w:r>
      <w:proofErr w:type="gramStart"/>
      <w:r w:rsidRPr="009A2249">
        <w:rPr>
          <w:rFonts w:ascii="Times New Roman" w:hAnsi="Times New Roman"/>
          <w:sz w:val="24"/>
          <w:szCs w:val="24"/>
        </w:rPr>
        <w:t>1</w:t>
      </w:r>
      <w:proofErr w:type="gramEnd"/>
      <w:r w:rsidRPr="009A2249">
        <w:rPr>
          <w:rFonts w:ascii="Times New Roman" w:hAnsi="Times New Roman"/>
          <w:sz w:val="24"/>
          <w:szCs w:val="24"/>
        </w:rPr>
        <w:t xml:space="preserve"> (verde).</w:t>
      </w:r>
      <w:r w:rsidR="000D4417" w:rsidRPr="009A2249">
        <w:rPr>
          <w:rFonts w:ascii="Times New Roman" w:hAnsi="Times New Roman"/>
          <w:sz w:val="24"/>
          <w:szCs w:val="24"/>
        </w:rPr>
        <w:t xml:space="preserve"> O</w:t>
      </w:r>
      <w:r w:rsidRPr="009A2249">
        <w:rPr>
          <w:rFonts w:ascii="Times New Roman" w:hAnsi="Times New Roman"/>
          <w:sz w:val="24"/>
          <w:szCs w:val="24"/>
        </w:rPr>
        <w:t xml:space="preserve"> segurado passa a receber imediatamente </w:t>
      </w:r>
      <w:r w:rsidR="000D4417" w:rsidRPr="009A2249">
        <w:rPr>
          <w:rFonts w:ascii="Times New Roman" w:hAnsi="Times New Roman"/>
          <w:sz w:val="24"/>
          <w:szCs w:val="24"/>
        </w:rPr>
        <w:t>sua aposentadoria por tempo de contribuição de</w:t>
      </w:r>
      <w:r w:rsidRPr="009A2249">
        <w:rPr>
          <w:rFonts w:ascii="Times New Roman" w:hAnsi="Times New Roman"/>
          <w:sz w:val="24"/>
          <w:szCs w:val="24"/>
        </w:rPr>
        <w:t xml:space="preserve"> modo vitalício. O fluxo de benefício</w:t>
      </w:r>
      <w:r w:rsidR="000D4417" w:rsidRPr="009A2249">
        <w:rPr>
          <w:rFonts w:ascii="Times New Roman" w:hAnsi="Times New Roman"/>
          <w:sz w:val="24"/>
          <w:szCs w:val="24"/>
        </w:rPr>
        <w:t>s</w:t>
      </w:r>
      <w:r w:rsidRPr="009A2249">
        <w:rPr>
          <w:rFonts w:ascii="Times New Roman" w:hAnsi="Times New Roman"/>
          <w:sz w:val="24"/>
          <w:szCs w:val="24"/>
        </w:rPr>
        <w:t xml:space="preserve"> </w:t>
      </w:r>
      <w:r w:rsidR="000D4417" w:rsidRPr="009A2249">
        <w:rPr>
          <w:rFonts w:ascii="Times New Roman" w:hAnsi="Times New Roman"/>
          <w:sz w:val="24"/>
          <w:szCs w:val="24"/>
        </w:rPr>
        <w:t>da ATC está representado pelas ár</w:t>
      </w:r>
      <w:r w:rsidRPr="009A2249">
        <w:rPr>
          <w:rFonts w:ascii="Times New Roman" w:hAnsi="Times New Roman"/>
          <w:sz w:val="24"/>
          <w:szCs w:val="24"/>
        </w:rPr>
        <w:t xml:space="preserve">eas </w:t>
      </w:r>
      <w:proofErr w:type="gramStart"/>
      <w:r w:rsidRPr="009A2249">
        <w:rPr>
          <w:rFonts w:ascii="Times New Roman" w:hAnsi="Times New Roman"/>
          <w:sz w:val="24"/>
          <w:szCs w:val="24"/>
        </w:rPr>
        <w:t>3</w:t>
      </w:r>
      <w:proofErr w:type="gramEnd"/>
      <w:r w:rsidRPr="009A2249">
        <w:rPr>
          <w:rFonts w:ascii="Times New Roman" w:hAnsi="Times New Roman"/>
          <w:sz w:val="24"/>
          <w:szCs w:val="24"/>
        </w:rPr>
        <w:t xml:space="preserve"> (laranja) e 4 (amarelo)</w:t>
      </w:r>
      <w:r w:rsidR="000D4417" w:rsidRPr="009A2249">
        <w:rPr>
          <w:rFonts w:ascii="Times New Roman" w:hAnsi="Times New Roman"/>
          <w:sz w:val="24"/>
          <w:szCs w:val="24"/>
        </w:rPr>
        <w:t>. Não havendo dependentes, o pagamento do benefício ocorrerá até os</w:t>
      </w:r>
      <w:r w:rsidRPr="009A2249">
        <w:rPr>
          <w:rFonts w:ascii="Times New Roman" w:hAnsi="Times New Roman"/>
          <w:sz w:val="24"/>
          <w:szCs w:val="24"/>
        </w:rPr>
        <w:t xml:space="preserve"> </w:t>
      </w:r>
      <w:r w:rsidR="0073445C" w:rsidRPr="009A2249">
        <w:rPr>
          <w:rFonts w:ascii="Times New Roman" w:hAnsi="Times New Roman"/>
          <w:sz w:val="24"/>
          <w:szCs w:val="24"/>
        </w:rPr>
        <w:t>70</w:t>
      </w:r>
      <w:r w:rsidRPr="009A2249">
        <w:rPr>
          <w:rFonts w:ascii="Times New Roman" w:hAnsi="Times New Roman"/>
          <w:sz w:val="24"/>
          <w:szCs w:val="24"/>
        </w:rPr>
        <w:t>,</w:t>
      </w:r>
      <w:r w:rsidR="0073445C" w:rsidRPr="009A2249">
        <w:rPr>
          <w:rFonts w:ascii="Times New Roman" w:hAnsi="Times New Roman"/>
          <w:sz w:val="24"/>
          <w:szCs w:val="24"/>
        </w:rPr>
        <w:t>6</w:t>
      </w:r>
      <w:r w:rsidRPr="009A2249">
        <w:rPr>
          <w:rFonts w:ascii="Times New Roman" w:hAnsi="Times New Roman"/>
          <w:sz w:val="24"/>
          <w:szCs w:val="24"/>
        </w:rPr>
        <w:t xml:space="preserve"> anos, conforme </w:t>
      </w:r>
      <w:r w:rsidR="000D4417" w:rsidRPr="009A2249">
        <w:rPr>
          <w:rFonts w:ascii="Times New Roman" w:hAnsi="Times New Roman"/>
          <w:sz w:val="24"/>
          <w:szCs w:val="24"/>
        </w:rPr>
        <w:t xml:space="preserve">a </w:t>
      </w:r>
      <w:r w:rsidRPr="009A2249">
        <w:rPr>
          <w:rFonts w:ascii="Times New Roman" w:hAnsi="Times New Roman"/>
          <w:sz w:val="24"/>
          <w:szCs w:val="24"/>
        </w:rPr>
        <w:t xml:space="preserve">expectativa de </w:t>
      </w:r>
      <w:r w:rsidR="000D4417" w:rsidRPr="009A2249">
        <w:rPr>
          <w:rFonts w:ascii="Times New Roman" w:hAnsi="Times New Roman"/>
          <w:sz w:val="24"/>
          <w:szCs w:val="24"/>
        </w:rPr>
        <w:t>sobrevida</w:t>
      </w:r>
      <w:r w:rsidR="00122AFC" w:rsidRPr="009A2249">
        <w:rPr>
          <w:rFonts w:ascii="Times New Roman" w:hAnsi="Times New Roman"/>
          <w:sz w:val="24"/>
          <w:szCs w:val="24"/>
        </w:rPr>
        <w:t xml:space="preserve"> hoje prevalecente</w:t>
      </w:r>
      <w:r w:rsidRPr="009A2249">
        <w:rPr>
          <w:rFonts w:ascii="Times New Roman" w:hAnsi="Times New Roman"/>
          <w:sz w:val="24"/>
          <w:szCs w:val="24"/>
        </w:rPr>
        <w:t>.</w:t>
      </w:r>
    </w:p>
    <w:p w:rsidR="00B904A6" w:rsidRPr="009A2249" w:rsidRDefault="00122AFC"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Considere-se agora a possibilidade da desaposentação. O segurado se aposenta por tempo de contribuição e se torna beneficiário do RGPS. No entanto, de forma diferente das condições mencionadas no parágrafo anterior, continua no mercado de trabalho e mantém sua condição de contribuinte ao RGPS. Após</w:t>
      </w:r>
      <w:r w:rsidR="00B904A6" w:rsidRPr="009A2249">
        <w:rPr>
          <w:rFonts w:ascii="Times New Roman" w:hAnsi="Times New Roman"/>
          <w:sz w:val="24"/>
          <w:szCs w:val="24"/>
        </w:rPr>
        <w:t xml:space="preserve"> alguns anos, o segurado </w:t>
      </w:r>
      <w:r w:rsidRPr="009A2249">
        <w:rPr>
          <w:rFonts w:ascii="Times New Roman" w:hAnsi="Times New Roman"/>
          <w:sz w:val="24"/>
          <w:szCs w:val="24"/>
        </w:rPr>
        <w:t xml:space="preserve">solicita uma revisão do valor do seu benefício, de forma a incorporar no cálculo do benefício </w:t>
      </w:r>
      <w:proofErr w:type="gramStart"/>
      <w:r w:rsidRPr="009A2249">
        <w:rPr>
          <w:rFonts w:ascii="Times New Roman" w:hAnsi="Times New Roman"/>
          <w:sz w:val="24"/>
          <w:szCs w:val="24"/>
        </w:rPr>
        <w:t>as</w:t>
      </w:r>
      <w:proofErr w:type="gramEnd"/>
      <w:r w:rsidRPr="009A2249">
        <w:rPr>
          <w:rFonts w:ascii="Times New Roman" w:hAnsi="Times New Roman"/>
          <w:sz w:val="24"/>
          <w:szCs w:val="24"/>
        </w:rPr>
        <w:t xml:space="preserve"> contribuições efetuadas no seu período de trabalho adicional</w:t>
      </w:r>
      <w:r w:rsidR="00B904A6" w:rsidRPr="009A2249">
        <w:rPr>
          <w:rFonts w:ascii="Times New Roman" w:hAnsi="Times New Roman"/>
          <w:sz w:val="24"/>
          <w:szCs w:val="24"/>
        </w:rPr>
        <w:t>.</w:t>
      </w:r>
      <w:r w:rsidRPr="009A2249">
        <w:rPr>
          <w:rFonts w:ascii="Times New Roman" w:hAnsi="Times New Roman"/>
          <w:sz w:val="24"/>
          <w:szCs w:val="24"/>
        </w:rPr>
        <w:t xml:space="preserve"> Esta é a </w:t>
      </w:r>
      <w:r w:rsidRPr="009A2249">
        <w:rPr>
          <w:rFonts w:ascii="Times New Roman" w:hAnsi="Times New Roman"/>
          <w:i/>
          <w:sz w:val="24"/>
          <w:szCs w:val="24"/>
        </w:rPr>
        <w:t>desaposentação</w:t>
      </w:r>
      <w:r w:rsidR="00B904A6" w:rsidRPr="009A2249">
        <w:rPr>
          <w:rFonts w:ascii="Times New Roman" w:hAnsi="Times New Roman"/>
          <w:sz w:val="24"/>
          <w:szCs w:val="24"/>
        </w:rPr>
        <w:t>.</w:t>
      </w:r>
    </w:p>
    <w:p w:rsidR="002F5566" w:rsidRPr="009A2249" w:rsidRDefault="00267E49"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No exemplo do </w:t>
      </w:r>
      <w:r w:rsidR="00E22A65" w:rsidRPr="009A2249">
        <w:rPr>
          <w:rFonts w:ascii="Times New Roman" w:hAnsi="Times New Roman"/>
          <w:sz w:val="24"/>
          <w:szCs w:val="24"/>
        </w:rPr>
        <w:t>G</w:t>
      </w:r>
      <w:r w:rsidRPr="009A2249">
        <w:rPr>
          <w:rFonts w:ascii="Times New Roman" w:hAnsi="Times New Roman"/>
          <w:sz w:val="24"/>
          <w:szCs w:val="24"/>
        </w:rPr>
        <w:t xml:space="preserve">ráfico </w:t>
      </w:r>
      <w:proofErr w:type="gramStart"/>
      <w:r w:rsidR="00A35F86">
        <w:rPr>
          <w:rFonts w:ascii="Times New Roman" w:hAnsi="Times New Roman"/>
          <w:sz w:val="24"/>
          <w:szCs w:val="24"/>
        </w:rPr>
        <w:t>2</w:t>
      </w:r>
      <w:proofErr w:type="gramEnd"/>
      <w:r w:rsidRPr="009A2249">
        <w:rPr>
          <w:rFonts w:ascii="Times New Roman" w:hAnsi="Times New Roman"/>
          <w:sz w:val="24"/>
          <w:szCs w:val="24"/>
        </w:rPr>
        <w:t>, o</w:t>
      </w:r>
      <w:r w:rsidR="00B904A6" w:rsidRPr="009A2249">
        <w:rPr>
          <w:rFonts w:ascii="Times New Roman" w:hAnsi="Times New Roman"/>
          <w:sz w:val="24"/>
          <w:szCs w:val="24"/>
        </w:rPr>
        <w:t xml:space="preserve"> pedido de desaposentação</w:t>
      </w:r>
      <w:r w:rsidR="002F5566" w:rsidRPr="009A2249">
        <w:rPr>
          <w:rFonts w:ascii="Times New Roman" w:hAnsi="Times New Roman"/>
          <w:sz w:val="24"/>
          <w:szCs w:val="24"/>
        </w:rPr>
        <w:t xml:space="preserve"> </w:t>
      </w:r>
      <w:r w:rsidR="00B904A6" w:rsidRPr="009A2249">
        <w:rPr>
          <w:rFonts w:ascii="Times New Roman" w:hAnsi="Times New Roman"/>
          <w:sz w:val="24"/>
          <w:szCs w:val="24"/>
        </w:rPr>
        <w:t xml:space="preserve">é </w:t>
      </w:r>
      <w:r w:rsidRPr="009A2249">
        <w:rPr>
          <w:rFonts w:ascii="Times New Roman" w:hAnsi="Times New Roman"/>
          <w:sz w:val="24"/>
          <w:szCs w:val="24"/>
        </w:rPr>
        <w:t>feito aos 60 anos, 5</w:t>
      </w:r>
      <w:r w:rsidR="00B904A6" w:rsidRPr="009A2249">
        <w:rPr>
          <w:rFonts w:ascii="Times New Roman" w:hAnsi="Times New Roman"/>
          <w:sz w:val="24"/>
          <w:szCs w:val="24"/>
        </w:rPr>
        <w:t xml:space="preserve"> anos </w:t>
      </w:r>
      <w:r w:rsidRPr="009A2249">
        <w:rPr>
          <w:rFonts w:ascii="Times New Roman" w:hAnsi="Times New Roman"/>
          <w:sz w:val="24"/>
          <w:szCs w:val="24"/>
        </w:rPr>
        <w:t>após a aposentadoria original. As contribuições adicionais, correspondentes à permanência no mercado de trabalho</w:t>
      </w:r>
      <w:r w:rsidR="002F5566" w:rsidRPr="009A2249">
        <w:rPr>
          <w:rFonts w:ascii="Times New Roman" w:hAnsi="Times New Roman"/>
          <w:sz w:val="24"/>
          <w:szCs w:val="24"/>
        </w:rPr>
        <w:t>,</w:t>
      </w:r>
      <w:r w:rsidRPr="009A2249">
        <w:rPr>
          <w:rFonts w:ascii="Times New Roman" w:hAnsi="Times New Roman"/>
          <w:sz w:val="24"/>
          <w:szCs w:val="24"/>
        </w:rPr>
        <w:t xml:space="preserve"> estão representadas na área</w:t>
      </w:r>
      <w:r w:rsidR="00B904A6" w:rsidRPr="009A2249">
        <w:rPr>
          <w:rFonts w:ascii="Times New Roman" w:hAnsi="Times New Roman"/>
          <w:sz w:val="24"/>
          <w:szCs w:val="24"/>
        </w:rPr>
        <w:t xml:space="preserve"> </w:t>
      </w:r>
      <w:proofErr w:type="gramStart"/>
      <w:r w:rsidR="00B904A6" w:rsidRPr="009A2249">
        <w:rPr>
          <w:rFonts w:ascii="Times New Roman" w:hAnsi="Times New Roman"/>
          <w:sz w:val="24"/>
          <w:szCs w:val="24"/>
        </w:rPr>
        <w:t>2</w:t>
      </w:r>
      <w:proofErr w:type="gramEnd"/>
      <w:r w:rsidR="00B904A6" w:rsidRPr="009A2249">
        <w:rPr>
          <w:rFonts w:ascii="Times New Roman" w:hAnsi="Times New Roman"/>
          <w:sz w:val="24"/>
          <w:szCs w:val="24"/>
        </w:rPr>
        <w:t xml:space="preserve"> (azul). </w:t>
      </w:r>
      <w:r w:rsidR="002F5566" w:rsidRPr="009A2249">
        <w:rPr>
          <w:rFonts w:ascii="Times New Roman" w:hAnsi="Times New Roman"/>
          <w:sz w:val="24"/>
          <w:szCs w:val="24"/>
        </w:rPr>
        <w:t xml:space="preserve">Esta continuidade da vida ativa implica crescimento do salário e do fator previdenciário. Desta maneira, o novo fluxo de benefícios corresponde às áreas </w:t>
      </w:r>
      <w:proofErr w:type="gramStart"/>
      <w:r w:rsidR="002F5566" w:rsidRPr="009A2249">
        <w:rPr>
          <w:rFonts w:ascii="Times New Roman" w:hAnsi="Times New Roman"/>
          <w:sz w:val="24"/>
          <w:szCs w:val="24"/>
        </w:rPr>
        <w:t>4</w:t>
      </w:r>
      <w:proofErr w:type="gramEnd"/>
      <w:r w:rsidR="002F5566" w:rsidRPr="009A2249">
        <w:rPr>
          <w:rFonts w:ascii="Times New Roman" w:hAnsi="Times New Roman"/>
          <w:sz w:val="24"/>
          <w:szCs w:val="24"/>
        </w:rPr>
        <w:t xml:space="preserve"> (amarelo) e 5 (vermelho)</w:t>
      </w:r>
      <w:r w:rsidR="00E623F6" w:rsidRPr="009A2249">
        <w:rPr>
          <w:rFonts w:ascii="Times New Roman" w:hAnsi="Times New Roman"/>
          <w:sz w:val="24"/>
          <w:szCs w:val="24"/>
        </w:rPr>
        <w:t>.</w:t>
      </w:r>
    </w:p>
    <w:p w:rsidR="00E623F6" w:rsidRPr="009A2249" w:rsidRDefault="00E623F6" w:rsidP="008C6C9C">
      <w:pPr>
        <w:spacing w:after="120" w:line="240" w:lineRule="auto"/>
        <w:ind w:firstLine="709"/>
        <w:jc w:val="both"/>
        <w:rPr>
          <w:rFonts w:ascii="Times New Roman" w:hAnsi="Times New Roman"/>
          <w:sz w:val="24"/>
          <w:szCs w:val="24"/>
        </w:rPr>
      </w:pPr>
    </w:p>
    <w:p w:rsidR="00B904A6" w:rsidRPr="009A2249" w:rsidRDefault="0041770C" w:rsidP="008C6C9C">
      <w:pPr>
        <w:pStyle w:val="Legenda"/>
        <w:keepNext/>
        <w:spacing w:after="0"/>
        <w:jc w:val="center"/>
        <w:rPr>
          <w:color w:val="auto"/>
          <w:sz w:val="24"/>
          <w:szCs w:val="24"/>
        </w:rPr>
      </w:pPr>
      <w:r w:rsidRPr="009A2249">
        <w:rPr>
          <w:color w:val="auto"/>
          <w:sz w:val="24"/>
          <w:szCs w:val="24"/>
        </w:rPr>
        <w:lastRenderedPageBreak/>
        <w:t xml:space="preserve">Gráfico </w:t>
      </w:r>
      <w:r w:rsidR="00FE60AC" w:rsidRPr="009A2249">
        <w:rPr>
          <w:color w:val="auto"/>
          <w:sz w:val="24"/>
          <w:szCs w:val="24"/>
        </w:rPr>
        <w:fldChar w:fldCharType="begin"/>
      </w:r>
      <w:r w:rsidRPr="009A2249">
        <w:rPr>
          <w:color w:val="auto"/>
          <w:sz w:val="24"/>
          <w:szCs w:val="24"/>
        </w:rPr>
        <w:instrText xml:space="preserve"> SEQ Gráfico \* ARABIC </w:instrText>
      </w:r>
      <w:r w:rsidR="00FE60AC" w:rsidRPr="009A2249">
        <w:rPr>
          <w:color w:val="auto"/>
          <w:sz w:val="24"/>
          <w:szCs w:val="24"/>
        </w:rPr>
        <w:fldChar w:fldCharType="separate"/>
      </w:r>
      <w:r w:rsidR="00B5651D">
        <w:rPr>
          <w:noProof/>
          <w:color w:val="auto"/>
          <w:sz w:val="24"/>
          <w:szCs w:val="24"/>
        </w:rPr>
        <w:t>2</w:t>
      </w:r>
      <w:r w:rsidR="00FE60AC" w:rsidRPr="009A2249">
        <w:rPr>
          <w:color w:val="auto"/>
          <w:sz w:val="24"/>
          <w:szCs w:val="24"/>
        </w:rPr>
        <w:fldChar w:fldCharType="end"/>
      </w:r>
      <w:r w:rsidRPr="009A2249">
        <w:rPr>
          <w:color w:val="auto"/>
          <w:sz w:val="24"/>
          <w:szCs w:val="24"/>
        </w:rPr>
        <w:t xml:space="preserve"> – Fluxos de Contribuições e Benefícios</w:t>
      </w:r>
    </w:p>
    <w:p w:rsidR="00B904A6" w:rsidRPr="009A2249" w:rsidRDefault="0041770C" w:rsidP="008C6C9C">
      <w:pPr>
        <w:pStyle w:val="Legenda"/>
        <w:keepNext/>
        <w:spacing w:after="0"/>
        <w:jc w:val="center"/>
        <w:rPr>
          <w:color w:val="auto"/>
          <w:sz w:val="24"/>
          <w:szCs w:val="24"/>
        </w:rPr>
      </w:pPr>
      <w:r w:rsidRPr="009A2249">
        <w:rPr>
          <w:color w:val="auto"/>
          <w:sz w:val="24"/>
          <w:szCs w:val="24"/>
        </w:rPr>
        <w:t>(Segurado do gênero masculino – Com ou sem desaposentação)</w:t>
      </w:r>
    </w:p>
    <w:p w:rsidR="00B904A6" w:rsidRPr="009A2249" w:rsidRDefault="00B904A6" w:rsidP="008C6C9C">
      <w:pPr>
        <w:spacing w:after="0" w:line="240" w:lineRule="auto"/>
        <w:jc w:val="center"/>
        <w:rPr>
          <w:rFonts w:ascii="Times New Roman" w:hAnsi="Times New Roman"/>
          <w:sz w:val="24"/>
          <w:szCs w:val="24"/>
        </w:rPr>
      </w:pPr>
      <w:r w:rsidRPr="009A2249">
        <w:rPr>
          <w:rFonts w:ascii="Times New Roman" w:hAnsi="Times New Roman"/>
          <w:noProof/>
          <w:sz w:val="24"/>
          <w:szCs w:val="24"/>
          <w:lang w:eastAsia="pt-BR"/>
        </w:rPr>
        <w:drawing>
          <wp:inline distT="0" distB="0" distL="0" distR="0">
            <wp:extent cx="4921890" cy="2082822"/>
            <wp:effectExtent l="0" t="0" r="0" b="0"/>
            <wp:docPr id="85"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147" cy="2084200"/>
                    </a:xfrm>
                    <a:prstGeom prst="rect">
                      <a:avLst/>
                    </a:prstGeom>
                    <a:noFill/>
                    <a:ln>
                      <a:noFill/>
                    </a:ln>
                  </pic:spPr>
                </pic:pic>
              </a:graphicData>
            </a:graphic>
          </wp:inline>
        </w:drawing>
      </w:r>
    </w:p>
    <w:p w:rsidR="00B904A6" w:rsidRPr="00434A9B" w:rsidRDefault="00B904A6" w:rsidP="008C6C9C">
      <w:pPr>
        <w:spacing w:after="0" w:line="240" w:lineRule="auto"/>
        <w:ind w:left="357" w:right="567" w:firstLine="709"/>
        <w:jc w:val="right"/>
        <w:rPr>
          <w:rFonts w:ascii="Times New Roman" w:hAnsi="Times New Roman"/>
          <w:sz w:val="20"/>
          <w:szCs w:val="20"/>
        </w:rPr>
      </w:pPr>
      <w:r w:rsidRPr="00434A9B">
        <w:rPr>
          <w:rFonts w:ascii="Times New Roman" w:hAnsi="Times New Roman"/>
          <w:sz w:val="20"/>
          <w:szCs w:val="20"/>
        </w:rPr>
        <w:t>Fonte: Elaboração dos autores</w:t>
      </w:r>
      <w:r w:rsidR="00861964" w:rsidRPr="00434A9B">
        <w:rPr>
          <w:rFonts w:ascii="Times New Roman" w:hAnsi="Times New Roman"/>
          <w:sz w:val="20"/>
          <w:szCs w:val="20"/>
        </w:rPr>
        <w:t>.</w:t>
      </w:r>
    </w:p>
    <w:p w:rsidR="00484BE0" w:rsidRPr="009A2249" w:rsidRDefault="00484BE0" w:rsidP="008C6C9C">
      <w:pPr>
        <w:spacing w:after="0" w:line="240" w:lineRule="auto"/>
        <w:ind w:left="357" w:right="567" w:firstLine="709"/>
        <w:jc w:val="right"/>
        <w:rPr>
          <w:rFonts w:ascii="Times New Roman" w:hAnsi="Times New Roman"/>
          <w:sz w:val="24"/>
          <w:szCs w:val="24"/>
        </w:rPr>
      </w:pPr>
    </w:p>
    <w:p w:rsidR="00B904A6" w:rsidRPr="009A2249" w:rsidRDefault="0031286F" w:rsidP="008C6C9C">
      <w:pPr>
        <w:pStyle w:val="PargrafodaLista"/>
        <w:numPr>
          <w:ilvl w:val="1"/>
          <w:numId w:val="3"/>
        </w:numPr>
        <w:spacing w:after="120"/>
        <w:jc w:val="both"/>
        <w:rPr>
          <w:b/>
        </w:rPr>
      </w:pPr>
      <w:r w:rsidRPr="009A2249">
        <w:rPr>
          <w:b/>
        </w:rPr>
        <w:t>Indicadores previdenciários</w:t>
      </w:r>
    </w:p>
    <w:p w:rsidR="0031286F" w:rsidRPr="009A2249" w:rsidRDefault="0031286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Todos os resultados obtidos serão analisados com base em quatro indicadores usuais na literatura </w:t>
      </w:r>
      <w:proofErr w:type="gramStart"/>
      <w:r w:rsidRPr="009A2249">
        <w:rPr>
          <w:rFonts w:ascii="Times New Roman" w:hAnsi="Times New Roman"/>
          <w:sz w:val="24"/>
          <w:szCs w:val="24"/>
        </w:rPr>
        <w:t>previdenciária .</w:t>
      </w:r>
      <w:proofErr w:type="gramEnd"/>
      <w:r w:rsidRPr="009A2249">
        <w:rPr>
          <w:rFonts w:ascii="Times New Roman" w:hAnsi="Times New Roman"/>
          <w:sz w:val="24"/>
          <w:szCs w:val="24"/>
        </w:rPr>
        <w:t xml:space="preserve"> São eles: </w:t>
      </w:r>
      <w:r w:rsidRPr="009A2249">
        <w:rPr>
          <w:rFonts w:ascii="Times New Roman" w:hAnsi="Times New Roman"/>
          <w:i/>
          <w:sz w:val="24"/>
          <w:szCs w:val="24"/>
        </w:rPr>
        <w:t xml:space="preserve">Taxa de Reposição </w:t>
      </w:r>
      <w:r w:rsidRPr="009A2249">
        <w:rPr>
          <w:rFonts w:ascii="Times New Roman" w:hAnsi="Times New Roman"/>
          <w:sz w:val="24"/>
          <w:szCs w:val="24"/>
        </w:rPr>
        <w:t>(</w:t>
      </w:r>
      <w:r w:rsidRPr="009A2249">
        <w:rPr>
          <w:rFonts w:ascii="Times New Roman" w:hAnsi="Times New Roman"/>
          <w:i/>
          <w:sz w:val="24"/>
          <w:szCs w:val="24"/>
        </w:rPr>
        <w:t>TR</w:t>
      </w:r>
      <w:r w:rsidRPr="009A2249">
        <w:rPr>
          <w:rFonts w:ascii="Times New Roman" w:hAnsi="Times New Roman"/>
          <w:sz w:val="24"/>
          <w:szCs w:val="24"/>
        </w:rPr>
        <w:t xml:space="preserve">), </w:t>
      </w:r>
      <w:r w:rsidRPr="009A2249">
        <w:rPr>
          <w:rFonts w:ascii="Times New Roman" w:hAnsi="Times New Roman"/>
          <w:i/>
          <w:sz w:val="24"/>
          <w:szCs w:val="24"/>
        </w:rPr>
        <w:t xml:space="preserve">Alíquota Efetiva </w:t>
      </w:r>
      <w:r w:rsidRPr="009A2249">
        <w:rPr>
          <w:rFonts w:ascii="Times New Roman" w:hAnsi="Times New Roman"/>
          <w:sz w:val="24"/>
          <w:szCs w:val="24"/>
        </w:rPr>
        <w:t>(</w:t>
      </w:r>
      <w:r w:rsidRPr="009A2249">
        <w:rPr>
          <w:rFonts w:ascii="Times New Roman" w:hAnsi="Times New Roman"/>
          <w:i/>
          <w:sz w:val="24"/>
          <w:szCs w:val="24"/>
        </w:rPr>
        <w:t>AE</w:t>
      </w:r>
      <w:r w:rsidRPr="009A2249">
        <w:rPr>
          <w:rFonts w:ascii="Times New Roman" w:hAnsi="Times New Roman"/>
          <w:sz w:val="24"/>
          <w:szCs w:val="24"/>
        </w:rPr>
        <w:t xml:space="preserve">), </w:t>
      </w:r>
      <w:r w:rsidRPr="009A2249">
        <w:rPr>
          <w:rFonts w:ascii="Times New Roman" w:hAnsi="Times New Roman"/>
          <w:i/>
          <w:sz w:val="24"/>
          <w:szCs w:val="24"/>
        </w:rPr>
        <w:t xml:space="preserve">Alíquota Necessária </w:t>
      </w:r>
      <w:r w:rsidRPr="009A2249">
        <w:rPr>
          <w:rFonts w:ascii="Times New Roman" w:hAnsi="Times New Roman"/>
          <w:sz w:val="24"/>
          <w:szCs w:val="24"/>
        </w:rPr>
        <w:t>(</w:t>
      </w:r>
      <w:r w:rsidRPr="009A2249">
        <w:rPr>
          <w:rFonts w:ascii="Times New Roman" w:hAnsi="Times New Roman"/>
          <w:i/>
          <w:sz w:val="24"/>
          <w:szCs w:val="24"/>
        </w:rPr>
        <w:t>AN</w:t>
      </w:r>
      <w:r w:rsidRPr="009A2249">
        <w:rPr>
          <w:rFonts w:ascii="Times New Roman" w:hAnsi="Times New Roman"/>
          <w:sz w:val="24"/>
          <w:szCs w:val="24"/>
        </w:rPr>
        <w:t xml:space="preserve">) e </w:t>
      </w:r>
      <w:r w:rsidRPr="009A2249">
        <w:rPr>
          <w:rFonts w:ascii="Times New Roman" w:hAnsi="Times New Roman"/>
          <w:i/>
          <w:sz w:val="24"/>
          <w:szCs w:val="24"/>
        </w:rPr>
        <w:t xml:space="preserve">Taxa Interna de Retorno </w:t>
      </w:r>
      <w:r w:rsidRPr="009A2249">
        <w:rPr>
          <w:rFonts w:ascii="Times New Roman" w:hAnsi="Times New Roman"/>
          <w:sz w:val="24"/>
          <w:szCs w:val="24"/>
        </w:rPr>
        <w:t>(</w:t>
      </w:r>
      <w:r w:rsidRPr="009A2249">
        <w:rPr>
          <w:rFonts w:ascii="Times New Roman" w:hAnsi="Times New Roman"/>
          <w:i/>
          <w:sz w:val="24"/>
          <w:szCs w:val="24"/>
        </w:rPr>
        <w:t>TIR</w:t>
      </w:r>
      <w:r w:rsidRPr="009A2249">
        <w:rPr>
          <w:rFonts w:ascii="Times New Roman" w:hAnsi="Times New Roman"/>
          <w:sz w:val="24"/>
          <w:szCs w:val="24"/>
        </w:rPr>
        <w:t>). Dois trabalhos quem empregam alguns desses indicadores são SCHRÖDER (2012) e Forteza e Ouréns (2009).</w:t>
      </w:r>
    </w:p>
    <w:p w:rsidR="0031286F" w:rsidRPr="009A2249" w:rsidRDefault="0031286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A forma de cálculo da Taxa de Reposição </w:t>
      </w:r>
      <w:r w:rsidRPr="009A2249">
        <w:rPr>
          <w:rFonts w:ascii="Times New Roman" w:hAnsi="Times New Roman"/>
          <w:i/>
          <w:sz w:val="24"/>
          <w:szCs w:val="24"/>
        </w:rPr>
        <w:t>TR</w:t>
      </w:r>
      <w:r w:rsidRPr="009A2249">
        <w:rPr>
          <w:rFonts w:ascii="Times New Roman" w:hAnsi="Times New Roman"/>
          <w:sz w:val="24"/>
          <w:szCs w:val="24"/>
        </w:rPr>
        <w:t xml:space="preserve"> é apresentada na Equação </w:t>
      </w:r>
      <w:proofErr w:type="gramStart"/>
      <w:r w:rsidRPr="009A2249">
        <w:rPr>
          <w:rFonts w:ascii="Times New Roman" w:hAnsi="Times New Roman"/>
          <w:sz w:val="24"/>
          <w:szCs w:val="24"/>
        </w:rPr>
        <w:t>9</w:t>
      </w:r>
      <w:proofErr w:type="gramEnd"/>
      <w:r w:rsidRPr="009A2249">
        <w:rPr>
          <w:rFonts w:ascii="Times New Roman" w:hAnsi="Times New Roman"/>
          <w:sz w:val="24"/>
          <w:szCs w:val="24"/>
        </w:rPr>
        <w:t xml:space="preserve">, na qual </w:t>
      </w:r>
      <w:r w:rsidRPr="009A2249">
        <w:rPr>
          <w:rFonts w:ascii="Times New Roman" w:hAnsi="Times New Roman"/>
          <w:i/>
          <w:sz w:val="24"/>
          <w:szCs w:val="24"/>
        </w:rPr>
        <w:t>VuC</w:t>
      </w:r>
      <w:r w:rsidRPr="009A2249">
        <w:rPr>
          <w:rFonts w:ascii="Times New Roman" w:hAnsi="Times New Roman"/>
          <w:sz w:val="24"/>
          <w:szCs w:val="24"/>
        </w:rPr>
        <w:t xml:space="preserve"> é a remuneração no último período laboral e </w:t>
      </w:r>
      <w:r w:rsidRPr="009A2249">
        <w:rPr>
          <w:rFonts w:ascii="Times New Roman" w:hAnsi="Times New Roman"/>
          <w:i/>
          <w:sz w:val="24"/>
          <w:szCs w:val="24"/>
        </w:rPr>
        <w:t>VpB</w:t>
      </w:r>
      <w:r w:rsidRPr="009A2249">
        <w:rPr>
          <w:rFonts w:ascii="Times New Roman" w:hAnsi="Times New Roman"/>
          <w:sz w:val="24"/>
          <w:szCs w:val="24"/>
        </w:rPr>
        <w:t xml:space="preserve"> é o valor do primeiro benefício previdenciário do indivíduo.</w:t>
      </w:r>
    </w:p>
    <w:p w:rsidR="0031286F" w:rsidRPr="009A2249" w:rsidRDefault="0031286F" w:rsidP="006E4A23">
      <w:pPr>
        <w:spacing w:after="120" w:line="240" w:lineRule="auto"/>
        <w:ind w:firstLine="709"/>
        <w:jc w:val="right"/>
        <w:rPr>
          <w:rFonts w:ascii="Cambria Math" w:hAnsi="Cambria Math"/>
          <w:i/>
          <w:sz w:val="26"/>
          <w:szCs w:val="26"/>
        </w:rPr>
      </w:pPr>
      <m:oMath>
        <m:r>
          <w:rPr>
            <w:rFonts w:ascii="Cambria Math" w:hAnsi="Cambria Math"/>
            <w:sz w:val="26"/>
            <w:szCs w:val="26"/>
          </w:rPr>
          <m:t xml:space="preserve">TR= </m:t>
        </m:r>
        <m:f>
          <m:fPr>
            <m:ctrlPr>
              <w:rPr>
                <w:rFonts w:ascii="Cambria Math" w:hAnsi="Cambria Math"/>
                <w:i/>
                <w:sz w:val="26"/>
                <w:szCs w:val="26"/>
              </w:rPr>
            </m:ctrlPr>
          </m:fPr>
          <m:num>
            <m:r>
              <w:rPr>
                <w:rFonts w:ascii="Cambria Math" w:hAnsi="Cambria Math"/>
                <w:sz w:val="26"/>
                <w:szCs w:val="26"/>
              </w:rPr>
              <m:t>VpB</m:t>
            </m:r>
          </m:num>
          <m:den>
            <m:r>
              <w:rPr>
                <w:rFonts w:ascii="Cambria Math" w:hAnsi="Cambria Math"/>
                <w:sz w:val="26"/>
                <w:szCs w:val="26"/>
              </w:rPr>
              <m:t>VuC</m:t>
            </m:r>
          </m:den>
        </m:f>
      </m:oMath>
      <w:r w:rsidRPr="009A2249">
        <w:rPr>
          <w:rFonts w:ascii="Cambria Math" w:hAnsi="Cambria Math"/>
          <w:i/>
          <w:sz w:val="26"/>
          <w:szCs w:val="26"/>
        </w:rPr>
        <w:t xml:space="preserve"> </w:t>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Pr="009A2249">
        <w:rPr>
          <w:rFonts w:ascii="Cambria Math" w:hAnsi="Cambria Math"/>
          <w:i/>
          <w:sz w:val="26"/>
          <w:szCs w:val="26"/>
        </w:rPr>
        <w:tab/>
      </w:r>
      <w:r w:rsidRPr="009A2249">
        <w:rPr>
          <w:rFonts w:ascii="Times New Roman" w:hAnsi="Times New Roman"/>
          <w:sz w:val="24"/>
          <w:szCs w:val="24"/>
        </w:rPr>
        <w:t>(</w:t>
      </w:r>
      <w:r w:rsidR="00FE60AC" w:rsidRPr="009A2249">
        <w:rPr>
          <w:rFonts w:ascii="Times New Roman" w:hAnsi="Times New Roman"/>
          <w:sz w:val="24"/>
          <w:szCs w:val="24"/>
        </w:rPr>
        <w:fldChar w:fldCharType="begin"/>
      </w:r>
      <w:r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31286F" w:rsidRPr="009A2249" w:rsidRDefault="0031286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A Alíquota Efetiva </w:t>
      </w:r>
      <w:r w:rsidRPr="009A2249">
        <w:rPr>
          <w:rFonts w:ascii="Times New Roman" w:hAnsi="Times New Roman"/>
          <w:i/>
          <w:sz w:val="24"/>
          <w:szCs w:val="24"/>
        </w:rPr>
        <w:t>AE</w:t>
      </w:r>
      <w:r w:rsidRPr="009A2249">
        <w:rPr>
          <w:rFonts w:ascii="Times New Roman" w:hAnsi="Times New Roman"/>
          <w:sz w:val="24"/>
          <w:szCs w:val="24"/>
        </w:rPr>
        <w:t xml:space="preserve">, apresentada na </w:t>
      </w:r>
      <w:r w:rsidR="00125235" w:rsidRPr="009A2249">
        <w:rPr>
          <w:rFonts w:ascii="Times New Roman" w:hAnsi="Times New Roman"/>
          <w:sz w:val="24"/>
          <w:szCs w:val="24"/>
        </w:rPr>
        <w:t>E</w:t>
      </w:r>
      <w:r w:rsidRPr="009A2249">
        <w:rPr>
          <w:rFonts w:ascii="Times New Roman" w:hAnsi="Times New Roman"/>
          <w:sz w:val="24"/>
          <w:szCs w:val="24"/>
        </w:rPr>
        <w:t>quação 10, expressa a relação entre os valores presentes das contribuições de fato realizadas (</w:t>
      </w:r>
      <w:r w:rsidRPr="009A2249">
        <w:rPr>
          <w:rFonts w:ascii="Times New Roman" w:hAnsi="Times New Roman"/>
          <w:i/>
          <w:sz w:val="24"/>
          <w:szCs w:val="24"/>
        </w:rPr>
        <w:t>VPC</w:t>
      </w:r>
      <w:r w:rsidRPr="009A2249">
        <w:rPr>
          <w:rFonts w:ascii="Times New Roman" w:hAnsi="Times New Roman"/>
          <w:sz w:val="24"/>
          <w:szCs w:val="24"/>
        </w:rPr>
        <w:t xml:space="preserve">) e da </w:t>
      </w:r>
      <w:proofErr w:type="gramStart"/>
      <w:r w:rsidRPr="009A2249">
        <w:rPr>
          <w:rFonts w:ascii="Times New Roman" w:hAnsi="Times New Roman"/>
          <w:sz w:val="24"/>
          <w:szCs w:val="24"/>
        </w:rPr>
        <w:t>a</w:t>
      </w:r>
      <w:proofErr w:type="gramEnd"/>
      <w:r w:rsidRPr="009A2249">
        <w:rPr>
          <w:rFonts w:ascii="Times New Roman" w:hAnsi="Times New Roman"/>
          <w:sz w:val="24"/>
          <w:szCs w:val="24"/>
        </w:rPr>
        <w:t xml:space="preserve"> renda (</w:t>
      </w:r>
      <w:r w:rsidRPr="009A2249">
        <w:rPr>
          <w:rFonts w:ascii="Times New Roman" w:hAnsi="Times New Roman"/>
          <w:i/>
          <w:sz w:val="24"/>
          <w:szCs w:val="24"/>
        </w:rPr>
        <w:t>VPR</w:t>
      </w:r>
      <w:r w:rsidRPr="009A2249">
        <w:rPr>
          <w:rFonts w:ascii="Times New Roman" w:hAnsi="Times New Roman"/>
          <w:sz w:val="24"/>
          <w:szCs w:val="24"/>
        </w:rPr>
        <w:t>) que o segurado pagou durante o período contributivo.</w:t>
      </w:r>
    </w:p>
    <w:p w:rsidR="0031286F" w:rsidRPr="009A2249" w:rsidRDefault="0031286F" w:rsidP="006E4A23">
      <w:pPr>
        <w:spacing w:after="120" w:line="240" w:lineRule="auto"/>
        <w:ind w:firstLine="709"/>
        <w:jc w:val="right"/>
        <w:rPr>
          <w:rFonts w:ascii="Cambria Math" w:hAnsi="Cambria Math"/>
          <w:i/>
          <w:sz w:val="26"/>
          <w:szCs w:val="26"/>
        </w:rPr>
      </w:pPr>
      <m:oMath>
        <m:r>
          <w:rPr>
            <w:rFonts w:ascii="Cambria Math" w:hAnsi="Cambria Math"/>
            <w:sz w:val="26"/>
            <w:szCs w:val="26"/>
          </w:rPr>
          <m:t xml:space="preserve">AE= </m:t>
        </m:r>
        <m:f>
          <m:fPr>
            <m:ctrlPr>
              <w:rPr>
                <w:rFonts w:ascii="Cambria Math" w:hAnsi="Cambria Math"/>
                <w:i/>
                <w:sz w:val="26"/>
                <w:szCs w:val="26"/>
              </w:rPr>
            </m:ctrlPr>
          </m:fPr>
          <m:num>
            <m:r>
              <w:rPr>
                <w:rFonts w:ascii="Cambria Math" w:hAnsi="Cambria Math"/>
                <w:sz w:val="26"/>
                <w:szCs w:val="26"/>
              </w:rPr>
              <m:t>VPC</m:t>
            </m:r>
          </m:num>
          <m:den>
            <m:r>
              <w:rPr>
                <w:rFonts w:ascii="Cambria Math" w:hAnsi="Cambria Math"/>
                <w:sz w:val="26"/>
                <w:szCs w:val="26"/>
              </w:rPr>
              <m:t>VPR</m:t>
            </m:r>
          </m:den>
        </m:f>
      </m:oMath>
      <w:r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Pr="009A2249">
        <w:rPr>
          <w:rFonts w:ascii="Times New Roman" w:hAnsi="Times New Roman"/>
          <w:sz w:val="24"/>
          <w:szCs w:val="24"/>
        </w:rPr>
        <w:t>(</w:t>
      </w:r>
      <w:r w:rsidR="00FE60AC" w:rsidRPr="009A2249">
        <w:rPr>
          <w:rFonts w:ascii="Times New Roman" w:hAnsi="Times New Roman"/>
          <w:sz w:val="24"/>
          <w:szCs w:val="24"/>
        </w:rPr>
        <w:fldChar w:fldCharType="begin"/>
      </w:r>
      <w:r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31286F" w:rsidRPr="009A2249" w:rsidRDefault="0031286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Finalmente a Alíquota Necessária </w:t>
      </w:r>
      <w:r w:rsidRPr="009A2249">
        <w:rPr>
          <w:rFonts w:ascii="Times New Roman" w:hAnsi="Times New Roman"/>
          <w:i/>
          <w:sz w:val="24"/>
          <w:szCs w:val="24"/>
        </w:rPr>
        <w:t>AN</w:t>
      </w:r>
      <w:r w:rsidRPr="009A2249">
        <w:rPr>
          <w:rFonts w:ascii="Times New Roman" w:hAnsi="Times New Roman"/>
          <w:sz w:val="24"/>
          <w:szCs w:val="24"/>
        </w:rPr>
        <w:t xml:space="preserve"> indica qual deveria ser a alíquota de contribuição que assegurasse o equilíbrio entre os valores presentes de contribuições e benefícios (</w:t>
      </w:r>
      <w:r w:rsidRPr="009A2249">
        <w:rPr>
          <w:rFonts w:ascii="Times New Roman" w:hAnsi="Times New Roman"/>
          <w:i/>
          <w:sz w:val="24"/>
          <w:szCs w:val="24"/>
        </w:rPr>
        <w:t>VPB</w:t>
      </w:r>
      <w:r w:rsidRPr="009A2249">
        <w:rPr>
          <w:rFonts w:ascii="Times New Roman" w:hAnsi="Times New Roman"/>
          <w:sz w:val="24"/>
          <w:szCs w:val="24"/>
        </w:rPr>
        <w:t>). Sua fórmula está explicitada na Equação 11.</w:t>
      </w:r>
    </w:p>
    <w:p w:rsidR="0031286F" w:rsidRPr="009A2249" w:rsidRDefault="0031286F" w:rsidP="006E4A23">
      <w:pPr>
        <w:spacing w:after="120" w:line="240" w:lineRule="auto"/>
        <w:ind w:firstLine="709"/>
        <w:jc w:val="right"/>
        <w:rPr>
          <w:rFonts w:ascii="Cambria Math" w:hAnsi="Cambria Math"/>
          <w:i/>
          <w:sz w:val="26"/>
          <w:szCs w:val="26"/>
        </w:rPr>
      </w:pPr>
      <m:oMath>
        <m:r>
          <w:rPr>
            <w:rFonts w:ascii="Cambria Math" w:hAnsi="Cambria Math"/>
            <w:sz w:val="26"/>
            <w:szCs w:val="26"/>
          </w:rPr>
          <m:t xml:space="preserve">AN= </m:t>
        </m:r>
        <m:f>
          <m:fPr>
            <m:ctrlPr>
              <w:rPr>
                <w:rFonts w:ascii="Cambria Math" w:hAnsi="Cambria Math"/>
                <w:i/>
                <w:sz w:val="26"/>
                <w:szCs w:val="26"/>
              </w:rPr>
            </m:ctrlPr>
          </m:fPr>
          <m:num>
            <m:r>
              <w:rPr>
                <w:rFonts w:ascii="Cambria Math" w:hAnsi="Cambria Math"/>
                <w:sz w:val="26"/>
                <w:szCs w:val="26"/>
              </w:rPr>
              <m:t>VPB</m:t>
            </m:r>
          </m:num>
          <m:den>
            <m:r>
              <w:rPr>
                <w:rFonts w:ascii="Cambria Math" w:hAnsi="Cambria Math"/>
                <w:sz w:val="26"/>
                <w:szCs w:val="26"/>
              </w:rPr>
              <m:t>VPR</m:t>
            </m:r>
          </m:den>
        </m:f>
      </m:oMath>
      <w:r w:rsidRPr="009A2249">
        <w:rPr>
          <w:rFonts w:ascii="Cambria Math" w:hAnsi="Cambria Math"/>
          <w:i/>
          <w:sz w:val="26"/>
          <w:szCs w:val="26"/>
        </w:rPr>
        <w:t xml:space="preserve"> </w:t>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006E4A23" w:rsidRPr="009A2249">
        <w:rPr>
          <w:rFonts w:ascii="Cambria Math" w:hAnsi="Cambria Math"/>
          <w:i/>
          <w:sz w:val="26"/>
          <w:szCs w:val="26"/>
        </w:rPr>
        <w:tab/>
      </w:r>
      <w:r w:rsidRPr="009A2249">
        <w:rPr>
          <w:rFonts w:ascii="Cambria Math" w:hAnsi="Cambria Math"/>
          <w:i/>
          <w:sz w:val="26"/>
          <w:szCs w:val="26"/>
        </w:rPr>
        <w:tab/>
      </w:r>
      <w:r w:rsidRPr="009A2249">
        <w:rPr>
          <w:rFonts w:ascii="Times New Roman" w:hAnsi="Times New Roman"/>
          <w:sz w:val="24"/>
          <w:szCs w:val="24"/>
        </w:rPr>
        <w:t>(</w:t>
      </w:r>
      <w:r w:rsidR="00FE60AC" w:rsidRPr="009A2249">
        <w:rPr>
          <w:rFonts w:ascii="Times New Roman" w:hAnsi="Times New Roman"/>
          <w:sz w:val="24"/>
          <w:szCs w:val="24"/>
        </w:rPr>
        <w:fldChar w:fldCharType="begin"/>
      </w:r>
      <w:r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31286F" w:rsidRPr="009A2249" w:rsidRDefault="0031286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Conforme apresentado na </w:t>
      </w:r>
      <w:r w:rsidR="00125235" w:rsidRPr="009A2249">
        <w:rPr>
          <w:rFonts w:ascii="Times New Roman" w:hAnsi="Times New Roman"/>
          <w:sz w:val="24"/>
          <w:szCs w:val="24"/>
        </w:rPr>
        <w:t>E</w:t>
      </w:r>
      <w:r w:rsidRPr="009A2249">
        <w:rPr>
          <w:rFonts w:ascii="Times New Roman" w:hAnsi="Times New Roman"/>
          <w:sz w:val="24"/>
          <w:szCs w:val="24"/>
        </w:rPr>
        <w:t xml:space="preserve">quação 12, a Taxa Interna de Retorno </w:t>
      </w:r>
      <w:r w:rsidRPr="009A2249">
        <w:rPr>
          <w:rFonts w:ascii="Times New Roman" w:hAnsi="Times New Roman"/>
          <w:i/>
          <w:sz w:val="24"/>
          <w:szCs w:val="24"/>
        </w:rPr>
        <w:t>TIR</w:t>
      </w:r>
      <w:r w:rsidRPr="009A2249">
        <w:rPr>
          <w:rFonts w:ascii="Times New Roman" w:hAnsi="Times New Roman"/>
          <w:sz w:val="24"/>
          <w:szCs w:val="24"/>
        </w:rPr>
        <w:t xml:space="preserve"> iguala os fluxos de contribuições e benefícios do segurado durante sua vida. Nesta expressão o termo </w:t>
      </w:r>
      <w:r w:rsidRPr="009A2249">
        <w:rPr>
          <w:rFonts w:ascii="Times New Roman" w:hAnsi="Times New Roman"/>
          <w:i/>
          <w:sz w:val="24"/>
          <w:szCs w:val="24"/>
        </w:rPr>
        <w:t>F</w:t>
      </w:r>
      <w:r w:rsidRPr="009A2249">
        <w:rPr>
          <w:rFonts w:ascii="Times New Roman" w:hAnsi="Times New Roman"/>
          <w:i/>
          <w:sz w:val="24"/>
          <w:szCs w:val="24"/>
          <w:vertAlign w:val="subscript"/>
        </w:rPr>
        <w:t>t</w:t>
      </w:r>
      <w:r w:rsidRPr="009A2249">
        <w:rPr>
          <w:rFonts w:ascii="Times New Roman" w:hAnsi="Times New Roman"/>
          <w:sz w:val="24"/>
          <w:szCs w:val="24"/>
        </w:rPr>
        <w:t xml:space="preserve"> representa a contribuição e/ou benefício (com sinais trocados) no instante de tempo </w:t>
      </w:r>
      <w:r w:rsidRPr="009A2249">
        <w:rPr>
          <w:rFonts w:ascii="Times New Roman" w:hAnsi="Times New Roman"/>
          <w:i/>
          <w:sz w:val="24"/>
          <w:szCs w:val="24"/>
        </w:rPr>
        <w:t>t</w:t>
      </w:r>
      <w:r w:rsidRPr="009A2249">
        <w:rPr>
          <w:rFonts w:ascii="Times New Roman" w:hAnsi="Times New Roman"/>
          <w:sz w:val="24"/>
          <w:szCs w:val="24"/>
        </w:rPr>
        <w:t>.</w:t>
      </w:r>
    </w:p>
    <w:p w:rsidR="0031286F" w:rsidRPr="009A2249" w:rsidRDefault="0031286F" w:rsidP="000B51A2">
      <w:pPr>
        <w:spacing w:after="120" w:line="240" w:lineRule="auto"/>
        <w:ind w:firstLine="709"/>
        <w:jc w:val="right"/>
        <w:rPr>
          <w:rFonts w:ascii="Cambria Math" w:hAnsi="Cambria Math"/>
          <w:i/>
          <w:sz w:val="26"/>
          <w:szCs w:val="26"/>
        </w:rPr>
      </w:pPr>
      <m:oMath>
        <m:r>
          <w:rPr>
            <w:rFonts w:ascii="Cambria Math" w:hAnsi="Cambria Math"/>
            <w:sz w:val="26"/>
            <w:szCs w:val="26"/>
          </w:rPr>
          <m:t xml:space="preserve">0= </m:t>
        </m:r>
        <m:nary>
          <m:naryPr>
            <m:chr m:val="∑"/>
            <m:limLoc m:val="undOvr"/>
            <m:ctrlPr>
              <w:rPr>
                <w:rFonts w:ascii="Cambria Math" w:hAnsi="Cambria Math"/>
                <w:i/>
                <w:sz w:val="26"/>
                <w:szCs w:val="26"/>
              </w:rPr>
            </m:ctrlPr>
          </m:naryPr>
          <m:sub>
            <m:r>
              <w:rPr>
                <w:rFonts w:ascii="Cambria Math" w:hAnsi="Cambria Math"/>
                <w:sz w:val="26"/>
                <w:szCs w:val="26"/>
              </w:rPr>
              <m:t>t=0</m:t>
            </m:r>
          </m:sub>
          <m:sup>
            <m:r>
              <w:rPr>
                <w:rFonts w:ascii="Cambria Math" w:hAnsi="Cambria Math"/>
                <w:sz w:val="26"/>
                <w:szCs w:val="26"/>
              </w:rPr>
              <m:t>Es</m:t>
            </m:r>
          </m:sup>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m:t>
                    </m:r>
                  </m:sub>
                </m:sSub>
              </m:num>
              <m:den>
                <m:sSup>
                  <m:sSupPr>
                    <m:ctrlPr>
                      <w:rPr>
                        <w:rFonts w:ascii="Cambria Math" w:hAnsi="Cambria Math"/>
                        <w:i/>
                        <w:sz w:val="26"/>
                        <w:szCs w:val="26"/>
                      </w:rPr>
                    </m:ctrlPr>
                  </m:sSupPr>
                  <m:e>
                    <m:r>
                      <w:rPr>
                        <w:rFonts w:ascii="Cambria Math" w:hAnsi="Cambria Math"/>
                        <w:sz w:val="26"/>
                        <w:szCs w:val="26"/>
                      </w:rPr>
                      <m:t>(1+TIR)</m:t>
                    </m:r>
                  </m:e>
                  <m:sup>
                    <m:r>
                      <w:rPr>
                        <w:rFonts w:ascii="Cambria Math" w:hAnsi="Cambria Math"/>
                        <w:sz w:val="26"/>
                        <w:szCs w:val="26"/>
                      </w:rPr>
                      <m:t>t</m:t>
                    </m:r>
                  </m:sup>
                </m:sSup>
              </m:den>
            </m:f>
          </m:e>
        </m:nary>
      </m:oMath>
      <w:r w:rsidRPr="009A2249">
        <w:rPr>
          <w:rFonts w:ascii="Cambria Math" w:hAnsi="Cambria Math"/>
          <w:i/>
          <w:sz w:val="26"/>
          <w:szCs w:val="26"/>
        </w:rPr>
        <w:t xml:space="preserve"> </w:t>
      </w:r>
      <w:r w:rsidR="000B51A2" w:rsidRPr="009A2249">
        <w:rPr>
          <w:rFonts w:ascii="Cambria Math" w:hAnsi="Cambria Math"/>
          <w:i/>
          <w:sz w:val="26"/>
          <w:szCs w:val="26"/>
        </w:rPr>
        <w:tab/>
      </w:r>
      <w:r w:rsidR="000B51A2" w:rsidRPr="009A2249">
        <w:rPr>
          <w:rFonts w:ascii="Cambria Math" w:hAnsi="Cambria Math"/>
          <w:i/>
          <w:sz w:val="26"/>
          <w:szCs w:val="26"/>
        </w:rPr>
        <w:tab/>
      </w:r>
      <w:r w:rsidR="000B51A2" w:rsidRPr="009A2249">
        <w:rPr>
          <w:rFonts w:ascii="Cambria Math" w:hAnsi="Cambria Math"/>
          <w:i/>
          <w:sz w:val="26"/>
          <w:szCs w:val="26"/>
        </w:rPr>
        <w:tab/>
      </w:r>
      <w:r w:rsidR="000B51A2" w:rsidRPr="009A2249">
        <w:rPr>
          <w:rFonts w:ascii="Cambria Math" w:hAnsi="Cambria Math"/>
          <w:i/>
          <w:sz w:val="26"/>
          <w:szCs w:val="26"/>
        </w:rPr>
        <w:tab/>
      </w:r>
      <w:r w:rsidR="000B51A2" w:rsidRPr="009A2249">
        <w:rPr>
          <w:rFonts w:ascii="Cambria Math" w:hAnsi="Cambria Math"/>
          <w:i/>
          <w:sz w:val="26"/>
          <w:szCs w:val="26"/>
        </w:rPr>
        <w:tab/>
      </w:r>
      <w:r w:rsidRPr="009A2249">
        <w:rPr>
          <w:rFonts w:ascii="Cambria Math" w:hAnsi="Cambria Math"/>
          <w:i/>
          <w:sz w:val="26"/>
          <w:szCs w:val="26"/>
        </w:rPr>
        <w:tab/>
      </w:r>
      <w:r w:rsidRPr="009A2249">
        <w:rPr>
          <w:rFonts w:ascii="Times New Roman" w:hAnsi="Times New Roman"/>
          <w:sz w:val="24"/>
          <w:szCs w:val="24"/>
        </w:rPr>
        <w:t>(</w:t>
      </w:r>
      <w:r w:rsidR="00FE60AC" w:rsidRPr="009A2249">
        <w:rPr>
          <w:rFonts w:ascii="Times New Roman" w:hAnsi="Times New Roman"/>
          <w:sz w:val="24"/>
          <w:szCs w:val="24"/>
        </w:rPr>
        <w:fldChar w:fldCharType="begin"/>
      </w:r>
      <w:r w:rsidRPr="009A2249">
        <w:rPr>
          <w:rFonts w:ascii="Times New Roman" w:hAnsi="Times New Roman"/>
          <w:sz w:val="24"/>
          <w:szCs w:val="24"/>
        </w:rPr>
        <w:instrText xml:space="preserve"> AUTONUMLGL  \* Arabic \e </w:instrText>
      </w:r>
      <w:r w:rsidR="00FE60AC" w:rsidRPr="009A2249">
        <w:rPr>
          <w:rFonts w:ascii="Times New Roman" w:hAnsi="Times New Roman"/>
          <w:sz w:val="24"/>
          <w:szCs w:val="24"/>
        </w:rPr>
        <w:fldChar w:fldCharType="end"/>
      </w:r>
      <w:r w:rsidRPr="009A2249">
        <w:rPr>
          <w:rFonts w:ascii="Times New Roman" w:hAnsi="Times New Roman"/>
          <w:sz w:val="24"/>
          <w:szCs w:val="24"/>
        </w:rPr>
        <w:t>)</w:t>
      </w:r>
    </w:p>
    <w:p w:rsidR="00ED7D75" w:rsidRDefault="0031286F"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Os trabalhadores que potencialmente solicitarão a desaposentação (isto é, que se aposentam, mas não deixam o mercado de trabalho formal) por alguns períodos são contribuintes e beneficiários. Neste caso o termo </w:t>
      </w:r>
      <w:r w:rsidRPr="009A2249">
        <w:rPr>
          <w:rFonts w:ascii="Times New Roman" w:hAnsi="Times New Roman"/>
          <w:i/>
          <w:sz w:val="24"/>
          <w:szCs w:val="24"/>
        </w:rPr>
        <w:t>F</w:t>
      </w:r>
      <w:r w:rsidRPr="009A2249">
        <w:rPr>
          <w:rFonts w:ascii="Times New Roman" w:hAnsi="Times New Roman"/>
          <w:i/>
          <w:sz w:val="24"/>
          <w:szCs w:val="24"/>
          <w:vertAlign w:val="subscript"/>
        </w:rPr>
        <w:t>t</w:t>
      </w:r>
      <w:r w:rsidRPr="009A2249">
        <w:rPr>
          <w:rFonts w:ascii="Times New Roman" w:hAnsi="Times New Roman"/>
          <w:sz w:val="24"/>
          <w:szCs w:val="24"/>
        </w:rPr>
        <w:t xml:space="preserve"> representa a diferença entre os dois fluxos monetários. No </w:t>
      </w:r>
      <w:r w:rsidR="00E22A65" w:rsidRPr="009A2249">
        <w:rPr>
          <w:rFonts w:ascii="Times New Roman" w:hAnsi="Times New Roman"/>
          <w:sz w:val="24"/>
          <w:szCs w:val="24"/>
        </w:rPr>
        <w:t>G</w:t>
      </w:r>
      <w:r w:rsidRPr="009A2249">
        <w:rPr>
          <w:rFonts w:ascii="Times New Roman" w:hAnsi="Times New Roman"/>
          <w:sz w:val="24"/>
          <w:szCs w:val="24"/>
        </w:rPr>
        <w:t xml:space="preserve">ráfico </w:t>
      </w:r>
      <w:proofErr w:type="gramStart"/>
      <w:r w:rsidRPr="009A2249">
        <w:rPr>
          <w:rFonts w:ascii="Times New Roman" w:hAnsi="Times New Roman"/>
          <w:sz w:val="24"/>
          <w:szCs w:val="24"/>
        </w:rPr>
        <w:t>1</w:t>
      </w:r>
      <w:proofErr w:type="gramEnd"/>
      <w:r w:rsidRPr="009A2249">
        <w:rPr>
          <w:rFonts w:ascii="Times New Roman" w:hAnsi="Times New Roman"/>
          <w:sz w:val="24"/>
          <w:szCs w:val="24"/>
        </w:rPr>
        <w:t xml:space="preserve"> esta situação é representada pelas áreas 2 e 3.</w:t>
      </w:r>
    </w:p>
    <w:p w:rsidR="00BD75CE" w:rsidRDefault="00BD75CE" w:rsidP="008C6C9C">
      <w:pPr>
        <w:spacing w:after="120" w:line="240" w:lineRule="auto"/>
        <w:ind w:firstLine="709"/>
        <w:jc w:val="both"/>
        <w:rPr>
          <w:rFonts w:ascii="Times New Roman" w:hAnsi="Times New Roman"/>
          <w:sz w:val="24"/>
          <w:szCs w:val="24"/>
        </w:rPr>
      </w:pPr>
    </w:p>
    <w:p w:rsidR="00BD75CE" w:rsidRPr="009A2249" w:rsidRDefault="00BD75CE" w:rsidP="008C6C9C">
      <w:pPr>
        <w:spacing w:after="120" w:line="240" w:lineRule="auto"/>
        <w:ind w:firstLine="709"/>
        <w:jc w:val="both"/>
        <w:rPr>
          <w:rFonts w:ascii="Times New Roman" w:hAnsi="Times New Roman"/>
          <w:sz w:val="24"/>
          <w:szCs w:val="24"/>
        </w:rPr>
      </w:pPr>
    </w:p>
    <w:p w:rsidR="00B904A6" w:rsidRPr="009A2249" w:rsidRDefault="00B904A6" w:rsidP="008C6C9C">
      <w:pPr>
        <w:pStyle w:val="PargrafodaLista"/>
        <w:numPr>
          <w:ilvl w:val="0"/>
          <w:numId w:val="3"/>
        </w:numPr>
        <w:spacing w:after="120"/>
        <w:jc w:val="both"/>
      </w:pPr>
      <w:r w:rsidRPr="009A2249">
        <w:rPr>
          <w:b/>
        </w:rPr>
        <w:lastRenderedPageBreak/>
        <w:t>Resultados</w:t>
      </w:r>
    </w:p>
    <w:p w:rsidR="00815EFE"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Nesta seção são apresentados os resultados do trabalho</w:t>
      </w:r>
      <w:r w:rsidR="00CC223D" w:rsidRPr="009A2249">
        <w:rPr>
          <w:rFonts w:ascii="Times New Roman" w:hAnsi="Times New Roman"/>
          <w:sz w:val="24"/>
          <w:szCs w:val="24"/>
        </w:rPr>
        <w:t>, efetuando os cálculos dos indicadores previdenciários apresentados na seção 3</w:t>
      </w:r>
      <w:r w:rsidRPr="009A2249">
        <w:rPr>
          <w:rFonts w:ascii="Times New Roman" w:hAnsi="Times New Roman"/>
          <w:sz w:val="24"/>
          <w:szCs w:val="24"/>
        </w:rPr>
        <w:t xml:space="preserve">. Inicialmente reportam-se os valores obtidos no </w:t>
      </w:r>
      <w:proofErr w:type="gramStart"/>
      <w:r w:rsidRPr="009A2249">
        <w:rPr>
          <w:rFonts w:ascii="Times New Roman" w:hAnsi="Times New Roman"/>
          <w:i/>
          <w:sz w:val="24"/>
          <w:szCs w:val="24"/>
        </w:rPr>
        <w:t>Cenário Base</w:t>
      </w:r>
      <w:proofErr w:type="gramEnd"/>
      <w:r w:rsidR="00CC223D" w:rsidRPr="009A2249">
        <w:rPr>
          <w:rFonts w:ascii="Times New Roman" w:hAnsi="Times New Roman"/>
          <w:sz w:val="24"/>
          <w:szCs w:val="24"/>
        </w:rPr>
        <w:t>, situação previdenciária mais usual, em que não há desaposentação</w:t>
      </w:r>
      <w:r w:rsidRPr="009A2249">
        <w:rPr>
          <w:rFonts w:ascii="Times New Roman" w:hAnsi="Times New Roman"/>
          <w:sz w:val="24"/>
          <w:szCs w:val="24"/>
        </w:rPr>
        <w:t>. Posteriormente é feita a análise de sensibilidade do modelo, com a mudança em algumas variáveis de escolha, particularmente o momento de entrada em desaposentação</w:t>
      </w:r>
      <w:r w:rsidR="00CC223D" w:rsidRPr="009A2249">
        <w:rPr>
          <w:rFonts w:ascii="Times New Roman" w:hAnsi="Times New Roman"/>
          <w:sz w:val="24"/>
          <w:szCs w:val="24"/>
        </w:rPr>
        <w:t xml:space="preserve">. Por fim, </w:t>
      </w:r>
      <w:r w:rsidR="00ED7D75" w:rsidRPr="009A2249">
        <w:rPr>
          <w:rFonts w:ascii="Times New Roman" w:hAnsi="Times New Roman"/>
          <w:sz w:val="24"/>
          <w:szCs w:val="24"/>
        </w:rPr>
        <w:t xml:space="preserve">serão </w:t>
      </w:r>
      <w:r w:rsidR="00CC223D" w:rsidRPr="009A2249">
        <w:rPr>
          <w:rFonts w:ascii="Times New Roman" w:hAnsi="Times New Roman"/>
          <w:sz w:val="24"/>
          <w:szCs w:val="24"/>
        </w:rPr>
        <w:t>apresentado</w:t>
      </w:r>
      <w:r w:rsidR="00ED7D75" w:rsidRPr="009A2249">
        <w:rPr>
          <w:rFonts w:ascii="Times New Roman" w:hAnsi="Times New Roman"/>
          <w:sz w:val="24"/>
          <w:szCs w:val="24"/>
        </w:rPr>
        <w:t>s</w:t>
      </w:r>
      <w:r w:rsidR="00CC223D" w:rsidRPr="009A2249">
        <w:rPr>
          <w:rFonts w:ascii="Times New Roman" w:hAnsi="Times New Roman"/>
          <w:sz w:val="24"/>
          <w:szCs w:val="24"/>
        </w:rPr>
        <w:t xml:space="preserve"> os resultados supondo que haja a devolução dos benefícios recebidos durante o período anterior ao pedido de desaposentação</w:t>
      </w:r>
      <w:r w:rsidRPr="009A2249">
        <w:rPr>
          <w:rFonts w:ascii="Times New Roman" w:hAnsi="Times New Roman"/>
          <w:sz w:val="24"/>
          <w:szCs w:val="24"/>
        </w:rPr>
        <w:t>.</w:t>
      </w:r>
    </w:p>
    <w:p w:rsidR="009A2249" w:rsidRPr="009A2249" w:rsidRDefault="009A2249" w:rsidP="008C6C9C">
      <w:pPr>
        <w:spacing w:after="120" w:line="240" w:lineRule="auto"/>
        <w:ind w:firstLine="709"/>
        <w:jc w:val="both"/>
        <w:rPr>
          <w:rFonts w:ascii="Times New Roman" w:hAnsi="Times New Roman"/>
          <w:sz w:val="24"/>
          <w:szCs w:val="24"/>
        </w:rPr>
      </w:pPr>
    </w:p>
    <w:p w:rsidR="00815EFE" w:rsidRPr="009A2249" w:rsidRDefault="00815EFE" w:rsidP="00815EFE">
      <w:pPr>
        <w:pStyle w:val="PargrafodaLista"/>
        <w:numPr>
          <w:ilvl w:val="1"/>
          <w:numId w:val="3"/>
        </w:numPr>
        <w:spacing w:after="120"/>
        <w:jc w:val="both"/>
      </w:pPr>
      <w:proofErr w:type="gramStart"/>
      <w:r w:rsidRPr="009A2249">
        <w:rPr>
          <w:b/>
        </w:rPr>
        <w:t>Cenário base</w:t>
      </w:r>
      <w:proofErr w:type="gramEnd"/>
      <w:r w:rsidR="00C40344" w:rsidRPr="009A2249">
        <w:rPr>
          <w:b/>
        </w:rPr>
        <w:t xml:space="preserve"> - modelo sem desaposentação</w:t>
      </w:r>
    </w:p>
    <w:p w:rsidR="008D279B" w:rsidRDefault="001C779E" w:rsidP="008C6C9C">
      <w:pPr>
        <w:spacing w:after="120" w:line="240" w:lineRule="auto"/>
        <w:ind w:firstLine="709"/>
        <w:jc w:val="both"/>
        <w:rPr>
          <w:rFonts w:ascii="Times New Roman" w:hAnsi="Times New Roman"/>
          <w:sz w:val="24"/>
          <w:szCs w:val="24"/>
        </w:rPr>
      </w:pPr>
      <w:proofErr w:type="gramStart"/>
      <w:r w:rsidRPr="009A2249">
        <w:rPr>
          <w:rFonts w:ascii="Times New Roman" w:hAnsi="Times New Roman"/>
          <w:sz w:val="24"/>
          <w:szCs w:val="24"/>
        </w:rPr>
        <w:t>O</w:t>
      </w:r>
      <w:r w:rsidR="00381389" w:rsidRPr="009A2249">
        <w:rPr>
          <w:rFonts w:ascii="Times New Roman" w:hAnsi="Times New Roman"/>
          <w:sz w:val="24"/>
          <w:szCs w:val="24"/>
        </w:rPr>
        <w:t xml:space="preserve"> </w:t>
      </w:r>
      <w:r w:rsidR="00381389" w:rsidRPr="009A2249">
        <w:rPr>
          <w:rFonts w:ascii="Times New Roman" w:hAnsi="Times New Roman"/>
          <w:i/>
          <w:sz w:val="24"/>
          <w:szCs w:val="24"/>
        </w:rPr>
        <w:t xml:space="preserve">Cenário </w:t>
      </w:r>
      <w:r w:rsidR="004227CA" w:rsidRPr="009A2249">
        <w:rPr>
          <w:rFonts w:ascii="Times New Roman" w:hAnsi="Times New Roman"/>
          <w:i/>
          <w:sz w:val="24"/>
          <w:szCs w:val="24"/>
        </w:rPr>
        <w:t>Base</w:t>
      </w:r>
      <w:proofErr w:type="gramEnd"/>
      <w:r w:rsidRPr="009A2249">
        <w:rPr>
          <w:rFonts w:ascii="Times New Roman" w:hAnsi="Times New Roman"/>
          <w:sz w:val="24"/>
          <w:szCs w:val="24"/>
        </w:rPr>
        <w:t>, cujos resultados são reportados na Tabela 2, servirá como padrão de comparação para os resultados obtidos para as alternativas de desaposentação analisadas.</w:t>
      </w:r>
      <w:r w:rsidR="005F0483" w:rsidRPr="009A2249">
        <w:rPr>
          <w:rFonts w:ascii="Times New Roman" w:hAnsi="Times New Roman"/>
          <w:sz w:val="24"/>
          <w:szCs w:val="24"/>
        </w:rPr>
        <w:t xml:space="preserve"> </w:t>
      </w:r>
      <w:r w:rsidR="00BC2FC5" w:rsidRPr="009A2249">
        <w:rPr>
          <w:rFonts w:ascii="Times New Roman" w:hAnsi="Times New Roman"/>
          <w:sz w:val="24"/>
          <w:szCs w:val="24"/>
        </w:rPr>
        <w:t>Inicialmente, será considerado um trabalhador do setor formal, com ingresso aos 20 anos de idade, com ATC, e os períodos contributivos serão 35 (homens) e 30 anos (mulheres). Além disso, a expectativa de vida ao nascer adotada é a mesma divulgada pelo IBGE do ano de 201</w:t>
      </w:r>
      <w:r w:rsidR="00BC7BE7" w:rsidRPr="009A2249">
        <w:rPr>
          <w:rFonts w:ascii="Times New Roman" w:hAnsi="Times New Roman"/>
          <w:sz w:val="24"/>
          <w:szCs w:val="24"/>
        </w:rPr>
        <w:t>1</w:t>
      </w:r>
      <w:r w:rsidR="00BC2FC5" w:rsidRPr="009A2249">
        <w:rPr>
          <w:rFonts w:ascii="Times New Roman" w:hAnsi="Times New Roman"/>
          <w:sz w:val="24"/>
          <w:szCs w:val="24"/>
        </w:rPr>
        <w:t xml:space="preserve"> para cada gênero (</w:t>
      </w:r>
      <w:r w:rsidR="00BC7BE7" w:rsidRPr="009A2249">
        <w:rPr>
          <w:rFonts w:ascii="Times New Roman" w:hAnsi="Times New Roman"/>
          <w:sz w:val="24"/>
          <w:szCs w:val="24"/>
        </w:rPr>
        <w:t>70</w:t>
      </w:r>
      <w:r w:rsidR="00BC2FC5" w:rsidRPr="009A2249">
        <w:rPr>
          <w:rFonts w:ascii="Times New Roman" w:hAnsi="Times New Roman"/>
          <w:sz w:val="24"/>
          <w:szCs w:val="24"/>
        </w:rPr>
        <w:t>,</w:t>
      </w:r>
      <w:r w:rsidR="00BC7BE7" w:rsidRPr="009A2249">
        <w:rPr>
          <w:rFonts w:ascii="Times New Roman" w:hAnsi="Times New Roman"/>
          <w:sz w:val="24"/>
          <w:szCs w:val="24"/>
        </w:rPr>
        <w:t>6</w:t>
      </w:r>
      <w:r w:rsidR="00BC2FC5" w:rsidRPr="009A2249">
        <w:rPr>
          <w:rFonts w:ascii="Times New Roman" w:hAnsi="Times New Roman"/>
          <w:sz w:val="24"/>
          <w:szCs w:val="24"/>
        </w:rPr>
        <w:t xml:space="preserve"> anos para homens e 77,</w:t>
      </w:r>
      <w:r w:rsidR="00BC7BE7" w:rsidRPr="009A2249">
        <w:rPr>
          <w:rFonts w:ascii="Times New Roman" w:hAnsi="Times New Roman"/>
          <w:sz w:val="24"/>
          <w:szCs w:val="24"/>
        </w:rPr>
        <w:t>7</w:t>
      </w:r>
      <w:r w:rsidR="00BC2FC5" w:rsidRPr="009A2249">
        <w:rPr>
          <w:rFonts w:ascii="Times New Roman" w:hAnsi="Times New Roman"/>
          <w:sz w:val="24"/>
          <w:szCs w:val="24"/>
        </w:rPr>
        <w:t xml:space="preserve"> anos para mulheres). Todos os valores financeiros serão atualizados pelos índices reais de crescimento (crescimento da renda de 2% ao ano</w:t>
      </w:r>
      <w:proofErr w:type="gramStart"/>
      <w:r w:rsidR="00BC2FC5" w:rsidRPr="009A2249">
        <w:rPr>
          <w:rFonts w:ascii="Times New Roman" w:hAnsi="Times New Roman"/>
          <w:sz w:val="24"/>
          <w:szCs w:val="24"/>
        </w:rPr>
        <w:t>, taxa</w:t>
      </w:r>
      <w:proofErr w:type="gramEnd"/>
      <w:r w:rsidR="00BC2FC5" w:rsidRPr="009A2249">
        <w:rPr>
          <w:rFonts w:ascii="Times New Roman" w:hAnsi="Times New Roman"/>
          <w:sz w:val="24"/>
          <w:szCs w:val="24"/>
        </w:rPr>
        <w:t xml:space="preserve"> real de juros de 3% ao ano). Por fim, o salário mínimo </w:t>
      </w:r>
      <w:r w:rsidR="00C86152" w:rsidRPr="009A2249">
        <w:rPr>
          <w:rFonts w:ascii="Times New Roman" w:hAnsi="Times New Roman"/>
          <w:sz w:val="24"/>
          <w:szCs w:val="24"/>
        </w:rPr>
        <w:t>inicial será</w:t>
      </w:r>
      <w:r w:rsidR="00BC2FC5" w:rsidRPr="009A2249">
        <w:rPr>
          <w:rFonts w:ascii="Times New Roman" w:hAnsi="Times New Roman"/>
          <w:sz w:val="24"/>
          <w:szCs w:val="24"/>
        </w:rPr>
        <w:t xml:space="preserve"> o </w:t>
      </w:r>
      <w:r w:rsidR="00C86152" w:rsidRPr="009A2249">
        <w:rPr>
          <w:rFonts w:ascii="Times New Roman" w:hAnsi="Times New Roman"/>
          <w:sz w:val="24"/>
          <w:szCs w:val="24"/>
        </w:rPr>
        <w:t>vigente em 201</w:t>
      </w:r>
      <w:r w:rsidR="00BC7BE7" w:rsidRPr="009A2249">
        <w:rPr>
          <w:rFonts w:ascii="Times New Roman" w:hAnsi="Times New Roman"/>
          <w:sz w:val="24"/>
          <w:szCs w:val="24"/>
        </w:rPr>
        <w:t>3</w:t>
      </w:r>
      <w:r w:rsidR="00C86152" w:rsidRPr="009A2249">
        <w:rPr>
          <w:rFonts w:ascii="Times New Roman" w:hAnsi="Times New Roman"/>
          <w:sz w:val="24"/>
          <w:szCs w:val="24"/>
        </w:rPr>
        <w:t xml:space="preserve"> (R$ 6</w:t>
      </w:r>
      <w:r w:rsidR="00BC7BE7" w:rsidRPr="009A2249">
        <w:rPr>
          <w:rFonts w:ascii="Times New Roman" w:hAnsi="Times New Roman"/>
          <w:sz w:val="24"/>
          <w:szCs w:val="24"/>
        </w:rPr>
        <w:t>78</w:t>
      </w:r>
      <w:r w:rsidR="00C86152" w:rsidRPr="009A2249">
        <w:rPr>
          <w:rFonts w:ascii="Times New Roman" w:hAnsi="Times New Roman"/>
          <w:sz w:val="24"/>
          <w:szCs w:val="24"/>
        </w:rPr>
        <w:t>,00).</w:t>
      </w:r>
      <w:r w:rsidR="00BC2FC5" w:rsidRPr="009A2249">
        <w:rPr>
          <w:rFonts w:ascii="Times New Roman" w:hAnsi="Times New Roman"/>
          <w:sz w:val="24"/>
          <w:szCs w:val="24"/>
        </w:rPr>
        <w:t xml:space="preserve"> </w:t>
      </w:r>
      <w:r w:rsidR="005F0483" w:rsidRPr="009A2249">
        <w:rPr>
          <w:rFonts w:ascii="Times New Roman" w:hAnsi="Times New Roman"/>
          <w:sz w:val="24"/>
          <w:szCs w:val="24"/>
        </w:rPr>
        <w:t xml:space="preserve">Os indicadores são calculados para </w:t>
      </w:r>
      <w:proofErr w:type="gramStart"/>
      <w:r w:rsidR="005F0483" w:rsidRPr="009A2249">
        <w:rPr>
          <w:rFonts w:ascii="Times New Roman" w:hAnsi="Times New Roman"/>
          <w:sz w:val="24"/>
          <w:szCs w:val="24"/>
        </w:rPr>
        <w:t>8</w:t>
      </w:r>
      <w:proofErr w:type="gramEnd"/>
      <w:r w:rsidR="005F0483" w:rsidRPr="009A2249">
        <w:rPr>
          <w:rFonts w:ascii="Times New Roman" w:hAnsi="Times New Roman"/>
          <w:sz w:val="24"/>
          <w:szCs w:val="24"/>
        </w:rPr>
        <w:t xml:space="preserve"> combinações de parâmetros: os dois gêneros e 4 valores de renda inicial (1, 2, 3 e 5 SM).</w:t>
      </w:r>
      <w:r w:rsidR="00591E53" w:rsidRPr="009A2249">
        <w:rPr>
          <w:rFonts w:ascii="Times New Roman" w:hAnsi="Times New Roman"/>
          <w:sz w:val="24"/>
          <w:szCs w:val="24"/>
        </w:rPr>
        <w:t xml:space="preserve"> </w:t>
      </w:r>
      <w:r w:rsidR="00B904A6" w:rsidRPr="009A2249">
        <w:rPr>
          <w:rFonts w:ascii="Times New Roman" w:hAnsi="Times New Roman"/>
          <w:sz w:val="24"/>
          <w:szCs w:val="24"/>
        </w:rPr>
        <w:t>Os</w:t>
      </w:r>
      <w:r w:rsidR="008D279B" w:rsidRPr="009A2249">
        <w:rPr>
          <w:rFonts w:ascii="Times New Roman" w:hAnsi="Times New Roman"/>
          <w:sz w:val="24"/>
          <w:szCs w:val="24"/>
        </w:rPr>
        <w:t xml:space="preserve"> resultados obtidos são similares àqueles apresentados na </w:t>
      </w:r>
      <w:r w:rsidR="00B904A6" w:rsidRPr="009A2249">
        <w:rPr>
          <w:rFonts w:ascii="Times New Roman" w:hAnsi="Times New Roman"/>
          <w:sz w:val="24"/>
          <w:szCs w:val="24"/>
        </w:rPr>
        <w:t xml:space="preserve">literatura </w:t>
      </w:r>
      <w:r w:rsidR="008D279B" w:rsidRPr="009A2249">
        <w:rPr>
          <w:rFonts w:ascii="Times New Roman" w:hAnsi="Times New Roman"/>
          <w:sz w:val="24"/>
          <w:szCs w:val="24"/>
        </w:rPr>
        <w:t>nacional (Giambiagi</w:t>
      </w:r>
      <w:r w:rsidR="004227CA" w:rsidRPr="009A2249">
        <w:rPr>
          <w:rFonts w:ascii="Times New Roman" w:hAnsi="Times New Roman"/>
          <w:sz w:val="24"/>
          <w:szCs w:val="24"/>
        </w:rPr>
        <w:t xml:space="preserve"> e Afonso</w:t>
      </w:r>
      <w:r w:rsidR="008D279B" w:rsidRPr="009A2249">
        <w:rPr>
          <w:rFonts w:ascii="Times New Roman" w:hAnsi="Times New Roman"/>
          <w:sz w:val="24"/>
          <w:szCs w:val="24"/>
        </w:rPr>
        <w:t xml:space="preserve">, </w:t>
      </w:r>
      <w:r w:rsidR="004227CA" w:rsidRPr="009A2249">
        <w:rPr>
          <w:rFonts w:ascii="Times New Roman" w:hAnsi="Times New Roman"/>
          <w:sz w:val="24"/>
          <w:szCs w:val="24"/>
        </w:rPr>
        <w:t>2009; Caetano, 2006; e Afonso e Fernandes, 2005)</w:t>
      </w:r>
      <w:r w:rsidR="00BA6695">
        <w:rPr>
          <w:rFonts w:ascii="Times New Roman" w:hAnsi="Times New Roman"/>
          <w:sz w:val="24"/>
          <w:szCs w:val="24"/>
        </w:rPr>
        <w:t xml:space="preserve"> e </w:t>
      </w:r>
      <w:proofErr w:type="gramStart"/>
      <w:r w:rsidR="00BA6695">
        <w:rPr>
          <w:rFonts w:ascii="Times New Roman" w:hAnsi="Times New Roman"/>
          <w:sz w:val="24"/>
          <w:szCs w:val="24"/>
        </w:rPr>
        <w:t>internacional</w:t>
      </w:r>
      <w:proofErr w:type="gramEnd"/>
      <w:r w:rsidR="00BA6695">
        <w:rPr>
          <w:rFonts w:ascii="Times New Roman" w:hAnsi="Times New Roman"/>
          <w:sz w:val="24"/>
          <w:szCs w:val="24"/>
        </w:rPr>
        <w:t xml:space="preserve"> (</w:t>
      </w:r>
      <w:r w:rsidR="00FE60AC">
        <w:rPr>
          <w:rFonts w:ascii="Times New Roman" w:hAnsi="Times New Roman"/>
          <w:sz w:val="24"/>
          <w:szCs w:val="24"/>
        </w:rPr>
        <w:fldChar w:fldCharType="begin" w:fldLock="1"/>
      </w:r>
      <w:r w:rsidR="00BA6695">
        <w:rPr>
          <w:rFonts w:ascii="Times New Roman" w:hAnsi="Times New Roman"/>
          <w:sz w:val="24"/>
          <w:szCs w:val="24"/>
        </w:rPr>
        <w:instrText>ADDIN CSL_CITATION { "citationItems" : [ { "id" : "ITEM-1", "itemData" : { "DOI" : "10.1017/S1474747212000315", "ISSN" : "1474-7472", "abstract" : "This study examines the expected retirement replacement rates (RRs) of several cohorts of Dutch employees at the time of their planned retirements. It also computes RRs based on the available pension records. We find that the expected replacement rate (E(RR)) is, in general, higher than the ones we compute. Larger discrepancies are found for younger cohorts and for individuals with less education and working experience. We also examine the difference be- tween the expected and computed RRs and find that the mismatch is mostly related to poor institutional knowledge. We also show the role of assumptions about institutions and wage profiles in determining our results. JEL", "author" : [ { "dropping-particle" : "", "family" : "DUIJN", "given" : "MARK", "non-dropping-particle" : "VAN", "parse-names" : false, "suffix" : "" }, { "dropping-particle" : "", "family" : "MASTROGIACOMO", "given" : "MAURO", "non-dropping-particle" : "", "parse-names" : false, "suffix" : "" }, { "dropping-particle" : "", "family" : "LINDEBOOM", "given" : "MAARTEN", "non-dropping-particle" : "", "parse-names" : false, "suffix" : "" }, { "dropping-particle" : "", "family" : "LUNDBORG", "given" : "PETTER", "non-dropping-particle" : "", "parse-names" : false, "suffix" : "" } ], "container-title" : "Journal of Pension Economics and Finance", "id" : "ITEM-1", "issue" : "02", "issued" : { "date-parts" : [ [ "2013", "2", "19" ] ] }, "page" : "168-189", "title" : "Expected and actual replacement rates in the pension system of the Netherlands: how and why do they differ?", "type" : "article-journal", "volume" : "12" }, "uris" : [ "http://www.mendeley.com/documents/?uuid=a1a19165-823e-4afc-a985-5b5806131fee" ] } ], "mendeley" : { "manualFormatting" : "Van Duijn et al. (2013)", "previouslyFormattedCitation" : "VAN DUIJN et al. (2013)" }, "properties" : { "noteIndex" : 0 }, "schema" : "https://github.com/citation-style-language/schema/raw/master/csl-citation.json" }</w:instrText>
      </w:r>
      <w:r w:rsidR="00FE60AC">
        <w:rPr>
          <w:rFonts w:ascii="Times New Roman" w:hAnsi="Times New Roman"/>
          <w:sz w:val="24"/>
          <w:szCs w:val="24"/>
        </w:rPr>
        <w:fldChar w:fldCharType="separate"/>
      </w:r>
      <w:r w:rsidR="00BA6695" w:rsidRPr="00125496">
        <w:rPr>
          <w:rFonts w:ascii="Times New Roman" w:hAnsi="Times New Roman"/>
          <w:noProof/>
          <w:sz w:val="24"/>
          <w:szCs w:val="24"/>
        </w:rPr>
        <w:t>Van Duijn et al. (2013)</w:t>
      </w:r>
      <w:r w:rsidR="00FE60AC">
        <w:rPr>
          <w:rFonts w:ascii="Times New Roman" w:hAnsi="Times New Roman"/>
          <w:sz w:val="24"/>
          <w:szCs w:val="24"/>
        </w:rPr>
        <w:fldChar w:fldCharType="end"/>
      </w:r>
      <w:r w:rsidR="00BA6695">
        <w:rPr>
          <w:rFonts w:ascii="Times New Roman" w:hAnsi="Times New Roman"/>
          <w:sz w:val="24"/>
          <w:szCs w:val="24"/>
        </w:rPr>
        <w:t xml:space="preserve"> para o caso holandês</w:t>
      </w:r>
      <w:r w:rsidR="00BA6695" w:rsidRPr="00A03C1D">
        <w:rPr>
          <w:rFonts w:ascii="Times New Roman" w:hAnsi="Times New Roman"/>
          <w:sz w:val="24"/>
          <w:szCs w:val="24"/>
        </w:rPr>
        <w:t xml:space="preserve">, </w:t>
      </w:r>
      <w:r w:rsidR="00BA6695">
        <w:rPr>
          <w:rFonts w:ascii="Times New Roman" w:hAnsi="Times New Roman"/>
          <w:sz w:val="24"/>
          <w:szCs w:val="24"/>
        </w:rPr>
        <w:t xml:space="preserve">e </w:t>
      </w:r>
      <w:r w:rsidR="00FE60AC">
        <w:rPr>
          <w:rFonts w:ascii="Times New Roman" w:hAnsi="Times New Roman"/>
          <w:sz w:val="24"/>
          <w:szCs w:val="24"/>
        </w:rPr>
        <w:fldChar w:fldCharType="begin" w:fldLock="1"/>
      </w:r>
      <w:r w:rsidR="00BA6695">
        <w:rPr>
          <w:rFonts w:ascii="Times New Roman" w:hAnsi="Times New Roman"/>
          <w:sz w:val="24"/>
          <w:szCs w:val="24"/>
        </w:rPr>
        <w:instrText>ADDIN CSL_CITATION { "citationItems" : [ { "id" : "ITEM-1", "itemData" : { "DOI" : "10.1017/S1474747212000108", "ISSN" : "1474-7472", "author" : [ { "dropping-particle" : "", "family" : "Gustman", "given" : "Alan L.", "non-dropping-particle" : "", "parse-names" : false, "suffix" : "" }, { "dropping-particle" : "", "family" : "Steinmeier", "given" : "Thomas L.", "non-dropping-particle" : "", "parse-names" : false, "suffix" : "" }, { "dropping-particle" : "", "family" : "Tabatabai", "given" : "Nahid", "non-dropping-particle" : "", "parse-names" : false, "suffix" : "" } ], "container-title" : "Journal of Pension Economics and Finance", "id" : "ITEM-1", "issue" : "01", "issued" : { "date-parts" : [ [ "2012", "7", "9" ] ] }, "page" : "1-27", "title" : "Redistribution under the Social Security benefit formula at the individual and household levels, 1992 and 2004", "type" : "article-journal", "volume" : "12" }, "uris" : [ "http://www.mendeley.com/documents/?uuid=f20f7ff0-e9ba-48d7-beeb-e0af5fed6721" ] } ], "mendeley" : { "previouslyFormattedCitation" : "Gustman et al. (2012)" }, "properties" : { "noteIndex" : 0 }, "schema" : "https://github.com/citation-style-language/schema/raw/master/csl-citation.json" }</w:instrText>
      </w:r>
      <w:r w:rsidR="00FE60AC">
        <w:rPr>
          <w:rFonts w:ascii="Times New Roman" w:hAnsi="Times New Roman"/>
          <w:sz w:val="24"/>
          <w:szCs w:val="24"/>
        </w:rPr>
        <w:fldChar w:fldCharType="separate"/>
      </w:r>
      <w:r w:rsidR="00BA6695" w:rsidRPr="00125496">
        <w:rPr>
          <w:rFonts w:ascii="Times New Roman" w:hAnsi="Times New Roman"/>
          <w:noProof/>
          <w:sz w:val="24"/>
          <w:szCs w:val="24"/>
        </w:rPr>
        <w:t>Gustman et al. (2012)</w:t>
      </w:r>
      <w:r w:rsidR="00FE60AC">
        <w:rPr>
          <w:rFonts w:ascii="Times New Roman" w:hAnsi="Times New Roman"/>
          <w:sz w:val="24"/>
          <w:szCs w:val="24"/>
        </w:rPr>
        <w:fldChar w:fldCharType="end"/>
      </w:r>
      <w:r w:rsidR="00BA6695">
        <w:rPr>
          <w:rFonts w:ascii="Times New Roman" w:hAnsi="Times New Roman"/>
          <w:sz w:val="24"/>
          <w:szCs w:val="24"/>
        </w:rPr>
        <w:t xml:space="preserve"> para o caso dos EUA),</w:t>
      </w:r>
      <w:r w:rsidR="008D279B" w:rsidRPr="009A2249">
        <w:rPr>
          <w:rFonts w:ascii="Times New Roman" w:hAnsi="Times New Roman"/>
          <w:sz w:val="24"/>
          <w:szCs w:val="24"/>
        </w:rPr>
        <w:t xml:space="preserve"> </w:t>
      </w:r>
      <w:r w:rsidR="00B904A6" w:rsidRPr="009A2249">
        <w:rPr>
          <w:rFonts w:ascii="Times New Roman" w:hAnsi="Times New Roman"/>
          <w:sz w:val="24"/>
          <w:szCs w:val="24"/>
        </w:rPr>
        <w:t xml:space="preserve">apresentando </w:t>
      </w:r>
      <w:r w:rsidR="008D279B" w:rsidRPr="009A2249">
        <w:rPr>
          <w:rFonts w:ascii="Times New Roman" w:hAnsi="Times New Roman"/>
          <w:sz w:val="24"/>
          <w:szCs w:val="24"/>
        </w:rPr>
        <w:t xml:space="preserve">de forma geral evidências da existência de subsídios implícitos intrageracionais para as mulheres. Isto pode ser notado pelos valores mais elevados para a </w:t>
      </w:r>
      <w:r w:rsidR="008D279B" w:rsidRPr="009A2249">
        <w:rPr>
          <w:rFonts w:ascii="Times New Roman" w:hAnsi="Times New Roman"/>
          <w:i/>
          <w:sz w:val="24"/>
          <w:szCs w:val="24"/>
        </w:rPr>
        <w:t>TIR</w:t>
      </w:r>
      <w:r w:rsidR="008D279B" w:rsidRPr="009A2249">
        <w:rPr>
          <w:rFonts w:ascii="Times New Roman" w:hAnsi="Times New Roman"/>
          <w:sz w:val="24"/>
          <w:szCs w:val="24"/>
        </w:rPr>
        <w:t xml:space="preserve">, </w:t>
      </w:r>
      <w:r w:rsidR="008D279B" w:rsidRPr="009A2249">
        <w:rPr>
          <w:rFonts w:ascii="Times New Roman" w:hAnsi="Times New Roman"/>
          <w:i/>
          <w:sz w:val="24"/>
          <w:szCs w:val="24"/>
        </w:rPr>
        <w:t>TR</w:t>
      </w:r>
      <w:r w:rsidR="008D279B" w:rsidRPr="009A2249">
        <w:rPr>
          <w:rFonts w:ascii="Times New Roman" w:hAnsi="Times New Roman"/>
          <w:sz w:val="24"/>
          <w:szCs w:val="24"/>
        </w:rPr>
        <w:t xml:space="preserve"> e </w:t>
      </w:r>
      <w:r w:rsidR="008D279B" w:rsidRPr="009A2249">
        <w:rPr>
          <w:rFonts w:ascii="Times New Roman" w:hAnsi="Times New Roman"/>
          <w:i/>
          <w:sz w:val="24"/>
          <w:szCs w:val="24"/>
        </w:rPr>
        <w:t>AN</w:t>
      </w:r>
      <w:r w:rsidR="008D279B" w:rsidRPr="009A2249">
        <w:rPr>
          <w:rFonts w:ascii="Times New Roman" w:hAnsi="Times New Roman"/>
          <w:sz w:val="24"/>
          <w:szCs w:val="24"/>
        </w:rPr>
        <w:t xml:space="preserve"> para o grupo feminino</w:t>
      </w:r>
      <w:r w:rsidR="00B904A6" w:rsidRPr="009A2249">
        <w:rPr>
          <w:rFonts w:ascii="Times New Roman" w:hAnsi="Times New Roman"/>
          <w:sz w:val="24"/>
          <w:szCs w:val="24"/>
        </w:rPr>
        <w:t xml:space="preserve">. </w:t>
      </w:r>
      <w:r w:rsidR="008D279B" w:rsidRPr="009A2249">
        <w:rPr>
          <w:rFonts w:ascii="Times New Roman" w:hAnsi="Times New Roman"/>
          <w:sz w:val="24"/>
          <w:szCs w:val="24"/>
        </w:rPr>
        <w:t xml:space="preserve">No caso da </w:t>
      </w:r>
      <w:r w:rsidR="00B904A6" w:rsidRPr="009A2249">
        <w:rPr>
          <w:rFonts w:ascii="Times New Roman" w:hAnsi="Times New Roman"/>
          <w:sz w:val="24"/>
          <w:szCs w:val="24"/>
        </w:rPr>
        <w:t>Alíquota Necessária</w:t>
      </w:r>
      <w:r w:rsidR="004F3437" w:rsidRPr="009A2249">
        <w:rPr>
          <w:rFonts w:ascii="Times New Roman" w:hAnsi="Times New Roman"/>
          <w:sz w:val="24"/>
          <w:szCs w:val="24"/>
        </w:rPr>
        <w:t xml:space="preserve"> </w:t>
      </w:r>
      <w:r w:rsidR="008D279B" w:rsidRPr="009A2249">
        <w:rPr>
          <w:rFonts w:ascii="Times New Roman" w:hAnsi="Times New Roman"/>
          <w:sz w:val="24"/>
          <w:szCs w:val="24"/>
        </w:rPr>
        <w:t>os valores das mulheres são sempre significativamente inferiores à alíquota de contribuição vigente (28 a 31%)</w:t>
      </w:r>
      <w:r w:rsidR="00615EAC" w:rsidRPr="009A2249">
        <w:rPr>
          <w:rFonts w:ascii="Times New Roman" w:hAnsi="Times New Roman"/>
          <w:sz w:val="24"/>
          <w:szCs w:val="24"/>
        </w:rPr>
        <w:t xml:space="preserve">. Dois pontos devem ser ressaltados. O primeiro é o decréscimo monotônico nos valores da TIR para faixas de renda mais elevada, o que é uma evidência da existência de princípios distributivos intrageracionais, dos grupos mais ricos para os mais pobres. O segundo ponto é a grande diferença, tanto para a </w:t>
      </w:r>
      <w:r w:rsidR="00615EAC" w:rsidRPr="009A2249">
        <w:rPr>
          <w:rFonts w:ascii="Times New Roman" w:hAnsi="Times New Roman"/>
          <w:i/>
          <w:sz w:val="24"/>
          <w:szCs w:val="24"/>
        </w:rPr>
        <w:t>TIR</w:t>
      </w:r>
      <w:r w:rsidR="00615EAC" w:rsidRPr="009A2249">
        <w:rPr>
          <w:rFonts w:ascii="Times New Roman" w:hAnsi="Times New Roman"/>
          <w:sz w:val="24"/>
          <w:szCs w:val="24"/>
        </w:rPr>
        <w:t xml:space="preserve">, quanto para a </w:t>
      </w:r>
      <w:r w:rsidR="00615EAC" w:rsidRPr="009A2249">
        <w:rPr>
          <w:rFonts w:ascii="Times New Roman" w:hAnsi="Times New Roman"/>
          <w:i/>
          <w:sz w:val="24"/>
          <w:szCs w:val="24"/>
        </w:rPr>
        <w:t>AN</w:t>
      </w:r>
      <w:r w:rsidR="00615EAC" w:rsidRPr="009A2249">
        <w:rPr>
          <w:rFonts w:ascii="Times New Roman" w:hAnsi="Times New Roman"/>
          <w:sz w:val="24"/>
          <w:szCs w:val="24"/>
        </w:rPr>
        <w:t xml:space="preserve"> entre homens</w:t>
      </w:r>
      <w:r w:rsidR="007B76B6" w:rsidRPr="009A2249">
        <w:rPr>
          <w:rFonts w:ascii="Times New Roman" w:hAnsi="Times New Roman"/>
          <w:sz w:val="24"/>
          <w:szCs w:val="24"/>
        </w:rPr>
        <w:t xml:space="preserve">. Aparentemente este resultado é devido ao emprego nos cálculos, de tábuas de mortalidade distinta para os dois gêneros, diferentemente do que o INSS faz no cálculo do fator previdenciário, em que é empregada a Tábua de ambos os sexos do </w:t>
      </w:r>
      <w:proofErr w:type="gramStart"/>
      <w:r w:rsidR="007B76B6" w:rsidRPr="009A2249">
        <w:rPr>
          <w:rFonts w:ascii="Times New Roman" w:hAnsi="Times New Roman"/>
          <w:sz w:val="24"/>
          <w:szCs w:val="24"/>
        </w:rPr>
        <w:t>IBGE.</w:t>
      </w:r>
      <w:proofErr w:type="gramEnd"/>
    </w:p>
    <w:p w:rsidR="00902A51" w:rsidRPr="009A2249" w:rsidRDefault="00902A51" w:rsidP="008C6C9C">
      <w:pPr>
        <w:spacing w:after="120" w:line="240" w:lineRule="auto"/>
        <w:ind w:firstLine="709"/>
        <w:jc w:val="both"/>
        <w:rPr>
          <w:rFonts w:ascii="Times New Roman" w:hAnsi="Times New Roman"/>
          <w:sz w:val="24"/>
          <w:szCs w:val="24"/>
        </w:rPr>
      </w:pPr>
    </w:p>
    <w:p w:rsidR="00B904A6" w:rsidRPr="009A2249" w:rsidRDefault="0041770C" w:rsidP="008C6C9C">
      <w:pPr>
        <w:pStyle w:val="Legenda"/>
        <w:keepNext/>
        <w:spacing w:after="0"/>
        <w:jc w:val="center"/>
        <w:rPr>
          <w:color w:val="auto"/>
          <w:sz w:val="24"/>
          <w:szCs w:val="24"/>
        </w:rPr>
      </w:pPr>
      <w:r w:rsidRPr="009A2249">
        <w:rPr>
          <w:color w:val="auto"/>
          <w:sz w:val="24"/>
          <w:szCs w:val="24"/>
        </w:rPr>
        <w:t xml:space="preserve">Tabela </w:t>
      </w:r>
      <w:r w:rsidR="00FE60AC" w:rsidRPr="009A2249">
        <w:rPr>
          <w:color w:val="auto"/>
          <w:sz w:val="24"/>
          <w:szCs w:val="24"/>
        </w:rPr>
        <w:fldChar w:fldCharType="begin"/>
      </w:r>
      <w:r w:rsidRPr="009A2249">
        <w:rPr>
          <w:color w:val="auto"/>
          <w:sz w:val="24"/>
          <w:szCs w:val="24"/>
        </w:rPr>
        <w:instrText xml:space="preserve"> SEQ Tabela \* ARABIC </w:instrText>
      </w:r>
      <w:r w:rsidR="00FE60AC" w:rsidRPr="009A2249">
        <w:rPr>
          <w:color w:val="auto"/>
          <w:sz w:val="24"/>
          <w:szCs w:val="24"/>
        </w:rPr>
        <w:fldChar w:fldCharType="separate"/>
      </w:r>
      <w:r w:rsidRPr="009A2249">
        <w:rPr>
          <w:noProof/>
          <w:color w:val="auto"/>
          <w:sz w:val="24"/>
          <w:szCs w:val="24"/>
        </w:rPr>
        <w:t>2</w:t>
      </w:r>
      <w:r w:rsidR="00FE60AC" w:rsidRPr="009A2249">
        <w:rPr>
          <w:color w:val="auto"/>
          <w:sz w:val="24"/>
          <w:szCs w:val="24"/>
        </w:rPr>
        <w:fldChar w:fldCharType="end"/>
      </w:r>
      <w:r w:rsidRPr="009A2249">
        <w:rPr>
          <w:color w:val="auto"/>
          <w:sz w:val="24"/>
          <w:szCs w:val="24"/>
        </w:rPr>
        <w:t xml:space="preserve"> – Indicadores previdenciários – Cenário base</w:t>
      </w:r>
    </w:p>
    <w:tbl>
      <w:tblPr>
        <w:tblW w:w="5995" w:type="dxa"/>
        <w:jc w:val="center"/>
        <w:tblCellMar>
          <w:left w:w="70" w:type="dxa"/>
          <w:right w:w="70" w:type="dxa"/>
        </w:tblCellMar>
        <w:tblLook w:val="04A0" w:firstRow="1" w:lastRow="0" w:firstColumn="1" w:lastColumn="0" w:noHBand="0" w:noVBand="1"/>
      </w:tblPr>
      <w:tblGrid>
        <w:gridCol w:w="383"/>
        <w:gridCol w:w="383"/>
        <w:gridCol w:w="551"/>
        <w:gridCol w:w="437"/>
        <w:gridCol w:w="1386"/>
        <w:gridCol w:w="851"/>
        <w:gridCol w:w="992"/>
        <w:gridCol w:w="1012"/>
      </w:tblGrid>
      <w:tr w:rsidR="00753112" w:rsidRPr="00620304" w:rsidTr="00620304">
        <w:trPr>
          <w:trHeight w:val="315"/>
          <w:jc w:val="center"/>
        </w:trPr>
        <w:tc>
          <w:tcPr>
            <w:tcW w:w="383"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rPr>
                <w:rFonts w:ascii="Times New Roman" w:eastAsia="Times New Roman" w:hAnsi="Times New Roman"/>
                <w:sz w:val="20"/>
                <w:szCs w:val="20"/>
                <w:lang w:eastAsia="pt-BR"/>
              </w:rPr>
            </w:pPr>
          </w:p>
        </w:tc>
        <w:tc>
          <w:tcPr>
            <w:tcW w:w="383" w:type="dxa"/>
            <w:tcBorders>
              <w:top w:val="single" w:sz="8" w:space="0" w:color="auto"/>
              <w:left w:val="nil"/>
              <w:bottom w:val="single" w:sz="8" w:space="0" w:color="000000"/>
              <w:right w:val="nil"/>
            </w:tcBorders>
            <w:shd w:val="clear" w:color="auto" w:fill="auto"/>
            <w:noWrap/>
            <w:textDirection w:val="btLr"/>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 </w:t>
            </w:r>
          </w:p>
        </w:tc>
        <w:tc>
          <w:tcPr>
            <w:tcW w:w="551" w:type="dxa"/>
            <w:tcBorders>
              <w:top w:val="single" w:sz="8" w:space="0" w:color="auto"/>
              <w:left w:val="nil"/>
              <w:bottom w:val="single" w:sz="8" w:space="0" w:color="000000"/>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 </w:t>
            </w:r>
          </w:p>
        </w:tc>
        <w:tc>
          <w:tcPr>
            <w:tcW w:w="437"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 </w:t>
            </w:r>
          </w:p>
        </w:tc>
        <w:tc>
          <w:tcPr>
            <w:tcW w:w="1386"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TIR (% a.a.)</w:t>
            </w:r>
          </w:p>
        </w:tc>
        <w:tc>
          <w:tcPr>
            <w:tcW w:w="851"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TR</w:t>
            </w:r>
          </w:p>
        </w:tc>
        <w:tc>
          <w:tcPr>
            <w:tcW w:w="992"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AE (%)</w:t>
            </w:r>
          </w:p>
        </w:tc>
        <w:tc>
          <w:tcPr>
            <w:tcW w:w="1012"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AN (%)</w:t>
            </w:r>
          </w:p>
        </w:tc>
      </w:tr>
      <w:tr w:rsidR="00753112" w:rsidRPr="00620304" w:rsidTr="00434A9B">
        <w:trPr>
          <w:trHeight w:val="300"/>
          <w:jc w:val="center"/>
        </w:trPr>
        <w:tc>
          <w:tcPr>
            <w:tcW w:w="383" w:type="dxa"/>
            <w:vMerge w:val="restart"/>
            <w:tcBorders>
              <w:top w:val="single" w:sz="8" w:space="0" w:color="000000"/>
              <w:left w:val="nil"/>
              <w:bottom w:val="single" w:sz="8" w:space="0" w:color="000000"/>
              <w:right w:val="nil"/>
            </w:tcBorders>
            <w:shd w:val="clear" w:color="auto" w:fill="auto"/>
            <w:noWrap/>
            <w:textDirection w:val="btLr"/>
            <w:vAlign w:val="center"/>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Salário Inicial</w:t>
            </w:r>
          </w:p>
        </w:tc>
        <w:tc>
          <w:tcPr>
            <w:tcW w:w="383" w:type="dxa"/>
            <w:vMerge w:val="restart"/>
            <w:tcBorders>
              <w:top w:val="nil"/>
              <w:left w:val="nil"/>
              <w:bottom w:val="single" w:sz="8" w:space="0" w:color="000000"/>
              <w:right w:val="nil"/>
            </w:tcBorders>
            <w:shd w:val="clear" w:color="auto" w:fill="auto"/>
            <w:noWrap/>
            <w:textDirection w:val="btLr"/>
            <w:vAlign w:val="center"/>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(múltiplos do SM)</w:t>
            </w:r>
          </w:p>
        </w:tc>
        <w:tc>
          <w:tcPr>
            <w:tcW w:w="551" w:type="dxa"/>
            <w:vMerge w:val="restart"/>
            <w:tcBorders>
              <w:top w:val="nil"/>
              <w:left w:val="nil"/>
              <w:bottom w:val="single" w:sz="8" w:space="0" w:color="000000"/>
              <w:right w:val="nil"/>
            </w:tcBorders>
            <w:shd w:val="clear" w:color="auto" w:fill="auto"/>
            <w:noWrap/>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roofErr w:type="gramStart"/>
            <w:r w:rsidRPr="00620304">
              <w:rPr>
                <w:rFonts w:ascii="Times New Roman" w:eastAsia="Times New Roman" w:hAnsi="Times New Roman"/>
                <w:b/>
                <w:bCs/>
                <w:color w:val="000000"/>
                <w:sz w:val="20"/>
                <w:szCs w:val="20"/>
                <w:lang w:eastAsia="pt-BR"/>
              </w:rPr>
              <w:t>1</w:t>
            </w:r>
            <w:proofErr w:type="gramEnd"/>
          </w:p>
        </w:tc>
        <w:tc>
          <w:tcPr>
            <w:tcW w:w="437"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H</w:t>
            </w:r>
          </w:p>
        </w:tc>
        <w:tc>
          <w:tcPr>
            <w:tcW w:w="1386"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0,79</w:t>
            </w:r>
          </w:p>
        </w:tc>
        <w:tc>
          <w:tcPr>
            <w:tcW w:w="851"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0,56</w:t>
            </w:r>
          </w:p>
        </w:tc>
        <w:tc>
          <w:tcPr>
            <w:tcW w:w="992"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28,10</w:t>
            </w:r>
          </w:p>
        </w:tc>
        <w:tc>
          <w:tcPr>
            <w:tcW w:w="1012" w:type="dxa"/>
            <w:tcBorders>
              <w:top w:val="single" w:sz="8" w:space="0" w:color="auto"/>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16,30</w:t>
            </w:r>
          </w:p>
        </w:tc>
      </w:tr>
      <w:tr w:rsidR="00753112" w:rsidRPr="00620304" w:rsidTr="00434A9B">
        <w:trPr>
          <w:trHeight w:val="315"/>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tcBorders>
              <w:top w:val="nil"/>
              <w:left w:val="nil"/>
              <w:bottom w:val="single" w:sz="8" w:space="0" w:color="000000"/>
              <w:right w:val="nil"/>
            </w:tcBorders>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
        </w:tc>
        <w:tc>
          <w:tcPr>
            <w:tcW w:w="437"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M</w:t>
            </w:r>
          </w:p>
        </w:tc>
        <w:tc>
          <w:tcPr>
            <w:tcW w:w="1386"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3,28</w:t>
            </w:r>
          </w:p>
        </w:tc>
        <w:tc>
          <w:tcPr>
            <w:tcW w:w="851"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0,56</w:t>
            </w:r>
          </w:p>
        </w:tc>
        <w:tc>
          <w:tcPr>
            <w:tcW w:w="99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28,00</w:t>
            </w:r>
          </w:p>
        </w:tc>
        <w:tc>
          <w:tcPr>
            <w:tcW w:w="101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30,01</w:t>
            </w:r>
          </w:p>
        </w:tc>
      </w:tr>
      <w:tr w:rsidR="00753112" w:rsidRPr="00620304" w:rsidTr="00434A9B">
        <w:trPr>
          <w:trHeight w:val="300"/>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val="restart"/>
            <w:tcBorders>
              <w:top w:val="nil"/>
              <w:left w:val="nil"/>
              <w:bottom w:val="single" w:sz="8" w:space="0" w:color="000000"/>
              <w:right w:val="nil"/>
            </w:tcBorders>
            <w:shd w:val="clear" w:color="auto" w:fill="auto"/>
            <w:noWrap/>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roofErr w:type="gramStart"/>
            <w:r w:rsidRPr="00620304">
              <w:rPr>
                <w:rFonts w:ascii="Times New Roman" w:eastAsia="Times New Roman" w:hAnsi="Times New Roman"/>
                <w:b/>
                <w:bCs/>
                <w:color w:val="000000"/>
                <w:sz w:val="20"/>
                <w:szCs w:val="20"/>
                <w:lang w:eastAsia="pt-BR"/>
              </w:rPr>
              <w:t>2</w:t>
            </w:r>
            <w:proofErr w:type="gramEnd"/>
          </w:p>
        </w:tc>
        <w:tc>
          <w:tcPr>
            <w:tcW w:w="437"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H</w:t>
            </w:r>
          </w:p>
        </w:tc>
        <w:tc>
          <w:tcPr>
            <w:tcW w:w="1386"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0,54</w:t>
            </w:r>
          </w:p>
        </w:tc>
        <w:tc>
          <w:tcPr>
            <w:tcW w:w="851"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0,56</w:t>
            </w:r>
          </w:p>
        </w:tc>
        <w:tc>
          <w:tcPr>
            <w:tcW w:w="992"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29,66</w:t>
            </w:r>
          </w:p>
        </w:tc>
        <w:tc>
          <w:tcPr>
            <w:tcW w:w="1012"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16,30</w:t>
            </w:r>
          </w:p>
        </w:tc>
      </w:tr>
      <w:tr w:rsidR="00753112" w:rsidRPr="00620304" w:rsidTr="00434A9B">
        <w:trPr>
          <w:trHeight w:val="315"/>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tcBorders>
              <w:top w:val="nil"/>
              <w:left w:val="nil"/>
              <w:bottom w:val="single" w:sz="8" w:space="0" w:color="000000"/>
              <w:right w:val="nil"/>
            </w:tcBorders>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
        </w:tc>
        <w:tc>
          <w:tcPr>
            <w:tcW w:w="437"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M</w:t>
            </w:r>
          </w:p>
        </w:tc>
        <w:tc>
          <w:tcPr>
            <w:tcW w:w="1386"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2,50</w:t>
            </w:r>
          </w:p>
        </w:tc>
        <w:tc>
          <w:tcPr>
            <w:tcW w:w="851"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0,48</w:t>
            </w:r>
          </w:p>
        </w:tc>
        <w:tc>
          <w:tcPr>
            <w:tcW w:w="99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29,47</w:t>
            </w:r>
          </w:p>
        </w:tc>
        <w:tc>
          <w:tcPr>
            <w:tcW w:w="101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25,63</w:t>
            </w:r>
          </w:p>
        </w:tc>
      </w:tr>
      <w:tr w:rsidR="00753112" w:rsidRPr="00620304" w:rsidTr="00434A9B">
        <w:trPr>
          <w:trHeight w:val="300"/>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val="restart"/>
            <w:tcBorders>
              <w:top w:val="nil"/>
              <w:left w:val="nil"/>
              <w:bottom w:val="single" w:sz="8" w:space="0" w:color="000000"/>
              <w:right w:val="nil"/>
            </w:tcBorders>
            <w:shd w:val="clear" w:color="auto" w:fill="auto"/>
            <w:noWrap/>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roofErr w:type="gramStart"/>
            <w:r w:rsidRPr="00620304">
              <w:rPr>
                <w:rFonts w:ascii="Times New Roman" w:eastAsia="Times New Roman" w:hAnsi="Times New Roman"/>
                <w:b/>
                <w:bCs/>
                <w:color w:val="000000"/>
                <w:sz w:val="20"/>
                <w:szCs w:val="20"/>
                <w:lang w:eastAsia="pt-BR"/>
              </w:rPr>
              <w:t>3</w:t>
            </w:r>
            <w:proofErr w:type="gramEnd"/>
          </w:p>
        </w:tc>
        <w:tc>
          <w:tcPr>
            <w:tcW w:w="437"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H</w:t>
            </w:r>
          </w:p>
        </w:tc>
        <w:tc>
          <w:tcPr>
            <w:tcW w:w="1386"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0,39</w:t>
            </w:r>
          </w:p>
        </w:tc>
        <w:tc>
          <w:tcPr>
            <w:tcW w:w="851"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0,56</w:t>
            </w:r>
          </w:p>
        </w:tc>
        <w:tc>
          <w:tcPr>
            <w:tcW w:w="992"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30,87</w:t>
            </w:r>
          </w:p>
        </w:tc>
        <w:tc>
          <w:tcPr>
            <w:tcW w:w="1012"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16,30</w:t>
            </w:r>
          </w:p>
        </w:tc>
      </w:tr>
      <w:tr w:rsidR="00753112" w:rsidRPr="00620304" w:rsidTr="00434A9B">
        <w:trPr>
          <w:trHeight w:val="315"/>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tcBorders>
              <w:top w:val="nil"/>
              <w:left w:val="nil"/>
              <w:bottom w:val="single" w:sz="8" w:space="0" w:color="000000"/>
              <w:right w:val="nil"/>
            </w:tcBorders>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
        </w:tc>
        <w:tc>
          <w:tcPr>
            <w:tcW w:w="437"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M</w:t>
            </w:r>
          </w:p>
        </w:tc>
        <w:tc>
          <w:tcPr>
            <w:tcW w:w="1386"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2,33</w:t>
            </w:r>
          </w:p>
        </w:tc>
        <w:tc>
          <w:tcPr>
            <w:tcW w:w="851"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0,48</w:t>
            </w:r>
          </w:p>
        </w:tc>
        <w:tc>
          <w:tcPr>
            <w:tcW w:w="99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30,85</w:t>
            </w:r>
          </w:p>
        </w:tc>
        <w:tc>
          <w:tcPr>
            <w:tcW w:w="101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25,63</w:t>
            </w:r>
          </w:p>
        </w:tc>
      </w:tr>
      <w:tr w:rsidR="00753112" w:rsidRPr="00620304" w:rsidTr="00434A9B">
        <w:trPr>
          <w:trHeight w:val="300"/>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val="restart"/>
            <w:tcBorders>
              <w:top w:val="nil"/>
              <w:left w:val="nil"/>
              <w:bottom w:val="single" w:sz="8" w:space="0" w:color="000000"/>
              <w:right w:val="nil"/>
            </w:tcBorders>
            <w:shd w:val="clear" w:color="auto" w:fill="auto"/>
            <w:noWrap/>
            <w:vAlign w:val="center"/>
            <w:hideMark/>
          </w:tcPr>
          <w:p w:rsidR="00753112" w:rsidRPr="00620304" w:rsidRDefault="00753112" w:rsidP="00434A9B">
            <w:pPr>
              <w:spacing w:after="0" w:line="240" w:lineRule="auto"/>
              <w:jc w:val="center"/>
              <w:rPr>
                <w:rFonts w:ascii="Times New Roman" w:eastAsia="Times New Roman" w:hAnsi="Times New Roman"/>
                <w:b/>
                <w:bCs/>
                <w:color w:val="000000"/>
                <w:sz w:val="20"/>
                <w:szCs w:val="20"/>
                <w:lang w:eastAsia="pt-BR"/>
              </w:rPr>
            </w:pPr>
            <w:proofErr w:type="gramStart"/>
            <w:r w:rsidRPr="00620304">
              <w:rPr>
                <w:rFonts w:ascii="Times New Roman" w:eastAsia="Times New Roman" w:hAnsi="Times New Roman"/>
                <w:b/>
                <w:bCs/>
                <w:color w:val="000000"/>
                <w:sz w:val="20"/>
                <w:szCs w:val="20"/>
                <w:lang w:eastAsia="pt-BR"/>
              </w:rPr>
              <w:t>5</w:t>
            </w:r>
            <w:proofErr w:type="gramEnd"/>
          </w:p>
        </w:tc>
        <w:tc>
          <w:tcPr>
            <w:tcW w:w="437"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H</w:t>
            </w:r>
          </w:p>
        </w:tc>
        <w:tc>
          <w:tcPr>
            <w:tcW w:w="1386"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-0,29</w:t>
            </w:r>
          </w:p>
        </w:tc>
        <w:tc>
          <w:tcPr>
            <w:tcW w:w="851"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0,45</w:t>
            </w:r>
          </w:p>
        </w:tc>
        <w:tc>
          <w:tcPr>
            <w:tcW w:w="992"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29,58</w:t>
            </w:r>
          </w:p>
        </w:tc>
        <w:tc>
          <w:tcPr>
            <w:tcW w:w="1012" w:type="dxa"/>
            <w:tcBorders>
              <w:top w:val="nil"/>
              <w:left w:val="nil"/>
              <w:bottom w:val="nil"/>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13,09</w:t>
            </w:r>
          </w:p>
        </w:tc>
      </w:tr>
      <w:tr w:rsidR="00753112" w:rsidRPr="00620304" w:rsidTr="00620304">
        <w:trPr>
          <w:trHeight w:val="315"/>
          <w:jc w:val="center"/>
        </w:trPr>
        <w:tc>
          <w:tcPr>
            <w:tcW w:w="383" w:type="dxa"/>
            <w:vMerge/>
            <w:tcBorders>
              <w:top w:val="single" w:sz="8" w:space="0" w:color="000000"/>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383"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551" w:type="dxa"/>
            <w:vMerge/>
            <w:tcBorders>
              <w:top w:val="nil"/>
              <w:left w:val="nil"/>
              <w:bottom w:val="single" w:sz="8" w:space="0" w:color="000000"/>
              <w:right w:val="nil"/>
            </w:tcBorders>
            <w:vAlign w:val="center"/>
            <w:hideMark/>
          </w:tcPr>
          <w:p w:rsidR="00753112" w:rsidRPr="00620304" w:rsidRDefault="00753112" w:rsidP="00753112">
            <w:pPr>
              <w:spacing w:after="0" w:line="240" w:lineRule="auto"/>
              <w:rPr>
                <w:rFonts w:ascii="Times New Roman" w:eastAsia="Times New Roman" w:hAnsi="Times New Roman"/>
                <w:b/>
                <w:bCs/>
                <w:color w:val="000000"/>
                <w:sz w:val="20"/>
                <w:szCs w:val="20"/>
                <w:lang w:eastAsia="pt-BR"/>
              </w:rPr>
            </w:pPr>
          </w:p>
        </w:tc>
        <w:tc>
          <w:tcPr>
            <w:tcW w:w="437"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b/>
                <w:bCs/>
                <w:color w:val="000000"/>
                <w:sz w:val="20"/>
                <w:szCs w:val="20"/>
                <w:lang w:eastAsia="pt-BR"/>
              </w:rPr>
            </w:pPr>
            <w:r w:rsidRPr="00620304">
              <w:rPr>
                <w:rFonts w:ascii="Times New Roman" w:eastAsia="Times New Roman" w:hAnsi="Times New Roman"/>
                <w:b/>
                <w:bCs/>
                <w:color w:val="000000"/>
                <w:sz w:val="20"/>
                <w:szCs w:val="20"/>
                <w:lang w:eastAsia="pt-BR"/>
              </w:rPr>
              <w:t>M</w:t>
            </w:r>
          </w:p>
        </w:tc>
        <w:tc>
          <w:tcPr>
            <w:tcW w:w="1386"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1,86</w:t>
            </w:r>
          </w:p>
        </w:tc>
        <w:tc>
          <w:tcPr>
            <w:tcW w:w="851"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0,41</w:t>
            </w:r>
          </w:p>
        </w:tc>
        <w:tc>
          <w:tcPr>
            <w:tcW w:w="99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29,92</w:t>
            </w:r>
          </w:p>
        </w:tc>
        <w:tc>
          <w:tcPr>
            <w:tcW w:w="1012" w:type="dxa"/>
            <w:tcBorders>
              <w:top w:val="nil"/>
              <w:left w:val="nil"/>
              <w:bottom w:val="single" w:sz="8" w:space="0" w:color="auto"/>
              <w:right w:val="nil"/>
            </w:tcBorders>
            <w:shd w:val="clear" w:color="auto" w:fill="auto"/>
            <w:noWrap/>
            <w:vAlign w:val="bottom"/>
            <w:hideMark/>
          </w:tcPr>
          <w:p w:rsidR="00753112" w:rsidRPr="00620304" w:rsidRDefault="00753112" w:rsidP="00753112">
            <w:pPr>
              <w:spacing w:after="0" w:line="240" w:lineRule="auto"/>
              <w:jc w:val="center"/>
              <w:rPr>
                <w:rFonts w:ascii="Times New Roman" w:eastAsia="Times New Roman" w:hAnsi="Times New Roman"/>
                <w:color w:val="000000"/>
                <w:sz w:val="20"/>
                <w:szCs w:val="20"/>
                <w:lang w:eastAsia="pt-BR"/>
              </w:rPr>
            </w:pPr>
            <w:r w:rsidRPr="00620304">
              <w:rPr>
                <w:rFonts w:ascii="Times New Roman" w:eastAsia="Times New Roman" w:hAnsi="Times New Roman"/>
                <w:color w:val="000000"/>
                <w:sz w:val="20"/>
                <w:szCs w:val="20"/>
                <w:lang w:eastAsia="pt-BR"/>
              </w:rPr>
              <w:t>21,81</w:t>
            </w:r>
          </w:p>
        </w:tc>
      </w:tr>
    </w:tbl>
    <w:p w:rsidR="004F3437" w:rsidRPr="00434A9B" w:rsidRDefault="00B904A6" w:rsidP="008C6C9C">
      <w:pPr>
        <w:spacing w:after="0" w:line="240" w:lineRule="auto"/>
        <w:ind w:left="2124" w:firstLine="708"/>
        <w:jc w:val="center"/>
        <w:rPr>
          <w:rFonts w:ascii="Times New Roman" w:hAnsi="Times New Roman"/>
          <w:sz w:val="20"/>
          <w:szCs w:val="20"/>
        </w:rPr>
      </w:pPr>
      <w:r w:rsidRPr="00434A9B">
        <w:rPr>
          <w:rFonts w:ascii="Times New Roman" w:hAnsi="Times New Roman"/>
          <w:sz w:val="20"/>
          <w:szCs w:val="20"/>
        </w:rPr>
        <w:t>Fonte: Cálculo</w:t>
      </w:r>
      <w:r w:rsidR="00602283" w:rsidRPr="00434A9B">
        <w:rPr>
          <w:rFonts w:ascii="Times New Roman" w:hAnsi="Times New Roman"/>
          <w:sz w:val="20"/>
          <w:szCs w:val="20"/>
        </w:rPr>
        <w:t>s</w:t>
      </w:r>
      <w:r w:rsidRPr="00434A9B">
        <w:rPr>
          <w:rFonts w:ascii="Times New Roman" w:hAnsi="Times New Roman"/>
          <w:sz w:val="20"/>
          <w:szCs w:val="20"/>
        </w:rPr>
        <w:t xml:space="preserve"> dos autores</w:t>
      </w:r>
      <w:r w:rsidR="007B413E" w:rsidRPr="00434A9B">
        <w:rPr>
          <w:rFonts w:ascii="Times New Roman" w:hAnsi="Times New Roman"/>
          <w:sz w:val="20"/>
          <w:szCs w:val="20"/>
        </w:rPr>
        <w:t>.</w:t>
      </w:r>
    </w:p>
    <w:p w:rsidR="00BD75CE" w:rsidRPr="009A2249" w:rsidRDefault="00BD75CE" w:rsidP="008C6C9C">
      <w:pPr>
        <w:spacing w:after="0" w:line="240" w:lineRule="auto"/>
        <w:ind w:left="2124" w:firstLine="708"/>
        <w:jc w:val="center"/>
        <w:rPr>
          <w:rFonts w:ascii="Times New Roman" w:hAnsi="Times New Roman"/>
          <w:sz w:val="24"/>
          <w:szCs w:val="24"/>
        </w:rPr>
      </w:pPr>
    </w:p>
    <w:p w:rsidR="00CF057B" w:rsidRPr="009A2249" w:rsidRDefault="00CF057B" w:rsidP="008C6C9C">
      <w:pPr>
        <w:pStyle w:val="PargrafodaLista"/>
        <w:numPr>
          <w:ilvl w:val="1"/>
          <w:numId w:val="3"/>
        </w:numPr>
        <w:spacing w:after="120"/>
        <w:jc w:val="both"/>
      </w:pPr>
      <w:r w:rsidRPr="009A2249">
        <w:rPr>
          <w:b/>
        </w:rPr>
        <w:lastRenderedPageBreak/>
        <w:t>Resultado</w:t>
      </w:r>
      <w:r w:rsidR="00496F67">
        <w:rPr>
          <w:b/>
        </w:rPr>
        <w:t>s</w:t>
      </w:r>
      <w:r w:rsidRPr="009A2249">
        <w:rPr>
          <w:b/>
        </w:rPr>
        <w:t xml:space="preserve"> com</w:t>
      </w:r>
      <w:r w:rsidR="001C779E" w:rsidRPr="009A2249">
        <w:rPr>
          <w:b/>
        </w:rPr>
        <w:t xml:space="preserve"> desaposentação</w:t>
      </w:r>
    </w:p>
    <w:p w:rsidR="00CF057B" w:rsidRPr="009A2249" w:rsidRDefault="00253658"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Nesta seção s</w:t>
      </w:r>
      <w:r w:rsidR="00AB169B" w:rsidRPr="009A2249">
        <w:rPr>
          <w:rFonts w:ascii="Times New Roman" w:hAnsi="Times New Roman"/>
          <w:sz w:val="24"/>
          <w:szCs w:val="24"/>
        </w:rPr>
        <w:t>ã</w:t>
      </w:r>
      <w:r w:rsidRPr="009A2249">
        <w:rPr>
          <w:rFonts w:ascii="Times New Roman" w:hAnsi="Times New Roman"/>
          <w:sz w:val="24"/>
          <w:szCs w:val="24"/>
        </w:rPr>
        <w:t xml:space="preserve">o calculados os indicadores previdenciários </w:t>
      </w:r>
      <w:r w:rsidR="00AB169B" w:rsidRPr="009A2249">
        <w:rPr>
          <w:rFonts w:ascii="Times New Roman" w:hAnsi="Times New Roman"/>
          <w:sz w:val="24"/>
          <w:szCs w:val="24"/>
        </w:rPr>
        <w:t>da</w:t>
      </w:r>
      <w:r w:rsidRPr="009A2249">
        <w:rPr>
          <w:rFonts w:ascii="Times New Roman" w:hAnsi="Times New Roman"/>
          <w:sz w:val="24"/>
          <w:szCs w:val="24"/>
        </w:rPr>
        <w:t xml:space="preserve"> seção 3.5, </w:t>
      </w:r>
      <w:r w:rsidR="0054437A" w:rsidRPr="009A2249">
        <w:rPr>
          <w:rFonts w:ascii="Times New Roman" w:hAnsi="Times New Roman"/>
          <w:sz w:val="24"/>
          <w:szCs w:val="24"/>
        </w:rPr>
        <w:t xml:space="preserve">na existência da desaposentação. Inicialmente </w:t>
      </w:r>
      <w:r w:rsidR="0088688D" w:rsidRPr="009A2249">
        <w:rPr>
          <w:rFonts w:ascii="Times New Roman" w:hAnsi="Times New Roman"/>
          <w:sz w:val="24"/>
          <w:szCs w:val="24"/>
        </w:rPr>
        <w:t>supõe-se que ao se desaposentar há dois fluxos: o primeiro é o recebimento do benefício</w:t>
      </w:r>
      <w:r w:rsidR="00AB169B" w:rsidRPr="009A2249">
        <w:rPr>
          <w:rFonts w:ascii="Times New Roman" w:hAnsi="Times New Roman"/>
          <w:sz w:val="24"/>
          <w:szCs w:val="24"/>
        </w:rPr>
        <w:t xml:space="preserve"> recalculado</w:t>
      </w:r>
      <w:r w:rsidR="00E32C33">
        <w:rPr>
          <w:rFonts w:ascii="Times New Roman" w:hAnsi="Times New Roman"/>
          <w:sz w:val="24"/>
          <w:szCs w:val="24"/>
        </w:rPr>
        <w:t>, de acordo com os novos parâmetros.</w:t>
      </w:r>
      <w:r w:rsidR="0088688D" w:rsidRPr="009A2249">
        <w:rPr>
          <w:rFonts w:ascii="Times New Roman" w:hAnsi="Times New Roman"/>
          <w:sz w:val="24"/>
          <w:szCs w:val="24"/>
        </w:rPr>
        <w:t xml:space="preserve"> O segundo</w:t>
      </w:r>
      <w:r w:rsidR="00AB169B" w:rsidRPr="009A2249">
        <w:rPr>
          <w:rFonts w:ascii="Times New Roman" w:hAnsi="Times New Roman"/>
          <w:sz w:val="24"/>
          <w:szCs w:val="24"/>
        </w:rPr>
        <w:t xml:space="preserve"> </w:t>
      </w:r>
      <w:r w:rsidR="0088688D" w:rsidRPr="009A2249">
        <w:rPr>
          <w:rFonts w:ascii="Times New Roman" w:hAnsi="Times New Roman"/>
          <w:sz w:val="24"/>
          <w:szCs w:val="24"/>
        </w:rPr>
        <w:t>corresponde à</w:t>
      </w:r>
      <w:r w:rsidR="00CF057B" w:rsidRPr="009A2249">
        <w:rPr>
          <w:rFonts w:ascii="Times New Roman" w:hAnsi="Times New Roman"/>
          <w:sz w:val="24"/>
          <w:szCs w:val="24"/>
        </w:rPr>
        <w:t xml:space="preserve"> </w:t>
      </w:r>
      <w:r w:rsidR="0088688D" w:rsidRPr="009A2249">
        <w:rPr>
          <w:rFonts w:ascii="Times New Roman" w:hAnsi="Times New Roman"/>
          <w:sz w:val="24"/>
          <w:szCs w:val="24"/>
        </w:rPr>
        <w:t xml:space="preserve">devolução, de forma parcelada, ao </w:t>
      </w:r>
      <w:r w:rsidR="00AB169B" w:rsidRPr="009A2249">
        <w:rPr>
          <w:rFonts w:ascii="Times New Roman" w:hAnsi="Times New Roman"/>
          <w:sz w:val="24"/>
          <w:szCs w:val="24"/>
        </w:rPr>
        <w:t>INSS</w:t>
      </w:r>
      <w:r w:rsidR="0088688D" w:rsidRPr="009A2249">
        <w:rPr>
          <w:rFonts w:ascii="Times New Roman" w:hAnsi="Times New Roman"/>
          <w:sz w:val="24"/>
          <w:szCs w:val="24"/>
        </w:rPr>
        <w:t>, dos benefícios</w:t>
      </w:r>
      <w:r w:rsidR="00642AF6" w:rsidRPr="009A2249">
        <w:rPr>
          <w:rFonts w:ascii="Times New Roman" w:hAnsi="Times New Roman"/>
          <w:sz w:val="24"/>
          <w:szCs w:val="24"/>
        </w:rPr>
        <w:t xml:space="preserve"> </w:t>
      </w:r>
      <w:r w:rsidR="00CF057B" w:rsidRPr="009A2249">
        <w:rPr>
          <w:rFonts w:ascii="Times New Roman" w:hAnsi="Times New Roman"/>
          <w:sz w:val="24"/>
          <w:szCs w:val="24"/>
        </w:rPr>
        <w:t>recebido</w:t>
      </w:r>
      <w:r w:rsidR="00B70D61" w:rsidRPr="009A2249">
        <w:rPr>
          <w:rFonts w:ascii="Times New Roman" w:hAnsi="Times New Roman"/>
          <w:sz w:val="24"/>
          <w:szCs w:val="24"/>
        </w:rPr>
        <w:t>s durante o período de aposentadoria</w:t>
      </w:r>
      <w:r w:rsidR="0088688D" w:rsidRPr="009A2249">
        <w:rPr>
          <w:rFonts w:ascii="Times New Roman" w:hAnsi="Times New Roman"/>
          <w:sz w:val="24"/>
          <w:szCs w:val="24"/>
        </w:rPr>
        <w:t xml:space="preserve"> original</w:t>
      </w:r>
      <w:r w:rsidR="00F931F3" w:rsidRPr="009A2249">
        <w:rPr>
          <w:rFonts w:ascii="Times New Roman" w:hAnsi="Times New Roman"/>
          <w:sz w:val="24"/>
          <w:szCs w:val="24"/>
        </w:rPr>
        <w:t xml:space="preserve"> (</w:t>
      </w:r>
      <w:r w:rsidR="0088688D" w:rsidRPr="009A2249">
        <w:rPr>
          <w:rFonts w:ascii="Times New Roman" w:hAnsi="Times New Roman"/>
          <w:sz w:val="24"/>
          <w:szCs w:val="24"/>
        </w:rPr>
        <w:t>ár</w:t>
      </w:r>
      <w:r w:rsidR="00F931F3" w:rsidRPr="009A2249">
        <w:rPr>
          <w:rFonts w:ascii="Times New Roman" w:hAnsi="Times New Roman"/>
          <w:sz w:val="24"/>
          <w:szCs w:val="24"/>
        </w:rPr>
        <w:t xml:space="preserve">ea </w:t>
      </w:r>
      <w:proofErr w:type="gramStart"/>
      <w:r w:rsidR="00F931F3" w:rsidRPr="009A2249">
        <w:rPr>
          <w:rFonts w:ascii="Times New Roman" w:hAnsi="Times New Roman"/>
          <w:sz w:val="24"/>
          <w:szCs w:val="24"/>
        </w:rPr>
        <w:t>3</w:t>
      </w:r>
      <w:proofErr w:type="gramEnd"/>
      <w:r w:rsidR="00F931F3" w:rsidRPr="009A2249">
        <w:rPr>
          <w:rFonts w:ascii="Times New Roman" w:hAnsi="Times New Roman"/>
          <w:sz w:val="24"/>
          <w:szCs w:val="24"/>
        </w:rPr>
        <w:t xml:space="preserve"> do Gráfico 1)</w:t>
      </w:r>
      <w:r w:rsidR="00CF057B" w:rsidRPr="009A2249">
        <w:rPr>
          <w:rFonts w:ascii="Times New Roman" w:hAnsi="Times New Roman"/>
          <w:sz w:val="24"/>
          <w:szCs w:val="24"/>
        </w:rPr>
        <w:t>.</w:t>
      </w:r>
      <w:r w:rsidR="0088688D" w:rsidRPr="009A2249">
        <w:rPr>
          <w:rFonts w:ascii="Times New Roman" w:hAnsi="Times New Roman"/>
          <w:sz w:val="24"/>
          <w:szCs w:val="24"/>
        </w:rPr>
        <w:t xml:space="preserve"> </w:t>
      </w:r>
      <w:r w:rsidR="00CC704A" w:rsidRPr="009A2249">
        <w:rPr>
          <w:rFonts w:ascii="Times New Roman" w:hAnsi="Times New Roman"/>
          <w:sz w:val="24"/>
          <w:szCs w:val="24"/>
        </w:rPr>
        <w:t xml:space="preserve">O valor da parcela mensal </w:t>
      </w:r>
      <w:r w:rsidRPr="009A2249">
        <w:rPr>
          <w:rFonts w:ascii="Times New Roman" w:hAnsi="Times New Roman"/>
          <w:sz w:val="24"/>
          <w:szCs w:val="24"/>
        </w:rPr>
        <w:t>devolvida</w:t>
      </w:r>
      <w:r w:rsidR="00CC704A" w:rsidRPr="009A2249">
        <w:rPr>
          <w:rFonts w:ascii="Times New Roman" w:hAnsi="Times New Roman"/>
          <w:sz w:val="24"/>
          <w:szCs w:val="24"/>
        </w:rPr>
        <w:t xml:space="preserve"> será a diferença entre o valor do benefício na aposentadoria e na </w:t>
      </w:r>
      <w:r w:rsidR="00CC704A" w:rsidRPr="009A2249">
        <w:rPr>
          <w:rFonts w:ascii="Times New Roman" w:hAnsi="Times New Roman"/>
          <w:i/>
          <w:sz w:val="24"/>
          <w:szCs w:val="24"/>
        </w:rPr>
        <w:t>desaposentação</w:t>
      </w:r>
      <w:r w:rsidR="00CC704A" w:rsidRPr="009A2249">
        <w:rPr>
          <w:rFonts w:ascii="Times New Roman" w:hAnsi="Times New Roman"/>
          <w:sz w:val="24"/>
          <w:szCs w:val="24"/>
        </w:rPr>
        <w:t>.</w:t>
      </w:r>
      <w:r w:rsidRPr="009A2249">
        <w:rPr>
          <w:rFonts w:ascii="Times New Roman" w:hAnsi="Times New Roman"/>
          <w:sz w:val="24"/>
          <w:szCs w:val="24"/>
        </w:rPr>
        <w:t xml:space="preserve"> Será mensurado o</w:t>
      </w:r>
      <w:r w:rsidR="00CF057B" w:rsidRPr="009A2249">
        <w:rPr>
          <w:rFonts w:ascii="Times New Roman" w:hAnsi="Times New Roman"/>
          <w:sz w:val="24"/>
          <w:szCs w:val="24"/>
        </w:rPr>
        <w:t xml:space="preserve"> tempo</w:t>
      </w:r>
      <w:r w:rsidR="00642AF6" w:rsidRPr="009A2249">
        <w:rPr>
          <w:rFonts w:ascii="Times New Roman" w:hAnsi="Times New Roman"/>
          <w:sz w:val="24"/>
          <w:szCs w:val="24"/>
        </w:rPr>
        <w:t>, em anos,</w:t>
      </w:r>
      <w:r w:rsidR="00F931F3" w:rsidRPr="009A2249">
        <w:rPr>
          <w:rFonts w:ascii="Times New Roman" w:hAnsi="Times New Roman"/>
          <w:sz w:val="24"/>
          <w:szCs w:val="24"/>
        </w:rPr>
        <w:t xml:space="preserve"> necessário</w:t>
      </w:r>
      <w:r w:rsidR="00CF057B" w:rsidRPr="009A2249">
        <w:rPr>
          <w:rFonts w:ascii="Times New Roman" w:hAnsi="Times New Roman"/>
          <w:sz w:val="24"/>
          <w:szCs w:val="24"/>
        </w:rPr>
        <w:t xml:space="preserve"> para </w:t>
      </w:r>
      <w:r w:rsidR="00642AF6" w:rsidRPr="009A2249">
        <w:rPr>
          <w:rFonts w:ascii="Times New Roman" w:hAnsi="Times New Roman"/>
          <w:sz w:val="24"/>
          <w:szCs w:val="24"/>
        </w:rPr>
        <w:t xml:space="preserve">quitar a última parcela </w:t>
      </w:r>
      <w:r w:rsidR="00CF057B" w:rsidRPr="009A2249">
        <w:rPr>
          <w:rFonts w:ascii="Times New Roman" w:hAnsi="Times New Roman"/>
          <w:sz w:val="24"/>
          <w:szCs w:val="24"/>
        </w:rPr>
        <w:t xml:space="preserve">da dívida (denotado por </w:t>
      </w:r>
      <w:r w:rsidR="00CF057B" w:rsidRPr="009A2249">
        <w:rPr>
          <w:rFonts w:ascii="Times New Roman" w:hAnsi="Times New Roman"/>
          <w:i/>
          <w:sz w:val="24"/>
          <w:szCs w:val="24"/>
        </w:rPr>
        <w:t>tempo para retorno</w:t>
      </w:r>
      <w:r w:rsidR="00CF057B" w:rsidRPr="009A2249">
        <w:rPr>
          <w:rFonts w:ascii="Times New Roman" w:hAnsi="Times New Roman"/>
          <w:sz w:val="24"/>
          <w:szCs w:val="24"/>
        </w:rPr>
        <w:t>).</w:t>
      </w:r>
    </w:p>
    <w:p w:rsidR="00C75F3C" w:rsidRPr="009A2249" w:rsidRDefault="00235481" w:rsidP="00C75F3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Os resultados da desaposentação estão divididos em duas tabelas</w:t>
      </w:r>
      <w:r w:rsidR="0088688D" w:rsidRPr="009A2249">
        <w:rPr>
          <w:rFonts w:ascii="Times New Roman" w:hAnsi="Times New Roman"/>
          <w:sz w:val="24"/>
          <w:szCs w:val="24"/>
        </w:rPr>
        <w:t xml:space="preserve">. </w:t>
      </w:r>
      <w:r w:rsidRPr="009A2249">
        <w:rPr>
          <w:rFonts w:ascii="Times New Roman" w:hAnsi="Times New Roman"/>
          <w:sz w:val="24"/>
          <w:szCs w:val="24"/>
        </w:rPr>
        <w:t xml:space="preserve">Na </w:t>
      </w:r>
      <w:r w:rsidR="00B904A6" w:rsidRPr="009A2249">
        <w:rPr>
          <w:rFonts w:ascii="Times New Roman" w:hAnsi="Times New Roman"/>
          <w:sz w:val="24"/>
          <w:szCs w:val="24"/>
        </w:rPr>
        <w:t>Tabela 3 apresenta</w:t>
      </w:r>
      <w:r w:rsidRPr="009A2249">
        <w:rPr>
          <w:rFonts w:ascii="Times New Roman" w:hAnsi="Times New Roman"/>
          <w:sz w:val="24"/>
          <w:szCs w:val="24"/>
        </w:rPr>
        <w:t>m-se</w:t>
      </w:r>
      <w:r w:rsidR="00B904A6" w:rsidRPr="009A2249">
        <w:rPr>
          <w:rFonts w:ascii="Times New Roman" w:hAnsi="Times New Roman"/>
          <w:sz w:val="24"/>
          <w:szCs w:val="24"/>
        </w:rPr>
        <w:t xml:space="preserve"> os </w:t>
      </w:r>
      <w:r w:rsidRPr="009A2249">
        <w:rPr>
          <w:rFonts w:ascii="Times New Roman" w:hAnsi="Times New Roman"/>
          <w:sz w:val="24"/>
          <w:szCs w:val="24"/>
        </w:rPr>
        <w:t xml:space="preserve">valores para indivíduos cuja renda inicial era de </w:t>
      </w:r>
      <w:proofErr w:type="gramStart"/>
      <w:r w:rsidRPr="009A2249">
        <w:rPr>
          <w:rFonts w:ascii="Times New Roman" w:hAnsi="Times New Roman"/>
          <w:sz w:val="24"/>
          <w:szCs w:val="24"/>
        </w:rPr>
        <w:t>1</w:t>
      </w:r>
      <w:proofErr w:type="gramEnd"/>
      <w:r w:rsidRPr="009A2249">
        <w:rPr>
          <w:rFonts w:ascii="Times New Roman" w:hAnsi="Times New Roman"/>
          <w:sz w:val="24"/>
          <w:szCs w:val="24"/>
        </w:rPr>
        <w:t xml:space="preserve"> ou 2 SM e na T</w:t>
      </w:r>
      <w:r w:rsidR="00B904A6" w:rsidRPr="009A2249">
        <w:rPr>
          <w:rFonts w:ascii="Times New Roman" w:hAnsi="Times New Roman"/>
          <w:sz w:val="24"/>
          <w:szCs w:val="24"/>
        </w:rPr>
        <w:t>abela 4</w:t>
      </w:r>
      <w:r w:rsidRPr="009A2249">
        <w:rPr>
          <w:rFonts w:ascii="Times New Roman" w:hAnsi="Times New Roman"/>
          <w:sz w:val="24"/>
          <w:szCs w:val="24"/>
        </w:rPr>
        <w:t>, os casos em que a renda inicial é de 3 ou 5 SM</w:t>
      </w:r>
      <w:r w:rsidR="00B904A6" w:rsidRPr="009A2249">
        <w:rPr>
          <w:rFonts w:ascii="Times New Roman" w:hAnsi="Times New Roman"/>
          <w:sz w:val="24"/>
          <w:szCs w:val="24"/>
        </w:rPr>
        <w:t>.</w:t>
      </w:r>
      <w:r w:rsidR="005F0483" w:rsidRPr="009A2249">
        <w:rPr>
          <w:rFonts w:ascii="Times New Roman" w:hAnsi="Times New Roman"/>
          <w:sz w:val="24"/>
          <w:szCs w:val="24"/>
        </w:rPr>
        <w:t xml:space="preserve"> Em ambos os casos, nas linhas das tabelas são apresentadas diversos </w:t>
      </w:r>
      <w:r w:rsidR="005F0483" w:rsidRPr="009A2249">
        <w:rPr>
          <w:rFonts w:ascii="Times New Roman" w:hAnsi="Times New Roman"/>
          <w:i/>
          <w:sz w:val="24"/>
          <w:szCs w:val="24"/>
        </w:rPr>
        <w:t xml:space="preserve">tempos de desaposentação </w:t>
      </w:r>
      <w:r w:rsidR="005F0483" w:rsidRPr="009A2249">
        <w:rPr>
          <w:rFonts w:ascii="Times New Roman" w:hAnsi="Times New Roman"/>
          <w:sz w:val="24"/>
          <w:szCs w:val="24"/>
        </w:rPr>
        <w:t xml:space="preserve">(em anos), ou seja, o tempo que o segurado </w:t>
      </w:r>
      <w:r w:rsidR="0088688D" w:rsidRPr="009A2249">
        <w:rPr>
          <w:rFonts w:ascii="Times New Roman" w:hAnsi="Times New Roman"/>
          <w:sz w:val="24"/>
          <w:szCs w:val="24"/>
        </w:rPr>
        <w:t>leva</w:t>
      </w:r>
      <w:r w:rsidR="005F0483" w:rsidRPr="009A2249">
        <w:rPr>
          <w:rFonts w:ascii="Times New Roman" w:hAnsi="Times New Roman"/>
          <w:sz w:val="24"/>
          <w:szCs w:val="24"/>
        </w:rPr>
        <w:t xml:space="preserve"> para pleitear uma revisão do valor do seu benefício.</w:t>
      </w:r>
    </w:p>
    <w:p w:rsidR="000B0C66" w:rsidRDefault="000B0C66">
      <w:pPr>
        <w:spacing w:after="0" w:line="240" w:lineRule="auto"/>
        <w:rPr>
          <w:rFonts w:ascii="Times New Roman" w:hAnsi="Times New Roman"/>
          <w:sz w:val="24"/>
          <w:szCs w:val="24"/>
        </w:rPr>
      </w:pPr>
    </w:p>
    <w:p w:rsidR="0088688D" w:rsidRPr="009A2249" w:rsidRDefault="0041770C" w:rsidP="008C6C9C">
      <w:pPr>
        <w:pStyle w:val="Legenda"/>
        <w:keepNext/>
        <w:spacing w:after="0"/>
        <w:jc w:val="center"/>
        <w:rPr>
          <w:color w:val="auto"/>
          <w:sz w:val="24"/>
          <w:szCs w:val="24"/>
        </w:rPr>
      </w:pPr>
      <w:r w:rsidRPr="009A2249">
        <w:rPr>
          <w:color w:val="auto"/>
          <w:sz w:val="24"/>
          <w:szCs w:val="24"/>
        </w:rPr>
        <w:t xml:space="preserve">Tabela </w:t>
      </w:r>
      <w:r w:rsidR="00FE60AC" w:rsidRPr="009A2249">
        <w:rPr>
          <w:color w:val="auto"/>
          <w:sz w:val="24"/>
          <w:szCs w:val="24"/>
        </w:rPr>
        <w:fldChar w:fldCharType="begin"/>
      </w:r>
      <w:r w:rsidRPr="009A2249">
        <w:rPr>
          <w:color w:val="auto"/>
          <w:sz w:val="24"/>
          <w:szCs w:val="24"/>
        </w:rPr>
        <w:instrText xml:space="preserve"> SEQ Tabela \* ARABIC </w:instrText>
      </w:r>
      <w:r w:rsidR="00FE60AC" w:rsidRPr="009A2249">
        <w:rPr>
          <w:color w:val="auto"/>
          <w:sz w:val="24"/>
          <w:szCs w:val="24"/>
        </w:rPr>
        <w:fldChar w:fldCharType="separate"/>
      </w:r>
      <w:r w:rsidRPr="009A2249">
        <w:rPr>
          <w:noProof/>
          <w:color w:val="auto"/>
          <w:sz w:val="24"/>
          <w:szCs w:val="24"/>
        </w:rPr>
        <w:t>3</w:t>
      </w:r>
      <w:r w:rsidR="00FE60AC" w:rsidRPr="009A2249">
        <w:rPr>
          <w:color w:val="auto"/>
          <w:sz w:val="24"/>
          <w:szCs w:val="24"/>
        </w:rPr>
        <w:fldChar w:fldCharType="end"/>
      </w:r>
      <w:r w:rsidRPr="009A2249">
        <w:rPr>
          <w:color w:val="auto"/>
          <w:sz w:val="24"/>
          <w:szCs w:val="24"/>
        </w:rPr>
        <w:t xml:space="preserve"> – Indicadores previdenciários com desaposentação (Renda inicial: </w:t>
      </w:r>
      <w:proofErr w:type="gramStart"/>
      <w:r w:rsidRPr="009A2249">
        <w:rPr>
          <w:color w:val="auto"/>
          <w:sz w:val="24"/>
          <w:szCs w:val="24"/>
        </w:rPr>
        <w:t>1</w:t>
      </w:r>
      <w:proofErr w:type="gramEnd"/>
      <w:r w:rsidRPr="009A2249">
        <w:rPr>
          <w:color w:val="auto"/>
          <w:sz w:val="24"/>
          <w:szCs w:val="24"/>
        </w:rPr>
        <w:t xml:space="preserve"> e 2 SM)</w:t>
      </w:r>
    </w:p>
    <w:tbl>
      <w:tblPr>
        <w:tblW w:w="5000" w:type="pct"/>
        <w:tblCellMar>
          <w:left w:w="70" w:type="dxa"/>
          <w:right w:w="70" w:type="dxa"/>
        </w:tblCellMar>
        <w:tblLook w:val="04A0" w:firstRow="1" w:lastRow="0" w:firstColumn="1" w:lastColumn="0" w:noHBand="0" w:noVBand="1"/>
      </w:tblPr>
      <w:tblGrid>
        <w:gridCol w:w="396"/>
        <w:gridCol w:w="354"/>
        <w:gridCol w:w="343"/>
        <w:gridCol w:w="772"/>
        <w:gridCol w:w="501"/>
        <w:gridCol w:w="860"/>
        <w:gridCol w:w="1059"/>
        <w:gridCol w:w="838"/>
        <w:gridCol w:w="204"/>
        <w:gridCol w:w="772"/>
        <w:gridCol w:w="501"/>
        <w:gridCol w:w="761"/>
        <w:gridCol w:w="1015"/>
        <w:gridCol w:w="835"/>
      </w:tblGrid>
      <w:tr w:rsidR="00753112" w:rsidRPr="009A2249" w:rsidTr="009A2249">
        <w:trPr>
          <w:trHeight w:val="483"/>
          <w:tblHeader/>
        </w:trPr>
        <w:tc>
          <w:tcPr>
            <w:tcW w:w="215" w:type="pct"/>
            <w:tcBorders>
              <w:top w:val="nil"/>
              <w:left w:val="nil"/>
              <w:bottom w:val="nil"/>
              <w:right w:val="nil"/>
            </w:tcBorders>
            <w:shd w:val="clear" w:color="auto" w:fill="auto"/>
            <w:noWrap/>
            <w:vAlign w:val="bottom"/>
            <w:hideMark/>
          </w:tcPr>
          <w:p w:rsidR="00753112" w:rsidRPr="009A2249" w:rsidRDefault="00753112" w:rsidP="00753112">
            <w:pPr>
              <w:keepNext/>
              <w:keepLines/>
              <w:spacing w:before="480" w:after="0" w:line="240" w:lineRule="auto"/>
              <w:outlineLvl w:val="0"/>
              <w:rPr>
                <w:rFonts w:ascii="Times New Roman" w:eastAsia="Times New Roman" w:hAnsi="Times New Roman"/>
                <w:sz w:val="24"/>
                <w:szCs w:val="24"/>
                <w:lang w:eastAsia="pt-BR"/>
              </w:rPr>
            </w:pPr>
          </w:p>
        </w:tc>
        <w:tc>
          <w:tcPr>
            <w:tcW w:w="192" w:type="pct"/>
            <w:tcBorders>
              <w:top w:val="nil"/>
              <w:left w:val="nil"/>
              <w:bottom w:val="nil"/>
              <w:right w:val="nil"/>
            </w:tcBorders>
            <w:shd w:val="clear" w:color="auto" w:fill="auto"/>
            <w:noWrap/>
            <w:vAlign w:val="bottom"/>
            <w:hideMark/>
          </w:tcPr>
          <w:p w:rsidR="00753112" w:rsidRPr="009A2249" w:rsidRDefault="00753112" w:rsidP="00753112">
            <w:pPr>
              <w:keepNext/>
              <w:keepLines/>
              <w:spacing w:before="480" w:after="0" w:line="240" w:lineRule="auto"/>
              <w:outlineLvl w:val="0"/>
              <w:rPr>
                <w:rFonts w:ascii="Times New Roman" w:eastAsia="Times New Roman" w:hAnsi="Times New Roman"/>
                <w:sz w:val="24"/>
                <w:szCs w:val="24"/>
                <w:lang w:eastAsia="pt-BR"/>
              </w:rPr>
            </w:pPr>
          </w:p>
        </w:tc>
        <w:tc>
          <w:tcPr>
            <w:tcW w:w="186" w:type="pct"/>
            <w:tcBorders>
              <w:top w:val="nil"/>
              <w:left w:val="nil"/>
              <w:bottom w:val="nil"/>
              <w:right w:val="nil"/>
            </w:tcBorders>
            <w:shd w:val="clear" w:color="auto" w:fill="auto"/>
            <w:noWrap/>
            <w:vAlign w:val="bottom"/>
            <w:hideMark/>
          </w:tcPr>
          <w:p w:rsidR="00753112" w:rsidRPr="009A2249" w:rsidRDefault="00753112" w:rsidP="00753112">
            <w:pPr>
              <w:keepNext/>
              <w:keepLines/>
              <w:spacing w:before="480" w:after="0" w:line="240" w:lineRule="auto"/>
              <w:outlineLvl w:val="0"/>
              <w:rPr>
                <w:rFonts w:ascii="Times New Roman" w:eastAsia="Times New Roman" w:hAnsi="Times New Roman"/>
                <w:sz w:val="24"/>
                <w:szCs w:val="24"/>
                <w:lang w:eastAsia="pt-BR"/>
              </w:rPr>
            </w:pPr>
          </w:p>
        </w:tc>
        <w:tc>
          <w:tcPr>
            <w:tcW w:w="4408" w:type="pct"/>
            <w:gridSpan w:val="11"/>
            <w:tcBorders>
              <w:top w:val="single" w:sz="4" w:space="0" w:color="auto"/>
              <w:left w:val="nil"/>
              <w:bottom w:val="single" w:sz="4" w:space="0" w:color="auto"/>
              <w:right w:val="nil"/>
            </w:tcBorders>
            <w:shd w:val="clear" w:color="auto" w:fill="auto"/>
            <w:noWrap/>
            <w:vAlign w:val="center"/>
            <w:hideMark/>
          </w:tcPr>
          <w:p w:rsidR="00753112" w:rsidRPr="009A2249" w:rsidRDefault="0041770C" w:rsidP="00753112">
            <w:pPr>
              <w:spacing w:after="0" w:line="240" w:lineRule="auto"/>
              <w:jc w:val="center"/>
              <w:rPr>
                <w:rFonts w:ascii="Times New Roman" w:eastAsia="Times New Roman" w:hAnsi="Times New Roman"/>
                <w:b/>
                <w:bCs/>
                <w:color w:val="000000"/>
                <w:sz w:val="24"/>
                <w:szCs w:val="24"/>
                <w:lang w:eastAsia="pt-BR"/>
              </w:rPr>
            </w:pPr>
            <w:r w:rsidRPr="009A2249">
              <w:rPr>
                <w:rFonts w:ascii="Times New Roman" w:eastAsia="Times New Roman" w:hAnsi="Times New Roman"/>
                <w:b/>
                <w:bCs/>
                <w:color w:val="000000"/>
                <w:sz w:val="24"/>
                <w:szCs w:val="24"/>
                <w:lang w:eastAsia="pt-BR"/>
              </w:rPr>
              <w:t>Salário Inicial (múltiplos do SM)</w:t>
            </w:r>
          </w:p>
        </w:tc>
      </w:tr>
      <w:tr w:rsidR="00753112" w:rsidRPr="009A2249" w:rsidTr="009A2249">
        <w:trPr>
          <w:trHeight w:val="300"/>
          <w:tblHeader/>
        </w:trPr>
        <w:tc>
          <w:tcPr>
            <w:tcW w:w="215"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
        </w:tc>
        <w:tc>
          <w:tcPr>
            <w:tcW w:w="192"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rPr>
                <w:rFonts w:ascii="Times New Roman" w:eastAsia="Times New Roman" w:hAnsi="Times New Roman"/>
                <w:sz w:val="20"/>
                <w:szCs w:val="20"/>
                <w:lang w:eastAsia="pt-BR"/>
              </w:rPr>
            </w:pPr>
          </w:p>
        </w:tc>
        <w:tc>
          <w:tcPr>
            <w:tcW w:w="186"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jc w:val="center"/>
              <w:rPr>
                <w:rFonts w:ascii="Times New Roman" w:eastAsia="Times New Roman" w:hAnsi="Times New Roman"/>
                <w:sz w:val="20"/>
                <w:szCs w:val="20"/>
                <w:lang w:eastAsia="pt-BR"/>
              </w:rPr>
            </w:pPr>
          </w:p>
        </w:tc>
        <w:tc>
          <w:tcPr>
            <w:tcW w:w="2188" w:type="pct"/>
            <w:gridSpan w:val="5"/>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1</w:t>
            </w:r>
            <w:proofErr w:type="gramEnd"/>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
        </w:tc>
        <w:tc>
          <w:tcPr>
            <w:tcW w:w="2110" w:type="pct"/>
            <w:gridSpan w:val="5"/>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2</w:t>
            </w:r>
            <w:proofErr w:type="gramEnd"/>
          </w:p>
        </w:tc>
      </w:tr>
      <w:tr w:rsidR="00753112" w:rsidRPr="009A2249" w:rsidTr="009A2249">
        <w:trPr>
          <w:trHeight w:val="795"/>
          <w:tblHeader/>
        </w:trPr>
        <w:tc>
          <w:tcPr>
            <w:tcW w:w="21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w:t>
            </w:r>
          </w:p>
        </w:tc>
        <w:tc>
          <w:tcPr>
            <w:tcW w:w="192"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w:t>
            </w:r>
          </w:p>
        </w:tc>
        <w:tc>
          <w:tcPr>
            <w:tcW w:w="186"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w:t>
            </w:r>
          </w:p>
        </w:tc>
        <w:tc>
          <w:tcPr>
            <w:tcW w:w="419"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TIR a.a. (%) </w:t>
            </w:r>
          </w:p>
        </w:tc>
        <w:tc>
          <w:tcPr>
            <w:tcW w:w="272"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TR </w:t>
            </w:r>
          </w:p>
        </w:tc>
        <w:tc>
          <w:tcPr>
            <w:tcW w:w="467"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w:t>
            </w:r>
            <w:proofErr w:type="gramStart"/>
            <w:r w:rsidRPr="009A2249">
              <w:rPr>
                <w:rFonts w:ascii="Times New Roman" w:eastAsia="Times New Roman" w:hAnsi="Times New Roman"/>
                <w:b/>
                <w:bCs/>
                <w:color w:val="000000"/>
                <w:sz w:val="18"/>
                <w:szCs w:val="18"/>
                <w:lang w:eastAsia="pt-BR"/>
              </w:rPr>
              <w:t>AE(</w:t>
            </w:r>
            <w:proofErr w:type="gramEnd"/>
            <w:r w:rsidRPr="009A2249">
              <w:rPr>
                <w:rFonts w:ascii="Times New Roman" w:eastAsia="Times New Roman" w:hAnsi="Times New Roman"/>
                <w:b/>
                <w:bCs/>
                <w:color w:val="000000"/>
                <w:sz w:val="18"/>
                <w:szCs w:val="18"/>
                <w:lang w:eastAsia="pt-BR"/>
              </w:rPr>
              <w:t xml:space="preserve">%) </w:t>
            </w:r>
          </w:p>
        </w:tc>
        <w:tc>
          <w:tcPr>
            <w:tcW w:w="57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AN (%) </w:t>
            </w:r>
          </w:p>
        </w:tc>
        <w:tc>
          <w:tcPr>
            <w:tcW w:w="45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Tempo para retorno (anos)</w:t>
            </w:r>
            <w:proofErr w:type="gramStart"/>
            <w:r w:rsidRPr="009A2249">
              <w:rPr>
                <w:rFonts w:ascii="Times New Roman" w:eastAsia="Times New Roman" w:hAnsi="Times New Roman"/>
                <w:b/>
                <w:bCs/>
                <w:color w:val="000000"/>
                <w:sz w:val="18"/>
                <w:szCs w:val="18"/>
                <w:lang w:eastAsia="pt-BR"/>
              </w:rPr>
              <w:t xml:space="preserve">  </w:t>
            </w:r>
          </w:p>
        </w:tc>
        <w:tc>
          <w:tcPr>
            <w:tcW w:w="111" w:type="pct"/>
            <w:tcBorders>
              <w:top w:val="nil"/>
              <w:left w:val="nil"/>
              <w:bottom w:val="nil"/>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End"/>
          </w:p>
        </w:tc>
        <w:tc>
          <w:tcPr>
            <w:tcW w:w="419"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TIR a.a. (%) </w:t>
            </w:r>
          </w:p>
        </w:tc>
        <w:tc>
          <w:tcPr>
            <w:tcW w:w="272"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TR </w:t>
            </w:r>
          </w:p>
        </w:tc>
        <w:tc>
          <w:tcPr>
            <w:tcW w:w="413"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w:t>
            </w:r>
            <w:proofErr w:type="gramStart"/>
            <w:r w:rsidRPr="009A2249">
              <w:rPr>
                <w:rFonts w:ascii="Times New Roman" w:eastAsia="Times New Roman" w:hAnsi="Times New Roman"/>
                <w:b/>
                <w:bCs/>
                <w:color w:val="000000"/>
                <w:sz w:val="18"/>
                <w:szCs w:val="18"/>
                <w:lang w:eastAsia="pt-BR"/>
              </w:rPr>
              <w:t>AE(</w:t>
            </w:r>
            <w:proofErr w:type="gramEnd"/>
            <w:r w:rsidRPr="009A2249">
              <w:rPr>
                <w:rFonts w:ascii="Times New Roman" w:eastAsia="Times New Roman" w:hAnsi="Times New Roman"/>
                <w:b/>
                <w:bCs/>
                <w:color w:val="000000"/>
                <w:sz w:val="18"/>
                <w:szCs w:val="18"/>
                <w:lang w:eastAsia="pt-BR"/>
              </w:rPr>
              <w:t xml:space="preserve">%) </w:t>
            </w:r>
          </w:p>
        </w:tc>
        <w:tc>
          <w:tcPr>
            <w:tcW w:w="551"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AN (%) </w:t>
            </w:r>
          </w:p>
        </w:tc>
        <w:tc>
          <w:tcPr>
            <w:tcW w:w="45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Tempo para retorno (anos)</w:t>
            </w:r>
            <w:proofErr w:type="gramStart"/>
            <w:r w:rsidRPr="009A2249">
              <w:rPr>
                <w:rFonts w:ascii="Times New Roman" w:eastAsia="Times New Roman" w:hAnsi="Times New Roman"/>
                <w:b/>
                <w:bCs/>
                <w:color w:val="000000"/>
                <w:sz w:val="18"/>
                <w:szCs w:val="18"/>
                <w:lang w:eastAsia="pt-BR"/>
              </w:rPr>
              <w:t xml:space="preserve">  </w:t>
            </w:r>
          </w:p>
        </w:tc>
        <w:proofErr w:type="gramEnd"/>
      </w:tr>
      <w:tr w:rsidR="00753112" w:rsidRPr="009A2249" w:rsidTr="009A2249">
        <w:trPr>
          <w:trHeight w:val="300"/>
          <w:tblHeader/>
        </w:trPr>
        <w:tc>
          <w:tcPr>
            <w:tcW w:w="215" w:type="pct"/>
            <w:vMerge w:val="restart"/>
            <w:tcBorders>
              <w:top w:val="nil"/>
              <w:left w:val="nil"/>
              <w:bottom w:val="nil"/>
              <w:right w:val="nil"/>
            </w:tcBorders>
            <w:shd w:val="clear" w:color="auto" w:fill="auto"/>
            <w:noWrap/>
            <w:textDirection w:val="btLr"/>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Tempo Desaposentação (em anos)</w:t>
            </w: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1</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0,96</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0,58</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28,12</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16,64</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16,64</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0,708</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0,58</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29,69</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16,59</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16,64</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3,18</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0,55</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28,00</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28,58</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2,660</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0,51</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29,51</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26,13</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17,55</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2</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1,10</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0,62</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28,14</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16,70</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16,10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0,62</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29,72</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16,62</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16,10</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28,02</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27,04</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2,801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0,54</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29,55</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26,40</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17,03</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single" w:sz="4" w:space="0" w:color="auto"/>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3</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1,21</w:t>
            </w:r>
          </w:p>
        </w:tc>
        <w:tc>
          <w:tcPr>
            <w:tcW w:w="272"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0,65</w:t>
            </w:r>
          </w:p>
        </w:tc>
        <w:tc>
          <w:tcPr>
            <w:tcW w:w="467"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28,16</w:t>
            </w:r>
          </w:p>
        </w:tc>
        <w:tc>
          <w:tcPr>
            <w:tcW w:w="575"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16,67</w:t>
            </w:r>
          </w:p>
        </w:tc>
        <w:tc>
          <w:tcPr>
            <w:tcW w:w="455"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15,50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0,944</w:t>
            </w:r>
          </w:p>
        </w:tc>
        <w:tc>
          <w:tcPr>
            <w:tcW w:w="272"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0,65</w:t>
            </w:r>
          </w:p>
        </w:tc>
        <w:tc>
          <w:tcPr>
            <w:tcW w:w="413"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29,75</w:t>
            </w:r>
          </w:p>
        </w:tc>
        <w:tc>
          <w:tcPr>
            <w:tcW w:w="551"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16,54</w:t>
            </w:r>
          </w:p>
        </w:tc>
        <w:tc>
          <w:tcPr>
            <w:tcW w:w="455"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15,50</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single" w:sz="4" w:space="0" w:color="auto"/>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3,22</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0,57</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28,05</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27,41</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2,927</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0,57</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29,59</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26,62</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16,44</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4</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1,28</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0,69</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28,17</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16,52</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14,99</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1,013</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0,69</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29,77</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16,35</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14,99</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3,35</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0,61</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28,07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27,77</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60,86</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3,036</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0,61</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29,63</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26,76</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15,95</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5</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1,33</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28,19</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16,27</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14,44</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1,052</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0,74</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29,80</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16,06</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14,44</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3,47</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0,64</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28,10</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28,08</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37,73</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3,133</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0,64</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29,66</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26,86</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15,41</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6</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1,33</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0,79</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28,21</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15,89</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13,94</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1,055</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0,79</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29,82</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15,65</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13,94</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3,57</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0,67</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28,12</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28,29</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30,06</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3,214</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0,67</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29,69</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26,89</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14,94</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7</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28,22</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15,39</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13,45</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1,021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29,85</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15,11</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13,45</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3,66</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0,70</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28,14</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28,42</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25,90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3,282</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0,70</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29,72</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26,85</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14,46</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8</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1,24</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0,89</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28,24</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14,77</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12,93</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0,948</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0,89</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29,87</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14,46</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12,93</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3,73</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0,75</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28,16</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28,50</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23,10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3,341</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0,75</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29,75</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26,77</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13,96</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9</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1,11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28,25</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13,95</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12,61</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0,809</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0,94</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29,89</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13,61</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12,61</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3,79</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0,79</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28,49</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21,10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3,385</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0,79</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29,77</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26,60</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13,49</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10</w:t>
            </w:r>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0,99</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28,26</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12,93</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12,46</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0,592</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0,99</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29,91</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12,56</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12,46</w:t>
            </w:r>
          </w:p>
        </w:tc>
      </w:tr>
      <w:tr w:rsidR="00753112" w:rsidRPr="009A2249" w:rsidTr="009A2249">
        <w:trPr>
          <w:trHeight w:val="300"/>
          <w:tblHeader/>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3,84</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28,19</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28,43</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19,49</w:t>
            </w:r>
          </w:p>
        </w:tc>
        <w:tc>
          <w:tcPr>
            <w:tcW w:w="11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 </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3,421</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29,80</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26,40</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13,00</w:t>
            </w:r>
          </w:p>
        </w:tc>
      </w:tr>
    </w:tbl>
    <w:p w:rsidR="00B904A6" w:rsidRPr="00434A9B" w:rsidRDefault="001C779E" w:rsidP="008C6C9C">
      <w:pPr>
        <w:spacing w:after="0" w:line="240" w:lineRule="auto"/>
        <w:jc w:val="right"/>
        <w:rPr>
          <w:rFonts w:ascii="Times New Roman" w:hAnsi="Times New Roman"/>
          <w:sz w:val="20"/>
          <w:szCs w:val="20"/>
        </w:rPr>
      </w:pPr>
      <w:r w:rsidRPr="00434A9B">
        <w:rPr>
          <w:rFonts w:ascii="Times New Roman" w:hAnsi="Times New Roman"/>
          <w:bCs/>
          <w:color w:val="000000"/>
          <w:sz w:val="20"/>
          <w:szCs w:val="20"/>
        </w:rPr>
        <w:t xml:space="preserve">* Não há tempo para pagamento do benefício ganho de aposentadoria.                </w:t>
      </w:r>
      <w:r w:rsidRPr="00434A9B">
        <w:rPr>
          <w:rFonts w:ascii="Times New Roman" w:hAnsi="Times New Roman"/>
          <w:sz w:val="20"/>
          <w:szCs w:val="20"/>
        </w:rPr>
        <w:t xml:space="preserve"> </w:t>
      </w:r>
      <w:r w:rsidR="00B904A6" w:rsidRPr="00434A9B">
        <w:rPr>
          <w:rFonts w:ascii="Times New Roman" w:hAnsi="Times New Roman"/>
          <w:sz w:val="20"/>
          <w:szCs w:val="20"/>
        </w:rPr>
        <w:t>Fonte: Cálculo dos autores</w:t>
      </w:r>
      <w:r w:rsidR="00ED7D75" w:rsidRPr="00434A9B">
        <w:rPr>
          <w:rFonts w:ascii="Times New Roman" w:hAnsi="Times New Roman"/>
          <w:sz w:val="20"/>
          <w:szCs w:val="20"/>
        </w:rPr>
        <w:t>.</w:t>
      </w:r>
    </w:p>
    <w:p w:rsidR="00B904A6" w:rsidRDefault="00B904A6" w:rsidP="008C6C9C">
      <w:pPr>
        <w:spacing w:after="0" w:line="240" w:lineRule="auto"/>
        <w:rPr>
          <w:rFonts w:ascii="Times New Roman" w:hAnsi="Times New Roman"/>
          <w:sz w:val="14"/>
          <w:szCs w:val="24"/>
        </w:rPr>
      </w:pPr>
    </w:p>
    <w:p w:rsidR="00BD75CE" w:rsidRDefault="00BD75CE" w:rsidP="008C6C9C">
      <w:pPr>
        <w:spacing w:after="0" w:line="240" w:lineRule="auto"/>
        <w:rPr>
          <w:rFonts w:ascii="Times New Roman" w:hAnsi="Times New Roman"/>
          <w:sz w:val="14"/>
          <w:szCs w:val="24"/>
        </w:rPr>
      </w:pPr>
    </w:p>
    <w:p w:rsidR="00BD75CE" w:rsidRDefault="00BD75CE" w:rsidP="008C6C9C">
      <w:pPr>
        <w:spacing w:after="0" w:line="240" w:lineRule="auto"/>
        <w:rPr>
          <w:rFonts w:ascii="Times New Roman" w:hAnsi="Times New Roman"/>
          <w:sz w:val="14"/>
          <w:szCs w:val="24"/>
        </w:rPr>
      </w:pPr>
    </w:p>
    <w:p w:rsidR="009A2249" w:rsidRPr="009A2249" w:rsidRDefault="009A2249" w:rsidP="008C6C9C">
      <w:pPr>
        <w:spacing w:after="0" w:line="240" w:lineRule="auto"/>
        <w:rPr>
          <w:rFonts w:ascii="Times New Roman" w:hAnsi="Times New Roman"/>
          <w:sz w:val="14"/>
          <w:szCs w:val="24"/>
        </w:rPr>
      </w:pPr>
    </w:p>
    <w:p w:rsidR="0088688D" w:rsidRPr="009A2249" w:rsidRDefault="0041770C" w:rsidP="008C6C9C">
      <w:pPr>
        <w:pStyle w:val="Legenda"/>
        <w:keepNext/>
        <w:spacing w:after="0"/>
        <w:jc w:val="center"/>
        <w:rPr>
          <w:color w:val="auto"/>
          <w:sz w:val="24"/>
          <w:szCs w:val="24"/>
        </w:rPr>
      </w:pPr>
      <w:r w:rsidRPr="009A2249">
        <w:rPr>
          <w:color w:val="auto"/>
          <w:sz w:val="24"/>
          <w:szCs w:val="24"/>
        </w:rPr>
        <w:lastRenderedPageBreak/>
        <w:t xml:space="preserve">Tabela 4 – Indicadores previdenciários com desaposentação (Renda inicial: </w:t>
      </w:r>
      <w:proofErr w:type="gramStart"/>
      <w:r w:rsidRPr="009A2249">
        <w:rPr>
          <w:color w:val="auto"/>
          <w:sz w:val="24"/>
          <w:szCs w:val="24"/>
        </w:rPr>
        <w:t>3</w:t>
      </w:r>
      <w:proofErr w:type="gramEnd"/>
      <w:r w:rsidRPr="009A2249">
        <w:rPr>
          <w:color w:val="auto"/>
          <w:sz w:val="24"/>
          <w:szCs w:val="24"/>
        </w:rPr>
        <w:t xml:space="preserve"> e 5 SM)</w:t>
      </w:r>
    </w:p>
    <w:tbl>
      <w:tblPr>
        <w:tblW w:w="5000" w:type="pct"/>
        <w:tblCellMar>
          <w:left w:w="70" w:type="dxa"/>
          <w:right w:w="70" w:type="dxa"/>
        </w:tblCellMar>
        <w:tblLook w:val="04A0" w:firstRow="1" w:lastRow="0" w:firstColumn="1" w:lastColumn="0" w:noHBand="0" w:noVBand="1"/>
      </w:tblPr>
      <w:tblGrid>
        <w:gridCol w:w="396"/>
        <w:gridCol w:w="354"/>
        <w:gridCol w:w="343"/>
        <w:gridCol w:w="772"/>
        <w:gridCol w:w="501"/>
        <w:gridCol w:w="860"/>
        <w:gridCol w:w="1059"/>
        <w:gridCol w:w="838"/>
        <w:gridCol w:w="204"/>
        <w:gridCol w:w="772"/>
        <w:gridCol w:w="501"/>
        <w:gridCol w:w="761"/>
        <w:gridCol w:w="1015"/>
        <w:gridCol w:w="835"/>
      </w:tblGrid>
      <w:tr w:rsidR="00753112" w:rsidRPr="009A2249" w:rsidTr="009A2249">
        <w:trPr>
          <w:trHeight w:val="300"/>
        </w:trPr>
        <w:tc>
          <w:tcPr>
            <w:tcW w:w="215"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rPr>
                <w:rFonts w:ascii="Times New Roman" w:eastAsia="Times New Roman" w:hAnsi="Times New Roman"/>
                <w:sz w:val="20"/>
                <w:szCs w:val="20"/>
                <w:lang w:eastAsia="pt-BR"/>
              </w:rPr>
            </w:pPr>
          </w:p>
        </w:tc>
        <w:tc>
          <w:tcPr>
            <w:tcW w:w="192"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rPr>
                <w:rFonts w:ascii="Times New Roman" w:eastAsia="Times New Roman" w:hAnsi="Times New Roman"/>
                <w:sz w:val="20"/>
                <w:szCs w:val="20"/>
                <w:lang w:eastAsia="pt-BR"/>
              </w:rPr>
            </w:pPr>
          </w:p>
        </w:tc>
        <w:tc>
          <w:tcPr>
            <w:tcW w:w="186"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rPr>
                <w:rFonts w:ascii="Times New Roman" w:eastAsia="Times New Roman" w:hAnsi="Times New Roman"/>
                <w:sz w:val="20"/>
                <w:szCs w:val="20"/>
                <w:lang w:eastAsia="pt-BR"/>
              </w:rPr>
            </w:pPr>
          </w:p>
        </w:tc>
        <w:tc>
          <w:tcPr>
            <w:tcW w:w="4408" w:type="pct"/>
            <w:gridSpan w:val="11"/>
            <w:tcBorders>
              <w:top w:val="single" w:sz="4" w:space="0" w:color="auto"/>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Salário Inicial (múltiplos do SM)</w:t>
            </w:r>
          </w:p>
        </w:tc>
      </w:tr>
      <w:tr w:rsidR="00753112" w:rsidRPr="009A2249" w:rsidTr="009A2249">
        <w:trPr>
          <w:trHeight w:val="300"/>
        </w:trPr>
        <w:tc>
          <w:tcPr>
            <w:tcW w:w="215"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
        </w:tc>
        <w:tc>
          <w:tcPr>
            <w:tcW w:w="192"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rPr>
                <w:rFonts w:ascii="Times New Roman" w:eastAsia="Times New Roman" w:hAnsi="Times New Roman"/>
                <w:sz w:val="20"/>
                <w:szCs w:val="20"/>
                <w:lang w:eastAsia="pt-BR"/>
              </w:rPr>
            </w:pPr>
          </w:p>
        </w:tc>
        <w:tc>
          <w:tcPr>
            <w:tcW w:w="186" w:type="pct"/>
            <w:tcBorders>
              <w:top w:val="nil"/>
              <w:left w:val="nil"/>
              <w:bottom w:val="nil"/>
              <w:right w:val="nil"/>
            </w:tcBorders>
            <w:shd w:val="clear" w:color="auto" w:fill="auto"/>
            <w:noWrap/>
            <w:vAlign w:val="bottom"/>
            <w:hideMark/>
          </w:tcPr>
          <w:p w:rsidR="00753112" w:rsidRPr="009A2249" w:rsidRDefault="00753112" w:rsidP="00753112">
            <w:pPr>
              <w:spacing w:after="0" w:line="240" w:lineRule="auto"/>
              <w:jc w:val="center"/>
              <w:rPr>
                <w:rFonts w:ascii="Times New Roman" w:eastAsia="Times New Roman" w:hAnsi="Times New Roman"/>
                <w:sz w:val="20"/>
                <w:szCs w:val="20"/>
                <w:lang w:eastAsia="pt-BR"/>
              </w:rPr>
            </w:pPr>
          </w:p>
        </w:tc>
        <w:tc>
          <w:tcPr>
            <w:tcW w:w="2188" w:type="pct"/>
            <w:gridSpan w:val="5"/>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3</w:t>
            </w:r>
            <w:proofErr w:type="gramEnd"/>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
        </w:tc>
        <w:tc>
          <w:tcPr>
            <w:tcW w:w="2110" w:type="pct"/>
            <w:gridSpan w:val="5"/>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5</w:t>
            </w:r>
            <w:proofErr w:type="gramEnd"/>
          </w:p>
        </w:tc>
      </w:tr>
      <w:tr w:rsidR="00753112" w:rsidRPr="009A2249" w:rsidTr="009A2249">
        <w:trPr>
          <w:trHeight w:val="780"/>
        </w:trPr>
        <w:tc>
          <w:tcPr>
            <w:tcW w:w="21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w:t>
            </w:r>
          </w:p>
        </w:tc>
        <w:tc>
          <w:tcPr>
            <w:tcW w:w="192"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w:t>
            </w:r>
          </w:p>
        </w:tc>
        <w:tc>
          <w:tcPr>
            <w:tcW w:w="186"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w:t>
            </w:r>
          </w:p>
        </w:tc>
        <w:tc>
          <w:tcPr>
            <w:tcW w:w="419"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TIR a.a. (%) </w:t>
            </w:r>
          </w:p>
        </w:tc>
        <w:tc>
          <w:tcPr>
            <w:tcW w:w="272"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TR </w:t>
            </w:r>
          </w:p>
        </w:tc>
        <w:tc>
          <w:tcPr>
            <w:tcW w:w="467"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w:t>
            </w:r>
            <w:proofErr w:type="gramStart"/>
            <w:r w:rsidRPr="009A2249">
              <w:rPr>
                <w:rFonts w:ascii="Times New Roman" w:eastAsia="Times New Roman" w:hAnsi="Times New Roman"/>
                <w:b/>
                <w:bCs/>
                <w:color w:val="000000"/>
                <w:sz w:val="18"/>
                <w:szCs w:val="18"/>
                <w:lang w:eastAsia="pt-BR"/>
              </w:rPr>
              <w:t>AE(</w:t>
            </w:r>
            <w:proofErr w:type="gramEnd"/>
            <w:r w:rsidRPr="009A2249">
              <w:rPr>
                <w:rFonts w:ascii="Times New Roman" w:eastAsia="Times New Roman" w:hAnsi="Times New Roman"/>
                <w:b/>
                <w:bCs/>
                <w:color w:val="000000"/>
                <w:sz w:val="18"/>
                <w:szCs w:val="18"/>
                <w:lang w:eastAsia="pt-BR"/>
              </w:rPr>
              <w:t xml:space="preserve">%) </w:t>
            </w:r>
          </w:p>
        </w:tc>
        <w:tc>
          <w:tcPr>
            <w:tcW w:w="57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AN (%) </w:t>
            </w:r>
          </w:p>
        </w:tc>
        <w:tc>
          <w:tcPr>
            <w:tcW w:w="45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Tempo para retorno (anos)</w:t>
            </w:r>
            <w:proofErr w:type="gramStart"/>
            <w:r w:rsidRPr="009A2249">
              <w:rPr>
                <w:rFonts w:ascii="Times New Roman" w:eastAsia="Times New Roman" w:hAnsi="Times New Roman"/>
                <w:b/>
                <w:bCs/>
                <w:color w:val="000000"/>
                <w:sz w:val="18"/>
                <w:szCs w:val="18"/>
                <w:lang w:eastAsia="pt-BR"/>
              </w:rPr>
              <w:t xml:space="preserve">  </w:t>
            </w:r>
          </w:p>
        </w:tc>
        <w:tc>
          <w:tcPr>
            <w:tcW w:w="111" w:type="pct"/>
            <w:tcBorders>
              <w:top w:val="nil"/>
              <w:left w:val="nil"/>
              <w:bottom w:val="nil"/>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End"/>
          </w:p>
        </w:tc>
        <w:tc>
          <w:tcPr>
            <w:tcW w:w="419"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TIR a.a. (%) </w:t>
            </w:r>
          </w:p>
        </w:tc>
        <w:tc>
          <w:tcPr>
            <w:tcW w:w="272"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TR </w:t>
            </w:r>
          </w:p>
        </w:tc>
        <w:tc>
          <w:tcPr>
            <w:tcW w:w="413"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w:t>
            </w:r>
            <w:proofErr w:type="gramStart"/>
            <w:r w:rsidRPr="009A2249">
              <w:rPr>
                <w:rFonts w:ascii="Times New Roman" w:eastAsia="Times New Roman" w:hAnsi="Times New Roman"/>
                <w:b/>
                <w:bCs/>
                <w:color w:val="000000"/>
                <w:sz w:val="18"/>
                <w:szCs w:val="18"/>
                <w:lang w:eastAsia="pt-BR"/>
              </w:rPr>
              <w:t>AE(</w:t>
            </w:r>
            <w:proofErr w:type="gramEnd"/>
            <w:r w:rsidRPr="009A2249">
              <w:rPr>
                <w:rFonts w:ascii="Times New Roman" w:eastAsia="Times New Roman" w:hAnsi="Times New Roman"/>
                <w:b/>
                <w:bCs/>
                <w:color w:val="000000"/>
                <w:sz w:val="18"/>
                <w:szCs w:val="18"/>
                <w:lang w:eastAsia="pt-BR"/>
              </w:rPr>
              <w:t xml:space="preserve">%) </w:t>
            </w:r>
          </w:p>
        </w:tc>
        <w:tc>
          <w:tcPr>
            <w:tcW w:w="551"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AN (%) </w:t>
            </w:r>
          </w:p>
        </w:tc>
        <w:tc>
          <w:tcPr>
            <w:tcW w:w="455" w:type="pct"/>
            <w:tcBorders>
              <w:top w:val="nil"/>
              <w:left w:val="nil"/>
              <w:bottom w:val="single" w:sz="4" w:space="0" w:color="auto"/>
              <w:right w:val="nil"/>
            </w:tcBorders>
            <w:shd w:val="clear" w:color="auto" w:fill="auto"/>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 xml:space="preserve"> Tempo para retorno (anos)</w:t>
            </w:r>
            <w:proofErr w:type="gramStart"/>
            <w:r w:rsidRPr="009A2249">
              <w:rPr>
                <w:rFonts w:ascii="Times New Roman" w:eastAsia="Times New Roman" w:hAnsi="Times New Roman"/>
                <w:b/>
                <w:bCs/>
                <w:color w:val="000000"/>
                <w:sz w:val="18"/>
                <w:szCs w:val="18"/>
                <w:lang w:eastAsia="pt-BR"/>
              </w:rPr>
              <w:t xml:space="preserve">  </w:t>
            </w:r>
          </w:p>
        </w:tc>
        <w:proofErr w:type="gramEnd"/>
      </w:tr>
      <w:tr w:rsidR="00753112" w:rsidRPr="009A2249" w:rsidTr="009A2249">
        <w:trPr>
          <w:trHeight w:val="300"/>
        </w:trPr>
        <w:tc>
          <w:tcPr>
            <w:tcW w:w="215" w:type="pct"/>
            <w:vMerge w:val="restart"/>
            <w:tcBorders>
              <w:top w:val="nil"/>
              <w:left w:val="nil"/>
              <w:bottom w:val="nil"/>
              <w:right w:val="nil"/>
            </w:tcBorders>
            <w:shd w:val="clear" w:color="auto" w:fill="auto"/>
            <w:noWrap/>
            <w:textDirection w:val="btLr"/>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Tempo Desaposentação (em anos)</w:t>
            </w: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1</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0,56</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0,58</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16,59</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16,64</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-0,18</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0,46</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29,52</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13,13</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20,73</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2,49</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0,51</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30,85</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26,13</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17,55</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1,98</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0,43</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29,85</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21,96</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21,90</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2</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0,70</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0,62</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16,61</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16,11</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-0,09</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0,48</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29,45</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12,97</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20,20</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2,64</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30,86</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26,40</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17,03</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2,09</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0,45</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29,78</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21,92</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21,41</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single" w:sz="4" w:space="0" w:color="auto"/>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3</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0,80</w:t>
            </w:r>
          </w:p>
        </w:tc>
        <w:tc>
          <w:tcPr>
            <w:tcW w:w="272"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0,65</w:t>
            </w:r>
          </w:p>
        </w:tc>
        <w:tc>
          <w:tcPr>
            <w:tcW w:w="467"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16,53</w:t>
            </w:r>
          </w:p>
        </w:tc>
        <w:tc>
          <w:tcPr>
            <w:tcW w:w="455"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15,58</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-0,03</w:t>
            </w:r>
          </w:p>
        </w:tc>
        <w:tc>
          <w:tcPr>
            <w:tcW w:w="272"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0,51</w:t>
            </w:r>
          </w:p>
        </w:tc>
        <w:tc>
          <w:tcPr>
            <w:tcW w:w="413"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29,39</w:t>
            </w:r>
          </w:p>
        </w:tc>
        <w:tc>
          <w:tcPr>
            <w:tcW w:w="551"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12,74</w:t>
            </w:r>
          </w:p>
        </w:tc>
        <w:tc>
          <w:tcPr>
            <w:tcW w:w="455" w:type="pct"/>
            <w:tcBorders>
              <w:top w:val="single" w:sz="4" w:space="0" w:color="auto"/>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19,65</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single" w:sz="4" w:space="0" w:color="auto"/>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2,77</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0,57</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30,86</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26,62</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16,44</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2,18</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0,47</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29,72</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21,84</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20,88</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4</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0,86</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0,69</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16,33</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15,16</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0,00</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0,53</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29,32</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12,44</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19,13</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2,88</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0,61</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30,86</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26,76</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15,95</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2,26</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0,49</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29,65</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21,72</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20,40</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5</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0,90</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30,86</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16,02</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14,70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-0,01</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0,56</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29,26</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12,03</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18,97</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2,98</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0,64</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26,86</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15,41</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2,33</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0,51</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29,58</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21,55</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19,89</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6</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0,90</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0,78</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30,84</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15,59</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14,30</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-0,26</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0,54</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29,20</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10,95</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25,03</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3,06</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0,67</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26,89</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14,94</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2,39</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0,53</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29,52</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21,34</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19,42</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7</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0,86</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0,83</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30,83</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15,04</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13,89</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-0,54</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0,53</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29,13</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9,93</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32,68</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3,13</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0,70</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26,84</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14,46</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2,43</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0,55</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29,45</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21,09</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18,94</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8</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0,78</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0,87</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30,81</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14,34</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13,56</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0,52</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29,07</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8,97</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42,92</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3,19</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0,75</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26,75</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13,99</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2,47</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0,58</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29,39</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20,80</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18,45</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proofErr w:type="gramStart"/>
            <w:r w:rsidRPr="009A2249">
              <w:rPr>
                <w:rFonts w:ascii="Times New Roman" w:eastAsia="Times New Roman" w:hAnsi="Times New Roman"/>
                <w:b/>
                <w:bCs/>
                <w:color w:val="000000"/>
                <w:sz w:val="18"/>
                <w:szCs w:val="18"/>
                <w:lang w:eastAsia="pt-BR"/>
              </w:rPr>
              <w:t>9</w:t>
            </w:r>
            <w:proofErr w:type="gramEnd"/>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0,42</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0,86</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30,78</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12,79</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16,03</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-1,16</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0,51</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29,01</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8,06</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58,24</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3,23</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0,79</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30,87</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26,56</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13,57</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2,30</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0,57</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29,32</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19,30</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22,13</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val="restart"/>
            <w:tcBorders>
              <w:top w:val="nil"/>
              <w:left w:val="nil"/>
              <w:bottom w:val="single" w:sz="4" w:space="0" w:color="000000"/>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10</w:t>
            </w:r>
          </w:p>
        </w:tc>
        <w:tc>
          <w:tcPr>
            <w:tcW w:w="186"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H</w:t>
            </w: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0,04</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0,84</w:t>
            </w:r>
          </w:p>
        </w:tc>
        <w:tc>
          <w:tcPr>
            <w:tcW w:w="467"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30,76</w:t>
            </w:r>
          </w:p>
        </w:tc>
        <w:tc>
          <w:tcPr>
            <w:tcW w:w="57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11,33</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18,77</w:t>
            </w:r>
          </w:p>
        </w:tc>
        <w:tc>
          <w:tcPr>
            <w:tcW w:w="11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p>
        </w:tc>
        <w:tc>
          <w:tcPr>
            <w:tcW w:w="419"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-1,52</w:t>
            </w:r>
          </w:p>
        </w:tc>
        <w:tc>
          <w:tcPr>
            <w:tcW w:w="272"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0,50</w:t>
            </w:r>
          </w:p>
        </w:tc>
        <w:tc>
          <w:tcPr>
            <w:tcW w:w="413"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28,95</w:t>
            </w:r>
          </w:p>
        </w:tc>
        <w:tc>
          <w:tcPr>
            <w:tcW w:w="551"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7,20</w:t>
            </w:r>
          </w:p>
        </w:tc>
        <w:tc>
          <w:tcPr>
            <w:tcW w:w="455" w:type="pct"/>
            <w:tcBorders>
              <w:top w:val="nil"/>
              <w:left w:val="nil"/>
              <w:bottom w:val="nil"/>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88,40</w:t>
            </w:r>
          </w:p>
        </w:tc>
      </w:tr>
      <w:tr w:rsidR="00753112" w:rsidRPr="009A2249" w:rsidTr="009A2249">
        <w:trPr>
          <w:trHeight w:val="300"/>
        </w:trPr>
        <w:tc>
          <w:tcPr>
            <w:tcW w:w="215" w:type="pct"/>
            <w:vMerge/>
            <w:tcBorders>
              <w:top w:val="nil"/>
              <w:left w:val="nil"/>
              <w:bottom w:val="nil"/>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92" w:type="pct"/>
            <w:vMerge/>
            <w:tcBorders>
              <w:top w:val="nil"/>
              <w:left w:val="nil"/>
              <w:bottom w:val="single" w:sz="4" w:space="0" w:color="000000"/>
              <w:right w:val="nil"/>
            </w:tcBorders>
            <w:vAlign w:val="center"/>
            <w:hideMark/>
          </w:tcPr>
          <w:p w:rsidR="00753112" w:rsidRPr="009A2249" w:rsidRDefault="00753112" w:rsidP="00753112">
            <w:pPr>
              <w:spacing w:after="0" w:line="240" w:lineRule="auto"/>
              <w:rPr>
                <w:rFonts w:ascii="Times New Roman" w:eastAsia="Times New Roman" w:hAnsi="Times New Roman"/>
                <w:b/>
                <w:bCs/>
                <w:color w:val="000000"/>
                <w:sz w:val="18"/>
                <w:szCs w:val="18"/>
                <w:lang w:eastAsia="pt-BR"/>
              </w:rPr>
            </w:pPr>
          </w:p>
        </w:tc>
        <w:tc>
          <w:tcPr>
            <w:tcW w:w="186"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b/>
                <w:bCs/>
                <w:color w:val="000000"/>
                <w:sz w:val="18"/>
                <w:szCs w:val="18"/>
                <w:lang w:eastAsia="pt-BR"/>
              </w:rPr>
            </w:pPr>
            <w:r w:rsidRPr="009A2249">
              <w:rPr>
                <w:rFonts w:ascii="Times New Roman" w:eastAsia="Times New Roman" w:hAnsi="Times New Roman"/>
                <w:b/>
                <w:bCs/>
                <w:color w:val="000000"/>
                <w:sz w:val="18"/>
                <w:szCs w:val="18"/>
                <w:lang w:eastAsia="pt-BR"/>
              </w:rPr>
              <w:t>M</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3,26</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0,83</w:t>
            </w:r>
          </w:p>
        </w:tc>
        <w:tc>
          <w:tcPr>
            <w:tcW w:w="467"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30,86</w:t>
            </w:r>
          </w:p>
        </w:tc>
        <w:tc>
          <w:tcPr>
            <w:tcW w:w="57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26,31</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13,15</w:t>
            </w:r>
          </w:p>
        </w:tc>
        <w:tc>
          <w:tcPr>
            <w:tcW w:w="11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 </w:t>
            </w:r>
          </w:p>
        </w:tc>
        <w:tc>
          <w:tcPr>
            <w:tcW w:w="419"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2,14</w:t>
            </w:r>
          </w:p>
        </w:tc>
        <w:tc>
          <w:tcPr>
            <w:tcW w:w="272"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0,56</w:t>
            </w:r>
          </w:p>
        </w:tc>
        <w:tc>
          <w:tcPr>
            <w:tcW w:w="413"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29,26</w:t>
            </w:r>
          </w:p>
        </w:tc>
        <w:tc>
          <w:tcPr>
            <w:tcW w:w="551"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17,89</w:t>
            </w:r>
          </w:p>
        </w:tc>
        <w:tc>
          <w:tcPr>
            <w:tcW w:w="455" w:type="pct"/>
            <w:tcBorders>
              <w:top w:val="nil"/>
              <w:left w:val="nil"/>
              <w:bottom w:val="single" w:sz="4" w:space="0" w:color="auto"/>
              <w:right w:val="nil"/>
            </w:tcBorders>
            <w:shd w:val="clear" w:color="auto" w:fill="auto"/>
            <w:noWrap/>
            <w:vAlign w:val="center"/>
            <w:hideMark/>
          </w:tcPr>
          <w:p w:rsidR="00753112" w:rsidRPr="009A2249" w:rsidRDefault="00753112" w:rsidP="00753112">
            <w:pPr>
              <w:spacing w:after="0" w:line="240" w:lineRule="auto"/>
              <w:jc w:val="center"/>
              <w:rPr>
                <w:rFonts w:ascii="Times New Roman" w:eastAsia="Times New Roman" w:hAnsi="Times New Roman"/>
                <w:color w:val="000000"/>
                <w:sz w:val="18"/>
                <w:szCs w:val="18"/>
                <w:lang w:eastAsia="pt-BR"/>
              </w:rPr>
            </w:pPr>
            <w:r w:rsidRPr="009A2249">
              <w:rPr>
                <w:rFonts w:ascii="Times New Roman" w:eastAsia="Times New Roman" w:hAnsi="Times New Roman"/>
                <w:color w:val="000000"/>
                <w:sz w:val="18"/>
                <w:szCs w:val="18"/>
                <w:lang w:eastAsia="pt-BR"/>
              </w:rPr>
              <w:t>26,41</w:t>
            </w:r>
          </w:p>
        </w:tc>
      </w:tr>
    </w:tbl>
    <w:p w:rsidR="00235481" w:rsidRPr="009A2249" w:rsidRDefault="00235481" w:rsidP="008C6C9C">
      <w:pPr>
        <w:spacing w:after="0" w:line="240" w:lineRule="auto"/>
        <w:jc w:val="right"/>
        <w:rPr>
          <w:rFonts w:ascii="Times New Roman" w:hAnsi="Times New Roman"/>
          <w:sz w:val="16"/>
          <w:szCs w:val="20"/>
        </w:rPr>
      </w:pPr>
      <w:r w:rsidRPr="00434A9B">
        <w:rPr>
          <w:rFonts w:ascii="Times New Roman" w:hAnsi="Times New Roman"/>
          <w:bCs/>
          <w:color w:val="000000"/>
          <w:sz w:val="20"/>
          <w:szCs w:val="20"/>
        </w:rPr>
        <w:t xml:space="preserve">* Não há tempo para pagamento do benefício ganho de aposentadoria.             </w:t>
      </w:r>
      <w:r w:rsidR="007B413E" w:rsidRPr="00434A9B">
        <w:rPr>
          <w:rFonts w:ascii="Times New Roman" w:hAnsi="Times New Roman"/>
          <w:bCs/>
          <w:color w:val="000000"/>
          <w:sz w:val="20"/>
          <w:szCs w:val="20"/>
        </w:rPr>
        <w:tab/>
      </w:r>
      <w:r w:rsidRPr="00434A9B">
        <w:rPr>
          <w:rFonts w:ascii="Times New Roman" w:hAnsi="Times New Roman"/>
          <w:bCs/>
          <w:color w:val="000000"/>
          <w:sz w:val="20"/>
          <w:szCs w:val="20"/>
        </w:rPr>
        <w:t xml:space="preserve">         Fonte: Cálculo dos autores</w:t>
      </w:r>
      <w:r w:rsidR="00ED7D75" w:rsidRPr="00434A9B">
        <w:rPr>
          <w:rFonts w:ascii="Times New Roman" w:hAnsi="Times New Roman"/>
          <w:bCs/>
          <w:color w:val="000000"/>
          <w:sz w:val="20"/>
          <w:szCs w:val="20"/>
        </w:rPr>
        <w:t>.</w:t>
      </w:r>
      <w:proofErr w:type="gramStart"/>
      <w:r w:rsidR="0060073D" w:rsidRPr="009A2249">
        <w:rPr>
          <w:rFonts w:ascii="Times New Roman" w:hAnsi="Times New Roman"/>
          <w:sz w:val="16"/>
          <w:szCs w:val="20"/>
        </w:rPr>
        <w:tab/>
      </w:r>
      <w:proofErr w:type="gramEnd"/>
    </w:p>
    <w:p w:rsidR="00484BE0" w:rsidRPr="009A2249" w:rsidRDefault="00484BE0" w:rsidP="008C6C9C">
      <w:pPr>
        <w:spacing w:after="120" w:line="240" w:lineRule="auto"/>
        <w:ind w:firstLine="709"/>
        <w:jc w:val="both"/>
        <w:rPr>
          <w:rFonts w:ascii="Times New Roman" w:hAnsi="Times New Roman"/>
          <w:sz w:val="24"/>
          <w:szCs w:val="24"/>
        </w:rPr>
      </w:pPr>
    </w:p>
    <w:p w:rsidR="004227CA" w:rsidRPr="009A2249" w:rsidRDefault="005F0483"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P</w:t>
      </w:r>
      <w:r w:rsidR="00B904A6" w:rsidRPr="009A2249">
        <w:rPr>
          <w:rFonts w:ascii="Times New Roman" w:hAnsi="Times New Roman"/>
          <w:sz w:val="24"/>
          <w:szCs w:val="24"/>
        </w:rPr>
        <w:t>ode-se observar que a TR dos homens é sempre maior que das mulheres</w:t>
      </w:r>
      <w:r w:rsidR="004227CA" w:rsidRPr="009A2249">
        <w:rPr>
          <w:rFonts w:ascii="Times New Roman" w:hAnsi="Times New Roman"/>
          <w:sz w:val="24"/>
          <w:szCs w:val="24"/>
        </w:rPr>
        <w:t xml:space="preserve">. Dois motivos explicam este fato. O primeiro é </w:t>
      </w:r>
      <w:r w:rsidR="00563227" w:rsidRPr="009A2249">
        <w:rPr>
          <w:rFonts w:ascii="Times New Roman" w:hAnsi="Times New Roman"/>
          <w:sz w:val="24"/>
          <w:szCs w:val="24"/>
        </w:rPr>
        <w:t>devido ao fato de</w:t>
      </w:r>
      <w:r w:rsidR="004227CA" w:rsidRPr="009A2249">
        <w:rPr>
          <w:rFonts w:ascii="Times New Roman" w:hAnsi="Times New Roman"/>
          <w:sz w:val="24"/>
          <w:szCs w:val="24"/>
        </w:rPr>
        <w:t xml:space="preserve"> os homens trabalhar</w:t>
      </w:r>
      <w:r w:rsidR="00563227" w:rsidRPr="009A2249">
        <w:rPr>
          <w:rFonts w:ascii="Times New Roman" w:hAnsi="Times New Roman"/>
          <w:sz w:val="24"/>
          <w:szCs w:val="24"/>
        </w:rPr>
        <w:t>em</w:t>
      </w:r>
      <w:r w:rsidR="004227CA" w:rsidRPr="009A2249">
        <w:rPr>
          <w:rFonts w:ascii="Times New Roman" w:hAnsi="Times New Roman"/>
          <w:sz w:val="24"/>
          <w:szCs w:val="24"/>
        </w:rPr>
        <w:t xml:space="preserve"> cinco anos a mais para se aposentar, </w:t>
      </w:r>
      <w:r w:rsidR="00563227" w:rsidRPr="009A2249">
        <w:rPr>
          <w:rFonts w:ascii="Times New Roman" w:hAnsi="Times New Roman"/>
          <w:sz w:val="24"/>
          <w:szCs w:val="24"/>
        </w:rPr>
        <w:t xml:space="preserve">de forma que </w:t>
      </w:r>
      <w:r w:rsidR="004227CA" w:rsidRPr="009A2249">
        <w:rPr>
          <w:rFonts w:ascii="Times New Roman" w:hAnsi="Times New Roman"/>
          <w:sz w:val="24"/>
          <w:szCs w:val="24"/>
        </w:rPr>
        <w:t>seu fator previdenciário é mais elevado. O segundo deve-se a uma hipótese do modelo. Como os salários crescem monotonicamente, o salário-de-contribuição dos homens no final do período laboral é mais alt</w:t>
      </w:r>
      <w:r w:rsidR="002810BC" w:rsidRPr="009A2249">
        <w:rPr>
          <w:rFonts w:ascii="Times New Roman" w:hAnsi="Times New Roman"/>
          <w:sz w:val="24"/>
          <w:szCs w:val="24"/>
        </w:rPr>
        <w:t>o</w:t>
      </w:r>
      <w:r w:rsidR="004227CA" w:rsidRPr="009A2249">
        <w:rPr>
          <w:rFonts w:ascii="Times New Roman" w:hAnsi="Times New Roman"/>
          <w:sz w:val="24"/>
          <w:szCs w:val="24"/>
        </w:rPr>
        <w:t xml:space="preserve">. Desta forma, a média de seus salários é mais elevada, ocorrendo o mesmo com seu salário de benefício. A única exceção possível ocorreria se o </w:t>
      </w:r>
      <w:r w:rsidR="00211F0F" w:rsidRPr="009A2249">
        <w:rPr>
          <w:rFonts w:ascii="Times New Roman" w:hAnsi="Times New Roman"/>
          <w:sz w:val="24"/>
          <w:szCs w:val="24"/>
        </w:rPr>
        <w:t>salário-de-contribuição</w:t>
      </w:r>
      <w:r w:rsidR="004227CA" w:rsidRPr="009A2249">
        <w:rPr>
          <w:rFonts w:ascii="Times New Roman" w:hAnsi="Times New Roman"/>
          <w:sz w:val="24"/>
          <w:szCs w:val="24"/>
        </w:rPr>
        <w:t xml:space="preserve"> ou o salário-de-benefício atingisse o teto legal.</w:t>
      </w:r>
    </w:p>
    <w:p w:rsidR="00673C3B" w:rsidRPr="009A2249" w:rsidRDefault="00B36E03"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O</w:t>
      </w:r>
      <w:r w:rsidR="00B904A6" w:rsidRPr="009A2249">
        <w:rPr>
          <w:rFonts w:ascii="Times New Roman" w:hAnsi="Times New Roman"/>
          <w:sz w:val="24"/>
          <w:szCs w:val="24"/>
        </w:rPr>
        <w:t>s valores da TIR e da AN</w:t>
      </w:r>
      <w:r w:rsidR="000E0B82" w:rsidRPr="009A2249">
        <w:rPr>
          <w:rFonts w:ascii="Times New Roman" w:hAnsi="Times New Roman"/>
          <w:sz w:val="24"/>
          <w:szCs w:val="24"/>
        </w:rPr>
        <w:t xml:space="preserve"> são sempre mais elevados para as mulheres e apresentam</w:t>
      </w:r>
      <w:r w:rsidR="00B904A6" w:rsidRPr="009A2249">
        <w:rPr>
          <w:rFonts w:ascii="Times New Roman" w:hAnsi="Times New Roman"/>
          <w:sz w:val="24"/>
          <w:szCs w:val="24"/>
        </w:rPr>
        <w:t xml:space="preserve"> crescimento mais acentuado. Este fato é explicado p</w:t>
      </w:r>
      <w:r w:rsidR="00673C3B" w:rsidRPr="009A2249">
        <w:rPr>
          <w:rFonts w:ascii="Times New Roman" w:hAnsi="Times New Roman"/>
          <w:sz w:val="24"/>
          <w:szCs w:val="24"/>
        </w:rPr>
        <w:t>or seu</w:t>
      </w:r>
      <w:r w:rsidR="00B904A6" w:rsidRPr="009A2249">
        <w:rPr>
          <w:rFonts w:ascii="Times New Roman" w:hAnsi="Times New Roman"/>
          <w:sz w:val="24"/>
          <w:szCs w:val="24"/>
        </w:rPr>
        <w:t xml:space="preserve"> menor tempo de contribuição e maior expectativa de sobrevida.</w:t>
      </w:r>
      <w:r w:rsidR="00673C3B" w:rsidRPr="009A2249">
        <w:rPr>
          <w:rFonts w:ascii="Times New Roman" w:hAnsi="Times New Roman"/>
          <w:sz w:val="24"/>
          <w:szCs w:val="24"/>
        </w:rPr>
        <w:t xml:space="preserve"> Os resultados das </w:t>
      </w:r>
      <w:r w:rsidR="00E22A65" w:rsidRPr="009A2249">
        <w:rPr>
          <w:rFonts w:ascii="Times New Roman" w:hAnsi="Times New Roman"/>
          <w:sz w:val="24"/>
          <w:szCs w:val="24"/>
        </w:rPr>
        <w:t xml:space="preserve">Tabelas </w:t>
      </w:r>
      <w:r w:rsidR="00673C3B" w:rsidRPr="009A2249">
        <w:rPr>
          <w:rFonts w:ascii="Times New Roman" w:hAnsi="Times New Roman"/>
          <w:sz w:val="24"/>
          <w:szCs w:val="24"/>
        </w:rPr>
        <w:t>3 e 4 fornecem evidências da existência de um resultado bastante interessante: há um momento ótimo de solicitar a desaposentação. Ou seja, conforme mencionado na introdução: se a desaposentação for solicitada de forma muito prematura, o ganho é pequeno. Se houver uma demora muito grande, o período de recebimento é muito reduzido.</w:t>
      </w:r>
    </w:p>
    <w:p w:rsidR="00C85680" w:rsidRDefault="00673C3B"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O</w:t>
      </w:r>
      <w:r w:rsidR="00B36E03" w:rsidRPr="009A2249">
        <w:rPr>
          <w:rFonts w:ascii="Times New Roman" w:hAnsi="Times New Roman"/>
          <w:sz w:val="24"/>
          <w:szCs w:val="24"/>
        </w:rPr>
        <w:t xml:space="preserve"> Gráfico </w:t>
      </w:r>
      <w:proofErr w:type="gramStart"/>
      <w:r w:rsidR="00A35F86">
        <w:rPr>
          <w:rFonts w:ascii="Times New Roman" w:hAnsi="Times New Roman"/>
          <w:sz w:val="24"/>
          <w:szCs w:val="24"/>
        </w:rPr>
        <w:t>3</w:t>
      </w:r>
      <w:proofErr w:type="gramEnd"/>
      <w:r w:rsidR="00B36E03" w:rsidRPr="009A2249">
        <w:rPr>
          <w:rFonts w:ascii="Times New Roman" w:hAnsi="Times New Roman"/>
          <w:sz w:val="24"/>
          <w:szCs w:val="24"/>
        </w:rPr>
        <w:t xml:space="preserve"> </w:t>
      </w:r>
      <w:r w:rsidRPr="009A2249">
        <w:rPr>
          <w:rFonts w:ascii="Times New Roman" w:hAnsi="Times New Roman"/>
          <w:sz w:val="24"/>
          <w:szCs w:val="24"/>
        </w:rPr>
        <w:t xml:space="preserve">apresenta </w:t>
      </w:r>
      <w:r w:rsidR="009A008C" w:rsidRPr="009A2249">
        <w:rPr>
          <w:rFonts w:ascii="Times New Roman" w:hAnsi="Times New Roman"/>
          <w:sz w:val="24"/>
          <w:szCs w:val="24"/>
        </w:rPr>
        <w:t xml:space="preserve">a </w:t>
      </w:r>
      <w:r w:rsidR="009A008C" w:rsidRPr="009A2249">
        <w:rPr>
          <w:rFonts w:ascii="Times New Roman" w:hAnsi="Times New Roman"/>
          <w:i/>
          <w:sz w:val="24"/>
          <w:szCs w:val="24"/>
        </w:rPr>
        <w:t>TR</w:t>
      </w:r>
      <w:r w:rsidR="009A008C" w:rsidRPr="009A2249">
        <w:rPr>
          <w:rFonts w:ascii="Times New Roman" w:hAnsi="Times New Roman"/>
          <w:sz w:val="24"/>
          <w:szCs w:val="24"/>
        </w:rPr>
        <w:t xml:space="preserve"> em função do tempo de desaposentação</w:t>
      </w:r>
      <w:r w:rsidR="00B904A6" w:rsidRPr="009A2249">
        <w:rPr>
          <w:rFonts w:ascii="Times New Roman" w:hAnsi="Times New Roman"/>
          <w:sz w:val="24"/>
          <w:szCs w:val="24"/>
        </w:rPr>
        <w:t>.</w:t>
      </w:r>
      <w:r w:rsidR="00C85680" w:rsidRPr="009A2249">
        <w:rPr>
          <w:rFonts w:ascii="Times New Roman" w:hAnsi="Times New Roman"/>
          <w:sz w:val="24"/>
          <w:szCs w:val="24"/>
        </w:rPr>
        <w:t xml:space="preserve"> Pode-se observar que</w:t>
      </w:r>
      <w:r w:rsidR="00B36947" w:rsidRPr="009A2249">
        <w:rPr>
          <w:rFonts w:ascii="Times New Roman" w:hAnsi="Times New Roman"/>
          <w:sz w:val="24"/>
          <w:szCs w:val="24"/>
        </w:rPr>
        <w:t xml:space="preserve"> a TR é sempre maior para os homens, à exceção do piso de </w:t>
      </w:r>
      <w:proofErr w:type="gramStart"/>
      <w:r w:rsidR="00B36947" w:rsidRPr="009A2249">
        <w:rPr>
          <w:rFonts w:ascii="Times New Roman" w:hAnsi="Times New Roman"/>
          <w:sz w:val="24"/>
          <w:szCs w:val="24"/>
        </w:rPr>
        <w:t>1</w:t>
      </w:r>
      <w:proofErr w:type="gramEnd"/>
      <w:r w:rsidR="00B36947" w:rsidRPr="009A2249">
        <w:rPr>
          <w:rFonts w:ascii="Times New Roman" w:hAnsi="Times New Roman"/>
          <w:sz w:val="24"/>
          <w:szCs w:val="24"/>
        </w:rPr>
        <w:t xml:space="preserve"> SM, em que há igualdade entre gêneros. Também deve ser ressaltado que não há monotonicidade nos valores da TR. </w:t>
      </w:r>
      <w:r w:rsidR="00C85680" w:rsidRPr="009A2249">
        <w:rPr>
          <w:rFonts w:ascii="Times New Roman" w:hAnsi="Times New Roman"/>
          <w:sz w:val="24"/>
          <w:szCs w:val="24"/>
        </w:rPr>
        <w:t xml:space="preserve">Para os homens há </w:t>
      </w:r>
      <w:r w:rsidR="00CC269B" w:rsidRPr="009A2249">
        <w:rPr>
          <w:rFonts w:ascii="Times New Roman" w:hAnsi="Times New Roman"/>
          <w:sz w:val="24"/>
          <w:szCs w:val="24"/>
        </w:rPr>
        <w:t xml:space="preserve">redução nos valores nas faixas superiores </w:t>
      </w:r>
      <w:r w:rsidR="00C85680" w:rsidRPr="009A2249">
        <w:rPr>
          <w:rFonts w:ascii="Times New Roman" w:hAnsi="Times New Roman"/>
          <w:sz w:val="24"/>
          <w:szCs w:val="24"/>
        </w:rPr>
        <w:t xml:space="preserve">a </w:t>
      </w:r>
      <w:proofErr w:type="gramStart"/>
      <w:r w:rsidR="00C85680" w:rsidRPr="009A2249">
        <w:rPr>
          <w:rFonts w:ascii="Times New Roman" w:hAnsi="Times New Roman"/>
          <w:sz w:val="24"/>
          <w:szCs w:val="24"/>
        </w:rPr>
        <w:t>3</w:t>
      </w:r>
      <w:proofErr w:type="gramEnd"/>
      <w:r w:rsidR="00C85680" w:rsidRPr="009A2249">
        <w:rPr>
          <w:rFonts w:ascii="Times New Roman" w:hAnsi="Times New Roman"/>
          <w:sz w:val="24"/>
          <w:szCs w:val="24"/>
        </w:rPr>
        <w:t xml:space="preserve"> SM, enquanto para as </w:t>
      </w:r>
      <w:r w:rsidR="00C85680" w:rsidRPr="009A2249">
        <w:rPr>
          <w:rFonts w:ascii="Times New Roman" w:hAnsi="Times New Roman"/>
          <w:sz w:val="24"/>
          <w:szCs w:val="24"/>
        </w:rPr>
        <w:lastRenderedPageBreak/>
        <w:t xml:space="preserve">mulheres este fenômeno ocorre somente a partir de 4 SM. </w:t>
      </w:r>
      <w:r w:rsidR="00CC269B" w:rsidRPr="009A2249">
        <w:rPr>
          <w:rFonts w:ascii="Times New Roman" w:hAnsi="Times New Roman"/>
          <w:sz w:val="24"/>
          <w:szCs w:val="24"/>
        </w:rPr>
        <w:t>A explicação desta diferença desta ser buscada no fator previdenciário: c</w:t>
      </w:r>
      <w:r w:rsidR="00C85680" w:rsidRPr="009A2249">
        <w:rPr>
          <w:rFonts w:ascii="Times New Roman" w:hAnsi="Times New Roman"/>
          <w:sz w:val="24"/>
          <w:szCs w:val="24"/>
        </w:rPr>
        <w:t xml:space="preserve">omo o fator é maior para os homens, eles atingem mais rapidamente o teto do salário-de-benefício e isso faz com que a queda aconteça para faixas menores de renda e para períodos de </w:t>
      </w:r>
      <w:r w:rsidR="00C85680" w:rsidRPr="009A2249">
        <w:rPr>
          <w:rFonts w:ascii="Times New Roman" w:hAnsi="Times New Roman"/>
          <w:i/>
          <w:sz w:val="24"/>
          <w:szCs w:val="24"/>
        </w:rPr>
        <w:t>desaposentação</w:t>
      </w:r>
      <w:r w:rsidR="00C85680" w:rsidRPr="009A2249">
        <w:rPr>
          <w:rFonts w:ascii="Times New Roman" w:hAnsi="Times New Roman"/>
          <w:sz w:val="24"/>
          <w:szCs w:val="24"/>
        </w:rPr>
        <w:t xml:space="preserve"> menores.</w:t>
      </w:r>
    </w:p>
    <w:p w:rsidR="000B0C66" w:rsidRPr="009A2249" w:rsidRDefault="000B0C66" w:rsidP="008C6C9C">
      <w:pPr>
        <w:spacing w:after="120" w:line="240" w:lineRule="auto"/>
        <w:ind w:firstLine="709"/>
        <w:jc w:val="both"/>
        <w:rPr>
          <w:rFonts w:ascii="Times New Roman" w:hAnsi="Times New Roman"/>
          <w:sz w:val="24"/>
          <w:szCs w:val="24"/>
        </w:rPr>
      </w:pPr>
    </w:p>
    <w:p w:rsidR="00B904A6" w:rsidRPr="009A2249" w:rsidRDefault="0041770C" w:rsidP="008C6C9C">
      <w:pPr>
        <w:pStyle w:val="Legenda"/>
        <w:keepNext/>
        <w:spacing w:after="0"/>
        <w:jc w:val="center"/>
        <w:rPr>
          <w:color w:val="auto"/>
          <w:sz w:val="24"/>
          <w:szCs w:val="24"/>
        </w:rPr>
      </w:pPr>
      <w:r w:rsidRPr="009A2249">
        <w:rPr>
          <w:color w:val="auto"/>
          <w:sz w:val="24"/>
          <w:szCs w:val="24"/>
        </w:rPr>
        <w:t xml:space="preserve">Gráfico </w:t>
      </w:r>
      <w:r w:rsidR="00FE60AC" w:rsidRPr="009A2249">
        <w:rPr>
          <w:color w:val="auto"/>
          <w:sz w:val="24"/>
          <w:szCs w:val="24"/>
        </w:rPr>
        <w:fldChar w:fldCharType="begin"/>
      </w:r>
      <w:r w:rsidRPr="009A2249">
        <w:rPr>
          <w:color w:val="auto"/>
          <w:sz w:val="24"/>
          <w:szCs w:val="24"/>
        </w:rPr>
        <w:instrText xml:space="preserve"> SEQ Gráfico \* ARABIC </w:instrText>
      </w:r>
      <w:r w:rsidR="00FE60AC" w:rsidRPr="009A2249">
        <w:rPr>
          <w:color w:val="auto"/>
          <w:sz w:val="24"/>
          <w:szCs w:val="24"/>
        </w:rPr>
        <w:fldChar w:fldCharType="separate"/>
      </w:r>
      <w:r w:rsidR="00B5651D">
        <w:rPr>
          <w:noProof/>
          <w:color w:val="auto"/>
          <w:sz w:val="24"/>
          <w:szCs w:val="24"/>
        </w:rPr>
        <w:t>3</w:t>
      </w:r>
      <w:r w:rsidR="00FE60AC" w:rsidRPr="009A2249">
        <w:rPr>
          <w:color w:val="auto"/>
          <w:sz w:val="24"/>
          <w:szCs w:val="24"/>
        </w:rPr>
        <w:fldChar w:fldCharType="end"/>
      </w:r>
      <w:r w:rsidRPr="009A2249">
        <w:rPr>
          <w:color w:val="auto"/>
          <w:sz w:val="24"/>
          <w:szCs w:val="24"/>
        </w:rPr>
        <w:t xml:space="preserve"> </w:t>
      </w:r>
      <w:r w:rsidR="006C15EB" w:rsidRPr="009A2249">
        <w:rPr>
          <w:color w:val="auto"/>
          <w:sz w:val="24"/>
          <w:szCs w:val="24"/>
        </w:rPr>
        <w:t>–</w:t>
      </w:r>
      <w:r w:rsidRPr="009A2249">
        <w:rPr>
          <w:color w:val="auto"/>
          <w:sz w:val="24"/>
          <w:szCs w:val="24"/>
        </w:rPr>
        <w:t xml:space="preserve"> Taxa de Reposição em função do tempo de </w:t>
      </w:r>
      <w:r w:rsidRPr="009A2249">
        <w:rPr>
          <w:i/>
          <w:color w:val="auto"/>
          <w:sz w:val="24"/>
          <w:szCs w:val="24"/>
        </w:rPr>
        <w:t>desaposentação</w:t>
      </w:r>
    </w:p>
    <w:p w:rsidR="00B904A6" w:rsidRPr="009A2249" w:rsidRDefault="00AE152D" w:rsidP="008C6C9C">
      <w:pPr>
        <w:spacing w:after="120" w:line="240" w:lineRule="auto"/>
        <w:jc w:val="center"/>
        <w:rPr>
          <w:rFonts w:ascii="Times New Roman" w:hAnsi="Times New Roman"/>
          <w:sz w:val="24"/>
          <w:szCs w:val="24"/>
        </w:rPr>
      </w:pPr>
      <w:r w:rsidRPr="009A2249">
        <w:rPr>
          <w:noProof/>
          <w:lang w:eastAsia="pt-BR"/>
        </w:rPr>
        <w:drawing>
          <wp:inline distT="0" distB="0" distL="0" distR="0">
            <wp:extent cx="5760085" cy="251333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904A6" w:rsidRPr="00434A9B" w:rsidRDefault="00B904A6" w:rsidP="008C6C9C">
      <w:pPr>
        <w:spacing w:after="120" w:line="240" w:lineRule="auto"/>
        <w:ind w:left="360" w:right="566" w:firstLine="709"/>
        <w:jc w:val="right"/>
        <w:rPr>
          <w:rFonts w:ascii="Times New Roman" w:hAnsi="Times New Roman"/>
          <w:sz w:val="20"/>
          <w:szCs w:val="20"/>
        </w:rPr>
      </w:pPr>
      <w:r w:rsidRPr="00434A9B">
        <w:rPr>
          <w:rFonts w:ascii="Times New Roman" w:hAnsi="Times New Roman"/>
          <w:sz w:val="20"/>
          <w:szCs w:val="20"/>
        </w:rPr>
        <w:t>Fonte: Elaboração própria</w:t>
      </w:r>
      <w:r w:rsidR="00ED7D75" w:rsidRPr="00434A9B">
        <w:rPr>
          <w:rFonts w:ascii="Times New Roman" w:hAnsi="Times New Roman"/>
          <w:sz w:val="20"/>
          <w:szCs w:val="20"/>
        </w:rPr>
        <w:t>.</w:t>
      </w:r>
    </w:p>
    <w:p w:rsidR="000B0C66" w:rsidRDefault="000B0C66" w:rsidP="008C6C9C">
      <w:pPr>
        <w:spacing w:after="120" w:line="240" w:lineRule="auto"/>
        <w:ind w:firstLine="709"/>
        <w:jc w:val="both"/>
        <w:rPr>
          <w:rFonts w:ascii="Times New Roman" w:hAnsi="Times New Roman"/>
          <w:sz w:val="24"/>
          <w:szCs w:val="24"/>
        </w:rPr>
      </w:pPr>
    </w:p>
    <w:p w:rsidR="00902A51" w:rsidRPr="009A2249" w:rsidRDefault="00B43999"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Gráfico </w:t>
      </w:r>
      <w:proofErr w:type="gramStart"/>
      <w:r w:rsidR="00A35F86">
        <w:rPr>
          <w:rFonts w:ascii="Times New Roman" w:hAnsi="Times New Roman"/>
          <w:sz w:val="24"/>
          <w:szCs w:val="24"/>
        </w:rPr>
        <w:t>4</w:t>
      </w:r>
      <w:proofErr w:type="gramEnd"/>
      <w:r w:rsidRPr="009A2249">
        <w:rPr>
          <w:rFonts w:ascii="Times New Roman" w:hAnsi="Times New Roman"/>
          <w:sz w:val="24"/>
          <w:szCs w:val="24"/>
        </w:rPr>
        <w:t xml:space="preserve"> apresenta a </w:t>
      </w:r>
      <w:r w:rsidRPr="009A2249">
        <w:rPr>
          <w:rFonts w:ascii="Times New Roman" w:hAnsi="Times New Roman"/>
          <w:i/>
          <w:sz w:val="24"/>
          <w:szCs w:val="24"/>
        </w:rPr>
        <w:t>TIR</w:t>
      </w:r>
      <w:r w:rsidRPr="009A2249">
        <w:rPr>
          <w:rFonts w:ascii="Times New Roman" w:hAnsi="Times New Roman"/>
          <w:sz w:val="24"/>
          <w:szCs w:val="24"/>
        </w:rPr>
        <w:t xml:space="preserve">. Para os homens, os pontos de máximo ocorrem, no mínimo, em </w:t>
      </w:r>
      <w:proofErr w:type="gramStart"/>
      <w:r w:rsidRPr="009A2249">
        <w:rPr>
          <w:rFonts w:ascii="Times New Roman" w:hAnsi="Times New Roman"/>
          <w:sz w:val="24"/>
          <w:szCs w:val="24"/>
        </w:rPr>
        <w:t>4</w:t>
      </w:r>
      <w:proofErr w:type="gramEnd"/>
      <w:r w:rsidRPr="009A2249">
        <w:rPr>
          <w:rFonts w:ascii="Times New Roman" w:hAnsi="Times New Roman"/>
          <w:sz w:val="24"/>
          <w:szCs w:val="24"/>
        </w:rPr>
        <w:t xml:space="preserve"> anos</w:t>
      </w:r>
      <w:r w:rsidR="00D3202A">
        <w:rPr>
          <w:rFonts w:ascii="Times New Roman" w:hAnsi="Times New Roman"/>
          <w:sz w:val="24"/>
          <w:szCs w:val="24"/>
        </w:rPr>
        <w:t xml:space="preserve"> e 10 meses</w:t>
      </w:r>
      <w:r w:rsidRPr="009A2249">
        <w:rPr>
          <w:rFonts w:ascii="Times New Roman" w:hAnsi="Times New Roman"/>
          <w:sz w:val="24"/>
          <w:szCs w:val="24"/>
        </w:rPr>
        <w:t xml:space="preserve"> entre a aposentadoria e o pedido de recálculo do benefício, para todas as faixas de salário. Para a faixa de </w:t>
      </w:r>
      <w:proofErr w:type="gramStart"/>
      <w:r w:rsidRPr="009A2249">
        <w:rPr>
          <w:rFonts w:ascii="Times New Roman" w:hAnsi="Times New Roman"/>
          <w:sz w:val="24"/>
          <w:szCs w:val="24"/>
        </w:rPr>
        <w:t>5</w:t>
      </w:r>
      <w:proofErr w:type="gramEnd"/>
      <w:r w:rsidRPr="009A2249">
        <w:rPr>
          <w:rFonts w:ascii="Times New Roman" w:hAnsi="Times New Roman"/>
          <w:sz w:val="24"/>
          <w:szCs w:val="24"/>
        </w:rPr>
        <w:t xml:space="preserve"> SM, há apenas taxas negativas</w:t>
      </w:r>
      <w:r w:rsidR="00D3202A">
        <w:rPr>
          <w:rFonts w:ascii="Times New Roman" w:hAnsi="Times New Roman"/>
          <w:sz w:val="24"/>
          <w:szCs w:val="24"/>
        </w:rPr>
        <w:t xml:space="preserve">, à exceção do ponto de máximo, que ocorre após 4 anos e 10 meses após o pedido de </w:t>
      </w:r>
      <w:r w:rsidR="00D3202A" w:rsidRPr="00D3202A">
        <w:rPr>
          <w:rFonts w:ascii="Times New Roman" w:hAnsi="Times New Roman"/>
          <w:i/>
          <w:sz w:val="24"/>
          <w:szCs w:val="24"/>
        </w:rPr>
        <w:t>desaposentação</w:t>
      </w:r>
      <w:r w:rsidRPr="009A2249">
        <w:rPr>
          <w:rFonts w:ascii="Times New Roman" w:hAnsi="Times New Roman"/>
          <w:sz w:val="24"/>
          <w:szCs w:val="24"/>
        </w:rPr>
        <w:t xml:space="preserve">. Já o comportamento da </w:t>
      </w:r>
      <w:r w:rsidRPr="009A2249">
        <w:rPr>
          <w:rFonts w:ascii="Times New Roman" w:hAnsi="Times New Roman"/>
          <w:i/>
          <w:sz w:val="24"/>
          <w:szCs w:val="24"/>
        </w:rPr>
        <w:t>TIR</w:t>
      </w:r>
      <w:r w:rsidRPr="009A2249">
        <w:rPr>
          <w:rFonts w:ascii="Times New Roman" w:hAnsi="Times New Roman"/>
          <w:sz w:val="24"/>
          <w:szCs w:val="24"/>
        </w:rPr>
        <w:t xml:space="preserve"> para o gênero feminino </w:t>
      </w:r>
      <w:r w:rsidR="00770AEA" w:rsidRPr="009A2249">
        <w:rPr>
          <w:rFonts w:ascii="Times New Roman" w:hAnsi="Times New Roman"/>
          <w:sz w:val="24"/>
          <w:szCs w:val="24"/>
        </w:rPr>
        <w:t>não é tão claro quanto ao</w:t>
      </w:r>
      <w:r w:rsidRPr="009A2249">
        <w:rPr>
          <w:rFonts w:ascii="Times New Roman" w:hAnsi="Times New Roman"/>
          <w:sz w:val="24"/>
          <w:szCs w:val="24"/>
        </w:rPr>
        <w:t xml:space="preserve"> período ótimo para pedir a </w:t>
      </w:r>
      <w:r w:rsidRPr="009A2249">
        <w:rPr>
          <w:rFonts w:ascii="Times New Roman" w:hAnsi="Times New Roman"/>
          <w:i/>
          <w:sz w:val="24"/>
          <w:szCs w:val="24"/>
        </w:rPr>
        <w:t>desaposentação</w:t>
      </w:r>
      <w:r w:rsidRPr="009A2249">
        <w:rPr>
          <w:rFonts w:ascii="Times New Roman" w:hAnsi="Times New Roman"/>
          <w:sz w:val="24"/>
          <w:szCs w:val="24"/>
        </w:rPr>
        <w:t xml:space="preserve">. Por exemplo, para a renda inicial de </w:t>
      </w:r>
      <w:proofErr w:type="gramStart"/>
      <w:r w:rsidRPr="009A2249">
        <w:rPr>
          <w:rFonts w:ascii="Times New Roman" w:hAnsi="Times New Roman"/>
          <w:sz w:val="24"/>
          <w:szCs w:val="24"/>
        </w:rPr>
        <w:t>1</w:t>
      </w:r>
      <w:proofErr w:type="gramEnd"/>
      <w:r w:rsidRPr="009A2249">
        <w:rPr>
          <w:rFonts w:ascii="Times New Roman" w:hAnsi="Times New Roman"/>
          <w:sz w:val="24"/>
          <w:szCs w:val="24"/>
        </w:rPr>
        <w:t xml:space="preserve"> SM o ponto de mínimo ocorre 2 anos após a aposentadoria</w:t>
      </w:r>
      <w:r w:rsidR="00D3202A">
        <w:rPr>
          <w:rFonts w:ascii="Times New Roman" w:hAnsi="Times New Roman"/>
          <w:sz w:val="24"/>
          <w:szCs w:val="24"/>
        </w:rPr>
        <w:t xml:space="preserve"> e o de máximo após 12 anos e 10 meses</w:t>
      </w:r>
      <w:r w:rsidRPr="009A2249">
        <w:rPr>
          <w:rFonts w:ascii="Times New Roman" w:hAnsi="Times New Roman"/>
          <w:sz w:val="24"/>
          <w:szCs w:val="24"/>
        </w:rPr>
        <w:t xml:space="preserve">. Já para a faixa de </w:t>
      </w:r>
      <w:proofErr w:type="gramStart"/>
      <w:r w:rsidRPr="009A2249">
        <w:rPr>
          <w:rFonts w:ascii="Times New Roman" w:hAnsi="Times New Roman"/>
          <w:sz w:val="24"/>
          <w:szCs w:val="24"/>
        </w:rPr>
        <w:t>5</w:t>
      </w:r>
      <w:proofErr w:type="gramEnd"/>
      <w:r w:rsidRPr="009A2249">
        <w:rPr>
          <w:rFonts w:ascii="Times New Roman" w:hAnsi="Times New Roman"/>
          <w:sz w:val="24"/>
          <w:szCs w:val="24"/>
        </w:rPr>
        <w:t xml:space="preserve"> SM, o ponto de máximo ocorre aos 8 anos</w:t>
      </w:r>
      <w:r w:rsidR="00990445" w:rsidRPr="009A2249">
        <w:rPr>
          <w:rFonts w:ascii="Times New Roman" w:hAnsi="Times New Roman"/>
          <w:sz w:val="24"/>
          <w:szCs w:val="24"/>
        </w:rPr>
        <w:t>.</w:t>
      </w:r>
    </w:p>
    <w:p w:rsidR="00B904A6" w:rsidRPr="009A2249" w:rsidRDefault="0041770C" w:rsidP="008C6C9C">
      <w:pPr>
        <w:spacing w:after="120" w:line="240" w:lineRule="auto"/>
        <w:jc w:val="center"/>
        <w:rPr>
          <w:rFonts w:ascii="Times New Roman" w:hAnsi="Times New Roman"/>
          <w:sz w:val="24"/>
          <w:szCs w:val="24"/>
        </w:rPr>
      </w:pPr>
      <w:r w:rsidRPr="009A2249">
        <w:rPr>
          <w:rFonts w:ascii="Times New Roman" w:eastAsia="BatangChe" w:hAnsi="Times New Roman"/>
          <w:b/>
          <w:sz w:val="24"/>
          <w:szCs w:val="24"/>
        </w:rPr>
        <w:t xml:space="preserve">Gráfico </w:t>
      </w:r>
      <w:r w:rsidR="00FE60AC" w:rsidRPr="009A2249">
        <w:rPr>
          <w:rFonts w:ascii="Times New Roman" w:eastAsia="BatangChe" w:hAnsi="Times New Roman"/>
          <w:b/>
          <w:bCs/>
          <w:sz w:val="24"/>
          <w:szCs w:val="24"/>
        </w:rPr>
        <w:fldChar w:fldCharType="begin"/>
      </w:r>
      <w:r w:rsidRPr="009A2249">
        <w:rPr>
          <w:rFonts w:ascii="Times New Roman" w:eastAsia="BatangChe" w:hAnsi="Times New Roman"/>
          <w:b/>
          <w:sz w:val="24"/>
          <w:szCs w:val="24"/>
        </w:rPr>
        <w:instrText xml:space="preserve"> SEQ Gráfico \* ARABIC </w:instrText>
      </w:r>
      <w:r w:rsidR="00FE60AC" w:rsidRPr="009A2249">
        <w:rPr>
          <w:rFonts w:ascii="Times New Roman" w:eastAsia="BatangChe" w:hAnsi="Times New Roman"/>
          <w:b/>
          <w:bCs/>
          <w:sz w:val="24"/>
          <w:szCs w:val="24"/>
        </w:rPr>
        <w:fldChar w:fldCharType="separate"/>
      </w:r>
      <w:r w:rsidR="00B5651D">
        <w:rPr>
          <w:rFonts w:ascii="Times New Roman" w:eastAsia="BatangChe" w:hAnsi="Times New Roman"/>
          <w:b/>
          <w:noProof/>
          <w:sz w:val="24"/>
          <w:szCs w:val="24"/>
        </w:rPr>
        <w:t>4</w:t>
      </w:r>
      <w:r w:rsidR="00FE60AC" w:rsidRPr="009A2249">
        <w:rPr>
          <w:rFonts w:ascii="Times New Roman" w:eastAsia="BatangChe" w:hAnsi="Times New Roman"/>
          <w:b/>
          <w:bCs/>
          <w:sz w:val="24"/>
          <w:szCs w:val="24"/>
        </w:rPr>
        <w:fldChar w:fldCharType="end"/>
      </w:r>
      <w:r w:rsidRPr="009A2249">
        <w:rPr>
          <w:rFonts w:ascii="Times New Roman" w:eastAsia="BatangChe" w:hAnsi="Times New Roman"/>
          <w:b/>
          <w:bCs/>
          <w:sz w:val="24"/>
          <w:szCs w:val="24"/>
        </w:rPr>
        <w:t xml:space="preserve"> </w:t>
      </w:r>
      <w:r w:rsidR="006C15EB" w:rsidRPr="009A2249">
        <w:rPr>
          <w:sz w:val="24"/>
          <w:szCs w:val="24"/>
        </w:rPr>
        <w:t>–</w:t>
      </w:r>
      <w:r w:rsidRPr="009A2249">
        <w:rPr>
          <w:rFonts w:ascii="Times New Roman" w:eastAsia="BatangChe" w:hAnsi="Times New Roman"/>
          <w:b/>
          <w:sz w:val="24"/>
          <w:szCs w:val="24"/>
        </w:rPr>
        <w:t xml:space="preserve"> Taxa Interna de Retorno (</w:t>
      </w:r>
      <w:r w:rsidRPr="009A2249">
        <w:rPr>
          <w:rFonts w:ascii="Times New Roman" w:eastAsia="BatangChe" w:hAnsi="Times New Roman"/>
          <w:b/>
          <w:i/>
          <w:sz w:val="24"/>
          <w:szCs w:val="24"/>
        </w:rPr>
        <w:t>TIR</w:t>
      </w:r>
      <w:r w:rsidRPr="009A2249">
        <w:rPr>
          <w:rFonts w:ascii="Times New Roman" w:eastAsia="BatangChe" w:hAnsi="Times New Roman"/>
          <w:b/>
          <w:sz w:val="24"/>
          <w:szCs w:val="24"/>
        </w:rPr>
        <w:t xml:space="preserve">) em função do tempo de </w:t>
      </w:r>
      <w:r w:rsidRPr="009A2249">
        <w:rPr>
          <w:rFonts w:ascii="Times New Roman" w:eastAsia="BatangChe" w:hAnsi="Times New Roman"/>
          <w:b/>
          <w:i/>
          <w:sz w:val="24"/>
          <w:szCs w:val="24"/>
        </w:rPr>
        <w:t>desaposentação</w:t>
      </w:r>
      <w:r w:rsidR="00AE152D" w:rsidRPr="009A2249">
        <w:rPr>
          <w:noProof/>
          <w:lang w:eastAsia="pt-BR"/>
        </w:rPr>
        <w:drawing>
          <wp:inline distT="0" distB="0" distL="0" distR="0">
            <wp:extent cx="5760085" cy="2513965"/>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04A6" w:rsidRPr="00434A9B" w:rsidRDefault="00B904A6" w:rsidP="008C6C9C">
      <w:pPr>
        <w:spacing w:after="120" w:line="240" w:lineRule="auto"/>
        <w:ind w:left="360" w:right="566" w:firstLine="709"/>
        <w:jc w:val="right"/>
        <w:rPr>
          <w:rFonts w:ascii="Times New Roman" w:hAnsi="Times New Roman"/>
          <w:sz w:val="18"/>
          <w:szCs w:val="20"/>
        </w:rPr>
      </w:pPr>
      <w:r w:rsidRPr="00434A9B">
        <w:rPr>
          <w:rFonts w:ascii="Times New Roman" w:hAnsi="Times New Roman"/>
          <w:sz w:val="18"/>
          <w:szCs w:val="20"/>
        </w:rPr>
        <w:t>Fonte: Elaboração própria</w:t>
      </w:r>
      <w:r w:rsidR="00ED7D75" w:rsidRPr="00434A9B">
        <w:rPr>
          <w:rFonts w:ascii="Times New Roman" w:hAnsi="Times New Roman"/>
          <w:sz w:val="18"/>
          <w:szCs w:val="20"/>
        </w:rPr>
        <w:t>.</w:t>
      </w:r>
    </w:p>
    <w:p w:rsidR="00B904A6"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lastRenderedPageBreak/>
        <w:t xml:space="preserve">A TIR tem um comportamento crescente até atingir o máximo com </w:t>
      </w:r>
      <w:proofErr w:type="gramStart"/>
      <w:r w:rsidRPr="009A2249">
        <w:rPr>
          <w:rFonts w:ascii="Times New Roman" w:hAnsi="Times New Roman"/>
          <w:sz w:val="24"/>
          <w:szCs w:val="24"/>
        </w:rPr>
        <w:t>5</w:t>
      </w:r>
      <w:proofErr w:type="gramEnd"/>
      <w:r w:rsidRPr="009A2249">
        <w:rPr>
          <w:rFonts w:ascii="Times New Roman" w:hAnsi="Times New Roman"/>
          <w:sz w:val="24"/>
          <w:szCs w:val="24"/>
        </w:rPr>
        <w:t xml:space="preserve"> anos </w:t>
      </w:r>
      <w:r w:rsidR="003E5767">
        <w:rPr>
          <w:rFonts w:ascii="Times New Roman" w:hAnsi="Times New Roman"/>
          <w:sz w:val="24"/>
          <w:szCs w:val="24"/>
        </w:rPr>
        <w:t xml:space="preserve">e 10 meses </w:t>
      </w:r>
      <w:r w:rsidRPr="009A2249">
        <w:rPr>
          <w:rFonts w:ascii="Times New Roman" w:hAnsi="Times New Roman"/>
          <w:sz w:val="24"/>
          <w:szCs w:val="24"/>
        </w:rPr>
        <w:t xml:space="preserve">após a aposentadoria para os homens, e com </w:t>
      </w:r>
      <w:r w:rsidR="00763FC2">
        <w:rPr>
          <w:rFonts w:ascii="Times New Roman" w:hAnsi="Times New Roman"/>
          <w:sz w:val="24"/>
          <w:szCs w:val="24"/>
        </w:rPr>
        <w:t>7 anos 10 meses</w:t>
      </w:r>
      <w:r w:rsidRPr="009A2249">
        <w:rPr>
          <w:rFonts w:ascii="Times New Roman" w:hAnsi="Times New Roman"/>
          <w:sz w:val="24"/>
          <w:szCs w:val="24"/>
        </w:rPr>
        <w:t xml:space="preserve"> ou mais para as mulheres e depois sofrendo uma diminuição. Assim, pelo fato de haver </w:t>
      </w:r>
      <w:r w:rsidR="00CA573A" w:rsidRPr="009A2249">
        <w:rPr>
          <w:rFonts w:ascii="Times New Roman" w:hAnsi="Times New Roman"/>
          <w:sz w:val="24"/>
          <w:szCs w:val="24"/>
        </w:rPr>
        <w:t xml:space="preserve">um </w:t>
      </w:r>
      <w:r w:rsidRPr="009A2249">
        <w:rPr>
          <w:rFonts w:ascii="Times New Roman" w:hAnsi="Times New Roman"/>
          <w:sz w:val="24"/>
          <w:szCs w:val="24"/>
        </w:rPr>
        <w:t xml:space="preserve">ponto de máximo para a TIR, para ambos os gêneros e todas as faixas de renda, </w:t>
      </w:r>
      <w:r w:rsidR="00CA573A" w:rsidRPr="009A2249">
        <w:rPr>
          <w:rFonts w:ascii="Times New Roman" w:hAnsi="Times New Roman"/>
          <w:sz w:val="24"/>
          <w:szCs w:val="24"/>
        </w:rPr>
        <w:t>evidencia-se que pode haver um momento ótimo para a desaposentação</w:t>
      </w:r>
      <w:r w:rsidRPr="009A2249">
        <w:rPr>
          <w:rFonts w:ascii="Times New Roman" w:hAnsi="Times New Roman"/>
          <w:sz w:val="24"/>
          <w:szCs w:val="24"/>
        </w:rPr>
        <w:t xml:space="preserve">, conforme </w:t>
      </w:r>
      <w:r w:rsidR="00CE736B" w:rsidRPr="009A2249">
        <w:rPr>
          <w:rFonts w:ascii="Times New Roman" w:hAnsi="Times New Roman"/>
          <w:sz w:val="24"/>
          <w:szCs w:val="24"/>
        </w:rPr>
        <w:t xml:space="preserve">o resumo feito na </w:t>
      </w:r>
      <w:r w:rsidRPr="009A2249">
        <w:rPr>
          <w:rFonts w:ascii="Times New Roman" w:hAnsi="Times New Roman"/>
          <w:sz w:val="24"/>
          <w:szCs w:val="24"/>
        </w:rPr>
        <w:t xml:space="preserve">Tabela </w:t>
      </w:r>
      <w:r w:rsidR="00BF79C2">
        <w:rPr>
          <w:rFonts w:ascii="Times New Roman" w:hAnsi="Times New Roman"/>
          <w:sz w:val="24"/>
          <w:szCs w:val="24"/>
        </w:rPr>
        <w:t>5</w:t>
      </w:r>
      <w:r w:rsidRPr="009A2249">
        <w:rPr>
          <w:rFonts w:ascii="Times New Roman" w:hAnsi="Times New Roman"/>
          <w:sz w:val="24"/>
          <w:szCs w:val="24"/>
        </w:rPr>
        <w:t>.</w:t>
      </w:r>
      <w:r w:rsidR="00D724DA" w:rsidRPr="009A2249">
        <w:rPr>
          <w:rFonts w:ascii="Times New Roman" w:hAnsi="Times New Roman"/>
          <w:sz w:val="24"/>
          <w:szCs w:val="24"/>
        </w:rPr>
        <w:t xml:space="preserve"> O prazo ideal para a desaposentação é de, no mínimo, </w:t>
      </w:r>
      <w:proofErr w:type="gramStart"/>
      <w:r w:rsidR="00D724DA" w:rsidRPr="009A2249">
        <w:rPr>
          <w:rFonts w:ascii="Times New Roman" w:hAnsi="Times New Roman"/>
          <w:sz w:val="24"/>
          <w:szCs w:val="24"/>
        </w:rPr>
        <w:t>4</w:t>
      </w:r>
      <w:proofErr w:type="gramEnd"/>
      <w:r w:rsidR="002B6900">
        <w:rPr>
          <w:rFonts w:ascii="Times New Roman" w:hAnsi="Times New Roman"/>
          <w:sz w:val="24"/>
          <w:szCs w:val="24"/>
        </w:rPr>
        <w:t xml:space="preserve"> e 10 meses</w:t>
      </w:r>
      <w:r w:rsidR="00D724DA" w:rsidRPr="009A2249">
        <w:rPr>
          <w:rFonts w:ascii="Times New Roman" w:hAnsi="Times New Roman"/>
          <w:sz w:val="24"/>
          <w:szCs w:val="24"/>
        </w:rPr>
        <w:t xml:space="preserve"> anos após a aposentadoria para os homens de todas as faixas de renda. Para as mulheres, os tempos ótimos de desaposentação são sempre mais elevados.</w:t>
      </w:r>
    </w:p>
    <w:p w:rsidR="00B904A6" w:rsidRPr="009A2249" w:rsidRDefault="0041770C" w:rsidP="008C6C9C">
      <w:pPr>
        <w:pStyle w:val="Legenda"/>
        <w:keepNext/>
        <w:spacing w:after="0"/>
        <w:jc w:val="center"/>
        <w:rPr>
          <w:color w:val="auto"/>
          <w:sz w:val="24"/>
          <w:szCs w:val="24"/>
        </w:rPr>
      </w:pPr>
      <w:r w:rsidRPr="009A2249">
        <w:rPr>
          <w:color w:val="auto"/>
          <w:sz w:val="24"/>
          <w:szCs w:val="24"/>
        </w:rPr>
        <w:t xml:space="preserve">Tabela </w:t>
      </w:r>
      <w:r w:rsidR="00BF79C2">
        <w:rPr>
          <w:color w:val="auto"/>
          <w:sz w:val="24"/>
          <w:szCs w:val="24"/>
        </w:rPr>
        <w:t>5</w:t>
      </w:r>
      <w:r w:rsidRPr="009A2249">
        <w:rPr>
          <w:color w:val="auto"/>
          <w:sz w:val="24"/>
          <w:szCs w:val="24"/>
        </w:rPr>
        <w:t xml:space="preserve"> </w:t>
      </w:r>
      <w:r w:rsidR="006C15EB" w:rsidRPr="009A2249">
        <w:rPr>
          <w:color w:val="auto"/>
          <w:sz w:val="24"/>
          <w:szCs w:val="24"/>
        </w:rPr>
        <w:t>–</w:t>
      </w:r>
      <w:r w:rsidRPr="009A2249">
        <w:rPr>
          <w:color w:val="auto"/>
          <w:sz w:val="24"/>
          <w:szCs w:val="24"/>
        </w:rPr>
        <w:t xml:space="preserve"> Tempo ótimo para </w:t>
      </w:r>
      <w:r w:rsidRPr="009A2249">
        <w:rPr>
          <w:i/>
          <w:color w:val="auto"/>
          <w:sz w:val="24"/>
          <w:szCs w:val="24"/>
        </w:rPr>
        <w:t>desaposentação</w:t>
      </w:r>
      <w:r w:rsidRPr="009A2249">
        <w:rPr>
          <w:color w:val="auto"/>
          <w:sz w:val="24"/>
          <w:szCs w:val="24"/>
        </w:rPr>
        <w:t xml:space="preserve"> em anos (TIR máxima)</w:t>
      </w:r>
    </w:p>
    <w:tbl>
      <w:tblPr>
        <w:tblW w:w="0" w:type="auto"/>
        <w:jc w:val="center"/>
        <w:tblCellMar>
          <w:left w:w="70" w:type="dxa"/>
          <w:right w:w="70" w:type="dxa"/>
        </w:tblCellMar>
        <w:tblLook w:val="04A0" w:firstRow="1" w:lastRow="0" w:firstColumn="1" w:lastColumn="0" w:noHBand="0" w:noVBand="1"/>
      </w:tblPr>
      <w:tblGrid>
        <w:gridCol w:w="329"/>
        <w:gridCol w:w="631"/>
        <w:gridCol w:w="631"/>
        <w:gridCol w:w="631"/>
        <w:gridCol w:w="524"/>
        <w:gridCol w:w="524"/>
      </w:tblGrid>
      <w:tr w:rsidR="004141EB" w:rsidRPr="009A2249" w:rsidTr="004141EB">
        <w:trPr>
          <w:trHeight w:val="330"/>
          <w:jc w:val="center"/>
        </w:trPr>
        <w:tc>
          <w:tcPr>
            <w:tcW w:w="0" w:type="auto"/>
            <w:tcBorders>
              <w:top w:val="nil"/>
              <w:left w:val="nil"/>
              <w:bottom w:val="nil"/>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sz w:val="20"/>
                <w:szCs w:val="20"/>
              </w:rPr>
            </w:pPr>
          </w:p>
        </w:tc>
        <w:tc>
          <w:tcPr>
            <w:tcW w:w="0" w:type="auto"/>
            <w:gridSpan w:val="5"/>
            <w:tcBorders>
              <w:top w:val="single" w:sz="8" w:space="0" w:color="auto"/>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r w:rsidRPr="009A2249">
              <w:rPr>
                <w:rFonts w:ascii="Times New Roman" w:hAnsi="Times New Roman"/>
                <w:b/>
                <w:bCs/>
                <w:sz w:val="20"/>
                <w:szCs w:val="20"/>
              </w:rPr>
              <w:t>Salário Inicial</w:t>
            </w:r>
            <w:r w:rsidR="0097260D" w:rsidRPr="009A2249">
              <w:rPr>
                <w:rFonts w:ascii="Times New Roman" w:hAnsi="Times New Roman"/>
                <w:b/>
                <w:bCs/>
                <w:sz w:val="20"/>
                <w:szCs w:val="20"/>
              </w:rPr>
              <w:t xml:space="preserve"> (múltiplos do SM)</w:t>
            </w:r>
          </w:p>
        </w:tc>
      </w:tr>
      <w:tr w:rsidR="004141EB" w:rsidRPr="009A2249" w:rsidTr="004141EB">
        <w:trPr>
          <w:trHeight w:val="315"/>
          <w:jc w:val="center"/>
        </w:trPr>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sz w:val="20"/>
                <w:szCs w:val="20"/>
              </w:rPr>
            </w:pPr>
          </w:p>
        </w:tc>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proofErr w:type="gramStart"/>
            <w:r w:rsidRPr="009A2249">
              <w:rPr>
                <w:rFonts w:ascii="Times New Roman" w:hAnsi="Times New Roman"/>
                <w:b/>
                <w:bCs/>
                <w:sz w:val="20"/>
                <w:szCs w:val="20"/>
              </w:rPr>
              <w:t>1</w:t>
            </w:r>
            <w:proofErr w:type="gramEnd"/>
          </w:p>
        </w:tc>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proofErr w:type="gramStart"/>
            <w:r w:rsidRPr="009A2249">
              <w:rPr>
                <w:rFonts w:ascii="Times New Roman" w:hAnsi="Times New Roman"/>
                <w:b/>
                <w:bCs/>
                <w:sz w:val="20"/>
                <w:szCs w:val="20"/>
              </w:rPr>
              <w:t>2</w:t>
            </w:r>
            <w:proofErr w:type="gramEnd"/>
          </w:p>
        </w:tc>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proofErr w:type="gramStart"/>
            <w:r w:rsidRPr="009A2249">
              <w:rPr>
                <w:rFonts w:ascii="Times New Roman" w:hAnsi="Times New Roman"/>
                <w:b/>
                <w:bCs/>
                <w:sz w:val="20"/>
                <w:szCs w:val="20"/>
              </w:rPr>
              <w:t>3</w:t>
            </w:r>
            <w:proofErr w:type="gramEnd"/>
          </w:p>
        </w:tc>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proofErr w:type="gramStart"/>
            <w:r w:rsidRPr="009A2249">
              <w:rPr>
                <w:rFonts w:ascii="Times New Roman" w:hAnsi="Times New Roman"/>
                <w:b/>
                <w:bCs/>
                <w:sz w:val="20"/>
                <w:szCs w:val="20"/>
              </w:rPr>
              <w:t>4</w:t>
            </w:r>
            <w:proofErr w:type="gramEnd"/>
          </w:p>
        </w:tc>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proofErr w:type="gramStart"/>
            <w:r w:rsidRPr="009A2249">
              <w:rPr>
                <w:rFonts w:ascii="Times New Roman" w:hAnsi="Times New Roman"/>
                <w:b/>
                <w:bCs/>
                <w:sz w:val="20"/>
                <w:szCs w:val="20"/>
              </w:rPr>
              <w:t>5</w:t>
            </w:r>
            <w:proofErr w:type="gramEnd"/>
          </w:p>
        </w:tc>
      </w:tr>
      <w:tr w:rsidR="004141EB" w:rsidRPr="009A2249" w:rsidTr="004141EB">
        <w:trPr>
          <w:trHeight w:val="315"/>
          <w:jc w:val="center"/>
        </w:trPr>
        <w:tc>
          <w:tcPr>
            <w:tcW w:w="0" w:type="auto"/>
            <w:tcBorders>
              <w:top w:val="nil"/>
              <w:left w:val="nil"/>
              <w:bottom w:val="nil"/>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r w:rsidRPr="009A2249">
              <w:rPr>
                <w:rFonts w:ascii="Times New Roman" w:hAnsi="Times New Roman"/>
                <w:b/>
                <w:bCs/>
                <w:sz w:val="20"/>
                <w:szCs w:val="20"/>
              </w:rPr>
              <w:t>H</w:t>
            </w:r>
          </w:p>
        </w:tc>
        <w:tc>
          <w:tcPr>
            <w:tcW w:w="0" w:type="auto"/>
            <w:tcBorders>
              <w:top w:val="nil"/>
              <w:left w:val="nil"/>
              <w:bottom w:val="nil"/>
              <w:right w:val="nil"/>
            </w:tcBorders>
            <w:shd w:val="clear" w:color="auto" w:fill="auto"/>
            <w:noWrap/>
            <w:vAlign w:val="center"/>
            <w:hideMark/>
          </w:tcPr>
          <w:p w:rsidR="00B904A6" w:rsidRPr="009A2249" w:rsidRDefault="007C3426" w:rsidP="008C6C9C">
            <w:pPr>
              <w:spacing w:after="0" w:line="240" w:lineRule="auto"/>
              <w:jc w:val="center"/>
              <w:rPr>
                <w:rFonts w:ascii="Times New Roman" w:hAnsi="Times New Roman"/>
                <w:sz w:val="20"/>
                <w:szCs w:val="20"/>
              </w:rPr>
            </w:pPr>
            <w:r w:rsidRPr="009A2249">
              <w:rPr>
                <w:rFonts w:ascii="Times New Roman" w:hAnsi="Times New Roman"/>
                <w:sz w:val="20"/>
                <w:szCs w:val="20"/>
              </w:rPr>
              <w:t>5,83</w:t>
            </w:r>
          </w:p>
        </w:tc>
        <w:tc>
          <w:tcPr>
            <w:tcW w:w="0" w:type="auto"/>
            <w:tcBorders>
              <w:top w:val="nil"/>
              <w:left w:val="nil"/>
              <w:bottom w:val="nil"/>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sz w:val="20"/>
                <w:szCs w:val="20"/>
              </w:rPr>
            </w:pPr>
            <w:r w:rsidRPr="009A2249">
              <w:rPr>
                <w:rFonts w:ascii="Times New Roman" w:hAnsi="Times New Roman"/>
                <w:sz w:val="20"/>
                <w:szCs w:val="20"/>
              </w:rPr>
              <w:t>5</w:t>
            </w:r>
            <w:r w:rsidR="007C3426" w:rsidRPr="009A2249">
              <w:rPr>
                <w:rFonts w:ascii="Times New Roman" w:hAnsi="Times New Roman"/>
                <w:sz w:val="20"/>
                <w:szCs w:val="20"/>
              </w:rPr>
              <w:t>,83</w:t>
            </w:r>
          </w:p>
        </w:tc>
        <w:tc>
          <w:tcPr>
            <w:tcW w:w="0" w:type="auto"/>
            <w:tcBorders>
              <w:top w:val="nil"/>
              <w:left w:val="nil"/>
              <w:bottom w:val="nil"/>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sz w:val="20"/>
                <w:szCs w:val="20"/>
              </w:rPr>
            </w:pPr>
            <w:r w:rsidRPr="009A2249">
              <w:rPr>
                <w:rFonts w:ascii="Times New Roman" w:hAnsi="Times New Roman"/>
                <w:sz w:val="20"/>
                <w:szCs w:val="20"/>
              </w:rPr>
              <w:t>5</w:t>
            </w:r>
            <w:r w:rsidR="007C3426" w:rsidRPr="009A2249">
              <w:rPr>
                <w:rFonts w:ascii="Times New Roman" w:hAnsi="Times New Roman"/>
                <w:sz w:val="20"/>
                <w:szCs w:val="20"/>
              </w:rPr>
              <w:t>,83</w:t>
            </w:r>
          </w:p>
        </w:tc>
        <w:tc>
          <w:tcPr>
            <w:tcW w:w="0" w:type="auto"/>
            <w:tcBorders>
              <w:top w:val="nil"/>
              <w:left w:val="nil"/>
              <w:bottom w:val="nil"/>
              <w:right w:val="nil"/>
            </w:tcBorders>
            <w:shd w:val="clear" w:color="auto" w:fill="auto"/>
            <w:noWrap/>
            <w:vAlign w:val="center"/>
            <w:hideMark/>
          </w:tcPr>
          <w:p w:rsidR="00B904A6" w:rsidRPr="009A2249" w:rsidRDefault="007C3426" w:rsidP="008C6C9C">
            <w:pPr>
              <w:spacing w:after="0" w:line="240" w:lineRule="auto"/>
              <w:jc w:val="center"/>
              <w:rPr>
                <w:rFonts w:ascii="Times New Roman" w:hAnsi="Times New Roman"/>
                <w:sz w:val="20"/>
                <w:szCs w:val="20"/>
              </w:rPr>
            </w:pPr>
            <w:r w:rsidRPr="009A2249">
              <w:rPr>
                <w:rFonts w:ascii="Times New Roman" w:hAnsi="Times New Roman"/>
                <w:sz w:val="20"/>
                <w:szCs w:val="20"/>
              </w:rPr>
              <w:t>4,83</w:t>
            </w:r>
          </w:p>
        </w:tc>
        <w:tc>
          <w:tcPr>
            <w:tcW w:w="0" w:type="auto"/>
            <w:tcBorders>
              <w:top w:val="nil"/>
              <w:left w:val="nil"/>
              <w:bottom w:val="nil"/>
              <w:right w:val="nil"/>
            </w:tcBorders>
            <w:shd w:val="clear" w:color="auto" w:fill="auto"/>
            <w:noWrap/>
            <w:vAlign w:val="center"/>
            <w:hideMark/>
          </w:tcPr>
          <w:p w:rsidR="00B904A6" w:rsidRPr="009A2249" w:rsidRDefault="007C3426" w:rsidP="008C6C9C">
            <w:pPr>
              <w:spacing w:after="0" w:line="240" w:lineRule="auto"/>
              <w:jc w:val="center"/>
              <w:rPr>
                <w:rFonts w:ascii="Times New Roman" w:hAnsi="Times New Roman"/>
                <w:sz w:val="20"/>
                <w:szCs w:val="20"/>
              </w:rPr>
            </w:pPr>
            <w:r w:rsidRPr="009A2249">
              <w:rPr>
                <w:rFonts w:ascii="Times New Roman" w:hAnsi="Times New Roman"/>
                <w:sz w:val="20"/>
                <w:szCs w:val="20"/>
              </w:rPr>
              <w:t>4,83</w:t>
            </w:r>
          </w:p>
        </w:tc>
      </w:tr>
      <w:tr w:rsidR="004141EB" w:rsidRPr="009A2249" w:rsidTr="004141EB">
        <w:trPr>
          <w:trHeight w:val="315"/>
          <w:jc w:val="center"/>
        </w:trPr>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b/>
                <w:bCs/>
                <w:sz w:val="20"/>
                <w:szCs w:val="20"/>
              </w:rPr>
            </w:pPr>
            <w:r w:rsidRPr="009A2249">
              <w:rPr>
                <w:rFonts w:ascii="Times New Roman" w:hAnsi="Times New Roman"/>
                <w:b/>
                <w:bCs/>
                <w:sz w:val="20"/>
                <w:szCs w:val="20"/>
              </w:rPr>
              <w:t>M</w:t>
            </w:r>
          </w:p>
        </w:tc>
        <w:tc>
          <w:tcPr>
            <w:tcW w:w="0" w:type="auto"/>
            <w:tcBorders>
              <w:top w:val="nil"/>
              <w:left w:val="nil"/>
              <w:bottom w:val="single" w:sz="8" w:space="0" w:color="auto"/>
              <w:right w:val="nil"/>
            </w:tcBorders>
            <w:shd w:val="clear" w:color="auto" w:fill="auto"/>
            <w:noWrap/>
            <w:vAlign w:val="center"/>
            <w:hideMark/>
          </w:tcPr>
          <w:p w:rsidR="00B904A6" w:rsidRPr="009A2249" w:rsidRDefault="007C3426" w:rsidP="008C6C9C">
            <w:pPr>
              <w:spacing w:after="0" w:line="240" w:lineRule="auto"/>
              <w:jc w:val="center"/>
              <w:rPr>
                <w:rFonts w:ascii="Times New Roman" w:hAnsi="Times New Roman"/>
                <w:sz w:val="20"/>
                <w:szCs w:val="20"/>
              </w:rPr>
            </w:pPr>
            <w:r w:rsidRPr="009A2249">
              <w:rPr>
                <w:rFonts w:ascii="Times New Roman" w:hAnsi="Times New Roman"/>
                <w:sz w:val="20"/>
                <w:szCs w:val="20"/>
              </w:rPr>
              <w:t>12,83</w:t>
            </w:r>
          </w:p>
        </w:tc>
        <w:tc>
          <w:tcPr>
            <w:tcW w:w="0" w:type="auto"/>
            <w:tcBorders>
              <w:top w:val="nil"/>
              <w:left w:val="nil"/>
              <w:bottom w:val="single" w:sz="8" w:space="0" w:color="auto"/>
              <w:right w:val="nil"/>
            </w:tcBorders>
            <w:shd w:val="clear" w:color="auto" w:fill="auto"/>
            <w:noWrap/>
            <w:vAlign w:val="center"/>
            <w:hideMark/>
          </w:tcPr>
          <w:p w:rsidR="00B904A6" w:rsidRPr="009A2249" w:rsidRDefault="007C3426" w:rsidP="008C6C9C">
            <w:pPr>
              <w:spacing w:after="0" w:line="240" w:lineRule="auto"/>
              <w:jc w:val="center"/>
              <w:rPr>
                <w:rFonts w:ascii="Times New Roman" w:hAnsi="Times New Roman"/>
                <w:sz w:val="20"/>
                <w:szCs w:val="20"/>
              </w:rPr>
            </w:pPr>
            <w:r w:rsidRPr="009A2249">
              <w:rPr>
                <w:rFonts w:ascii="Times New Roman" w:hAnsi="Times New Roman"/>
                <w:sz w:val="20"/>
                <w:szCs w:val="20"/>
              </w:rPr>
              <w:t>12,83</w:t>
            </w:r>
          </w:p>
        </w:tc>
        <w:tc>
          <w:tcPr>
            <w:tcW w:w="0" w:type="auto"/>
            <w:tcBorders>
              <w:top w:val="nil"/>
              <w:left w:val="nil"/>
              <w:bottom w:val="single" w:sz="8" w:space="0" w:color="auto"/>
              <w:right w:val="nil"/>
            </w:tcBorders>
            <w:shd w:val="clear" w:color="auto" w:fill="auto"/>
            <w:noWrap/>
            <w:vAlign w:val="center"/>
            <w:hideMark/>
          </w:tcPr>
          <w:p w:rsidR="00B904A6" w:rsidRPr="009A2249" w:rsidRDefault="00B904A6" w:rsidP="008C6C9C">
            <w:pPr>
              <w:spacing w:after="0" w:line="240" w:lineRule="auto"/>
              <w:jc w:val="center"/>
              <w:rPr>
                <w:rFonts w:ascii="Times New Roman" w:hAnsi="Times New Roman"/>
                <w:sz w:val="20"/>
                <w:szCs w:val="20"/>
              </w:rPr>
            </w:pPr>
            <w:r w:rsidRPr="009A2249">
              <w:rPr>
                <w:rFonts w:ascii="Times New Roman" w:hAnsi="Times New Roman"/>
                <w:sz w:val="20"/>
                <w:szCs w:val="20"/>
              </w:rPr>
              <w:t>10</w:t>
            </w:r>
            <w:r w:rsidR="007C3426" w:rsidRPr="009A2249">
              <w:rPr>
                <w:rFonts w:ascii="Times New Roman" w:hAnsi="Times New Roman"/>
                <w:sz w:val="20"/>
                <w:szCs w:val="20"/>
              </w:rPr>
              <w:t>,83</w:t>
            </w:r>
          </w:p>
        </w:tc>
        <w:tc>
          <w:tcPr>
            <w:tcW w:w="0" w:type="auto"/>
            <w:tcBorders>
              <w:top w:val="nil"/>
              <w:left w:val="nil"/>
              <w:bottom w:val="single" w:sz="8" w:space="0" w:color="auto"/>
              <w:right w:val="nil"/>
            </w:tcBorders>
            <w:shd w:val="clear" w:color="auto" w:fill="auto"/>
            <w:noWrap/>
            <w:vAlign w:val="center"/>
            <w:hideMark/>
          </w:tcPr>
          <w:p w:rsidR="00B904A6" w:rsidRPr="009A2249" w:rsidRDefault="007C3426" w:rsidP="008C6C9C">
            <w:pPr>
              <w:spacing w:after="0" w:line="240" w:lineRule="auto"/>
              <w:jc w:val="center"/>
              <w:rPr>
                <w:rFonts w:ascii="Times New Roman" w:hAnsi="Times New Roman"/>
                <w:sz w:val="20"/>
                <w:szCs w:val="20"/>
              </w:rPr>
            </w:pPr>
            <w:r w:rsidRPr="009A2249">
              <w:rPr>
                <w:rFonts w:ascii="Times New Roman" w:hAnsi="Times New Roman"/>
                <w:sz w:val="20"/>
                <w:szCs w:val="20"/>
              </w:rPr>
              <w:t>8,83</w:t>
            </w:r>
          </w:p>
        </w:tc>
        <w:tc>
          <w:tcPr>
            <w:tcW w:w="0" w:type="auto"/>
            <w:tcBorders>
              <w:top w:val="nil"/>
              <w:left w:val="nil"/>
              <w:bottom w:val="single" w:sz="8" w:space="0" w:color="auto"/>
              <w:right w:val="nil"/>
            </w:tcBorders>
            <w:shd w:val="clear" w:color="auto" w:fill="auto"/>
            <w:noWrap/>
            <w:vAlign w:val="center"/>
            <w:hideMark/>
          </w:tcPr>
          <w:p w:rsidR="00B904A6" w:rsidRPr="009A2249" w:rsidRDefault="007C3426" w:rsidP="007C3426">
            <w:pPr>
              <w:spacing w:after="0" w:line="240" w:lineRule="auto"/>
              <w:jc w:val="center"/>
              <w:rPr>
                <w:rFonts w:ascii="Times New Roman" w:hAnsi="Times New Roman"/>
                <w:sz w:val="20"/>
                <w:szCs w:val="20"/>
              </w:rPr>
            </w:pPr>
            <w:r w:rsidRPr="009A2249">
              <w:rPr>
                <w:rFonts w:ascii="Times New Roman" w:hAnsi="Times New Roman"/>
                <w:sz w:val="20"/>
                <w:szCs w:val="20"/>
              </w:rPr>
              <w:t>7,83</w:t>
            </w:r>
          </w:p>
        </w:tc>
      </w:tr>
    </w:tbl>
    <w:p w:rsidR="00B904A6" w:rsidRPr="009A2249" w:rsidRDefault="00B904A6" w:rsidP="008C6C9C">
      <w:pPr>
        <w:spacing w:after="0" w:line="240" w:lineRule="auto"/>
        <w:ind w:firstLine="709"/>
        <w:jc w:val="center"/>
        <w:rPr>
          <w:rFonts w:ascii="Times New Roman" w:hAnsi="Times New Roman"/>
          <w:sz w:val="16"/>
          <w:szCs w:val="20"/>
        </w:rPr>
      </w:pPr>
      <w:r w:rsidRPr="009A2249">
        <w:rPr>
          <w:rFonts w:ascii="Times New Roman" w:hAnsi="Times New Roman"/>
          <w:bCs/>
          <w:sz w:val="16"/>
          <w:szCs w:val="20"/>
        </w:rPr>
        <w:t>Fonte: Cálculo</w:t>
      </w:r>
      <w:r w:rsidR="007B4B9C" w:rsidRPr="009A2249">
        <w:rPr>
          <w:rFonts w:ascii="Times New Roman" w:hAnsi="Times New Roman"/>
          <w:bCs/>
          <w:sz w:val="16"/>
          <w:szCs w:val="20"/>
        </w:rPr>
        <w:t>s</w:t>
      </w:r>
      <w:r w:rsidRPr="009A2249">
        <w:rPr>
          <w:rFonts w:ascii="Times New Roman" w:hAnsi="Times New Roman"/>
          <w:bCs/>
          <w:sz w:val="16"/>
          <w:szCs w:val="20"/>
        </w:rPr>
        <w:t xml:space="preserve"> do</w:t>
      </w:r>
      <w:r w:rsidR="007B4B9C" w:rsidRPr="009A2249">
        <w:rPr>
          <w:rFonts w:ascii="Times New Roman" w:hAnsi="Times New Roman"/>
          <w:bCs/>
          <w:sz w:val="16"/>
          <w:szCs w:val="20"/>
        </w:rPr>
        <w:t>s</w:t>
      </w:r>
      <w:r w:rsidRPr="009A2249">
        <w:rPr>
          <w:rFonts w:ascii="Times New Roman" w:hAnsi="Times New Roman"/>
          <w:bCs/>
          <w:sz w:val="16"/>
          <w:szCs w:val="20"/>
        </w:rPr>
        <w:t xml:space="preserve"> autor</w:t>
      </w:r>
      <w:r w:rsidR="007B4B9C" w:rsidRPr="009A2249">
        <w:rPr>
          <w:rFonts w:ascii="Times New Roman" w:hAnsi="Times New Roman"/>
          <w:bCs/>
          <w:sz w:val="16"/>
          <w:szCs w:val="20"/>
        </w:rPr>
        <w:t>es</w:t>
      </w:r>
      <w:r w:rsidR="00ED7D75" w:rsidRPr="009A2249">
        <w:rPr>
          <w:rFonts w:ascii="Times New Roman" w:hAnsi="Times New Roman"/>
          <w:bCs/>
          <w:sz w:val="16"/>
          <w:szCs w:val="20"/>
        </w:rPr>
        <w:t>.</w:t>
      </w:r>
    </w:p>
    <w:p w:rsidR="000B0C66" w:rsidRDefault="000B0C66" w:rsidP="008C6C9C">
      <w:pPr>
        <w:spacing w:after="120" w:line="240" w:lineRule="auto"/>
        <w:ind w:firstLine="709"/>
        <w:jc w:val="both"/>
        <w:rPr>
          <w:rFonts w:ascii="Times New Roman" w:hAnsi="Times New Roman"/>
          <w:sz w:val="24"/>
          <w:szCs w:val="24"/>
        </w:rPr>
      </w:pPr>
    </w:p>
    <w:p w:rsidR="00D724DA" w:rsidRDefault="00D724DA"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O Gráfico </w:t>
      </w:r>
      <w:proofErr w:type="gramStart"/>
      <w:r w:rsidR="00A35F86">
        <w:rPr>
          <w:rFonts w:ascii="Times New Roman" w:hAnsi="Times New Roman"/>
          <w:sz w:val="24"/>
          <w:szCs w:val="24"/>
        </w:rPr>
        <w:t>5</w:t>
      </w:r>
      <w:proofErr w:type="gramEnd"/>
      <w:r w:rsidRPr="009A2249">
        <w:rPr>
          <w:rFonts w:ascii="Times New Roman" w:hAnsi="Times New Roman"/>
          <w:sz w:val="24"/>
          <w:szCs w:val="24"/>
        </w:rPr>
        <w:t xml:space="preserve"> apresenta a Alíquota Efetiva </w:t>
      </w:r>
      <w:r w:rsidR="00244BDE" w:rsidRPr="009A2249">
        <w:rPr>
          <w:rFonts w:ascii="Times New Roman" w:hAnsi="Times New Roman"/>
          <w:sz w:val="24"/>
          <w:szCs w:val="24"/>
        </w:rPr>
        <w:t>(</w:t>
      </w:r>
      <w:r w:rsidRPr="009A2249">
        <w:rPr>
          <w:rFonts w:ascii="Times New Roman" w:hAnsi="Times New Roman"/>
          <w:i/>
          <w:sz w:val="24"/>
          <w:szCs w:val="24"/>
        </w:rPr>
        <w:t>AE</w:t>
      </w:r>
      <w:r w:rsidR="00244BDE" w:rsidRPr="009A2249">
        <w:rPr>
          <w:rFonts w:ascii="Times New Roman" w:hAnsi="Times New Roman"/>
          <w:i/>
          <w:sz w:val="24"/>
          <w:szCs w:val="24"/>
        </w:rPr>
        <w:t>)</w:t>
      </w:r>
      <w:r w:rsidRPr="009A2249">
        <w:rPr>
          <w:rFonts w:ascii="Times New Roman" w:hAnsi="Times New Roman"/>
          <w:sz w:val="24"/>
          <w:szCs w:val="24"/>
        </w:rPr>
        <w:t xml:space="preserve"> </w:t>
      </w:r>
      <w:r w:rsidR="006D795A" w:rsidRPr="009A2249">
        <w:rPr>
          <w:rFonts w:ascii="Times New Roman" w:hAnsi="Times New Roman"/>
          <w:sz w:val="24"/>
          <w:szCs w:val="24"/>
        </w:rPr>
        <w:t>em função do número de anos de</w:t>
      </w:r>
      <w:r w:rsidRPr="009A2249">
        <w:rPr>
          <w:rFonts w:ascii="Times New Roman" w:hAnsi="Times New Roman"/>
          <w:sz w:val="24"/>
          <w:szCs w:val="24"/>
        </w:rPr>
        <w:t xml:space="preserve"> desaposentação. Nota-se que </w:t>
      </w:r>
      <w:r w:rsidR="006D795A" w:rsidRPr="009A2249">
        <w:rPr>
          <w:rFonts w:ascii="Times New Roman" w:hAnsi="Times New Roman"/>
          <w:sz w:val="24"/>
          <w:szCs w:val="24"/>
        </w:rPr>
        <w:t xml:space="preserve">em todos os níveis de salário inicial </w:t>
      </w:r>
      <w:r w:rsidRPr="009A2249">
        <w:rPr>
          <w:rFonts w:ascii="Times New Roman" w:hAnsi="Times New Roman"/>
          <w:sz w:val="24"/>
          <w:szCs w:val="24"/>
        </w:rPr>
        <w:t xml:space="preserve">a </w:t>
      </w:r>
      <w:r w:rsidRPr="009A2249">
        <w:rPr>
          <w:rFonts w:ascii="Times New Roman" w:hAnsi="Times New Roman"/>
          <w:i/>
          <w:sz w:val="24"/>
          <w:szCs w:val="24"/>
        </w:rPr>
        <w:t>AE</w:t>
      </w:r>
      <w:r w:rsidRPr="009A2249">
        <w:rPr>
          <w:rFonts w:ascii="Times New Roman" w:hAnsi="Times New Roman"/>
          <w:sz w:val="24"/>
          <w:szCs w:val="24"/>
        </w:rPr>
        <w:t xml:space="preserve"> dos homens é maior do que a das mulheres. </w:t>
      </w:r>
      <w:r w:rsidR="00BB14C5" w:rsidRPr="009A2249">
        <w:rPr>
          <w:rFonts w:ascii="Times New Roman" w:hAnsi="Times New Roman"/>
          <w:sz w:val="24"/>
          <w:szCs w:val="24"/>
        </w:rPr>
        <w:t>Para combinações de renda a</w:t>
      </w:r>
      <w:r w:rsidRPr="009A2249">
        <w:rPr>
          <w:rFonts w:ascii="Times New Roman" w:hAnsi="Times New Roman"/>
          <w:sz w:val="24"/>
          <w:szCs w:val="24"/>
        </w:rPr>
        <w:t>cima d</w:t>
      </w:r>
      <w:r w:rsidR="00BB14C5" w:rsidRPr="009A2249">
        <w:rPr>
          <w:rFonts w:ascii="Times New Roman" w:hAnsi="Times New Roman"/>
          <w:sz w:val="24"/>
          <w:szCs w:val="24"/>
        </w:rPr>
        <w:t>e</w:t>
      </w:r>
      <w:r w:rsidRPr="009A2249">
        <w:rPr>
          <w:rFonts w:ascii="Times New Roman" w:hAnsi="Times New Roman"/>
          <w:sz w:val="24"/>
          <w:szCs w:val="24"/>
        </w:rPr>
        <w:t xml:space="preserve"> </w:t>
      </w:r>
      <w:proofErr w:type="gramStart"/>
      <w:r w:rsidRPr="009A2249">
        <w:rPr>
          <w:rFonts w:ascii="Times New Roman" w:hAnsi="Times New Roman"/>
          <w:sz w:val="24"/>
          <w:szCs w:val="24"/>
        </w:rPr>
        <w:t>3</w:t>
      </w:r>
      <w:proofErr w:type="gramEnd"/>
      <w:r w:rsidRPr="009A2249">
        <w:rPr>
          <w:rFonts w:ascii="Times New Roman" w:hAnsi="Times New Roman"/>
          <w:sz w:val="24"/>
          <w:szCs w:val="24"/>
        </w:rPr>
        <w:t xml:space="preserve"> SM </w:t>
      </w:r>
      <w:r w:rsidR="00BB14C5" w:rsidRPr="009A2249">
        <w:rPr>
          <w:rFonts w:ascii="Times New Roman" w:hAnsi="Times New Roman"/>
          <w:sz w:val="24"/>
          <w:szCs w:val="24"/>
        </w:rPr>
        <w:t xml:space="preserve">mais de 5 anos de desaposentação, a alíquota efetiva das </w:t>
      </w:r>
      <w:r w:rsidRPr="009A2249">
        <w:rPr>
          <w:rFonts w:ascii="Times New Roman" w:hAnsi="Times New Roman"/>
          <w:sz w:val="24"/>
          <w:szCs w:val="24"/>
        </w:rPr>
        <w:t>mulher</w:t>
      </w:r>
      <w:r w:rsidR="00BB14C5" w:rsidRPr="009A2249">
        <w:rPr>
          <w:rFonts w:ascii="Times New Roman" w:hAnsi="Times New Roman"/>
          <w:sz w:val="24"/>
          <w:szCs w:val="24"/>
        </w:rPr>
        <w:t>es</w:t>
      </w:r>
      <w:r w:rsidRPr="009A2249">
        <w:rPr>
          <w:rFonts w:ascii="Times New Roman" w:hAnsi="Times New Roman"/>
          <w:sz w:val="24"/>
          <w:szCs w:val="24"/>
        </w:rPr>
        <w:t xml:space="preserve"> </w:t>
      </w:r>
      <w:r w:rsidR="00BB14C5" w:rsidRPr="009A2249">
        <w:rPr>
          <w:rFonts w:ascii="Times New Roman" w:hAnsi="Times New Roman"/>
          <w:sz w:val="24"/>
          <w:szCs w:val="24"/>
        </w:rPr>
        <w:t>é maior que a dos homens</w:t>
      </w:r>
      <w:r w:rsidRPr="009A2249">
        <w:rPr>
          <w:rFonts w:ascii="Times New Roman" w:hAnsi="Times New Roman"/>
          <w:sz w:val="24"/>
          <w:szCs w:val="24"/>
        </w:rPr>
        <w:t xml:space="preserve">. </w:t>
      </w:r>
      <w:r w:rsidR="004B5541" w:rsidRPr="009A2249">
        <w:rPr>
          <w:rFonts w:ascii="Times New Roman" w:hAnsi="Times New Roman"/>
          <w:sz w:val="24"/>
          <w:szCs w:val="24"/>
        </w:rPr>
        <w:t>Parece ser possível afirmar que o</w:t>
      </w:r>
      <w:r w:rsidRPr="009A2249">
        <w:rPr>
          <w:rFonts w:ascii="Times New Roman" w:hAnsi="Times New Roman"/>
          <w:sz w:val="24"/>
          <w:szCs w:val="24"/>
        </w:rPr>
        <w:t xml:space="preserve"> comportamento crescente </w:t>
      </w:r>
      <w:r w:rsidR="004B5541" w:rsidRPr="009A2249">
        <w:rPr>
          <w:rFonts w:ascii="Times New Roman" w:hAnsi="Times New Roman"/>
          <w:sz w:val="24"/>
          <w:szCs w:val="24"/>
        </w:rPr>
        <w:t xml:space="preserve">encontrado </w:t>
      </w:r>
      <w:r w:rsidRPr="009A2249">
        <w:rPr>
          <w:rFonts w:ascii="Times New Roman" w:hAnsi="Times New Roman"/>
          <w:sz w:val="24"/>
          <w:szCs w:val="24"/>
        </w:rPr>
        <w:t xml:space="preserve">para salários iniciais </w:t>
      </w:r>
      <w:r w:rsidR="004B5541" w:rsidRPr="009A2249">
        <w:rPr>
          <w:rFonts w:ascii="Times New Roman" w:hAnsi="Times New Roman"/>
          <w:sz w:val="24"/>
          <w:szCs w:val="24"/>
        </w:rPr>
        <w:t>inferiores a</w:t>
      </w:r>
      <w:r w:rsidRPr="009A2249">
        <w:rPr>
          <w:rFonts w:ascii="Times New Roman" w:hAnsi="Times New Roman"/>
          <w:sz w:val="24"/>
          <w:szCs w:val="24"/>
        </w:rPr>
        <w:t xml:space="preserve"> </w:t>
      </w:r>
      <w:proofErr w:type="gramStart"/>
      <w:r w:rsidRPr="009A2249">
        <w:rPr>
          <w:rFonts w:ascii="Times New Roman" w:hAnsi="Times New Roman"/>
          <w:sz w:val="24"/>
          <w:szCs w:val="24"/>
        </w:rPr>
        <w:t>2</w:t>
      </w:r>
      <w:proofErr w:type="gramEnd"/>
      <w:r w:rsidRPr="009A2249">
        <w:rPr>
          <w:rFonts w:ascii="Times New Roman" w:hAnsi="Times New Roman"/>
          <w:sz w:val="24"/>
          <w:szCs w:val="24"/>
        </w:rPr>
        <w:t xml:space="preserve"> SM</w:t>
      </w:r>
      <w:r w:rsidR="004B5541" w:rsidRPr="009A2249">
        <w:rPr>
          <w:rFonts w:ascii="Times New Roman" w:hAnsi="Times New Roman"/>
          <w:sz w:val="24"/>
          <w:szCs w:val="24"/>
        </w:rPr>
        <w:t xml:space="preserve"> é explicado p</w:t>
      </w:r>
      <w:r w:rsidRPr="009A2249">
        <w:rPr>
          <w:rFonts w:ascii="Times New Roman" w:hAnsi="Times New Roman"/>
          <w:sz w:val="24"/>
          <w:szCs w:val="24"/>
        </w:rPr>
        <w:t>ela</w:t>
      </w:r>
      <w:r w:rsidR="004B5541" w:rsidRPr="009A2249">
        <w:rPr>
          <w:rFonts w:ascii="Times New Roman" w:hAnsi="Times New Roman"/>
          <w:sz w:val="24"/>
          <w:szCs w:val="24"/>
        </w:rPr>
        <w:t xml:space="preserve"> própria regra de contribuição, que estabelece alíquotas diferenciadas e crescentes para níveis de renda mais altos.</w:t>
      </w:r>
    </w:p>
    <w:p w:rsidR="00BD75CE" w:rsidRPr="009A2249" w:rsidRDefault="00BD75CE" w:rsidP="008C6C9C">
      <w:pPr>
        <w:spacing w:after="120" w:line="240" w:lineRule="auto"/>
        <w:ind w:firstLine="709"/>
        <w:jc w:val="both"/>
        <w:rPr>
          <w:rFonts w:ascii="Times New Roman" w:hAnsi="Times New Roman"/>
          <w:sz w:val="24"/>
          <w:szCs w:val="24"/>
        </w:rPr>
      </w:pPr>
    </w:p>
    <w:p w:rsidR="00B904A6" w:rsidRPr="009A2249" w:rsidRDefault="0041770C" w:rsidP="008C6C9C">
      <w:pPr>
        <w:pStyle w:val="Legenda"/>
        <w:keepNext/>
        <w:spacing w:after="120"/>
        <w:jc w:val="center"/>
        <w:rPr>
          <w:color w:val="auto"/>
          <w:sz w:val="24"/>
          <w:szCs w:val="24"/>
        </w:rPr>
      </w:pPr>
      <w:r w:rsidRPr="009A2249">
        <w:rPr>
          <w:color w:val="auto"/>
          <w:sz w:val="24"/>
          <w:szCs w:val="24"/>
        </w:rPr>
        <w:t xml:space="preserve">Gráfico </w:t>
      </w:r>
      <w:r w:rsidR="00FE60AC" w:rsidRPr="009A2249">
        <w:rPr>
          <w:color w:val="auto"/>
          <w:sz w:val="24"/>
          <w:szCs w:val="24"/>
        </w:rPr>
        <w:fldChar w:fldCharType="begin"/>
      </w:r>
      <w:r w:rsidRPr="009A2249">
        <w:rPr>
          <w:color w:val="auto"/>
          <w:sz w:val="24"/>
          <w:szCs w:val="24"/>
        </w:rPr>
        <w:instrText xml:space="preserve"> SEQ Gráfico \* ARABIC </w:instrText>
      </w:r>
      <w:r w:rsidR="00FE60AC" w:rsidRPr="009A2249">
        <w:rPr>
          <w:color w:val="auto"/>
          <w:sz w:val="24"/>
          <w:szCs w:val="24"/>
        </w:rPr>
        <w:fldChar w:fldCharType="separate"/>
      </w:r>
      <w:r w:rsidR="00B5651D">
        <w:rPr>
          <w:noProof/>
          <w:color w:val="auto"/>
          <w:sz w:val="24"/>
          <w:szCs w:val="24"/>
        </w:rPr>
        <w:t>5</w:t>
      </w:r>
      <w:r w:rsidR="00FE60AC" w:rsidRPr="009A2249">
        <w:rPr>
          <w:color w:val="auto"/>
          <w:sz w:val="24"/>
          <w:szCs w:val="24"/>
        </w:rPr>
        <w:fldChar w:fldCharType="end"/>
      </w:r>
      <w:r w:rsidRPr="009A2249">
        <w:rPr>
          <w:color w:val="auto"/>
          <w:sz w:val="24"/>
          <w:szCs w:val="24"/>
        </w:rPr>
        <w:t xml:space="preserve"> </w:t>
      </w:r>
      <w:r w:rsidR="006C15EB" w:rsidRPr="009A2249">
        <w:rPr>
          <w:color w:val="auto"/>
          <w:sz w:val="24"/>
          <w:szCs w:val="24"/>
        </w:rPr>
        <w:t>–</w:t>
      </w:r>
      <w:r w:rsidRPr="009A2249">
        <w:rPr>
          <w:color w:val="auto"/>
          <w:sz w:val="24"/>
          <w:szCs w:val="24"/>
        </w:rPr>
        <w:t xml:space="preserve"> Alíquota Efetiva (</w:t>
      </w:r>
      <w:r w:rsidRPr="009A2249">
        <w:rPr>
          <w:i/>
          <w:color w:val="auto"/>
          <w:sz w:val="24"/>
          <w:szCs w:val="24"/>
        </w:rPr>
        <w:t>AE</w:t>
      </w:r>
      <w:r w:rsidRPr="009A2249">
        <w:rPr>
          <w:color w:val="auto"/>
          <w:sz w:val="24"/>
          <w:szCs w:val="24"/>
        </w:rPr>
        <w:t>) em função do tempo de desaposentação</w:t>
      </w:r>
    </w:p>
    <w:p w:rsidR="00B904A6" w:rsidRPr="009A2249" w:rsidRDefault="00AE152D" w:rsidP="008C6C9C">
      <w:pPr>
        <w:spacing w:after="120" w:line="240" w:lineRule="auto"/>
        <w:jc w:val="center"/>
        <w:rPr>
          <w:rFonts w:ascii="Times New Roman" w:hAnsi="Times New Roman"/>
          <w:sz w:val="24"/>
          <w:szCs w:val="24"/>
        </w:rPr>
      </w:pPr>
      <w:r w:rsidRPr="009A2249">
        <w:rPr>
          <w:noProof/>
          <w:lang w:eastAsia="pt-BR"/>
        </w:rPr>
        <w:drawing>
          <wp:inline distT="0" distB="0" distL="0" distR="0">
            <wp:extent cx="5760085" cy="251396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04A6" w:rsidRPr="00434A9B" w:rsidRDefault="00B904A6" w:rsidP="008C6C9C">
      <w:pPr>
        <w:spacing w:after="120" w:line="240" w:lineRule="auto"/>
        <w:ind w:left="360" w:right="566" w:firstLine="709"/>
        <w:jc w:val="right"/>
        <w:rPr>
          <w:rFonts w:ascii="Times New Roman" w:hAnsi="Times New Roman"/>
          <w:sz w:val="20"/>
          <w:szCs w:val="20"/>
        </w:rPr>
      </w:pPr>
      <w:r w:rsidRPr="00434A9B">
        <w:rPr>
          <w:rFonts w:ascii="Times New Roman" w:hAnsi="Times New Roman"/>
          <w:sz w:val="20"/>
          <w:szCs w:val="20"/>
        </w:rPr>
        <w:t>Fonte: Elaboração própria</w:t>
      </w:r>
      <w:r w:rsidR="00ED7D75" w:rsidRPr="00434A9B">
        <w:rPr>
          <w:rFonts w:ascii="Times New Roman" w:hAnsi="Times New Roman"/>
          <w:sz w:val="20"/>
          <w:szCs w:val="20"/>
        </w:rPr>
        <w:t>.</w:t>
      </w:r>
    </w:p>
    <w:p w:rsidR="000B0C66" w:rsidRDefault="000B0C66" w:rsidP="008C6C9C">
      <w:pPr>
        <w:spacing w:after="120" w:line="240" w:lineRule="auto"/>
        <w:ind w:firstLine="709"/>
        <w:jc w:val="both"/>
        <w:rPr>
          <w:rFonts w:ascii="Times New Roman" w:hAnsi="Times New Roman"/>
          <w:sz w:val="24"/>
          <w:szCs w:val="24"/>
        </w:rPr>
      </w:pPr>
    </w:p>
    <w:p w:rsidR="00A92246" w:rsidRDefault="00990445"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O G</w:t>
      </w:r>
      <w:r w:rsidR="00064760" w:rsidRPr="009A2249">
        <w:rPr>
          <w:rFonts w:ascii="Times New Roman" w:hAnsi="Times New Roman"/>
          <w:sz w:val="24"/>
          <w:szCs w:val="24"/>
        </w:rPr>
        <w:t xml:space="preserve">ráfico </w:t>
      </w:r>
      <w:proofErr w:type="gramStart"/>
      <w:r w:rsidR="00A35F86">
        <w:rPr>
          <w:rFonts w:ascii="Times New Roman" w:hAnsi="Times New Roman"/>
          <w:sz w:val="24"/>
          <w:szCs w:val="24"/>
        </w:rPr>
        <w:t>6</w:t>
      </w:r>
      <w:proofErr w:type="gramEnd"/>
      <w:r w:rsidR="00464F5F" w:rsidRPr="009A2249">
        <w:rPr>
          <w:rFonts w:ascii="Times New Roman" w:hAnsi="Times New Roman"/>
          <w:sz w:val="24"/>
          <w:szCs w:val="24"/>
        </w:rPr>
        <w:t xml:space="preserve"> apresenta os valores da Alíquota </w:t>
      </w:r>
      <w:r w:rsidR="00D5374F" w:rsidRPr="009A2249">
        <w:rPr>
          <w:rFonts w:ascii="Times New Roman" w:hAnsi="Times New Roman"/>
          <w:sz w:val="24"/>
          <w:szCs w:val="24"/>
        </w:rPr>
        <w:t>Necessária</w:t>
      </w:r>
      <w:r w:rsidR="00464F5F" w:rsidRPr="009A2249">
        <w:rPr>
          <w:rFonts w:ascii="Times New Roman" w:hAnsi="Times New Roman"/>
          <w:sz w:val="24"/>
          <w:szCs w:val="24"/>
        </w:rPr>
        <w:t xml:space="preserve"> </w:t>
      </w:r>
      <w:r w:rsidR="00244BDE" w:rsidRPr="009A2249">
        <w:rPr>
          <w:rFonts w:ascii="Times New Roman" w:hAnsi="Times New Roman"/>
          <w:sz w:val="24"/>
          <w:szCs w:val="24"/>
        </w:rPr>
        <w:t>(</w:t>
      </w:r>
      <w:r w:rsidR="00244BDE" w:rsidRPr="009A2249">
        <w:rPr>
          <w:rFonts w:ascii="Times New Roman" w:hAnsi="Times New Roman"/>
          <w:i/>
          <w:sz w:val="24"/>
          <w:szCs w:val="24"/>
        </w:rPr>
        <w:t>AN)</w:t>
      </w:r>
      <w:r w:rsidR="00D5374F" w:rsidRPr="009A2249">
        <w:rPr>
          <w:rFonts w:ascii="Times New Roman" w:hAnsi="Times New Roman"/>
          <w:sz w:val="24"/>
          <w:szCs w:val="24"/>
        </w:rPr>
        <w:t xml:space="preserve">. Este indicador é muito importante, pois expressa qual a alíquota previdenciária que deveria incidir sobre o salário dos indivíduos (inexistindo descontinuidades ou limites de contribuição) para que </w:t>
      </w:r>
      <w:r w:rsidR="00064760" w:rsidRPr="009A2249">
        <w:rPr>
          <w:rFonts w:ascii="Times New Roman" w:hAnsi="Times New Roman"/>
          <w:sz w:val="24"/>
          <w:szCs w:val="24"/>
        </w:rPr>
        <w:t>os fluxos de contribuições e benefícios</w:t>
      </w:r>
      <w:r w:rsidR="00D5374F" w:rsidRPr="009A2249">
        <w:rPr>
          <w:rFonts w:ascii="Times New Roman" w:hAnsi="Times New Roman"/>
          <w:sz w:val="24"/>
          <w:szCs w:val="24"/>
        </w:rPr>
        <w:t xml:space="preserve"> fossem iguais para cada indivíduo</w:t>
      </w:r>
      <w:r w:rsidR="00064760" w:rsidRPr="009A2249">
        <w:rPr>
          <w:rFonts w:ascii="Times New Roman" w:hAnsi="Times New Roman"/>
          <w:sz w:val="24"/>
          <w:szCs w:val="24"/>
        </w:rPr>
        <w:t xml:space="preserve">. </w:t>
      </w:r>
      <w:r w:rsidRPr="009A2249">
        <w:rPr>
          <w:rFonts w:ascii="Times New Roman" w:hAnsi="Times New Roman"/>
          <w:sz w:val="24"/>
          <w:szCs w:val="24"/>
        </w:rPr>
        <w:t>Este</w:t>
      </w:r>
      <w:r w:rsidR="00D5374F" w:rsidRPr="009A2249">
        <w:rPr>
          <w:rFonts w:ascii="Times New Roman" w:hAnsi="Times New Roman"/>
          <w:sz w:val="24"/>
          <w:szCs w:val="24"/>
        </w:rPr>
        <w:t xml:space="preserve"> gráfico </w:t>
      </w:r>
      <w:r w:rsidR="00A92246" w:rsidRPr="009A2249">
        <w:rPr>
          <w:rFonts w:ascii="Times New Roman" w:hAnsi="Times New Roman"/>
          <w:sz w:val="24"/>
          <w:szCs w:val="24"/>
        </w:rPr>
        <w:t>evidencia três pontos relevantes: (a) quanto mais os contribuintes postergam a aposentadoria (ou mesmo a desaposentação</w:t>
      </w:r>
      <w:r w:rsidR="00A92246" w:rsidRPr="009A2249">
        <w:t>)</w:t>
      </w:r>
      <w:r w:rsidR="00A92246" w:rsidRPr="009A2249">
        <w:rPr>
          <w:rFonts w:ascii="Times New Roman" w:hAnsi="Times New Roman"/>
          <w:sz w:val="24"/>
          <w:szCs w:val="24"/>
        </w:rPr>
        <w:t>, mais baixa deveria ser a sua alíquota; (b) diferencial</w:t>
      </w:r>
      <w:r w:rsidR="00D5374F" w:rsidRPr="009A2249">
        <w:rPr>
          <w:rFonts w:ascii="Times New Roman" w:hAnsi="Times New Roman"/>
          <w:sz w:val="24"/>
          <w:szCs w:val="24"/>
        </w:rPr>
        <w:t xml:space="preserve"> de gênero: os</w:t>
      </w:r>
      <w:r w:rsidR="00064760" w:rsidRPr="009A2249">
        <w:rPr>
          <w:rFonts w:ascii="Times New Roman" w:hAnsi="Times New Roman"/>
          <w:sz w:val="24"/>
          <w:szCs w:val="24"/>
        </w:rPr>
        <w:t xml:space="preserve"> home</w:t>
      </w:r>
      <w:r w:rsidR="00D5374F" w:rsidRPr="009A2249">
        <w:rPr>
          <w:rFonts w:ascii="Times New Roman" w:hAnsi="Times New Roman"/>
          <w:sz w:val="24"/>
          <w:szCs w:val="24"/>
        </w:rPr>
        <w:t>ns</w:t>
      </w:r>
      <w:r w:rsidR="00064760" w:rsidRPr="009A2249">
        <w:rPr>
          <w:rFonts w:ascii="Times New Roman" w:hAnsi="Times New Roman"/>
          <w:sz w:val="24"/>
          <w:szCs w:val="24"/>
        </w:rPr>
        <w:t xml:space="preserve"> </w:t>
      </w:r>
      <w:r w:rsidR="00064760" w:rsidRPr="009A2249">
        <w:rPr>
          <w:rFonts w:ascii="Times New Roman" w:hAnsi="Times New Roman"/>
          <w:sz w:val="24"/>
          <w:szCs w:val="24"/>
        </w:rPr>
        <w:lastRenderedPageBreak/>
        <w:t>deveria</w:t>
      </w:r>
      <w:r w:rsidR="00D5374F" w:rsidRPr="009A2249">
        <w:rPr>
          <w:rFonts w:ascii="Times New Roman" w:hAnsi="Times New Roman"/>
          <w:sz w:val="24"/>
          <w:szCs w:val="24"/>
        </w:rPr>
        <w:t>m</w:t>
      </w:r>
      <w:r w:rsidR="00064760" w:rsidRPr="009A2249">
        <w:rPr>
          <w:rFonts w:ascii="Times New Roman" w:hAnsi="Times New Roman"/>
          <w:sz w:val="24"/>
          <w:szCs w:val="24"/>
        </w:rPr>
        <w:t xml:space="preserve"> ter uma alíquota menor que as mulheres</w:t>
      </w:r>
      <w:r w:rsidR="00A92246" w:rsidRPr="009A2249">
        <w:rPr>
          <w:rFonts w:ascii="Times New Roman" w:hAnsi="Times New Roman"/>
          <w:sz w:val="24"/>
          <w:szCs w:val="24"/>
        </w:rPr>
        <w:t>; (c). Diferencial de renda: quanto maior o salário inicial, menor deveria ser a alíquota cobrada. Os dois últimos pontos são mais uma evidência de características distributivas nas regras de ATC do RGPS, de homens para mulheres e dos indivíduos mais ricos para os mais pobres.</w:t>
      </w:r>
    </w:p>
    <w:p w:rsidR="000B0C66" w:rsidRPr="009A2249" w:rsidRDefault="000B0C66" w:rsidP="008C6C9C">
      <w:pPr>
        <w:spacing w:after="120" w:line="240" w:lineRule="auto"/>
        <w:ind w:firstLine="709"/>
        <w:jc w:val="both"/>
        <w:rPr>
          <w:rFonts w:ascii="Times New Roman" w:hAnsi="Times New Roman"/>
          <w:sz w:val="24"/>
          <w:szCs w:val="24"/>
        </w:rPr>
      </w:pPr>
    </w:p>
    <w:p w:rsidR="00B904A6" w:rsidRPr="009A2249" w:rsidRDefault="0041770C" w:rsidP="008C6C9C">
      <w:pPr>
        <w:pStyle w:val="Legenda"/>
        <w:keepNext/>
        <w:spacing w:after="120"/>
        <w:jc w:val="center"/>
        <w:rPr>
          <w:color w:val="auto"/>
          <w:sz w:val="24"/>
          <w:szCs w:val="24"/>
        </w:rPr>
      </w:pPr>
      <w:r w:rsidRPr="009A2249">
        <w:rPr>
          <w:color w:val="auto"/>
          <w:sz w:val="24"/>
          <w:szCs w:val="24"/>
        </w:rPr>
        <w:t xml:space="preserve">Gráfico </w:t>
      </w:r>
      <w:r w:rsidR="00FE60AC" w:rsidRPr="009A2249">
        <w:rPr>
          <w:color w:val="auto"/>
          <w:sz w:val="24"/>
          <w:szCs w:val="24"/>
        </w:rPr>
        <w:fldChar w:fldCharType="begin"/>
      </w:r>
      <w:r w:rsidRPr="009A2249">
        <w:rPr>
          <w:color w:val="auto"/>
          <w:sz w:val="24"/>
          <w:szCs w:val="24"/>
        </w:rPr>
        <w:instrText xml:space="preserve"> SEQ Gráfico \* ARABIC </w:instrText>
      </w:r>
      <w:r w:rsidR="00FE60AC" w:rsidRPr="009A2249">
        <w:rPr>
          <w:color w:val="auto"/>
          <w:sz w:val="24"/>
          <w:szCs w:val="24"/>
        </w:rPr>
        <w:fldChar w:fldCharType="separate"/>
      </w:r>
      <w:r w:rsidR="00B5651D">
        <w:rPr>
          <w:noProof/>
          <w:color w:val="auto"/>
          <w:sz w:val="24"/>
          <w:szCs w:val="24"/>
        </w:rPr>
        <w:t>6</w:t>
      </w:r>
      <w:r w:rsidR="00FE60AC" w:rsidRPr="009A2249">
        <w:rPr>
          <w:color w:val="auto"/>
          <w:sz w:val="24"/>
          <w:szCs w:val="24"/>
        </w:rPr>
        <w:fldChar w:fldCharType="end"/>
      </w:r>
      <w:r w:rsidRPr="009A2249">
        <w:rPr>
          <w:color w:val="auto"/>
          <w:sz w:val="24"/>
          <w:szCs w:val="24"/>
        </w:rPr>
        <w:t xml:space="preserve"> </w:t>
      </w:r>
      <w:r w:rsidR="006C15EB" w:rsidRPr="009A2249">
        <w:rPr>
          <w:color w:val="auto"/>
          <w:sz w:val="24"/>
          <w:szCs w:val="24"/>
        </w:rPr>
        <w:t>–</w:t>
      </w:r>
      <w:r w:rsidRPr="009A2249">
        <w:rPr>
          <w:color w:val="auto"/>
          <w:sz w:val="24"/>
          <w:szCs w:val="24"/>
        </w:rPr>
        <w:t xml:space="preserve"> Alíquota Necessária (</w:t>
      </w:r>
      <w:r w:rsidRPr="009A2249">
        <w:rPr>
          <w:i/>
          <w:color w:val="auto"/>
          <w:sz w:val="24"/>
          <w:szCs w:val="24"/>
        </w:rPr>
        <w:t>AN</w:t>
      </w:r>
      <w:r w:rsidRPr="009A2249">
        <w:rPr>
          <w:color w:val="auto"/>
          <w:sz w:val="24"/>
          <w:szCs w:val="24"/>
        </w:rPr>
        <w:t>) em função do tempo de desaposentação</w:t>
      </w:r>
    </w:p>
    <w:p w:rsidR="00B904A6" w:rsidRPr="009A2249" w:rsidRDefault="00AE152D" w:rsidP="008C6C9C">
      <w:pPr>
        <w:spacing w:after="120" w:line="240" w:lineRule="auto"/>
        <w:jc w:val="center"/>
        <w:rPr>
          <w:rFonts w:ascii="Times New Roman" w:hAnsi="Times New Roman"/>
          <w:sz w:val="24"/>
          <w:szCs w:val="24"/>
        </w:rPr>
      </w:pPr>
      <w:r w:rsidRPr="009A2249">
        <w:rPr>
          <w:noProof/>
          <w:lang w:eastAsia="pt-BR"/>
        </w:rPr>
        <w:drawing>
          <wp:inline distT="0" distB="0" distL="0" distR="0">
            <wp:extent cx="5760085" cy="2513965"/>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904A6" w:rsidRPr="00434A9B" w:rsidRDefault="00B904A6" w:rsidP="008C6C9C">
      <w:pPr>
        <w:spacing w:after="120" w:line="240" w:lineRule="auto"/>
        <w:ind w:left="360" w:right="566" w:firstLine="709"/>
        <w:jc w:val="right"/>
        <w:rPr>
          <w:rFonts w:ascii="Times New Roman" w:hAnsi="Times New Roman"/>
          <w:sz w:val="20"/>
          <w:szCs w:val="20"/>
        </w:rPr>
      </w:pPr>
      <w:r w:rsidRPr="00434A9B">
        <w:rPr>
          <w:rFonts w:ascii="Times New Roman" w:hAnsi="Times New Roman"/>
          <w:sz w:val="20"/>
          <w:szCs w:val="20"/>
        </w:rPr>
        <w:t>Fonte: Elaboração própria</w:t>
      </w:r>
      <w:r w:rsidR="00ED7D75" w:rsidRPr="00434A9B">
        <w:rPr>
          <w:rFonts w:ascii="Times New Roman" w:hAnsi="Times New Roman"/>
          <w:sz w:val="20"/>
          <w:szCs w:val="20"/>
        </w:rPr>
        <w:t>.</w:t>
      </w:r>
    </w:p>
    <w:p w:rsidR="00BD75CE" w:rsidRPr="00BD75CE" w:rsidRDefault="00BD75CE" w:rsidP="008C6C9C">
      <w:pPr>
        <w:spacing w:after="120" w:line="240" w:lineRule="auto"/>
        <w:ind w:left="360" w:right="566" w:firstLine="709"/>
        <w:jc w:val="right"/>
        <w:rPr>
          <w:rFonts w:ascii="Times New Roman" w:hAnsi="Times New Roman"/>
          <w:sz w:val="20"/>
          <w:szCs w:val="20"/>
        </w:rPr>
      </w:pPr>
    </w:p>
    <w:p w:rsidR="00B65879" w:rsidRPr="009A2249" w:rsidRDefault="00C40344" w:rsidP="00B65879">
      <w:pPr>
        <w:pStyle w:val="PargrafodaLista"/>
        <w:numPr>
          <w:ilvl w:val="1"/>
          <w:numId w:val="3"/>
        </w:numPr>
        <w:spacing w:after="120"/>
        <w:jc w:val="both"/>
      </w:pPr>
      <w:r w:rsidRPr="009A2249">
        <w:rPr>
          <w:b/>
        </w:rPr>
        <w:t>Modelo com</w:t>
      </w:r>
      <w:r w:rsidR="00D141FE" w:rsidRPr="009A2249">
        <w:rPr>
          <w:b/>
        </w:rPr>
        <w:t xml:space="preserve"> desaposentação</w:t>
      </w:r>
      <w:r w:rsidRPr="009A2249">
        <w:rPr>
          <w:b/>
        </w:rPr>
        <w:t>: uma extensão</w:t>
      </w:r>
    </w:p>
    <w:p w:rsidR="00A92246" w:rsidRDefault="00A9224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Considerando a hipótese de devolução do valor recebido de benefício durante a aposentadoria, o tempo para retorno, evidenciado pelo Gráfico </w:t>
      </w:r>
      <w:proofErr w:type="gramStart"/>
      <w:r w:rsidR="00A35F86">
        <w:rPr>
          <w:rFonts w:ascii="Times New Roman" w:hAnsi="Times New Roman"/>
          <w:sz w:val="24"/>
          <w:szCs w:val="24"/>
        </w:rPr>
        <w:t>7</w:t>
      </w:r>
      <w:proofErr w:type="gramEnd"/>
      <w:r w:rsidRPr="009A2249">
        <w:rPr>
          <w:rFonts w:ascii="Times New Roman" w:hAnsi="Times New Roman"/>
          <w:sz w:val="24"/>
          <w:szCs w:val="24"/>
        </w:rPr>
        <w:t>, indica que este mecanismo cria uma barreira ao pedido de desaposentação. Isso ocorreria para todos os gêneros e faixas salariais iniciais devido ao fato de que o tempo necessário para quitação da dívida previdenciária coincide com o tempo de vida das pessoas. Na prática, o mecanismo de devolução do benefício faria com que o aumento de benefício fosse diferido da ordem de, no mínimo, 1</w:t>
      </w:r>
      <w:r w:rsidR="00763FC2">
        <w:rPr>
          <w:rFonts w:ascii="Times New Roman" w:hAnsi="Times New Roman"/>
          <w:sz w:val="24"/>
          <w:szCs w:val="24"/>
        </w:rPr>
        <w:t>2</w:t>
      </w:r>
      <w:r w:rsidRPr="009A2249">
        <w:rPr>
          <w:rFonts w:ascii="Times New Roman" w:hAnsi="Times New Roman"/>
          <w:sz w:val="24"/>
          <w:szCs w:val="24"/>
        </w:rPr>
        <w:t xml:space="preserve"> anos. Ou seja, a desaposentação só seria vantajosa para o segurado se ele viver</w:t>
      </w:r>
      <w:r w:rsidR="00C00483" w:rsidRPr="009A2249">
        <w:rPr>
          <w:rFonts w:ascii="Times New Roman" w:hAnsi="Times New Roman"/>
          <w:sz w:val="24"/>
          <w:szCs w:val="24"/>
        </w:rPr>
        <w:t>, pelo menos,</w:t>
      </w:r>
      <w:r w:rsidRPr="009A2249">
        <w:rPr>
          <w:rFonts w:ascii="Times New Roman" w:hAnsi="Times New Roman"/>
          <w:sz w:val="24"/>
          <w:szCs w:val="24"/>
        </w:rPr>
        <w:t xml:space="preserve"> entre 13 e 22 anos após o pedido de desaposentação. Desta maneira, a obrigatoriedade da devolução do benefício já recebido poderia criar uma barreira ao pedido de </w:t>
      </w:r>
      <w:r w:rsidRPr="009A2249">
        <w:rPr>
          <w:rFonts w:ascii="Times New Roman" w:hAnsi="Times New Roman"/>
          <w:i/>
          <w:sz w:val="24"/>
          <w:szCs w:val="24"/>
        </w:rPr>
        <w:t>desaposentação</w:t>
      </w:r>
      <w:r w:rsidRPr="009A2249">
        <w:rPr>
          <w:rFonts w:ascii="Times New Roman" w:hAnsi="Times New Roman"/>
          <w:sz w:val="24"/>
          <w:szCs w:val="24"/>
        </w:rPr>
        <w:t>.</w:t>
      </w:r>
    </w:p>
    <w:p w:rsidR="00B904A6" w:rsidRPr="009A2249" w:rsidRDefault="0041770C" w:rsidP="008C6C9C">
      <w:pPr>
        <w:pStyle w:val="Legenda"/>
        <w:keepNext/>
        <w:spacing w:after="120"/>
        <w:jc w:val="center"/>
        <w:rPr>
          <w:color w:val="auto"/>
          <w:sz w:val="24"/>
          <w:szCs w:val="24"/>
        </w:rPr>
      </w:pPr>
      <w:r w:rsidRPr="009A2249">
        <w:rPr>
          <w:color w:val="auto"/>
          <w:sz w:val="24"/>
          <w:szCs w:val="24"/>
        </w:rPr>
        <w:lastRenderedPageBreak/>
        <w:t xml:space="preserve">Gráfico </w:t>
      </w:r>
      <w:r w:rsidR="00FE60AC" w:rsidRPr="009A2249">
        <w:rPr>
          <w:color w:val="auto"/>
          <w:sz w:val="24"/>
          <w:szCs w:val="24"/>
        </w:rPr>
        <w:fldChar w:fldCharType="begin"/>
      </w:r>
      <w:r w:rsidRPr="009A2249">
        <w:rPr>
          <w:color w:val="auto"/>
          <w:sz w:val="24"/>
          <w:szCs w:val="24"/>
        </w:rPr>
        <w:instrText xml:space="preserve"> SEQ Gráfico \* ARABIC </w:instrText>
      </w:r>
      <w:r w:rsidR="00FE60AC" w:rsidRPr="009A2249">
        <w:rPr>
          <w:color w:val="auto"/>
          <w:sz w:val="24"/>
          <w:szCs w:val="24"/>
        </w:rPr>
        <w:fldChar w:fldCharType="separate"/>
      </w:r>
      <w:r w:rsidR="00B5651D">
        <w:rPr>
          <w:noProof/>
          <w:color w:val="auto"/>
          <w:sz w:val="24"/>
          <w:szCs w:val="24"/>
        </w:rPr>
        <w:t>7</w:t>
      </w:r>
      <w:r w:rsidR="00FE60AC" w:rsidRPr="009A2249">
        <w:rPr>
          <w:color w:val="auto"/>
          <w:sz w:val="24"/>
          <w:szCs w:val="24"/>
        </w:rPr>
        <w:fldChar w:fldCharType="end"/>
      </w:r>
      <w:r w:rsidRPr="009A2249">
        <w:rPr>
          <w:color w:val="auto"/>
          <w:sz w:val="24"/>
          <w:szCs w:val="24"/>
        </w:rPr>
        <w:t xml:space="preserve"> </w:t>
      </w:r>
      <w:r w:rsidR="006C15EB" w:rsidRPr="009A2249">
        <w:rPr>
          <w:color w:val="auto"/>
          <w:sz w:val="24"/>
          <w:szCs w:val="24"/>
        </w:rPr>
        <w:t>–</w:t>
      </w:r>
      <w:r w:rsidRPr="009A2249">
        <w:rPr>
          <w:color w:val="auto"/>
          <w:sz w:val="24"/>
          <w:szCs w:val="24"/>
        </w:rPr>
        <w:t xml:space="preserve"> Tempo para Retorno em função do tempo de desaposentação</w:t>
      </w:r>
    </w:p>
    <w:p w:rsidR="00B904A6" w:rsidRPr="009A2249" w:rsidRDefault="00AE152D" w:rsidP="008C6C9C">
      <w:pPr>
        <w:keepNext/>
        <w:spacing w:after="120" w:line="240" w:lineRule="auto"/>
        <w:jc w:val="center"/>
        <w:rPr>
          <w:rFonts w:ascii="Times New Roman" w:hAnsi="Times New Roman"/>
          <w:sz w:val="24"/>
          <w:szCs w:val="24"/>
        </w:rPr>
      </w:pPr>
      <w:r w:rsidRPr="009A2249">
        <w:rPr>
          <w:noProof/>
          <w:lang w:eastAsia="pt-BR"/>
        </w:rPr>
        <w:drawing>
          <wp:inline distT="0" distB="0" distL="0" distR="0">
            <wp:extent cx="5438775" cy="2276475"/>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904A6" w:rsidRPr="00434A9B" w:rsidRDefault="00B904A6" w:rsidP="008C6C9C">
      <w:pPr>
        <w:spacing w:after="120" w:line="240" w:lineRule="auto"/>
        <w:ind w:left="360" w:firstLine="709"/>
        <w:jc w:val="right"/>
        <w:rPr>
          <w:rFonts w:ascii="Times New Roman" w:hAnsi="Times New Roman"/>
          <w:sz w:val="20"/>
          <w:szCs w:val="20"/>
        </w:rPr>
      </w:pPr>
      <w:r w:rsidRPr="00434A9B">
        <w:rPr>
          <w:rFonts w:ascii="Times New Roman" w:hAnsi="Times New Roman"/>
          <w:sz w:val="20"/>
          <w:szCs w:val="20"/>
        </w:rPr>
        <w:t>Fonte: Elaboração própria</w:t>
      </w:r>
      <w:r w:rsidR="00ED7D75" w:rsidRPr="00434A9B">
        <w:rPr>
          <w:rFonts w:ascii="Times New Roman" w:hAnsi="Times New Roman"/>
          <w:sz w:val="20"/>
          <w:szCs w:val="20"/>
        </w:rPr>
        <w:t>.</w:t>
      </w:r>
    </w:p>
    <w:p w:rsidR="000B0C66" w:rsidRDefault="000B0C66" w:rsidP="008C6C9C">
      <w:pPr>
        <w:spacing w:after="120" w:line="240" w:lineRule="auto"/>
        <w:ind w:firstLine="709"/>
        <w:jc w:val="both"/>
        <w:rPr>
          <w:rFonts w:ascii="Times New Roman" w:hAnsi="Times New Roman"/>
          <w:sz w:val="24"/>
          <w:szCs w:val="24"/>
        </w:rPr>
      </w:pPr>
    </w:p>
    <w:p w:rsidR="00A92246" w:rsidRPr="009A2249" w:rsidRDefault="00A9224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Entretanto, há dois grupos que aparentam ter uma clara </w:t>
      </w:r>
      <w:r w:rsidR="00C00483" w:rsidRPr="009A2249">
        <w:rPr>
          <w:rFonts w:ascii="Times New Roman" w:hAnsi="Times New Roman"/>
          <w:sz w:val="24"/>
          <w:szCs w:val="24"/>
        </w:rPr>
        <w:t>des</w:t>
      </w:r>
      <w:r w:rsidRPr="009A2249">
        <w:rPr>
          <w:rFonts w:ascii="Times New Roman" w:hAnsi="Times New Roman"/>
          <w:sz w:val="24"/>
          <w:szCs w:val="24"/>
        </w:rPr>
        <w:t xml:space="preserve">vantagem neste aspecto, uma vez que precisariam viver por mais de 40 anos após o pedido de desaposentação para quitar a diferença do benefício recebido: mulheres da faixa de </w:t>
      </w:r>
      <w:proofErr w:type="gramStart"/>
      <w:r w:rsidRPr="009A2249">
        <w:rPr>
          <w:rFonts w:ascii="Times New Roman" w:hAnsi="Times New Roman"/>
          <w:sz w:val="24"/>
          <w:szCs w:val="24"/>
        </w:rPr>
        <w:t>1</w:t>
      </w:r>
      <w:proofErr w:type="gramEnd"/>
      <w:r w:rsidRPr="009A2249">
        <w:rPr>
          <w:rFonts w:ascii="Times New Roman" w:hAnsi="Times New Roman"/>
          <w:sz w:val="24"/>
          <w:szCs w:val="24"/>
        </w:rPr>
        <w:t xml:space="preserve"> SM e homens com 4 e 5 SM. A primeira situação dá-se devido a pouca diferença entre o salário de benefício de aposentadoria e o de </w:t>
      </w:r>
      <w:r w:rsidRPr="009A2249">
        <w:rPr>
          <w:rFonts w:ascii="Times New Roman" w:hAnsi="Times New Roman"/>
          <w:i/>
          <w:sz w:val="24"/>
          <w:szCs w:val="24"/>
        </w:rPr>
        <w:t>desaposentação</w:t>
      </w:r>
      <w:r w:rsidRPr="009A2249">
        <w:rPr>
          <w:rFonts w:ascii="Times New Roman" w:hAnsi="Times New Roman"/>
          <w:sz w:val="24"/>
          <w:szCs w:val="24"/>
        </w:rPr>
        <w:t>. Isso ocorre uma vez que o benefício atinge um valor próximo ao mínimo e</w:t>
      </w:r>
      <w:r w:rsidR="00C00483" w:rsidRPr="009A2249">
        <w:rPr>
          <w:rFonts w:ascii="Times New Roman" w:hAnsi="Times New Roman"/>
          <w:sz w:val="24"/>
          <w:szCs w:val="24"/>
        </w:rPr>
        <w:t>,</w:t>
      </w:r>
      <w:r w:rsidRPr="009A2249">
        <w:rPr>
          <w:rFonts w:ascii="Times New Roman" w:hAnsi="Times New Roman"/>
          <w:sz w:val="24"/>
          <w:szCs w:val="24"/>
        </w:rPr>
        <w:t xml:space="preserve"> portanto, permanece </w:t>
      </w:r>
      <w:r w:rsidR="00C00483" w:rsidRPr="009A2249">
        <w:rPr>
          <w:rFonts w:ascii="Times New Roman" w:hAnsi="Times New Roman"/>
          <w:sz w:val="24"/>
          <w:szCs w:val="24"/>
        </w:rPr>
        <w:t>aproximadamente constante</w:t>
      </w:r>
      <w:r w:rsidRPr="009A2249">
        <w:rPr>
          <w:rFonts w:ascii="Times New Roman" w:hAnsi="Times New Roman"/>
          <w:sz w:val="24"/>
          <w:szCs w:val="24"/>
        </w:rPr>
        <w:t xml:space="preserve"> para uma </w:t>
      </w:r>
      <w:r w:rsidRPr="009A2249">
        <w:rPr>
          <w:rFonts w:ascii="Times New Roman" w:hAnsi="Times New Roman"/>
          <w:i/>
          <w:sz w:val="24"/>
          <w:szCs w:val="24"/>
        </w:rPr>
        <w:t xml:space="preserve">desaposentação </w:t>
      </w:r>
      <w:r w:rsidRPr="009A2249">
        <w:rPr>
          <w:rFonts w:ascii="Times New Roman" w:hAnsi="Times New Roman"/>
          <w:sz w:val="24"/>
          <w:szCs w:val="24"/>
        </w:rPr>
        <w:t xml:space="preserve">de </w:t>
      </w:r>
      <w:proofErr w:type="gramStart"/>
      <w:r w:rsidRPr="009A2249">
        <w:rPr>
          <w:rFonts w:ascii="Times New Roman" w:hAnsi="Times New Roman"/>
          <w:sz w:val="24"/>
          <w:szCs w:val="24"/>
        </w:rPr>
        <w:t>3</w:t>
      </w:r>
      <w:proofErr w:type="gramEnd"/>
      <w:r w:rsidRPr="009A2249">
        <w:rPr>
          <w:rFonts w:ascii="Times New Roman" w:hAnsi="Times New Roman"/>
          <w:sz w:val="24"/>
          <w:szCs w:val="24"/>
        </w:rPr>
        <w:t xml:space="preserve"> anos. Ou seja, </w:t>
      </w:r>
      <w:r w:rsidR="00C00483" w:rsidRPr="009A2249">
        <w:rPr>
          <w:rFonts w:ascii="Times New Roman" w:hAnsi="Times New Roman"/>
          <w:sz w:val="24"/>
          <w:szCs w:val="24"/>
        </w:rPr>
        <w:t>esta</w:t>
      </w:r>
      <w:r w:rsidRPr="009A2249">
        <w:rPr>
          <w:rFonts w:ascii="Times New Roman" w:hAnsi="Times New Roman"/>
          <w:sz w:val="24"/>
          <w:szCs w:val="24"/>
        </w:rPr>
        <w:t xml:space="preserve"> mulher segurada não terá aumento </w:t>
      </w:r>
      <w:r w:rsidR="00C00483" w:rsidRPr="009A2249">
        <w:rPr>
          <w:rFonts w:ascii="Times New Roman" w:hAnsi="Times New Roman"/>
          <w:sz w:val="24"/>
          <w:szCs w:val="24"/>
        </w:rPr>
        <w:t xml:space="preserve">relevante </w:t>
      </w:r>
      <w:r w:rsidRPr="009A2249">
        <w:rPr>
          <w:rFonts w:ascii="Times New Roman" w:hAnsi="Times New Roman"/>
          <w:sz w:val="24"/>
          <w:szCs w:val="24"/>
        </w:rPr>
        <w:t>de benefício</w:t>
      </w:r>
      <w:r w:rsidR="00C00483" w:rsidRPr="009A2249">
        <w:rPr>
          <w:rFonts w:ascii="Times New Roman" w:hAnsi="Times New Roman"/>
          <w:sz w:val="24"/>
          <w:szCs w:val="24"/>
        </w:rPr>
        <w:t xml:space="preserve"> e permanecerá próxima do piso</w:t>
      </w:r>
      <w:r w:rsidRPr="009A2249">
        <w:rPr>
          <w:rFonts w:ascii="Times New Roman" w:hAnsi="Times New Roman"/>
          <w:sz w:val="24"/>
          <w:szCs w:val="24"/>
        </w:rPr>
        <w:t>. Já para o caso dos homens de maior renda inicial, mais alto deve ser o benefício. Além disso, quanto mais tarde o indiv</w:t>
      </w:r>
      <w:r w:rsidR="00E21747" w:rsidRPr="009A2249">
        <w:rPr>
          <w:rFonts w:ascii="Times New Roman" w:hAnsi="Times New Roman"/>
          <w:sz w:val="24"/>
          <w:szCs w:val="24"/>
        </w:rPr>
        <w:t>í</w:t>
      </w:r>
      <w:r w:rsidRPr="009A2249">
        <w:rPr>
          <w:rFonts w:ascii="Times New Roman" w:hAnsi="Times New Roman"/>
          <w:sz w:val="24"/>
          <w:szCs w:val="24"/>
        </w:rPr>
        <w:t xml:space="preserve">duo pede o recálculo, </w:t>
      </w:r>
      <w:r w:rsidR="00AB7516" w:rsidRPr="009A2249">
        <w:rPr>
          <w:rFonts w:ascii="Times New Roman" w:hAnsi="Times New Roman"/>
          <w:sz w:val="24"/>
          <w:szCs w:val="24"/>
        </w:rPr>
        <w:t>mais próximo do teto legal ele está</w:t>
      </w:r>
      <w:r w:rsidRPr="009A2249">
        <w:rPr>
          <w:rFonts w:ascii="Times New Roman" w:hAnsi="Times New Roman"/>
          <w:sz w:val="24"/>
          <w:szCs w:val="24"/>
        </w:rPr>
        <w:t xml:space="preserve">, </w:t>
      </w:r>
      <w:r w:rsidR="00AB7516" w:rsidRPr="009A2249">
        <w:rPr>
          <w:rFonts w:ascii="Times New Roman" w:hAnsi="Times New Roman"/>
          <w:sz w:val="24"/>
          <w:szCs w:val="24"/>
        </w:rPr>
        <w:t>e também sua</w:t>
      </w:r>
      <w:r w:rsidRPr="009A2249">
        <w:rPr>
          <w:rFonts w:ascii="Times New Roman" w:hAnsi="Times New Roman"/>
          <w:sz w:val="24"/>
          <w:szCs w:val="24"/>
        </w:rPr>
        <w:t xml:space="preserve"> expectativa de sobrevida é menor. Assim, maior é o </w:t>
      </w:r>
      <w:r w:rsidRPr="009A2249">
        <w:rPr>
          <w:rFonts w:ascii="Times New Roman" w:hAnsi="Times New Roman"/>
          <w:i/>
          <w:sz w:val="24"/>
          <w:szCs w:val="24"/>
        </w:rPr>
        <w:t>tempo para retorno</w:t>
      </w:r>
      <w:r w:rsidR="00AB7516" w:rsidRPr="009A2249">
        <w:rPr>
          <w:rFonts w:ascii="Times New Roman" w:hAnsi="Times New Roman"/>
          <w:sz w:val="24"/>
          <w:szCs w:val="24"/>
        </w:rPr>
        <w:t xml:space="preserve"> e, portanto, maior é a</w:t>
      </w:r>
      <w:r w:rsidRPr="009A2249">
        <w:rPr>
          <w:rFonts w:ascii="Times New Roman" w:hAnsi="Times New Roman"/>
          <w:sz w:val="24"/>
          <w:szCs w:val="24"/>
        </w:rPr>
        <w:t xml:space="preserve"> </w:t>
      </w:r>
      <w:r w:rsidR="00AB7516" w:rsidRPr="009A2249">
        <w:rPr>
          <w:rFonts w:ascii="Times New Roman" w:hAnsi="Times New Roman"/>
          <w:sz w:val="24"/>
          <w:szCs w:val="24"/>
        </w:rPr>
        <w:t>desvantagem</w:t>
      </w:r>
      <w:r w:rsidRPr="009A2249">
        <w:rPr>
          <w:rFonts w:ascii="Times New Roman" w:hAnsi="Times New Roman"/>
          <w:sz w:val="24"/>
          <w:szCs w:val="24"/>
        </w:rPr>
        <w:t xml:space="preserve"> </w:t>
      </w:r>
      <w:r w:rsidR="00AB7516" w:rsidRPr="009A2249">
        <w:rPr>
          <w:rFonts w:ascii="Times New Roman" w:hAnsi="Times New Roman"/>
          <w:sz w:val="24"/>
          <w:szCs w:val="24"/>
        </w:rPr>
        <w:t>d</w:t>
      </w:r>
      <w:r w:rsidRPr="009A2249">
        <w:rPr>
          <w:rFonts w:ascii="Times New Roman" w:hAnsi="Times New Roman"/>
          <w:sz w:val="24"/>
          <w:szCs w:val="24"/>
        </w:rPr>
        <w:t xml:space="preserve">a </w:t>
      </w:r>
      <w:r w:rsidRPr="009A2249">
        <w:rPr>
          <w:rFonts w:ascii="Times New Roman" w:hAnsi="Times New Roman"/>
          <w:i/>
          <w:sz w:val="24"/>
          <w:szCs w:val="24"/>
        </w:rPr>
        <w:t>desaposentação</w:t>
      </w:r>
      <w:r w:rsidRPr="009A2249">
        <w:rPr>
          <w:rFonts w:ascii="Times New Roman" w:hAnsi="Times New Roman"/>
          <w:sz w:val="24"/>
          <w:szCs w:val="24"/>
        </w:rPr>
        <w:t>.</w:t>
      </w:r>
    </w:p>
    <w:p w:rsidR="00484BE0" w:rsidRPr="009A2249" w:rsidRDefault="00484BE0" w:rsidP="008C6C9C">
      <w:pPr>
        <w:spacing w:after="120" w:line="240" w:lineRule="auto"/>
        <w:ind w:firstLine="709"/>
        <w:jc w:val="both"/>
        <w:rPr>
          <w:rFonts w:ascii="Times New Roman" w:hAnsi="Times New Roman"/>
          <w:sz w:val="24"/>
          <w:szCs w:val="24"/>
        </w:rPr>
      </w:pPr>
    </w:p>
    <w:p w:rsidR="00B904A6" w:rsidRPr="009A2249" w:rsidRDefault="00B904A6" w:rsidP="008C6C9C">
      <w:pPr>
        <w:pStyle w:val="PargrafodaLista"/>
        <w:numPr>
          <w:ilvl w:val="0"/>
          <w:numId w:val="3"/>
        </w:numPr>
        <w:spacing w:after="120"/>
        <w:jc w:val="both"/>
        <w:rPr>
          <w:b/>
        </w:rPr>
      </w:pPr>
      <w:r w:rsidRPr="009A2249">
        <w:rPr>
          <w:b/>
        </w:rPr>
        <w:t>Considerações Finais</w:t>
      </w:r>
    </w:p>
    <w:p w:rsidR="0004494C"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Neste trabalho, foram analisados os impactos da </w:t>
      </w:r>
      <w:r w:rsidRPr="009A2249">
        <w:rPr>
          <w:rFonts w:ascii="Times New Roman" w:hAnsi="Times New Roman"/>
          <w:i/>
          <w:sz w:val="24"/>
          <w:szCs w:val="24"/>
        </w:rPr>
        <w:t>desaposentação</w:t>
      </w:r>
      <w:r w:rsidRPr="009A2249">
        <w:rPr>
          <w:rFonts w:ascii="Times New Roman" w:hAnsi="Times New Roman"/>
          <w:sz w:val="24"/>
          <w:szCs w:val="24"/>
        </w:rPr>
        <w:t xml:space="preserve"> para a aposentadoria por tempo de contribuição</w:t>
      </w:r>
      <w:r w:rsidR="00602283" w:rsidRPr="009A2249">
        <w:rPr>
          <w:rFonts w:ascii="Times New Roman" w:hAnsi="Times New Roman"/>
          <w:sz w:val="24"/>
          <w:szCs w:val="24"/>
        </w:rPr>
        <w:t xml:space="preserve">, do ponto de vista </w:t>
      </w:r>
      <w:r w:rsidR="008F777D" w:rsidRPr="009A2249">
        <w:rPr>
          <w:rFonts w:ascii="Times New Roman" w:hAnsi="Times New Roman"/>
          <w:sz w:val="24"/>
          <w:szCs w:val="24"/>
        </w:rPr>
        <w:t xml:space="preserve">da escolha individual ótima </w:t>
      </w:r>
      <w:r w:rsidR="00602283" w:rsidRPr="009A2249">
        <w:rPr>
          <w:rFonts w:ascii="Times New Roman" w:hAnsi="Times New Roman"/>
          <w:sz w:val="24"/>
          <w:szCs w:val="24"/>
        </w:rPr>
        <w:t>do segurado</w:t>
      </w:r>
      <w:r w:rsidRPr="009A2249">
        <w:rPr>
          <w:rFonts w:ascii="Times New Roman" w:hAnsi="Times New Roman"/>
          <w:sz w:val="24"/>
          <w:szCs w:val="24"/>
        </w:rPr>
        <w:t xml:space="preserve">. Isso é evidenciado pela existência de um valor de TIR máximo no período de </w:t>
      </w:r>
      <w:r w:rsidRPr="009A2249">
        <w:rPr>
          <w:rFonts w:ascii="Times New Roman" w:hAnsi="Times New Roman"/>
          <w:i/>
          <w:sz w:val="24"/>
          <w:szCs w:val="24"/>
        </w:rPr>
        <w:t>desaposentação</w:t>
      </w:r>
      <w:r w:rsidRPr="009A2249">
        <w:rPr>
          <w:rFonts w:ascii="Times New Roman" w:hAnsi="Times New Roman"/>
          <w:sz w:val="24"/>
          <w:szCs w:val="24"/>
        </w:rPr>
        <w:t xml:space="preserve">. A TIR </w:t>
      </w:r>
      <w:r w:rsidR="00D568E1" w:rsidRPr="009A2249">
        <w:rPr>
          <w:rFonts w:ascii="Times New Roman" w:hAnsi="Times New Roman"/>
          <w:sz w:val="24"/>
          <w:szCs w:val="24"/>
        </w:rPr>
        <w:t>cresce</w:t>
      </w:r>
      <w:r w:rsidRPr="009A2249">
        <w:rPr>
          <w:rFonts w:ascii="Times New Roman" w:hAnsi="Times New Roman"/>
          <w:sz w:val="24"/>
          <w:szCs w:val="24"/>
        </w:rPr>
        <w:t xml:space="preserve"> até atingir o </w:t>
      </w:r>
      <w:r w:rsidR="00D568E1" w:rsidRPr="009A2249">
        <w:rPr>
          <w:rFonts w:ascii="Times New Roman" w:hAnsi="Times New Roman"/>
          <w:sz w:val="24"/>
          <w:szCs w:val="24"/>
        </w:rPr>
        <w:t xml:space="preserve">valor </w:t>
      </w:r>
      <w:r w:rsidRPr="009A2249">
        <w:rPr>
          <w:rFonts w:ascii="Times New Roman" w:hAnsi="Times New Roman"/>
          <w:sz w:val="24"/>
          <w:szCs w:val="24"/>
        </w:rPr>
        <w:t xml:space="preserve">máximo </w:t>
      </w:r>
      <w:proofErr w:type="gramStart"/>
      <w:r w:rsidR="00474A81">
        <w:rPr>
          <w:rFonts w:ascii="Times New Roman" w:hAnsi="Times New Roman"/>
          <w:sz w:val="24"/>
          <w:szCs w:val="24"/>
        </w:rPr>
        <w:t>4</w:t>
      </w:r>
      <w:proofErr w:type="gramEnd"/>
      <w:r w:rsidRPr="009A2249">
        <w:rPr>
          <w:rFonts w:ascii="Times New Roman" w:hAnsi="Times New Roman"/>
          <w:sz w:val="24"/>
          <w:szCs w:val="24"/>
        </w:rPr>
        <w:t xml:space="preserve"> anos </w:t>
      </w:r>
      <w:r w:rsidR="00474A81">
        <w:rPr>
          <w:rFonts w:ascii="Times New Roman" w:hAnsi="Times New Roman"/>
          <w:sz w:val="24"/>
          <w:szCs w:val="24"/>
        </w:rPr>
        <w:t xml:space="preserve">e 10 meses </w:t>
      </w:r>
      <w:r w:rsidRPr="009A2249">
        <w:rPr>
          <w:rFonts w:ascii="Times New Roman" w:hAnsi="Times New Roman"/>
          <w:sz w:val="24"/>
          <w:szCs w:val="24"/>
        </w:rPr>
        <w:t xml:space="preserve">após a aposentadoria </w:t>
      </w:r>
      <w:r w:rsidR="00D568E1" w:rsidRPr="009A2249">
        <w:rPr>
          <w:rFonts w:ascii="Times New Roman" w:hAnsi="Times New Roman"/>
          <w:sz w:val="24"/>
          <w:szCs w:val="24"/>
        </w:rPr>
        <w:t>(</w:t>
      </w:r>
      <w:r w:rsidRPr="009A2249">
        <w:rPr>
          <w:rFonts w:ascii="Times New Roman" w:hAnsi="Times New Roman"/>
          <w:sz w:val="24"/>
          <w:szCs w:val="24"/>
        </w:rPr>
        <w:t>homens</w:t>
      </w:r>
      <w:r w:rsidR="00D568E1" w:rsidRPr="009A2249">
        <w:rPr>
          <w:rFonts w:ascii="Times New Roman" w:hAnsi="Times New Roman"/>
          <w:sz w:val="24"/>
          <w:szCs w:val="24"/>
        </w:rPr>
        <w:t xml:space="preserve">) </w:t>
      </w:r>
      <w:r w:rsidRPr="009A2249">
        <w:rPr>
          <w:rFonts w:ascii="Times New Roman" w:hAnsi="Times New Roman"/>
          <w:sz w:val="24"/>
          <w:szCs w:val="24"/>
        </w:rPr>
        <w:t xml:space="preserve">e </w:t>
      </w:r>
      <w:r w:rsidR="00474A81">
        <w:rPr>
          <w:rFonts w:ascii="Times New Roman" w:hAnsi="Times New Roman"/>
          <w:sz w:val="24"/>
          <w:szCs w:val="24"/>
        </w:rPr>
        <w:t>7 anos e 10 meses</w:t>
      </w:r>
      <w:r w:rsidRPr="009A2249">
        <w:rPr>
          <w:rFonts w:ascii="Times New Roman" w:hAnsi="Times New Roman"/>
          <w:sz w:val="24"/>
          <w:szCs w:val="24"/>
        </w:rPr>
        <w:t xml:space="preserve"> </w:t>
      </w:r>
      <w:r w:rsidR="00474A81">
        <w:rPr>
          <w:rFonts w:ascii="Times New Roman" w:hAnsi="Times New Roman"/>
          <w:sz w:val="24"/>
          <w:szCs w:val="24"/>
        </w:rPr>
        <w:t xml:space="preserve">ou </w:t>
      </w:r>
      <w:r w:rsidR="00D568E1" w:rsidRPr="009A2249">
        <w:rPr>
          <w:rFonts w:ascii="Times New Roman" w:hAnsi="Times New Roman"/>
          <w:sz w:val="24"/>
          <w:szCs w:val="24"/>
        </w:rPr>
        <w:t>(</w:t>
      </w:r>
      <w:r w:rsidRPr="009A2249">
        <w:rPr>
          <w:rFonts w:ascii="Times New Roman" w:hAnsi="Times New Roman"/>
          <w:sz w:val="24"/>
          <w:szCs w:val="24"/>
        </w:rPr>
        <w:t>mulheres</w:t>
      </w:r>
      <w:r w:rsidR="00D568E1" w:rsidRPr="009A2249">
        <w:rPr>
          <w:rFonts w:ascii="Times New Roman" w:hAnsi="Times New Roman"/>
          <w:sz w:val="24"/>
          <w:szCs w:val="24"/>
        </w:rPr>
        <w:t>)</w:t>
      </w:r>
      <w:r w:rsidR="0004494C" w:rsidRPr="009A2249">
        <w:rPr>
          <w:rFonts w:ascii="Times New Roman" w:hAnsi="Times New Roman"/>
          <w:sz w:val="24"/>
          <w:szCs w:val="24"/>
        </w:rPr>
        <w:t>, caindo a seguir.</w:t>
      </w:r>
    </w:p>
    <w:p w:rsidR="00B904A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Es</w:t>
      </w:r>
      <w:r w:rsidR="007231A3" w:rsidRPr="009A2249">
        <w:rPr>
          <w:rFonts w:ascii="Times New Roman" w:hAnsi="Times New Roman"/>
          <w:sz w:val="24"/>
          <w:szCs w:val="24"/>
        </w:rPr>
        <w:t xml:space="preserve">tes resultados evidenciam a existência de um momento </w:t>
      </w:r>
      <w:r w:rsidR="00492404">
        <w:rPr>
          <w:rFonts w:ascii="Times New Roman" w:hAnsi="Times New Roman"/>
          <w:sz w:val="24"/>
          <w:szCs w:val="24"/>
        </w:rPr>
        <w:t>ideal</w:t>
      </w:r>
      <w:r w:rsidRPr="009A2249">
        <w:rPr>
          <w:rFonts w:ascii="Times New Roman" w:hAnsi="Times New Roman"/>
          <w:sz w:val="24"/>
          <w:szCs w:val="24"/>
        </w:rPr>
        <w:t xml:space="preserve"> para pedir o recálculo do benefício</w:t>
      </w:r>
      <w:r w:rsidR="008F777D" w:rsidRPr="009A2249">
        <w:rPr>
          <w:rFonts w:ascii="Times New Roman" w:hAnsi="Times New Roman"/>
          <w:sz w:val="24"/>
          <w:szCs w:val="24"/>
        </w:rPr>
        <w:t xml:space="preserve"> previdenciário. Este prazo</w:t>
      </w:r>
      <w:r w:rsidRPr="009A2249">
        <w:rPr>
          <w:rFonts w:ascii="Times New Roman" w:hAnsi="Times New Roman"/>
          <w:sz w:val="24"/>
          <w:szCs w:val="24"/>
        </w:rPr>
        <w:t xml:space="preserve"> é de </w:t>
      </w:r>
      <w:proofErr w:type="gramStart"/>
      <w:r w:rsidR="00492404">
        <w:rPr>
          <w:rFonts w:ascii="Times New Roman" w:hAnsi="Times New Roman"/>
          <w:sz w:val="24"/>
          <w:szCs w:val="24"/>
        </w:rPr>
        <w:t>4</w:t>
      </w:r>
      <w:proofErr w:type="gramEnd"/>
      <w:r w:rsidRPr="009A2249">
        <w:rPr>
          <w:rFonts w:ascii="Times New Roman" w:hAnsi="Times New Roman"/>
          <w:sz w:val="24"/>
          <w:szCs w:val="24"/>
        </w:rPr>
        <w:t xml:space="preserve"> anos </w:t>
      </w:r>
      <w:r w:rsidR="00492404">
        <w:rPr>
          <w:rFonts w:ascii="Times New Roman" w:hAnsi="Times New Roman"/>
          <w:sz w:val="24"/>
          <w:szCs w:val="24"/>
        </w:rPr>
        <w:t xml:space="preserve">e 10 meses </w:t>
      </w:r>
      <w:r w:rsidRPr="009A2249">
        <w:rPr>
          <w:rFonts w:ascii="Times New Roman" w:hAnsi="Times New Roman"/>
          <w:sz w:val="24"/>
          <w:szCs w:val="24"/>
        </w:rPr>
        <w:t>após a a</w:t>
      </w:r>
      <w:r w:rsidR="00492404">
        <w:rPr>
          <w:rFonts w:ascii="Times New Roman" w:hAnsi="Times New Roman"/>
          <w:sz w:val="24"/>
          <w:szCs w:val="24"/>
        </w:rPr>
        <w:t>posentadoria para os homens das</w:t>
      </w:r>
      <w:r w:rsidRPr="009A2249">
        <w:rPr>
          <w:rFonts w:ascii="Times New Roman" w:hAnsi="Times New Roman"/>
          <w:sz w:val="24"/>
          <w:szCs w:val="24"/>
        </w:rPr>
        <w:t xml:space="preserve"> faixas </w:t>
      </w:r>
      <w:r w:rsidR="00492404">
        <w:rPr>
          <w:rFonts w:ascii="Times New Roman" w:hAnsi="Times New Roman"/>
          <w:sz w:val="24"/>
          <w:szCs w:val="24"/>
        </w:rPr>
        <w:t xml:space="preserve">superiores </w:t>
      </w:r>
      <w:r w:rsidRPr="009A2249">
        <w:rPr>
          <w:rFonts w:ascii="Times New Roman" w:hAnsi="Times New Roman"/>
          <w:sz w:val="24"/>
          <w:szCs w:val="24"/>
        </w:rPr>
        <w:t>de renda</w:t>
      </w:r>
      <w:r w:rsidR="00492404">
        <w:rPr>
          <w:rFonts w:ascii="Times New Roman" w:hAnsi="Times New Roman"/>
          <w:sz w:val="24"/>
          <w:szCs w:val="24"/>
        </w:rPr>
        <w:t xml:space="preserve"> e 5 anos e 10 meses</w:t>
      </w:r>
      <w:r w:rsidR="00B5651D">
        <w:rPr>
          <w:rFonts w:ascii="Times New Roman" w:hAnsi="Times New Roman"/>
          <w:sz w:val="24"/>
          <w:szCs w:val="24"/>
        </w:rPr>
        <w:t xml:space="preserve"> para homens de renda mais baixas</w:t>
      </w:r>
      <w:r w:rsidRPr="009A2249">
        <w:rPr>
          <w:rFonts w:ascii="Times New Roman" w:hAnsi="Times New Roman"/>
          <w:sz w:val="24"/>
          <w:szCs w:val="24"/>
        </w:rPr>
        <w:t xml:space="preserve">, pois eles obterão um retorno maior entre as contribuições e benefícios. </w:t>
      </w:r>
      <w:r w:rsidR="008F777D" w:rsidRPr="009A2249">
        <w:rPr>
          <w:rFonts w:ascii="Times New Roman" w:hAnsi="Times New Roman"/>
          <w:sz w:val="24"/>
          <w:szCs w:val="24"/>
        </w:rPr>
        <w:t>No caso d</w:t>
      </w:r>
      <w:r w:rsidRPr="009A2249">
        <w:rPr>
          <w:rFonts w:ascii="Times New Roman" w:hAnsi="Times New Roman"/>
          <w:sz w:val="24"/>
          <w:szCs w:val="24"/>
        </w:rPr>
        <w:t xml:space="preserve">as mulheres, esse tempo diminui conforme aumenta a faixa salarial, pois uma pessoa com </w:t>
      </w:r>
      <w:proofErr w:type="gramStart"/>
      <w:r w:rsidRPr="009A2249">
        <w:rPr>
          <w:rFonts w:ascii="Times New Roman" w:hAnsi="Times New Roman"/>
          <w:sz w:val="24"/>
          <w:szCs w:val="24"/>
        </w:rPr>
        <w:t>5</w:t>
      </w:r>
      <w:proofErr w:type="gramEnd"/>
      <w:r w:rsidRPr="009A2249">
        <w:rPr>
          <w:rFonts w:ascii="Times New Roman" w:hAnsi="Times New Roman"/>
          <w:sz w:val="24"/>
          <w:szCs w:val="24"/>
        </w:rPr>
        <w:t xml:space="preserve"> SM inici</w:t>
      </w:r>
      <w:r w:rsidR="008F777D" w:rsidRPr="009A2249">
        <w:rPr>
          <w:rFonts w:ascii="Times New Roman" w:hAnsi="Times New Roman"/>
          <w:sz w:val="24"/>
          <w:szCs w:val="24"/>
        </w:rPr>
        <w:t>al terá seu retorno máximo após</w:t>
      </w:r>
      <w:r w:rsidRPr="009A2249">
        <w:rPr>
          <w:rFonts w:ascii="Times New Roman" w:hAnsi="Times New Roman"/>
          <w:sz w:val="24"/>
          <w:szCs w:val="24"/>
        </w:rPr>
        <w:t xml:space="preserve"> </w:t>
      </w:r>
      <w:r w:rsidR="00B5651D">
        <w:rPr>
          <w:rFonts w:ascii="Times New Roman" w:hAnsi="Times New Roman"/>
          <w:sz w:val="24"/>
          <w:szCs w:val="24"/>
        </w:rPr>
        <w:t>7 anos e 10</w:t>
      </w:r>
      <w:r w:rsidRPr="009A2249">
        <w:rPr>
          <w:rFonts w:ascii="Times New Roman" w:hAnsi="Times New Roman"/>
          <w:sz w:val="24"/>
          <w:szCs w:val="24"/>
        </w:rPr>
        <w:t xml:space="preserve"> </w:t>
      </w:r>
      <w:r w:rsidR="00B5651D">
        <w:rPr>
          <w:rFonts w:ascii="Times New Roman" w:hAnsi="Times New Roman"/>
          <w:sz w:val="24"/>
          <w:szCs w:val="24"/>
        </w:rPr>
        <w:t>meses</w:t>
      </w:r>
      <w:r w:rsidRPr="009A2249">
        <w:rPr>
          <w:rFonts w:ascii="Times New Roman" w:hAnsi="Times New Roman"/>
          <w:sz w:val="24"/>
          <w:szCs w:val="24"/>
        </w:rPr>
        <w:t>, enquanto outra com 1 SM obterá com mais de 1</w:t>
      </w:r>
      <w:r w:rsidR="00B5651D">
        <w:rPr>
          <w:rFonts w:ascii="Times New Roman" w:hAnsi="Times New Roman"/>
          <w:sz w:val="24"/>
          <w:szCs w:val="24"/>
        </w:rPr>
        <w:t>2</w:t>
      </w:r>
      <w:r w:rsidRPr="009A2249">
        <w:rPr>
          <w:rFonts w:ascii="Times New Roman" w:hAnsi="Times New Roman"/>
          <w:sz w:val="24"/>
          <w:szCs w:val="24"/>
        </w:rPr>
        <w:t xml:space="preserve"> anos. </w:t>
      </w:r>
    </w:p>
    <w:p w:rsidR="00B904A6" w:rsidRPr="009A2249" w:rsidRDefault="00B904A6" w:rsidP="008C6C9C">
      <w:pPr>
        <w:spacing w:after="120" w:line="240" w:lineRule="auto"/>
        <w:ind w:firstLine="709"/>
        <w:jc w:val="both"/>
        <w:rPr>
          <w:rFonts w:ascii="Times New Roman" w:hAnsi="Times New Roman"/>
          <w:sz w:val="24"/>
          <w:szCs w:val="24"/>
        </w:rPr>
      </w:pPr>
      <w:r w:rsidRPr="009A2249">
        <w:rPr>
          <w:rFonts w:ascii="Times New Roman" w:hAnsi="Times New Roman"/>
          <w:sz w:val="24"/>
          <w:szCs w:val="24"/>
        </w:rPr>
        <w:t xml:space="preserve">Considerando o cenário de devolução do benefício de aposentadoria para manter </w:t>
      </w:r>
      <w:r w:rsidR="008F777D" w:rsidRPr="009A2249">
        <w:rPr>
          <w:rFonts w:ascii="Times New Roman" w:hAnsi="Times New Roman"/>
          <w:sz w:val="24"/>
          <w:szCs w:val="24"/>
        </w:rPr>
        <w:t xml:space="preserve">a </w:t>
      </w:r>
      <w:r w:rsidRPr="009A2249">
        <w:rPr>
          <w:rFonts w:ascii="Times New Roman" w:hAnsi="Times New Roman"/>
          <w:sz w:val="24"/>
          <w:szCs w:val="24"/>
        </w:rPr>
        <w:t xml:space="preserve">justiça atuarial e utilizando a mesma hipótese adotada, percebe-se que a </w:t>
      </w:r>
      <w:r w:rsidRPr="009A2249">
        <w:rPr>
          <w:rFonts w:ascii="Times New Roman" w:hAnsi="Times New Roman"/>
          <w:i/>
          <w:sz w:val="24"/>
          <w:szCs w:val="24"/>
        </w:rPr>
        <w:t>desaposentação</w:t>
      </w:r>
      <w:r w:rsidRPr="009A2249">
        <w:rPr>
          <w:rFonts w:ascii="Times New Roman" w:hAnsi="Times New Roman"/>
          <w:sz w:val="24"/>
          <w:szCs w:val="24"/>
        </w:rPr>
        <w:t xml:space="preserve"> não se torna vantajosa para a maioria das faixas de salário e tempo de </w:t>
      </w:r>
      <w:r w:rsidRPr="009A2249">
        <w:rPr>
          <w:rFonts w:ascii="Times New Roman" w:hAnsi="Times New Roman"/>
          <w:i/>
          <w:sz w:val="24"/>
          <w:szCs w:val="24"/>
        </w:rPr>
        <w:t>desaposentação</w:t>
      </w:r>
      <w:r w:rsidRPr="009A2249">
        <w:rPr>
          <w:rFonts w:ascii="Times New Roman" w:hAnsi="Times New Roman"/>
          <w:sz w:val="24"/>
          <w:szCs w:val="24"/>
        </w:rPr>
        <w:t xml:space="preserve">, pois o aumento conseguido no recálculo do benefício seria totalmente consumido para o pagamento parcelado do benefício de aposentadoria. Como a expectativa de sobrevida do homem é menor, </w:t>
      </w:r>
      <w:r w:rsidR="00060460">
        <w:rPr>
          <w:rFonts w:ascii="Times New Roman" w:hAnsi="Times New Roman"/>
          <w:sz w:val="24"/>
          <w:szCs w:val="24"/>
        </w:rPr>
        <w:t xml:space="preserve">todos os </w:t>
      </w:r>
      <w:r w:rsidRPr="009A2249">
        <w:rPr>
          <w:rFonts w:ascii="Times New Roman" w:hAnsi="Times New Roman"/>
          <w:sz w:val="24"/>
          <w:szCs w:val="24"/>
        </w:rPr>
        <w:t>segurado</w:t>
      </w:r>
      <w:r w:rsidR="00060460">
        <w:rPr>
          <w:rFonts w:ascii="Times New Roman" w:hAnsi="Times New Roman"/>
          <w:sz w:val="24"/>
          <w:szCs w:val="24"/>
        </w:rPr>
        <w:t>s</w:t>
      </w:r>
      <w:r w:rsidRPr="009A2249">
        <w:rPr>
          <w:rFonts w:ascii="Times New Roman" w:hAnsi="Times New Roman"/>
          <w:sz w:val="24"/>
          <w:szCs w:val="24"/>
        </w:rPr>
        <w:t xml:space="preserve"> do sexo masculino que tivesse que devolver o montante adquirido </w:t>
      </w:r>
      <w:r w:rsidRPr="009A2249">
        <w:rPr>
          <w:rFonts w:ascii="Times New Roman" w:hAnsi="Times New Roman"/>
          <w:sz w:val="24"/>
          <w:szCs w:val="24"/>
        </w:rPr>
        <w:lastRenderedPageBreak/>
        <w:t xml:space="preserve">na aposentadoria </w:t>
      </w:r>
      <w:proofErr w:type="gramStart"/>
      <w:r w:rsidR="00060460">
        <w:rPr>
          <w:rFonts w:ascii="Times New Roman" w:hAnsi="Times New Roman"/>
          <w:sz w:val="24"/>
          <w:szCs w:val="24"/>
        </w:rPr>
        <w:t>perceberiam</w:t>
      </w:r>
      <w:proofErr w:type="gramEnd"/>
      <w:r w:rsidR="00060460">
        <w:rPr>
          <w:rFonts w:ascii="Times New Roman" w:hAnsi="Times New Roman"/>
          <w:sz w:val="24"/>
          <w:szCs w:val="24"/>
        </w:rPr>
        <w:t xml:space="preserve"> vantagem </w:t>
      </w:r>
      <w:r w:rsidRPr="009A2249">
        <w:rPr>
          <w:rFonts w:ascii="Times New Roman" w:hAnsi="Times New Roman"/>
          <w:sz w:val="24"/>
          <w:szCs w:val="24"/>
        </w:rPr>
        <w:t>no valor do benefício, pois terminaria</w:t>
      </w:r>
      <w:r w:rsidR="00060460">
        <w:rPr>
          <w:rFonts w:ascii="Times New Roman" w:hAnsi="Times New Roman"/>
          <w:sz w:val="24"/>
          <w:szCs w:val="24"/>
        </w:rPr>
        <w:t>m</w:t>
      </w:r>
      <w:r w:rsidRPr="009A2249">
        <w:rPr>
          <w:rFonts w:ascii="Times New Roman" w:hAnsi="Times New Roman"/>
          <w:sz w:val="24"/>
          <w:szCs w:val="24"/>
        </w:rPr>
        <w:t xml:space="preserve"> de pagar somente após a sua morte.</w:t>
      </w:r>
    </w:p>
    <w:p w:rsidR="00E32C33" w:rsidRPr="00E32C33" w:rsidRDefault="00E32C33" w:rsidP="00E32C33">
      <w:pPr>
        <w:spacing w:after="120" w:line="240" w:lineRule="auto"/>
        <w:ind w:firstLine="709"/>
        <w:jc w:val="both"/>
        <w:rPr>
          <w:rFonts w:ascii="Times New Roman" w:hAnsi="Times New Roman"/>
          <w:sz w:val="24"/>
          <w:szCs w:val="24"/>
        </w:rPr>
      </w:pPr>
      <w:r w:rsidRPr="00E32C33">
        <w:rPr>
          <w:rFonts w:ascii="Times New Roman" w:hAnsi="Times New Roman"/>
          <w:sz w:val="24"/>
          <w:szCs w:val="24"/>
        </w:rPr>
        <w:t>Para as mulheres, com expectativa de sobrevida maior, alguns cenários seriam vantajosos pedir o recálculo do benefício</w:t>
      </w:r>
      <w:r w:rsidR="00BC6D19">
        <w:rPr>
          <w:rFonts w:ascii="Times New Roman" w:hAnsi="Times New Roman"/>
          <w:sz w:val="24"/>
          <w:szCs w:val="24"/>
        </w:rPr>
        <w:t>, quando se considera o cenário em que</w:t>
      </w:r>
      <w:r w:rsidR="00C36D48">
        <w:rPr>
          <w:rFonts w:ascii="Times New Roman" w:hAnsi="Times New Roman"/>
          <w:sz w:val="24"/>
          <w:szCs w:val="24"/>
        </w:rPr>
        <w:t xml:space="preserve"> precisa devolver os benefícios concedidos</w:t>
      </w:r>
      <w:r w:rsidRPr="00E32C33">
        <w:rPr>
          <w:rFonts w:ascii="Times New Roman" w:hAnsi="Times New Roman"/>
          <w:sz w:val="24"/>
          <w:szCs w:val="24"/>
        </w:rPr>
        <w:t xml:space="preserve">. </w:t>
      </w:r>
      <w:r w:rsidRPr="003A5CCC">
        <w:rPr>
          <w:rFonts w:ascii="Times New Roman" w:hAnsi="Times New Roman"/>
          <w:sz w:val="24"/>
          <w:szCs w:val="24"/>
        </w:rPr>
        <w:t>Para o cenário de até 1</w:t>
      </w:r>
      <w:r w:rsidR="00B5651D" w:rsidRPr="003A5CCC">
        <w:rPr>
          <w:rFonts w:ascii="Times New Roman" w:hAnsi="Times New Roman"/>
          <w:sz w:val="24"/>
          <w:szCs w:val="24"/>
        </w:rPr>
        <w:t>5</w:t>
      </w:r>
      <w:r w:rsidRPr="003A5CCC">
        <w:rPr>
          <w:rFonts w:ascii="Times New Roman" w:hAnsi="Times New Roman"/>
          <w:sz w:val="24"/>
          <w:szCs w:val="24"/>
        </w:rPr>
        <w:t xml:space="preserve"> anos para pedir o recálculo, as mulheres nas faixas de renda inicial de </w:t>
      </w:r>
      <w:proofErr w:type="gramStart"/>
      <w:r w:rsidRPr="003A5CCC">
        <w:rPr>
          <w:rFonts w:ascii="Times New Roman" w:hAnsi="Times New Roman"/>
          <w:sz w:val="24"/>
          <w:szCs w:val="24"/>
        </w:rPr>
        <w:t>2</w:t>
      </w:r>
      <w:proofErr w:type="gramEnd"/>
      <w:r w:rsidRPr="003A5CCC">
        <w:rPr>
          <w:rFonts w:ascii="Times New Roman" w:hAnsi="Times New Roman"/>
          <w:sz w:val="24"/>
          <w:szCs w:val="24"/>
        </w:rPr>
        <w:t xml:space="preserve"> e 3 SM teriam vantagem ao pedir a </w:t>
      </w:r>
      <w:r w:rsidRPr="003A5CCC">
        <w:rPr>
          <w:rFonts w:ascii="Times New Roman" w:hAnsi="Times New Roman"/>
          <w:i/>
          <w:sz w:val="24"/>
          <w:szCs w:val="24"/>
        </w:rPr>
        <w:t xml:space="preserve">desaposentação </w:t>
      </w:r>
      <w:r w:rsidRPr="003A5CCC">
        <w:rPr>
          <w:rFonts w:ascii="Times New Roman" w:hAnsi="Times New Roman"/>
          <w:sz w:val="24"/>
          <w:szCs w:val="24"/>
        </w:rPr>
        <w:t xml:space="preserve">com qualquer tempo posterior ao pedido de aposentadoria. Para a faixa de salário inicial de </w:t>
      </w:r>
      <w:proofErr w:type="gramStart"/>
      <w:r w:rsidRPr="003A5CCC">
        <w:rPr>
          <w:rFonts w:ascii="Times New Roman" w:hAnsi="Times New Roman"/>
          <w:sz w:val="24"/>
          <w:szCs w:val="24"/>
        </w:rPr>
        <w:t>1</w:t>
      </w:r>
      <w:proofErr w:type="gramEnd"/>
      <w:r w:rsidRPr="003A5CCC">
        <w:rPr>
          <w:rFonts w:ascii="Times New Roman" w:hAnsi="Times New Roman"/>
          <w:sz w:val="24"/>
          <w:szCs w:val="24"/>
        </w:rPr>
        <w:t xml:space="preserve"> SM, nenhuma mulher teria um aumento no valor de benefício de </w:t>
      </w:r>
      <w:r w:rsidRPr="003A5CCC">
        <w:rPr>
          <w:rFonts w:ascii="Times New Roman" w:hAnsi="Times New Roman"/>
          <w:i/>
          <w:sz w:val="24"/>
          <w:szCs w:val="24"/>
        </w:rPr>
        <w:t>desaposentação</w:t>
      </w:r>
      <w:r w:rsidR="00BC6D19" w:rsidRPr="003A5CCC">
        <w:rPr>
          <w:rFonts w:ascii="Times New Roman" w:hAnsi="Times New Roman"/>
          <w:sz w:val="24"/>
          <w:szCs w:val="24"/>
        </w:rPr>
        <w:t xml:space="preserve"> de tal modo que conseguisse</w:t>
      </w:r>
      <w:r w:rsidRPr="003A5CCC">
        <w:rPr>
          <w:rFonts w:ascii="Times New Roman" w:hAnsi="Times New Roman"/>
          <w:sz w:val="24"/>
          <w:szCs w:val="24"/>
        </w:rPr>
        <w:t xml:space="preserve"> pagar todo o valor devido. O mesmo acontece para </w:t>
      </w:r>
      <w:proofErr w:type="gramStart"/>
      <w:r w:rsidR="003A5CCC" w:rsidRPr="003A5CCC">
        <w:rPr>
          <w:rFonts w:ascii="Times New Roman" w:hAnsi="Times New Roman"/>
          <w:sz w:val="24"/>
          <w:szCs w:val="24"/>
        </w:rPr>
        <w:t>4</w:t>
      </w:r>
      <w:proofErr w:type="gramEnd"/>
      <w:r w:rsidR="003A5CCC" w:rsidRPr="003A5CCC">
        <w:rPr>
          <w:rFonts w:ascii="Times New Roman" w:hAnsi="Times New Roman"/>
          <w:sz w:val="24"/>
          <w:szCs w:val="24"/>
        </w:rPr>
        <w:t xml:space="preserve"> SM e tempo de e tempo de </w:t>
      </w:r>
      <w:r w:rsidR="003A5CCC" w:rsidRPr="003A5CCC">
        <w:rPr>
          <w:rFonts w:ascii="Times New Roman" w:hAnsi="Times New Roman"/>
          <w:i/>
          <w:sz w:val="24"/>
          <w:szCs w:val="24"/>
        </w:rPr>
        <w:t xml:space="preserve">desaposentação </w:t>
      </w:r>
      <w:r w:rsidR="003A5CCC" w:rsidRPr="003A5CCC">
        <w:rPr>
          <w:rFonts w:ascii="Times New Roman" w:hAnsi="Times New Roman"/>
          <w:sz w:val="24"/>
          <w:szCs w:val="24"/>
        </w:rPr>
        <w:t xml:space="preserve">maior que 10 anos e as que estão nas faixas </w:t>
      </w:r>
      <w:r w:rsidRPr="003A5CCC">
        <w:rPr>
          <w:rFonts w:ascii="Times New Roman" w:hAnsi="Times New Roman"/>
          <w:sz w:val="24"/>
          <w:szCs w:val="24"/>
        </w:rPr>
        <w:t xml:space="preserve">5 SM e tempo de </w:t>
      </w:r>
      <w:r w:rsidRPr="003A5CCC">
        <w:rPr>
          <w:rFonts w:ascii="Times New Roman" w:hAnsi="Times New Roman"/>
          <w:i/>
          <w:sz w:val="24"/>
          <w:szCs w:val="24"/>
        </w:rPr>
        <w:t xml:space="preserve">desaposentação </w:t>
      </w:r>
      <w:r w:rsidRPr="003A5CCC">
        <w:rPr>
          <w:rFonts w:ascii="Times New Roman" w:hAnsi="Times New Roman"/>
          <w:sz w:val="24"/>
          <w:szCs w:val="24"/>
        </w:rPr>
        <w:t>maior que 9 anos. Verifica-se ainda que a existência da obrigatoriedade na devolução dos benefícios</w:t>
      </w:r>
      <w:proofErr w:type="gramStart"/>
      <w:r w:rsidRPr="003A5CCC">
        <w:rPr>
          <w:rFonts w:ascii="Times New Roman" w:hAnsi="Times New Roman"/>
          <w:sz w:val="24"/>
          <w:szCs w:val="24"/>
        </w:rPr>
        <w:t>, poderia</w:t>
      </w:r>
      <w:proofErr w:type="gramEnd"/>
      <w:r w:rsidRPr="003A5CCC">
        <w:rPr>
          <w:rFonts w:ascii="Times New Roman" w:hAnsi="Times New Roman"/>
          <w:sz w:val="24"/>
          <w:szCs w:val="24"/>
        </w:rPr>
        <w:t xml:space="preserve"> significar uma inibição aos pedidos de recálculo de benefícios para a maioria dos segurados, já que o </w:t>
      </w:r>
      <w:r w:rsidRPr="003A5CCC">
        <w:rPr>
          <w:rFonts w:ascii="Times New Roman" w:hAnsi="Times New Roman"/>
          <w:i/>
          <w:sz w:val="24"/>
          <w:szCs w:val="24"/>
        </w:rPr>
        <w:t>tradeoff</w:t>
      </w:r>
      <w:r w:rsidRPr="003A5CCC">
        <w:rPr>
          <w:rFonts w:ascii="Times New Roman" w:hAnsi="Times New Roman"/>
          <w:sz w:val="24"/>
          <w:szCs w:val="24"/>
        </w:rPr>
        <w:t xml:space="preserve"> entre o aumento do valor do benefício e a devolução do montante recebido anteriormente</w:t>
      </w:r>
      <w:r w:rsidRPr="00E32C33">
        <w:rPr>
          <w:rFonts w:ascii="Times New Roman" w:hAnsi="Times New Roman"/>
          <w:sz w:val="24"/>
          <w:szCs w:val="24"/>
        </w:rPr>
        <w:t xml:space="preserve"> não lhes seria favorável.</w:t>
      </w:r>
    </w:p>
    <w:p w:rsidR="00E32C33" w:rsidRPr="00E32C33" w:rsidDel="00125496" w:rsidRDefault="00E32C33" w:rsidP="00E32C33">
      <w:pPr>
        <w:spacing w:after="120" w:line="240" w:lineRule="auto"/>
        <w:ind w:firstLine="709"/>
        <w:jc w:val="both"/>
        <w:rPr>
          <w:rFonts w:ascii="Times New Roman" w:hAnsi="Times New Roman"/>
          <w:sz w:val="24"/>
          <w:szCs w:val="24"/>
        </w:rPr>
      </w:pPr>
      <w:r w:rsidRPr="00E32C33">
        <w:rPr>
          <w:rFonts w:ascii="Times New Roman" w:hAnsi="Times New Roman"/>
          <w:sz w:val="24"/>
          <w:szCs w:val="24"/>
        </w:rPr>
        <w:t>É válido notar a existência de não-</w:t>
      </w:r>
      <w:proofErr w:type="spellStart"/>
      <w:r w:rsidRPr="00E32C33">
        <w:rPr>
          <w:rFonts w:ascii="Times New Roman" w:hAnsi="Times New Roman"/>
          <w:sz w:val="24"/>
          <w:szCs w:val="24"/>
        </w:rPr>
        <w:t>monotonicidades</w:t>
      </w:r>
      <w:proofErr w:type="spellEnd"/>
      <w:r w:rsidRPr="00E32C33">
        <w:rPr>
          <w:rFonts w:ascii="Times New Roman" w:hAnsi="Times New Roman"/>
          <w:sz w:val="24"/>
          <w:szCs w:val="24"/>
        </w:rPr>
        <w:t xml:space="preserve"> em vários dos indicadores calculados, particularmente a TIR, conforme reportado, por exemplo, nas Tabelas 3, 4 e 5. Esta característica deve-se às </w:t>
      </w:r>
      <w:proofErr w:type="gramStart"/>
      <w:r w:rsidRPr="00E32C33">
        <w:rPr>
          <w:rFonts w:ascii="Times New Roman" w:hAnsi="Times New Roman"/>
          <w:sz w:val="24"/>
          <w:szCs w:val="24"/>
        </w:rPr>
        <w:t>não-linearidades</w:t>
      </w:r>
      <w:proofErr w:type="gramEnd"/>
      <w:r w:rsidRPr="00E32C33">
        <w:rPr>
          <w:rFonts w:ascii="Times New Roman" w:hAnsi="Times New Roman"/>
          <w:sz w:val="24"/>
          <w:szCs w:val="24"/>
        </w:rPr>
        <w:t xml:space="preserve"> existentes na ATC, tanto em relação ao período contributivo, quanto em relação ao cálculo do benefício, particularmente pela existência do Fator Previdenciário. Estes resultados também mostram que indicadores contemporâneos, como a TR por vezes não conseguem captar de forma adequada </w:t>
      </w:r>
      <w:proofErr w:type="gramStart"/>
      <w:r w:rsidRPr="00E32C33">
        <w:rPr>
          <w:rFonts w:ascii="Times New Roman" w:hAnsi="Times New Roman"/>
          <w:sz w:val="24"/>
          <w:szCs w:val="24"/>
        </w:rPr>
        <w:t>a</w:t>
      </w:r>
      <w:proofErr w:type="gramEnd"/>
      <w:r w:rsidRPr="00E32C33">
        <w:rPr>
          <w:rFonts w:ascii="Times New Roman" w:hAnsi="Times New Roman"/>
          <w:sz w:val="24"/>
          <w:szCs w:val="24"/>
        </w:rPr>
        <w:t xml:space="preserve"> complexidade dos regimes previdenciários de repartição, particularmente quanto aos aspectos distributivos. Daí a necessidade do cálculo de indicadores de caráter intertemporal, como a Taxa Interna de Retorno (TIR) e da Alíquota Necessária (AN). O cálculo da TIR tem ainda </w:t>
      </w:r>
      <w:proofErr w:type="gramStart"/>
      <w:r w:rsidRPr="00E32C33">
        <w:rPr>
          <w:rFonts w:ascii="Times New Roman" w:hAnsi="Times New Roman"/>
          <w:sz w:val="24"/>
          <w:szCs w:val="24"/>
        </w:rPr>
        <w:t>uma outra</w:t>
      </w:r>
      <w:proofErr w:type="gramEnd"/>
      <w:r w:rsidRPr="00E32C33">
        <w:rPr>
          <w:rFonts w:ascii="Times New Roman" w:hAnsi="Times New Roman"/>
          <w:sz w:val="24"/>
          <w:szCs w:val="24"/>
        </w:rPr>
        <w:t xml:space="preserve"> vantagem, que é não-imposição de uma taxa de desconto para um regime de repartição, ponto ainda pouco consensual na literatura, como reportam </w:t>
      </w:r>
      <w:r w:rsidR="00FE60AC" w:rsidRPr="00E32C33">
        <w:rPr>
          <w:rFonts w:ascii="Times New Roman" w:hAnsi="Times New Roman"/>
          <w:sz w:val="24"/>
          <w:szCs w:val="24"/>
        </w:rPr>
        <w:fldChar w:fldCharType="begin" w:fldLock="1"/>
      </w:r>
      <w:r w:rsidRPr="00E32C33">
        <w:rPr>
          <w:rFonts w:ascii="Times New Roman" w:hAnsi="Times New Roman"/>
          <w:sz w:val="24"/>
          <w:szCs w:val="24"/>
        </w:rPr>
        <w:instrText>ADDIN CSL_CITATION { "citationItems" : [ { "id" : "ITEM-1", "itemData" : { "DOI" : "10.1016/j.jacceco.2010.06.003", "ISSN" : "01654101", "abstract" : "This study provides evidence that, when \u2018\u2018hard\u2019\u2019 freezing their defined benefit pension plans, employers select downward biased accounting assumptions to exaggerate the economic burden of their benefit plans. Downward biased expected rates of return and discount rates allow managers to increase reported pension expenses and, for discount rates, allow managers to increase reported pension liabilities. We find that prior to the Sarbanes-Oxley Act, both rates are downward biased when firms freeze their plans, whereas after SOX the bias is lower. This finding is consistent with managers opportunistically biasing pension estimates to obtain labor concessions during periods of reduced regulatory scrutiny. &amp;", "author" : [ { "dropping-particle" : "", "family" : "Comprix", "given" : "Joseph", "non-dropping-particle" : "", "parse-names" : false, "suffix" : "" }, { "dropping-particle" : "", "family" : "Muller", "given" : "Karl A.", "non-dropping-particle" : "", "parse-names" : false, "suffix" : "" } ], "container-title" : "Journal of Accounting and Economics", "id" : "ITEM-1", "issue" : "1-2", "issued" : { "date-parts" : [ [ "2011", "2" ] ] }, "page" : "115-133", "title" : "Pension plan accounting estimates and the freezing of defined benefit pension plans", "type" : "article-journal", "volume" : "51" }, "uris" : [ "http://www.mendeley.com/documents/?uuid=9ef7dca8-21d8-433e-ae76-fc8eba20d509" ] } ], "mendeley" : { "manualFormatting" : "Comprix e Muller (2011)", "previouslyFormattedCitation" : "Comprix; Muller (2011)" }, "properties" : { "noteIndex" : 0 }, "schema" : "https://github.com/citation-style-language/schema/raw/master/csl-citation.json" }</w:instrText>
      </w:r>
      <w:r w:rsidR="00FE60AC" w:rsidRPr="00E32C33">
        <w:rPr>
          <w:rFonts w:ascii="Times New Roman" w:hAnsi="Times New Roman"/>
          <w:sz w:val="24"/>
          <w:szCs w:val="24"/>
        </w:rPr>
        <w:fldChar w:fldCharType="separate"/>
      </w:r>
      <w:r w:rsidRPr="00E32C33">
        <w:rPr>
          <w:rFonts w:ascii="Times New Roman" w:hAnsi="Times New Roman"/>
          <w:sz w:val="24"/>
          <w:szCs w:val="24"/>
        </w:rPr>
        <w:t>Comprix e Muller (2011)</w:t>
      </w:r>
      <w:r w:rsidR="00FE60AC" w:rsidRPr="00E32C33">
        <w:rPr>
          <w:rFonts w:ascii="Times New Roman" w:hAnsi="Times New Roman"/>
          <w:sz w:val="24"/>
          <w:szCs w:val="24"/>
        </w:rPr>
        <w:fldChar w:fldCharType="end"/>
      </w:r>
      <w:r w:rsidRPr="00E32C33">
        <w:rPr>
          <w:rFonts w:ascii="Times New Roman" w:hAnsi="Times New Roman"/>
          <w:sz w:val="24"/>
          <w:szCs w:val="24"/>
        </w:rPr>
        <w:t xml:space="preserve"> e </w:t>
      </w:r>
      <w:r w:rsidR="00FE60AC" w:rsidRPr="00E32C33">
        <w:rPr>
          <w:rFonts w:ascii="Times New Roman" w:hAnsi="Times New Roman"/>
          <w:sz w:val="24"/>
          <w:szCs w:val="24"/>
        </w:rPr>
        <w:fldChar w:fldCharType="begin" w:fldLock="1"/>
      </w:r>
      <w:r w:rsidRPr="00E32C33">
        <w:rPr>
          <w:rFonts w:ascii="Times New Roman" w:hAnsi="Times New Roman"/>
          <w:sz w:val="24"/>
          <w:szCs w:val="24"/>
        </w:rPr>
        <w:instrText>ADDIN CSL_CITATION { "citationItems" : [ { "id" : "ITEM-1", "itemData" : { "DOI" : "10.1257/aer.99.2.538", "ISSN" : "0002-8282", "author" : [ { "dropping-particle" : "", "family" : "Brown", "given" : "Jeffrey R", "non-dropping-particle" : "", "parse-names" : false, "suffix" : "" }, { "dropping-particle" : "", "family" : "Wilcox", "given" : "David W", "non-dropping-particle" : "", "parse-names" : false, "suffix" : "" } ], "container-title" : "American Economic Review", "id" : "ITEM-1", "issue" : "2", "issued" : { "date-parts" : [ [ "2009", "4" ] ] }, "page" : "538-542", "title" : "Discounting State and Local Pension Liabilities", "type" : "article-journal", "volume" : "99" }, "uris" : [ "http://www.mendeley.com/documents/?uuid=69fd3ec9-d2de-4cd4-ab92-83be1db339b1" ] } ], "mendeley" : { "previouslyFormattedCitation" : "Brown; Wilcox (2009)" }, "properties" : { "noteIndex" : 0 }, "schema" : "https://github.com/citation-style-language/schema/raw/master/csl-citation.json" }</w:instrText>
      </w:r>
      <w:r w:rsidR="00FE60AC" w:rsidRPr="00E32C33">
        <w:rPr>
          <w:rFonts w:ascii="Times New Roman" w:hAnsi="Times New Roman"/>
          <w:sz w:val="24"/>
          <w:szCs w:val="24"/>
        </w:rPr>
        <w:fldChar w:fldCharType="separate"/>
      </w:r>
      <w:r w:rsidRPr="00E32C33">
        <w:rPr>
          <w:rFonts w:ascii="Times New Roman" w:hAnsi="Times New Roman"/>
          <w:sz w:val="24"/>
          <w:szCs w:val="24"/>
        </w:rPr>
        <w:t>Brown</w:t>
      </w:r>
      <w:r>
        <w:rPr>
          <w:rFonts w:ascii="Times New Roman" w:hAnsi="Times New Roman"/>
          <w:sz w:val="24"/>
          <w:szCs w:val="24"/>
        </w:rPr>
        <w:t xml:space="preserve"> e</w:t>
      </w:r>
      <w:r w:rsidRPr="00E32C33">
        <w:rPr>
          <w:rFonts w:ascii="Times New Roman" w:hAnsi="Times New Roman"/>
          <w:sz w:val="24"/>
          <w:szCs w:val="24"/>
        </w:rPr>
        <w:t xml:space="preserve"> Wilcox (2009)</w:t>
      </w:r>
      <w:r w:rsidR="00FE60AC" w:rsidRPr="00E32C33">
        <w:rPr>
          <w:rFonts w:ascii="Times New Roman" w:hAnsi="Times New Roman"/>
          <w:sz w:val="24"/>
          <w:szCs w:val="24"/>
        </w:rPr>
        <w:fldChar w:fldCharType="end"/>
      </w:r>
      <w:proofErr w:type="gramStart"/>
      <w:r w:rsidRPr="00E32C33">
        <w:rPr>
          <w:rFonts w:ascii="Times New Roman" w:hAnsi="Times New Roman"/>
          <w:sz w:val="24"/>
          <w:szCs w:val="24"/>
        </w:rPr>
        <w:t>.</w:t>
      </w:r>
      <w:proofErr w:type="gramEnd"/>
      <w:r w:rsidR="00FE60AC" w:rsidRPr="00E32C33">
        <w:rPr>
          <w:rFonts w:ascii="Times New Roman" w:hAnsi="Times New Roman"/>
          <w:sz w:val="24"/>
          <w:szCs w:val="24"/>
        </w:rPr>
        <w:fldChar w:fldCharType="begin" w:fldLock="1"/>
      </w:r>
      <w:r w:rsidRPr="00E32C33">
        <w:rPr>
          <w:rFonts w:ascii="Times New Roman" w:hAnsi="Times New Roman"/>
          <w:sz w:val="24"/>
          <w:szCs w:val="24"/>
        </w:rPr>
        <w:instrText xml:space="preserve">ADDIN Mendeley Bibliography CSL_BIBLIOGRAPHY </w:instrText>
      </w:r>
      <w:r w:rsidR="00FE60AC" w:rsidRPr="00E32C33">
        <w:rPr>
          <w:rFonts w:ascii="Times New Roman" w:hAnsi="Times New Roman"/>
          <w:sz w:val="24"/>
          <w:szCs w:val="24"/>
        </w:rPr>
        <w:fldChar w:fldCharType="separate"/>
      </w:r>
    </w:p>
    <w:p w:rsidR="00E32C33" w:rsidRPr="00E32C33" w:rsidRDefault="00FE60AC" w:rsidP="00E32C33">
      <w:pPr>
        <w:spacing w:after="120" w:line="240" w:lineRule="auto"/>
        <w:ind w:firstLine="709"/>
        <w:jc w:val="both"/>
        <w:rPr>
          <w:rFonts w:ascii="Times New Roman" w:hAnsi="Times New Roman"/>
          <w:sz w:val="24"/>
          <w:szCs w:val="24"/>
        </w:rPr>
      </w:pPr>
      <w:r w:rsidRPr="00E32C33">
        <w:rPr>
          <w:rFonts w:ascii="Times New Roman" w:hAnsi="Times New Roman"/>
          <w:sz w:val="24"/>
          <w:szCs w:val="24"/>
        </w:rPr>
        <w:fldChar w:fldCharType="end"/>
      </w:r>
      <w:r w:rsidR="00E32C33" w:rsidRPr="00E32C33">
        <w:rPr>
          <w:rFonts w:ascii="Times New Roman" w:hAnsi="Times New Roman"/>
          <w:sz w:val="24"/>
          <w:szCs w:val="24"/>
        </w:rPr>
        <w:t xml:space="preserve">Por fim, o cálculo da TIR traz implícito o conceito de </w:t>
      </w:r>
      <w:r w:rsidR="00E32C33" w:rsidRPr="00E32C33">
        <w:rPr>
          <w:rFonts w:ascii="Times New Roman" w:hAnsi="Times New Roman"/>
          <w:i/>
          <w:sz w:val="24"/>
          <w:szCs w:val="24"/>
        </w:rPr>
        <w:t>justiça atuarial</w:t>
      </w:r>
      <w:r w:rsidR="00E32C33" w:rsidRPr="00E32C33">
        <w:rPr>
          <w:rFonts w:ascii="Times New Roman" w:hAnsi="Times New Roman"/>
          <w:sz w:val="24"/>
          <w:szCs w:val="24"/>
        </w:rPr>
        <w:t xml:space="preserve">, tendo em vista que esta é a taxa que iguala os valores presentes dos fluxos de benefícios e contribuições. Característica similar apresenta a AN, que </w:t>
      </w:r>
      <w:r w:rsidR="00A77263">
        <w:rPr>
          <w:rFonts w:ascii="Times New Roman" w:hAnsi="Times New Roman"/>
          <w:sz w:val="24"/>
          <w:szCs w:val="24"/>
        </w:rPr>
        <w:t xml:space="preserve">expressa </w:t>
      </w:r>
      <w:r w:rsidR="00E32C33" w:rsidRPr="00E32C33">
        <w:rPr>
          <w:rFonts w:ascii="Times New Roman" w:hAnsi="Times New Roman"/>
          <w:sz w:val="24"/>
          <w:szCs w:val="24"/>
        </w:rPr>
        <w:t>uma relação entre valores presentes dos benefícios e da renda. Desta maneira</w:t>
      </w:r>
      <w:r w:rsidR="00A77263">
        <w:rPr>
          <w:rFonts w:ascii="Times New Roman" w:hAnsi="Times New Roman"/>
          <w:sz w:val="24"/>
          <w:szCs w:val="24"/>
        </w:rPr>
        <w:t>,</w:t>
      </w:r>
      <w:r w:rsidR="00E32C33" w:rsidRPr="00E32C33">
        <w:rPr>
          <w:rFonts w:ascii="Times New Roman" w:hAnsi="Times New Roman"/>
          <w:sz w:val="24"/>
          <w:szCs w:val="24"/>
        </w:rPr>
        <w:t xml:space="preserve"> valores mais elevados da TIR sinalizam um maior retorno implícito do regime de repartição. Como as taxas de retorno são diferentes (mais elevadas para mulheres e indivíduos de renda mais baixa) deve ser notado que a justiça atuarial não significa </w:t>
      </w:r>
      <w:r w:rsidR="00E32C33" w:rsidRPr="00E32C33">
        <w:rPr>
          <w:rFonts w:ascii="Times New Roman" w:hAnsi="Times New Roman"/>
          <w:i/>
          <w:sz w:val="24"/>
          <w:szCs w:val="24"/>
        </w:rPr>
        <w:t>per se</w:t>
      </w:r>
      <w:r w:rsidR="00E32C33" w:rsidRPr="00E32C33">
        <w:rPr>
          <w:rFonts w:ascii="Times New Roman" w:hAnsi="Times New Roman"/>
          <w:sz w:val="24"/>
          <w:szCs w:val="24"/>
        </w:rPr>
        <w:t xml:space="preserve"> a existência de </w:t>
      </w:r>
      <w:proofErr w:type="spellStart"/>
      <w:r w:rsidR="00E32C33" w:rsidRPr="00E32C33">
        <w:rPr>
          <w:rFonts w:ascii="Times New Roman" w:hAnsi="Times New Roman"/>
          <w:sz w:val="24"/>
          <w:szCs w:val="24"/>
        </w:rPr>
        <w:t>TIRs</w:t>
      </w:r>
      <w:proofErr w:type="spellEnd"/>
      <w:r w:rsidR="00E32C33" w:rsidRPr="00E32C33">
        <w:rPr>
          <w:rFonts w:ascii="Times New Roman" w:hAnsi="Times New Roman"/>
          <w:sz w:val="24"/>
          <w:szCs w:val="24"/>
        </w:rPr>
        <w:t xml:space="preserve"> iguais para perfis individuais distintos. Analogamente, como em todas as situações apresentadas, os valores da TIR e da AN </w:t>
      </w:r>
      <w:proofErr w:type="gramStart"/>
      <w:r w:rsidR="00E32C33" w:rsidRPr="00E32C33">
        <w:rPr>
          <w:rFonts w:ascii="Times New Roman" w:hAnsi="Times New Roman"/>
          <w:sz w:val="24"/>
          <w:szCs w:val="24"/>
        </w:rPr>
        <w:t>variaram,</w:t>
      </w:r>
      <w:proofErr w:type="gramEnd"/>
      <w:r w:rsidR="00E32C33" w:rsidRPr="00E32C33">
        <w:rPr>
          <w:rFonts w:ascii="Times New Roman" w:hAnsi="Times New Roman"/>
          <w:sz w:val="24"/>
          <w:szCs w:val="24"/>
        </w:rPr>
        <w:t xml:space="preserve"> isto significa que o benefício de ATC do RGPS não pode ser caracterizado como atuarialmente neutro. Ou seja, o atual conjunto de regras muito provavelmente oferece </w:t>
      </w:r>
      <w:proofErr w:type="gramStart"/>
      <w:r w:rsidR="00E32C33" w:rsidRPr="00E32C33">
        <w:rPr>
          <w:rFonts w:ascii="Times New Roman" w:hAnsi="Times New Roman"/>
          <w:sz w:val="24"/>
          <w:szCs w:val="24"/>
        </w:rPr>
        <w:t>incentivos</w:t>
      </w:r>
      <w:proofErr w:type="gramEnd"/>
      <w:r w:rsidR="00E32C33" w:rsidRPr="00E32C33">
        <w:rPr>
          <w:rFonts w:ascii="Times New Roman" w:hAnsi="Times New Roman"/>
          <w:sz w:val="24"/>
          <w:szCs w:val="24"/>
        </w:rPr>
        <w:t xml:space="preserve"> e desincentivos monetários à mudança da data da aposentadoria, uma vez cumpridos os requisitos legais mínimos.</w:t>
      </w:r>
    </w:p>
    <w:p w:rsidR="000B0C66" w:rsidRPr="009A2249" w:rsidRDefault="000B0C66" w:rsidP="008C6C9C">
      <w:pPr>
        <w:spacing w:after="120" w:line="240" w:lineRule="auto"/>
        <w:ind w:firstLine="709"/>
        <w:jc w:val="both"/>
        <w:rPr>
          <w:rFonts w:ascii="Times New Roman" w:hAnsi="Times New Roman"/>
          <w:sz w:val="24"/>
          <w:szCs w:val="24"/>
        </w:rPr>
      </w:pPr>
    </w:p>
    <w:p w:rsidR="00B904A6" w:rsidRPr="009A2249" w:rsidRDefault="00B904A6" w:rsidP="008C6C9C">
      <w:pPr>
        <w:pStyle w:val="PargrafodaLista"/>
        <w:numPr>
          <w:ilvl w:val="0"/>
          <w:numId w:val="3"/>
        </w:numPr>
        <w:spacing w:after="120"/>
        <w:jc w:val="both"/>
        <w:rPr>
          <w:b/>
        </w:rPr>
      </w:pPr>
      <w:r w:rsidRPr="009A2249">
        <w:rPr>
          <w:b/>
        </w:rPr>
        <w:t>Referências</w:t>
      </w:r>
    </w:p>
    <w:p w:rsidR="00A27C94" w:rsidRPr="009A2249" w:rsidRDefault="00A27C94" w:rsidP="00E32C33">
      <w:pPr>
        <w:spacing w:after="120" w:line="240" w:lineRule="auto"/>
        <w:jc w:val="both"/>
        <w:rPr>
          <w:rFonts w:ascii="Times New Roman" w:hAnsi="Times New Roman"/>
          <w:sz w:val="24"/>
          <w:szCs w:val="24"/>
        </w:rPr>
      </w:pPr>
      <w:r w:rsidRPr="009A2249">
        <w:rPr>
          <w:rFonts w:ascii="Times New Roman" w:hAnsi="Times New Roman"/>
          <w:sz w:val="24"/>
          <w:szCs w:val="24"/>
        </w:rPr>
        <w:t>AFONSO, L. E</w:t>
      </w:r>
      <w:proofErr w:type="gramStart"/>
      <w:r w:rsidRPr="009A2249">
        <w:rPr>
          <w:rFonts w:ascii="Times New Roman" w:hAnsi="Times New Roman"/>
          <w:sz w:val="24"/>
          <w:szCs w:val="24"/>
        </w:rPr>
        <w:t>.;</w:t>
      </w:r>
      <w:proofErr w:type="gramEnd"/>
      <w:r w:rsidRPr="009A2249">
        <w:rPr>
          <w:rFonts w:ascii="Times New Roman" w:hAnsi="Times New Roman"/>
          <w:sz w:val="24"/>
          <w:szCs w:val="24"/>
        </w:rPr>
        <w:t xml:space="preserve"> FERNANDES, R. Uma estimativa dos aspectos distributivos da previdência social no Brasil, </w:t>
      </w:r>
      <w:r w:rsidRPr="009A2249">
        <w:rPr>
          <w:rFonts w:ascii="Times New Roman" w:hAnsi="Times New Roman"/>
          <w:b/>
          <w:sz w:val="24"/>
          <w:szCs w:val="24"/>
        </w:rPr>
        <w:t>Revista Brasileira de Economia</w:t>
      </w:r>
      <w:r w:rsidRPr="009A2249">
        <w:rPr>
          <w:rFonts w:ascii="Times New Roman" w:hAnsi="Times New Roman"/>
          <w:sz w:val="24"/>
          <w:szCs w:val="24"/>
        </w:rPr>
        <w:t>, v. 59, n. 3, p. 295-334, 2005.</w:t>
      </w:r>
    </w:p>
    <w:p w:rsidR="009E6FEF" w:rsidRPr="009A2249" w:rsidRDefault="009E6FEF" w:rsidP="00E32C33">
      <w:pPr>
        <w:spacing w:after="120" w:line="240" w:lineRule="auto"/>
        <w:jc w:val="both"/>
        <w:rPr>
          <w:rFonts w:ascii="Times New Roman" w:hAnsi="Times New Roman"/>
          <w:color w:val="000000"/>
          <w:sz w:val="24"/>
          <w:szCs w:val="24"/>
        </w:rPr>
      </w:pPr>
      <w:r w:rsidRPr="009A2249">
        <w:rPr>
          <w:rFonts w:ascii="Times New Roman" w:hAnsi="Times New Roman"/>
          <w:color w:val="000000"/>
          <w:sz w:val="24"/>
          <w:szCs w:val="24"/>
        </w:rPr>
        <w:t xml:space="preserve">BRASIL. </w:t>
      </w:r>
      <w:r w:rsidRPr="009A2249">
        <w:rPr>
          <w:rFonts w:ascii="Times New Roman" w:hAnsi="Times New Roman"/>
          <w:b/>
          <w:bCs/>
          <w:color w:val="000000"/>
          <w:sz w:val="24"/>
          <w:szCs w:val="24"/>
        </w:rPr>
        <w:t xml:space="preserve">Constituição (1988). </w:t>
      </w:r>
      <w:r w:rsidRPr="009A2249">
        <w:rPr>
          <w:rFonts w:ascii="Times New Roman" w:hAnsi="Times New Roman"/>
          <w:color w:val="000000"/>
          <w:sz w:val="24"/>
          <w:szCs w:val="24"/>
        </w:rPr>
        <w:t xml:space="preserve">Constituição da República Federativa do Brasil. Brasília, DF: Senado, 1988. </w:t>
      </w:r>
    </w:p>
    <w:p w:rsidR="009E6FEF" w:rsidRPr="009A2249" w:rsidRDefault="009E6FEF" w:rsidP="00E32C33">
      <w:pPr>
        <w:spacing w:after="120" w:line="240" w:lineRule="auto"/>
        <w:jc w:val="both"/>
        <w:rPr>
          <w:rFonts w:ascii="Times New Roman" w:hAnsi="Times New Roman"/>
          <w:sz w:val="24"/>
          <w:szCs w:val="24"/>
        </w:rPr>
      </w:pPr>
      <w:r w:rsidRPr="009A2249">
        <w:rPr>
          <w:rFonts w:ascii="Times New Roman" w:hAnsi="Times New Roman"/>
          <w:color w:val="000000"/>
          <w:sz w:val="24"/>
          <w:szCs w:val="24"/>
        </w:rPr>
        <w:t xml:space="preserve">BRASIL. Decreto 3.265, de 29 de novembro de 1999, Altera o Regulamento da Previdência Social, aprovado pelo Decreto nº 3.048, de </w:t>
      </w:r>
      <w:proofErr w:type="gramStart"/>
      <w:r w:rsidRPr="009A2249">
        <w:rPr>
          <w:rFonts w:ascii="Times New Roman" w:hAnsi="Times New Roman"/>
          <w:color w:val="000000"/>
          <w:sz w:val="24"/>
          <w:szCs w:val="24"/>
        </w:rPr>
        <w:t>6</w:t>
      </w:r>
      <w:proofErr w:type="gramEnd"/>
      <w:r w:rsidRPr="009A2249">
        <w:rPr>
          <w:rFonts w:ascii="Times New Roman" w:hAnsi="Times New Roman"/>
          <w:color w:val="000000"/>
          <w:sz w:val="24"/>
          <w:szCs w:val="24"/>
        </w:rPr>
        <w:t xml:space="preserve"> de maio de 1999, e dá outras providências. </w:t>
      </w:r>
      <w:r w:rsidRPr="009A2249">
        <w:rPr>
          <w:rFonts w:ascii="Times New Roman" w:hAnsi="Times New Roman"/>
          <w:b/>
          <w:bCs/>
          <w:color w:val="000000"/>
          <w:sz w:val="24"/>
          <w:szCs w:val="24"/>
        </w:rPr>
        <w:lastRenderedPageBreak/>
        <w:t>Diário Oficial [da] República Federativa do Brasil</w:t>
      </w:r>
      <w:r w:rsidRPr="009A2249">
        <w:rPr>
          <w:rFonts w:ascii="Times New Roman" w:hAnsi="Times New Roman"/>
          <w:color w:val="000000"/>
          <w:sz w:val="24"/>
          <w:szCs w:val="24"/>
        </w:rPr>
        <w:t>, Poder Executivo, Brasília, DF, 30 nov. 1999.</w:t>
      </w:r>
    </w:p>
    <w:p w:rsidR="009E6FEF" w:rsidRPr="009A2249" w:rsidRDefault="009E6FEF" w:rsidP="00E32C33">
      <w:pPr>
        <w:spacing w:after="120" w:line="240" w:lineRule="auto"/>
        <w:jc w:val="both"/>
        <w:rPr>
          <w:rFonts w:ascii="Times New Roman" w:hAnsi="Times New Roman"/>
          <w:sz w:val="24"/>
          <w:szCs w:val="24"/>
        </w:rPr>
      </w:pPr>
      <w:r w:rsidRPr="009A2249">
        <w:rPr>
          <w:rFonts w:ascii="Times New Roman" w:hAnsi="Times New Roman"/>
          <w:color w:val="000000"/>
          <w:sz w:val="24"/>
          <w:szCs w:val="24"/>
        </w:rPr>
        <w:t xml:space="preserve">BRASIL. Decreto 3.048, de 06 de maio de 1999, Aprova o Regulamento da Previdência Social, e dá outras providências. </w:t>
      </w:r>
      <w:r w:rsidRPr="009A2249">
        <w:rPr>
          <w:rFonts w:ascii="Times New Roman" w:hAnsi="Times New Roman"/>
          <w:b/>
          <w:bCs/>
          <w:color w:val="000000"/>
          <w:sz w:val="24"/>
          <w:szCs w:val="24"/>
        </w:rPr>
        <w:t>Diário Oficial [da] República Federativa do Brasil</w:t>
      </w:r>
      <w:r w:rsidRPr="009A2249">
        <w:rPr>
          <w:rFonts w:ascii="Times New Roman" w:hAnsi="Times New Roman"/>
          <w:color w:val="000000"/>
          <w:sz w:val="24"/>
          <w:szCs w:val="24"/>
        </w:rPr>
        <w:t>, Poder Executivo, Brasília, DF, 07 mai. 1999.</w:t>
      </w:r>
    </w:p>
    <w:p w:rsidR="00B904A6" w:rsidRPr="009A2249" w:rsidRDefault="00B904A6" w:rsidP="00E32C33">
      <w:pPr>
        <w:spacing w:after="120" w:line="240" w:lineRule="auto"/>
        <w:jc w:val="both"/>
        <w:rPr>
          <w:rFonts w:ascii="Times New Roman" w:hAnsi="Times New Roman"/>
          <w:sz w:val="24"/>
          <w:szCs w:val="24"/>
        </w:rPr>
      </w:pPr>
      <w:r w:rsidRPr="009A2249">
        <w:rPr>
          <w:rFonts w:ascii="Times New Roman" w:hAnsi="Times New Roman"/>
          <w:sz w:val="24"/>
          <w:szCs w:val="24"/>
        </w:rPr>
        <w:t xml:space="preserve">________. Decreto nº 6.208 de 18 de setembro de 2007, Dá nova redação ao parágrafo único do art. 181-B do Regulamento da Previdência Social, aprovado pelo Decreto no 3.048, de </w:t>
      </w:r>
      <w:proofErr w:type="gramStart"/>
      <w:r w:rsidRPr="009A2249">
        <w:rPr>
          <w:rFonts w:ascii="Times New Roman" w:hAnsi="Times New Roman"/>
          <w:sz w:val="24"/>
          <w:szCs w:val="24"/>
        </w:rPr>
        <w:t>6</w:t>
      </w:r>
      <w:proofErr w:type="gramEnd"/>
      <w:r w:rsidRPr="009A2249">
        <w:rPr>
          <w:rFonts w:ascii="Times New Roman" w:hAnsi="Times New Roman"/>
          <w:sz w:val="24"/>
          <w:szCs w:val="24"/>
        </w:rPr>
        <w:t xml:space="preserve"> de maio de 1999. </w:t>
      </w:r>
      <w:r w:rsidRPr="009A2249">
        <w:rPr>
          <w:rFonts w:ascii="Times New Roman" w:hAnsi="Times New Roman"/>
          <w:b/>
          <w:sz w:val="24"/>
          <w:szCs w:val="24"/>
        </w:rPr>
        <w:t>Diário Oficial da República Federativa do Brasil</w:t>
      </w:r>
      <w:r w:rsidRPr="009A2249">
        <w:rPr>
          <w:rFonts w:ascii="Times New Roman" w:hAnsi="Times New Roman"/>
          <w:sz w:val="24"/>
          <w:szCs w:val="24"/>
        </w:rPr>
        <w:t>, Brasília, DF, 19 de setembro de 2007</w:t>
      </w:r>
      <w:r w:rsidR="009E6FEF" w:rsidRPr="009A2249">
        <w:rPr>
          <w:rFonts w:ascii="Times New Roman" w:hAnsi="Times New Roman"/>
          <w:sz w:val="24"/>
          <w:szCs w:val="24"/>
        </w:rPr>
        <w:t>.</w:t>
      </w:r>
    </w:p>
    <w:p w:rsidR="00FC340B" w:rsidRPr="006E24FB" w:rsidRDefault="00FC340B" w:rsidP="00E32C33">
      <w:pPr>
        <w:spacing w:after="120" w:line="240" w:lineRule="auto"/>
        <w:jc w:val="both"/>
        <w:rPr>
          <w:rFonts w:ascii="Times New Roman" w:hAnsi="Times New Roman"/>
          <w:sz w:val="24"/>
          <w:szCs w:val="24"/>
          <w:lang w:val="en-US"/>
        </w:rPr>
      </w:pPr>
      <w:proofErr w:type="gramStart"/>
      <w:r w:rsidRPr="009A2249">
        <w:rPr>
          <w:rFonts w:ascii="Times New Roman" w:hAnsi="Times New Roman"/>
          <w:sz w:val="24"/>
          <w:szCs w:val="24"/>
          <w:lang w:val="en-US"/>
        </w:rPr>
        <w:t xml:space="preserve">BREYER, F.; KIFMANN, M. </w:t>
      </w:r>
      <w:r w:rsidRPr="009A2249">
        <w:rPr>
          <w:rFonts w:ascii="Times New Roman" w:hAnsi="Times New Roman"/>
          <w:b/>
          <w:sz w:val="24"/>
          <w:szCs w:val="24"/>
          <w:lang w:val="en-US"/>
        </w:rPr>
        <w:t>Incentives to retire later – a solution to the social security crisis?</w:t>
      </w:r>
      <w:proofErr w:type="gramEnd"/>
      <w:r w:rsidRPr="009A2249">
        <w:rPr>
          <w:rFonts w:ascii="Times New Roman" w:hAnsi="Times New Roman"/>
          <w:sz w:val="24"/>
          <w:szCs w:val="24"/>
          <w:lang w:val="en-US"/>
        </w:rPr>
        <w:t xml:space="preserve"> </w:t>
      </w:r>
      <w:proofErr w:type="gramStart"/>
      <w:r w:rsidRPr="006E24FB">
        <w:rPr>
          <w:rFonts w:ascii="Times New Roman" w:hAnsi="Times New Roman"/>
          <w:sz w:val="24"/>
          <w:szCs w:val="24"/>
          <w:lang w:val="en-US"/>
        </w:rPr>
        <w:t>Journal of Pension Economics and Finance, v. 1, n. 2, p. 111-130, 2002.</w:t>
      </w:r>
      <w:proofErr w:type="gramEnd"/>
    </w:p>
    <w:p w:rsidR="00E32C33" w:rsidRPr="009A2249" w:rsidRDefault="00E32C33" w:rsidP="00E32C33">
      <w:pPr>
        <w:spacing w:after="120" w:line="240" w:lineRule="auto"/>
        <w:jc w:val="both"/>
        <w:rPr>
          <w:rFonts w:ascii="Times New Roman" w:hAnsi="Times New Roman"/>
          <w:sz w:val="24"/>
          <w:szCs w:val="24"/>
        </w:rPr>
      </w:pPr>
      <w:r w:rsidRPr="007F065B">
        <w:rPr>
          <w:rFonts w:ascii="Times New Roman" w:hAnsi="Times New Roman"/>
          <w:noProof/>
          <w:sz w:val="24"/>
          <w:lang w:val="en-US"/>
        </w:rPr>
        <w:t xml:space="preserve">BROWN, J. R.; WILCOX, D. W. Discounting State and Local Pension Liabilities. </w:t>
      </w:r>
      <w:r w:rsidRPr="00125496">
        <w:rPr>
          <w:rFonts w:ascii="Times New Roman" w:hAnsi="Times New Roman"/>
          <w:b/>
          <w:bCs/>
          <w:noProof/>
          <w:sz w:val="24"/>
        </w:rPr>
        <w:t>American Economic Review</w:t>
      </w:r>
      <w:r w:rsidRPr="00125496">
        <w:rPr>
          <w:rFonts w:ascii="Times New Roman" w:hAnsi="Times New Roman"/>
          <w:noProof/>
          <w:sz w:val="24"/>
        </w:rPr>
        <w:t>, v. 99, n. 2, p. 538–542, 2009.</w:t>
      </w:r>
    </w:p>
    <w:p w:rsidR="00D403D1" w:rsidRDefault="00D403D1" w:rsidP="00E32C33">
      <w:pPr>
        <w:spacing w:after="120" w:line="240" w:lineRule="auto"/>
        <w:jc w:val="both"/>
        <w:rPr>
          <w:rFonts w:ascii="Times New Roman" w:hAnsi="Times New Roman"/>
          <w:sz w:val="24"/>
          <w:szCs w:val="24"/>
          <w:lang w:val="en-US"/>
        </w:rPr>
      </w:pPr>
      <w:r w:rsidRPr="009A2249">
        <w:rPr>
          <w:rFonts w:ascii="Times New Roman" w:hAnsi="Times New Roman"/>
          <w:sz w:val="24"/>
          <w:szCs w:val="24"/>
        </w:rPr>
        <w:t xml:space="preserve">CAETANO, M. A. R. </w:t>
      </w:r>
      <w:r w:rsidRPr="009A2249">
        <w:rPr>
          <w:rFonts w:ascii="Times New Roman" w:hAnsi="Times New Roman"/>
          <w:b/>
          <w:sz w:val="24"/>
          <w:szCs w:val="24"/>
        </w:rPr>
        <w:t>Subsídios cruzados na previdência social brasileira</w:t>
      </w:r>
      <w:r w:rsidRPr="009A2249">
        <w:rPr>
          <w:rFonts w:ascii="Times New Roman" w:hAnsi="Times New Roman"/>
          <w:sz w:val="24"/>
          <w:szCs w:val="24"/>
        </w:rPr>
        <w:t xml:space="preserve">. </w:t>
      </w:r>
      <w:r w:rsidR="00591E53" w:rsidRPr="009A2249">
        <w:rPr>
          <w:rFonts w:ascii="Times New Roman" w:hAnsi="Times New Roman"/>
          <w:sz w:val="24"/>
          <w:szCs w:val="24"/>
          <w:lang w:val="en-US"/>
        </w:rPr>
        <w:t>Brasília: Ipea, 2006</w:t>
      </w:r>
      <w:r w:rsidRPr="009A2249">
        <w:rPr>
          <w:rFonts w:ascii="Times New Roman" w:hAnsi="Times New Roman"/>
          <w:sz w:val="24"/>
          <w:szCs w:val="24"/>
          <w:lang w:val="en-US"/>
        </w:rPr>
        <w:t xml:space="preserve">. </w:t>
      </w:r>
      <w:proofErr w:type="gramStart"/>
      <w:r w:rsidRPr="009A2249">
        <w:rPr>
          <w:rFonts w:ascii="Times New Roman" w:hAnsi="Times New Roman"/>
          <w:sz w:val="24"/>
          <w:szCs w:val="24"/>
          <w:lang w:val="en-US"/>
        </w:rPr>
        <w:t>(</w:t>
      </w:r>
      <w:proofErr w:type="spellStart"/>
      <w:r w:rsidRPr="009A2249">
        <w:rPr>
          <w:rFonts w:ascii="Times New Roman" w:hAnsi="Times New Roman"/>
          <w:sz w:val="24"/>
          <w:szCs w:val="24"/>
          <w:lang w:val="en-US"/>
        </w:rPr>
        <w:t>Texto</w:t>
      </w:r>
      <w:proofErr w:type="spellEnd"/>
      <w:r w:rsidRPr="009A2249">
        <w:rPr>
          <w:rFonts w:ascii="Times New Roman" w:hAnsi="Times New Roman"/>
          <w:sz w:val="24"/>
          <w:szCs w:val="24"/>
          <w:lang w:val="en-US"/>
        </w:rPr>
        <w:t xml:space="preserve"> </w:t>
      </w:r>
      <w:proofErr w:type="spellStart"/>
      <w:r w:rsidRPr="009A2249">
        <w:rPr>
          <w:rFonts w:ascii="Times New Roman" w:hAnsi="Times New Roman"/>
          <w:sz w:val="24"/>
          <w:szCs w:val="24"/>
          <w:lang w:val="en-US"/>
        </w:rPr>
        <w:t>para</w:t>
      </w:r>
      <w:proofErr w:type="spellEnd"/>
      <w:r w:rsidRPr="009A2249">
        <w:rPr>
          <w:rFonts w:ascii="Times New Roman" w:hAnsi="Times New Roman"/>
          <w:sz w:val="24"/>
          <w:szCs w:val="24"/>
          <w:lang w:val="en-US"/>
        </w:rPr>
        <w:t xml:space="preserve"> </w:t>
      </w:r>
      <w:proofErr w:type="spellStart"/>
      <w:r w:rsidRPr="009A2249">
        <w:rPr>
          <w:rFonts w:ascii="Times New Roman" w:hAnsi="Times New Roman"/>
          <w:sz w:val="24"/>
          <w:szCs w:val="24"/>
          <w:lang w:val="en-US"/>
        </w:rPr>
        <w:t>discussão</w:t>
      </w:r>
      <w:proofErr w:type="spellEnd"/>
      <w:r w:rsidRPr="009A2249">
        <w:rPr>
          <w:rFonts w:ascii="Times New Roman" w:hAnsi="Times New Roman"/>
          <w:sz w:val="24"/>
          <w:szCs w:val="24"/>
          <w:lang w:val="en-US"/>
        </w:rPr>
        <w:t>, 1211).</w:t>
      </w:r>
      <w:proofErr w:type="gramEnd"/>
    </w:p>
    <w:p w:rsidR="00E32C33" w:rsidRPr="009A2249" w:rsidRDefault="00E32C33" w:rsidP="00E32C33">
      <w:pPr>
        <w:spacing w:after="120" w:line="240" w:lineRule="auto"/>
        <w:jc w:val="both"/>
        <w:rPr>
          <w:rFonts w:ascii="Times New Roman" w:hAnsi="Times New Roman"/>
          <w:sz w:val="24"/>
          <w:szCs w:val="24"/>
          <w:lang w:val="en-US"/>
        </w:rPr>
      </w:pPr>
      <w:r w:rsidRPr="007F065B">
        <w:rPr>
          <w:rFonts w:ascii="Times New Roman" w:hAnsi="Times New Roman"/>
          <w:noProof/>
          <w:sz w:val="24"/>
          <w:lang w:val="en-US"/>
        </w:rPr>
        <w:t xml:space="preserve">COMPRIX, J.; MULLER, K. A. Pension plan accounting estimates and the freezing of defined benefit pension plans. </w:t>
      </w:r>
      <w:r w:rsidRPr="006E24FB">
        <w:rPr>
          <w:rFonts w:ascii="Times New Roman" w:hAnsi="Times New Roman"/>
          <w:b/>
          <w:bCs/>
          <w:noProof/>
          <w:sz w:val="24"/>
          <w:lang w:val="en-US"/>
        </w:rPr>
        <w:t>Journal of Accounting and Economics</w:t>
      </w:r>
      <w:r w:rsidRPr="006E24FB">
        <w:rPr>
          <w:rFonts w:ascii="Times New Roman" w:hAnsi="Times New Roman"/>
          <w:noProof/>
          <w:sz w:val="24"/>
          <w:lang w:val="en-US"/>
        </w:rPr>
        <w:t>, v. 51, n. 1-2, p. 115.</w:t>
      </w:r>
    </w:p>
    <w:p w:rsidR="00FC340B" w:rsidRPr="009A2249" w:rsidRDefault="00FC340B" w:rsidP="00E32C33">
      <w:pPr>
        <w:spacing w:after="120" w:line="240" w:lineRule="auto"/>
        <w:jc w:val="both"/>
        <w:rPr>
          <w:rFonts w:ascii="Times New Roman" w:hAnsi="Times New Roman"/>
          <w:sz w:val="24"/>
          <w:szCs w:val="24"/>
          <w:lang w:val="en-US"/>
        </w:rPr>
      </w:pPr>
      <w:proofErr w:type="gramStart"/>
      <w:r w:rsidRPr="009A2249">
        <w:rPr>
          <w:rFonts w:ascii="Times New Roman" w:hAnsi="Times New Roman"/>
          <w:sz w:val="24"/>
          <w:szCs w:val="24"/>
          <w:lang w:val="en-US"/>
        </w:rPr>
        <w:t>FISHER, W. H.; KEUSCHNIGG, C. Pension reform and labor market incentives.</w:t>
      </w:r>
      <w:proofErr w:type="gramEnd"/>
      <w:r w:rsidRPr="009A2249">
        <w:rPr>
          <w:rFonts w:ascii="Times New Roman" w:hAnsi="Times New Roman"/>
          <w:sz w:val="24"/>
          <w:szCs w:val="24"/>
          <w:lang w:val="en-US"/>
        </w:rPr>
        <w:t xml:space="preserve"> </w:t>
      </w:r>
      <w:proofErr w:type="gramStart"/>
      <w:r w:rsidRPr="009A2249">
        <w:rPr>
          <w:rFonts w:ascii="Times New Roman" w:hAnsi="Times New Roman"/>
          <w:b/>
          <w:sz w:val="24"/>
          <w:szCs w:val="24"/>
          <w:lang w:val="en-US"/>
        </w:rPr>
        <w:t>Journal of Population Economics</w:t>
      </w:r>
      <w:r w:rsidRPr="009A2249">
        <w:rPr>
          <w:rFonts w:ascii="Times New Roman" w:hAnsi="Times New Roman"/>
          <w:sz w:val="24"/>
          <w:szCs w:val="24"/>
          <w:lang w:val="en-US"/>
        </w:rPr>
        <w:t>, v. 23, n. 2, p. 769-803, 2010.</w:t>
      </w:r>
      <w:proofErr w:type="gramEnd"/>
    </w:p>
    <w:p w:rsidR="00E7119B" w:rsidRPr="009A2249" w:rsidRDefault="00E7119B" w:rsidP="00E32C33">
      <w:pPr>
        <w:spacing w:after="120" w:line="240" w:lineRule="auto"/>
        <w:jc w:val="both"/>
        <w:rPr>
          <w:rFonts w:ascii="Times New Roman" w:hAnsi="Times New Roman"/>
          <w:sz w:val="24"/>
          <w:szCs w:val="24"/>
          <w:lang w:val="en-US"/>
        </w:rPr>
      </w:pPr>
      <w:proofErr w:type="gramStart"/>
      <w:r w:rsidRPr="009A2249">
        <w:rPr>
          <w:rFonts w:ascii="Times New Roman" w:hAnsi="Times New Roman"/>
          <w:sz w:val="24"/>
          <w:szCs w:val="24"/>
          <w:lang w:val="en-US"/>
        </w:rPr>
        <w:t>FORTEZA, A.; OURENS, G. Redistribution, insurance and incentives to work in Latin American pension programs.</w:t>
      </w:r>
      <w:proofErr w:type="gramEnd"/>
      <w:r w:rsidRPr="009A2249">
        <w:rPr>
          <w:rFonts w:ascii="Times New Roman" w:hAnsi="Times New Roman"/>
          <w:sz w:val="24"/>
          <w:szCs w:val="24"/>
          <w:lang w:val="en-US"/>
        </w:rPr>
        <w:t xml:space="preserve"> </w:t>
      </w:r>
      <w:proofErr w:type="gramStart"/>
      <w:r w:rsidRPr="009A2249">
        <w:rPr>
          <w:rFonts w:ascii="Times New Roman" w:hAnsi="Times New Roman"/>
          <w:b/>
          <w:sz w:val="24"/>
          <w:szCs w:val="24"/>
          <w:lang w:val="en-US"/>
        </w:rPr>
        <w:t>Journal of Pension Economics and Finance</w:t>
      </w:r>
      <w:r w:rsidRPr="009A2249">
        <w:rPr>
          <w:rFonts w:ascii="Times New Roman" w:hAnsi="Times New Roman"/>
          <w:sz w:val="24"/>
          <w:szCs w:val="24"/>
          <w:lang w:val="en-US"/>
        </w:rPr>
        <w:t xml:space="preserve">, </w:t>
      </w:r>
      <w:r w:rsidR="0041426C" w:rsidRPr="009A2249">
        <w:rPr>
          <w:rFonts w:ascii="Times New Roman" w:hAnsi="Times New Roman"/>
          <w:sz w:val="24"/>
          <w:szCs w:val="24"/>
          <w:lang w:val="en-US"/>
        </w:rPr>
        <w:t xml:space="preserve">v. 11, n. 3, </w:t>
      </w:r>
      <w:r w:rsidRPr="009A2249">
        <w:rPr>
          <w:rFonts w:ascii="Times New Roman" w:hAnsi="Times New Roman"/>
          <w:sz w:val="24"/>
          <w:szCs w:val="24"/>
          <w:lang w:val="en-US"/>
        </w:rPr>
        <w:t>p 1-28, 2012.</w:t>
      </w:r>
      <w:proofErr w:type="gramEnd"/>
    </w:p>
    <w:p w:rsidR="003F44CB" w:rsidRPr="009A2249" w:rsidRDefault="003F44CB" w:rsidP="00E32C33">
      <w:pPr>
        <w:spacing w:after="120" w:line="240" w:lineRule="auto"/>
        <w:jc w:val="both"/>
        <w:rPr>
          <w:rFonts w:ascii="Times New Roman" w:hAnsi="Times New Roman"/>
          <w:sz w:val="24"/>
          <w:szCs w:val="24"/>
        </w:rPr>
      </w:pPr>
      <w:proofErr w:type="gramStart"/>
      <w:r w:rsidRPr="009A2249">
        <w:rPr>
          <w:rFonts w:ascii="Times New Roman" w:hAnsi="Times New Roman"/>
          <w:sz w:val="24"/>
          <w:szCs w:val="24"/>
          <w:lang w:val="en-US"/>
        </w:rPr>
        <w:t>FORTEZA, A.; OURENS, G.</w:t>
      </w:r>
      <w:proofErr w:type="gramEnd"/>
      <w:r w:rsidRPr="009A2249">
        <w:rPr>
          <w:rFonts w:ascii="Times New Roman" w:hAnsi="Times New Roman"/>
          <w:sz w:val="24"/>
          <w:szCs w:val="24"/>
          <w:lang w:val="en-US"/>
        </w:rPr>
        <w:t xml:space="preserve"> </w:t>
      </w:r>
      <w:r w:rsidRPr="009A2249">
        <w:rPr>
          <w:rFonts w:ascii="Times New Roman" w:hAnsi="Times New Roman"/>
          <w:b/>
          <w:sz w:val="24"/>
          <w:szCs w:val="24"/>
          <w:lang w:val="en-US"/>
        </w:rPr>
        <w:t>How much do Latin American pension programs promise to pay back?</w:t>
      </w:r>
      <w:r w:rsidRPr="009A2249">
        <w:rPr>
          <w:rFonts w:ascii="Times New Roman" w:hAnsi="Times New Roman"/>
          <w:sz w:val="24"/>
          <w:szCs w:val="24"/>
          <w:lang w:val="en-US"/>
        </w:rPr>
        <w:t xml:space="preserve"> </w:t>
      </w:r>
      <w:r w:rsidRPr="009A2249">
        <w:rPr>
          <w:rFonts w:ascii="Times New Roman" w:hAnsi="Times New Roman"/>
          <w:sz w:val="24"/>
          <w:szCs w:val="24"/>
        </w:rPr>
        <w:t>SP Discussion Paper</w:t>
      </w:r>
      <w:r w:rsidRPr="009A2249">
        <w:rPr>
          <w:rFonts w:ascii="Times New Roman" w:hAnsi="Times New Roman"/>
          <w:b/>
          <w:sz w:val="24"/>
          <w:szCs w:val="24"/>
        </w:rPr>
        <w:t>,</w:t>
      </w:r>
      <w:r w:rsidRPr="009A2249">
        <w:rPr>
          <w:rFonts w:ascii="Times New Roman" w:hAnsi="Times New Roman"/>
          <w:sz w:val="24"/>
          <w:szCs w:val="24"/>
        </w:rPr>
        <w:t xml:space="preserve"> n. 0927, World Bank, 2009.</w:t>
      </w:r>
    </w:p>
    <w:p w:rsidR="00B904A6" w:rsidRPr="006E24FB" w:rsidRDefault="00B904A6" w:rsidP="00E32C33">
      <w:pPr>
        <w:spacing w:after="120" w:line="240" w:lineRule="auto"/>
        <w:jc w:val="both"/>
        <w:rPr>
          <w:rFonts w:ascii="Times New Roman" w:hAnsi="Times New Roman"/>
          <w:sz w:val="24"/>
          <w:szCs w:val="24"/>
          <w:lang w:val="en-US"/>
        </w:rPr>
      </w:pPr>
      <w:r w:rsidRPr="009A2249">
        <w:rPr>
          <w:rFonts w:ascii="Times New Roman" w:hAnsi="Times New Roman"/>
          <w:sz w:val="24"/>
          <w:szCs w:val="24"/>
        </w:rPr>
        <w:t xml:space="preserve">GIAMBIAGI, F; AFONSO, L. E. </w:t>
      </w:r>
      <w:r w:rsidRPr="009A2249">
        <w:rPr>
          <w:rFonts w:ascii="Times New Roman" w:hAnsi="Times New Roman"/>
          <w:sz w:val="24"/>
          <w:szCs w:val="24"/>
          <w:lang w:val="pt-PT"/>
        </w:rPr>
        <w:t>Cálculo</w:t>
      </w:r>
      <w:r w:rsidRPr="009A2249">
        <w:rPr>
          <w:rFonts w:ascii="Times New Roman" w:hAnsi="Times New Roman"/>
          <w:sz w:val="24"/>
          <w:szCs w:val="24"/>
        </w:rPr>
        <w:t xml:space="preserve"> da alíquota de contribuição previdenciária atuarialmente equilibrada: uma aplicação ao caso brasileiro. </w:t>
      </w:r>
      <w:proofErr w:type="spellStart"/>
      <w:proofErr w:type="gramStart"/>
      <w:r w:rsidRPr="006E24FB">
        <w:rPr>
          <w:rFonts w:ascii="Times New Roman" w:hAnsi="Times New Roman"/>
          <w:b/>
          <w:sz w:val="24"/>
          <w:szCs w:val="24"/>
          <w:lang w:val="en-US"/>
        </w:rPr>
        <w:t>Revista</w:t>
      </w:r>
      <w:proofErr w:type="spellEnd"/>
      <w:r w:rsidRPr="006E24FB">
        <w:rPr>
          <w:rFonts w:ascii="Times New Roman" w:hAnsi="Times New Roman"/>
          <w:b/>
          <w:sz w:val="24"/>
          <w:szCs w:val="24"/>
          <w:lang w:val="en-US"/>
        </w:rPr>
        <w:t xml:space="preserve"> </w:t>
      </w:r>
      <w:proofErr w:type="spellStart"/>
      <w:r w:rsidRPr="006E24FB">
        <w:rPr>
          <w:rFonts w:ascii="Times New Roman" w:hAnsi="Times New Roman"/>
          <w:b/>
          <w:sz w:val="24"/>
          <w:szCs w:val="24"/>
          <w:lang w:val="en-US"/>
        </w:rPr>
        <w:t>Brasileira</w:t>
      </w:r>
      <w:proofErr w:type="spellEnd"/>
      <w:r w:rsidRPr="006E24FB">
        <w:rPr>
          <w:rFonts w:ascii="Times New Roman" w:hAnsi="Times New Roman"/>
          <w:b/>
          <w:sz w:val="24"/>
          <w:szCs w:val="24"/>
          <w:lang w:val="en-US"/>
        </w:rPr>
        <w:t xml:space="preserve"> de </w:t>
      </w:r>
      <w:proofErr w:type="spellStart"/>
      <w:r w:rsidRPr="006E24FB">
        <w:rPr>
          <w:rFonts w:ascii="Times New Roman" w:hAnsi="Times New Roman"/>
          <w:b/>
          <w:sz w:val="24"/>
          <w:szCs w:val="24"/>
          <w:lang w:val="en-US"/>
        </w:rPr>
        <w:t>Economia</w:t>
      </w:r>
      <w:proofErr w:type="spellEnd"/>
      <w:r w:rsidRPr="006E24FB">
        <w:rPr>
          <w:rFonts w:ascii="Times New Roman" w:hAnsi="Times New Roman"/>
          <w:sz w:val="24"/>
          <w:szCs w:val="24"/>
          <w:lang w:val="en-US"/>
        </w:rPr>
        <w:t>, v. 63, n. 2, p. 153-179, 2009.</w:t>
      </w:r>
      <w:proofErr w:type="gramEnd"/>
    </w:p>
    <w:p w:rsidR="00E32C33" w:rsidRPr="006E24FB" w:rsidRDefault="00E32C33" w:rsidP="00E32C33">
      <w:pPr>
        <w:spacing w:after="120" w:line="240" w:lineRule="auto"/>
        <w:jc w:val="both"/>
        <w:rPr>
          <w:rFonts w:ascii="Times New Roman" w:hAnsi="Times New Roman"/>
          <w:sz w:val="24"/>
          <w:szCs w:val="24"/>
          <w:lang w:val="en-US"/>
        </w:rPr>
      </w:pPr>
      <w:r w:rsidRPr="007F065B">
        <w:rPr>
          <w:rFonts w:ascii="Times New Roman" w:hAnsi="Times New Roman"/>
          <w:noProof/>
          <w:sz w:val="24"/>
          <w:lang w:val="en-US"/>
        </w:rPr>
        <w:t xml:space="preserve">GUSTMAN, A. L.; STEINMEIER, T. L.; TABATABAI, N. Redistribution under the Social Security benefit formula at the individual and household levels, 1992 and 2004. </w:t>
      </w:r>
      <w:r w:rsidRPr="006E24FB">
        <w:rPr>
          <w:rFonts w:ascii="Times New Roman" w:hAnsi="Times New Roman"/>
          <w:b/>
          <w:bCs/>
          <w:noProof/>
          <w:sz w:val="24"/>
          <w:lang w:val="en-US"/>
        </w:rPr>
        <w:t>Journal of Pension Economics and Finance</w:t>
      </w:r>
      <w:r w:rsidRPr="006E24FB">
        <w:rPr>
          <w:rFonts w:ascii="Times New Roman" w:hAnsi="Times New Roman"/>
          <w:noProof/>
          <w:sz w:val="24"/>
          <w:lang w:val="en-US"/>
        </w:rPr>
        <w:t>, v. 12, n. 01, p. 1–27, 2012.</w:t>
      </w:r>
    </w:p>
    <w:p w:rsidR="00E608BD" w:rsidRPr="009A2249" w:rsidRDefault="00E608BD" w:rsidP="00E32C33">
      <w:pPr>
        <w:spacing w:after="120" w:line="240" w:lineRule="auto"/>
        <w:jc w:val="both"/>
        <w:rPr>
          <w:rFonts w:ascii="Times New Roman" w:hAnsi="Times New Roman"/>
          <w:sz w:val="24"/>
          <w:szCs w:val="24"/>
        </w:rPr>
      </w:pPr>
      <w:r w:rsidRPr="00E32C33">
        <w:rPr>
          <w:rFonts w:ascii="Times New Roman" w:hAnsi="Times New Roman"/>
          <w:sz w:val="24"/>
          <w:szCs w:val="24"/>
          <w:lang w:val="en-US"/>
        </w:rPr>
        <w:t xml:space="preserve">HASSLER, J.; LINDBECK, A. Optimal actuarial fairness in pension systems: a note. </w:t>
      </w:r>
      <w:proofErr w:type="spellStart"/>
      <w:r w:rsidRPr="009A2249">
        <w:rPr>
          <w:rFonts w:ascii="Times New Roman" w:hAnsi="Times New Roman"/>
          <w:b/>
          <w:sz w:val="24"/>
          <w:szCs w:val="24"/>
        </w:rPr>
        <w:t>Economics</w:t>
      </w:r>
      <w:proofErr w:type="spellEnd"/>
      <w:r w:rsidRPr="009A2249">
        <w:rPr>
          <w:rFonts w:ascii="Times New Roman" w:hAnsi="Times New Roman"/>
          <w:b/>
          <w:sz w:val="24"/>
          <w:szCs w:val="24"/>
        </w:rPr>
        <w:t xml:space="preserve"> </w:t>
      </w:r>
      <w:proofErr w:type="spellStart"/>
      <w:r w:rsidRPr="009A2249">
        <w:rPr>
          <w:rFonts w:ascii="Times New Roman" w:hAnsi="Times New Roman"/>
          <w:b/>
          <w:sz w:val="24"/>
          <w:szCs w:val="24"/>
        </w:rPr>
        <w:t>Letters</w:t>
      </w:r>
      <w:proofErr w:type="spellEnd"/>
      <w:r w:rsidRPr="009A2249">
        <w:rPr>
          <w:rFonts w:ascii="Times New Roman" w:hAnsi="Times New Roman"/>
          <w:sz w:val="24"/>
          <w:szCs w:val="24"/>
        </w:rPr>
        <w:t>, v. 55, n. 2, p. 251-255, 1996.</w:t>
      </w:r>
    </w:p>
    <w:p w:rsidR="00510BA3" w:rsidRPr="009A2249" w:rsidRDefault="00510BA3" w:rsidP="00E32C33">
      <w:pPr>
        <w:spacing w:after="120" w:line="240" w:lineRule="auto"/>
        <w:jc w:val="both"/>
        <w:rPr>
          <w:rFonts w:ascii="Times New Roman" w:hAnsi="Times New Roman"/>
          <w:sz w:val="24"/>
          <w:szCs w:val="24"/>
          <w:lang w:val="en-US"/>
        </w:rPr>
      </w:pPr>
      <w:r w:rsidRPr="009A2249">
        <w:rPr>
          <w:rFonts w:ascii="Times New Roman" w:hAnsi="Times New Roman"/>
          <w:sz w:val="24"/>
          <w:szCs w:val="24"/>
        </w:rPr>
        <w:t>IBRAHIM</w:t>
      </w:r>
      <w:r w:rsidR="0041770C" w:rsidRPr="009A2249">
        <w:rPr>
          <w:rFonts w:ascii="Times New Roman" w:hAnsi="Times New Roman"/>
          <w:sz w:val="24"/>
          <w:szCs w:val="24"/>
        </w:rPr>
        <w:t xml:space="preserve">, </w:t>
      </w:r>
      <w:r w:rsidRPr="009A2249">
        <w:rPr>
          <w:rFonts w:ascii="Times New Roman" w:hAnsi="Times New Roman"/>
          <w:sz w:val="24"/>
          <w:szCs w:val="24"/>
        </w:rPr>
        <w:t>F</w:t>
      </w:r>
      <w:proofErr w:type="gramStart"/>
      <w:r w:rsidRPr="009A2249">
        <w:rPr>
          <w:rFonts w:ascii="Times New Roman" w:hAnsi="Times New Roman"/>
          <w:sz w:val="24"/>
          <w:szCs w:val="24"/>
        </w:rPr>
        <w:t>..</w:t>
      </w:r>
      <w:proofErr w:type="gramEnd"/>
      <w:r w:rsidRPr="009A2249">
        <w:rPr>
          <w:rFonts w:ascii="Times New Roman" w:hAnsi="Times New Roman"/>
          <w:sz w:val="24"/>
          <w:szCs w:val="24"/>
        </w:rPr>
        <w:t>Z</w:t>
      </w:r>
      <w:r w:rsidR="0041770C" w:rsidRPr="009A2249">
        <w:rPr>
          <w:rFonts w:ascii="Times New Roman" w:hAnsi="Times New Roman"/>
          <w:sz w:val="24"/>
          <w:szCs w:val="24"/>
        </w:rPr>
        <w:t>.</w:t>
      </w:r>
      <w:r w:rsidRPr="009A2249">
        <w:rPr>
          <w:rFonts w:ascii="Times New Roman" w:hAnsi="Times New Roman"/>
          <w:sz w:val="24"/>
          <w:szCs w:val="24"/>
        </w:rPr>
        <w:t xml:space="preserve"> </w:t>
      </w:r>
      <w:r w:rsidR="0041770C" w:rsidRPr="009A2249">
        <w:rPr>
          <w:rFonts w:ascii="Times New Roman" w:hAnsi="Times New Roman"/>
          <w:b/>
          <w:sz w:val="24"/>
          <w:szCs w:val="24"/>
        </w:rPr>
        <w:t>Desaposentação o Caminho Para Uma Melhor Aposentadoria</w:t>
      </w:r>
      <w:r w:rsidRPr="009A2249">
        <w:rPr>
          <w:rFonts w:ascii="Times New Roman" w:hAnsi="Times New Roman"/>
          <w:sz w:val="24"/>
          <w:szCs w:val="24"/>
        </w:rPr>
        <w:t xml:space="preserve">. </w:t>
      </w:r>
      <w:r w:rsidRPr="009A2249">
        <w:rPr>
          <w:rFonts w:ascii="Times New Roman" w:hAnsi="Times New Roman"/>
          <w:sz w:val="24"/>
          <w:szCs w:val="24"/>
          <w:lang w:val="en-US"/>
        </w:rPr>
        <w:t xml:space="preserve">5ª Ed. </w:t>
      </w:r>
      <w:proofErr w:type="spellStart"/>
      <w:r w:rsidRPr="009A2249">
        <w:rPr>
          <w:rFonts w:ascii="Times New Roman" w:hAnsi="Times New Roman"/>
          <w:sz w:val="24"/>
          <w:szCs w:val="24"/>
          <w:lang w:val="en-US"/>
        </w:rPr>
        <w:t>Niterói</w:t>
      </w:r>
      <w:proofErr w:type="spellEnd"/>
      <w:r w:rsidRPr="009A2249">
        <w:rPr>
          <w:rFonts w:ascii="Times New Roman" w:hAnsi="Times New Roman"/>
          <w:sz w:val="24"/>
          <w:szCs w:val="24"/>
          <w:lang w:val="en-US"/>
        </w:rPr>
        <w:t>: Impetus, 2011</w:t>
      </w:r>
    </w:p>
    <w:p w:rsidR="002736CF" w:rsidRPr="009A2249" w:rsidRDefault="002736CF" w:rsidP="00E32C33">
      <w:pPr>
        <w:spacing w:after="120" w:line="240" w:lineRule="auto"/>
        <w:jc w:val="both"/>
        <w:rPr>
          <w:rFonts w:ascii="Times New Roman" w:hAnsi="Times New Roman"/>
          <w:bCs/>
          <w:sz w:val="24"/>
          <w:szCs w:val="24"/>
          <w:lang w:val="en-US"/>
        </w:rPr>
      </w:pPr>
      <w:r w:rsidRPr="009A2249">
        <w:rPr>
          <w:rFonts w:ascii="Times New Roman" w:hAnsi="Times New Roman"/>
          <w:bCs/>
          <w:sz w:val="24"/>
          <w:szCs w:val="24"/>
          <w:lang w:val="en-US"/>
        </w:rPr>
        <w:t xml:space="preserve">QUEISSER, M; WHITEHOUSE, E. </w:t>
      </w:r>
      <w:r w:rsidRPr="009A2249">
        <w:rPr>
          <w:rFonts w:ascii="Times New Roman" w:hAnsi="Times New Roman"/>
          <w:b/>
          <w:bCs/>
          <w:sz w:val="24"/>
          <w:szCs w:val="24"/>
          <w:lang w:val="en-US"/>
        </w:rPr>
        <w:t>Neutral or fair: actuarial concepts and pension-system design</w:t>
      </w:r>
      <w:r w:rsidRPr="009A2249">
        <w:rPr>
          <w:rFonts w:ascii="Times New Roman" w:hAnsi="Times New Roman"/>
          <w:bCs/>
          <w:sz w:val="24"/>
          <w:szCs w:val="24"/>
          <w:lang w:val="en-US"/>
        </w:rPr>
        <w:t xml:space="preserve">. </w:t>
      </w:r>
      <w:proofErr w:type="gramStart"/>
      <w:r w:rsidRPr="009A2249">
        <w:rPr>
          <w:rFonts w:ascii="Times New Roman" w:hAnsi="Times New Roman"/>
          <w:bCs/>
          <w:sz w:val="24"/>
          <w:szCs w:val="24"/>
          <w:lang w:val="en-US"/>
        </w:rPr>
        <w:t>OECD Social, Employment and Migr</w:t>
      </w:r>
      <w:r w:rsidR="00E7119B" w:rsidRPr="009A2249">
        <w:rPr>
          <w:rFonts w:ascii="Times New Roman" w:hAnsi="Times New Roman"/>
          <w:bCs/>
          <w:sz w:val="24"/>
          <w:szCs w:val="24"/>
          <w:lang w:val="en-US"/>
        </w:rPr>
        <w:t>.</w:t>
      </w:r>
      <w:proofErr w:type="gramEnd"/>
      <w:r w:rsidRPr="009A2249">
        <w:rPr>
          <w:rFonts w:ascii="Times New Roman" w:hAnsi="Times New Roman"/>
          <w:bCs/>
          <w:sz w:val="24"/>
          <w:szCs w:val="24"/>
          <w:lang w:val="en-US"/>
        </w:rPr>
        <w:t xml:space="preserve"> </w:t>
      </w:r>
      <w:proofErr w:type="gramStart"/>
      <w:r w:rsidRPr="009A2249">
        <w:rPr>
          <w:rFonts w:ascii="Times New Roman" w:hAnsi="Times New Roman"/>
          <w:bCs/>
          <w:sz w:val="24"/>
          <w:szCs w:val="24"/>
          <w:lang w:val="en-US"/>
        </w:rPr>
        <w:t>Working Paper n. 40, 2006.</w:t>
      </w:r>
      <w:proofErr w:type="gramEnd"/>
    </w:p>
    <w:p w:rsidR="00FC340B" w:rsidRPr="009A2249" w:rsidRDefault="00FC340B" w:rsidP="00E32C33">
      <w:pPr>
        <w:spacing w:after="120" w:line="240" w:lineRule="auto"/>
        <w:jc w:val="both"/>
        <w:rPr>
          <w:rFonts w:ascii="Times New Roman" w:hAnsi="Times New Roman"/>
          <w:bCs/>
          <w:sz w:val="24"/>
          <w:szCs w:val="24"/>
          <w:lang w:val="en-US"/>
        </w:rPr>
      </w:pPr>
      <w:r w:rsidRPr="009A2249">
        <w:rPr>
          <w:rFonts w:ascii="Times New Roman" w:hAnsi="Times New Roman"/>
          <w:bCs/>
          <w:sz w:val="24"/>
          <w:szCs w:val="24"/>
          <w:lang w:val="en-US"/>
        </w:rPr>
        <w:t xml:space="preserve">REZNIK, G. L.; WEAVER, D. A.; BIGGS, A. G. </w:t>
      </w:r>
      <w:r w:rsidRPr="009A2249">
        <w:rPr>
          <w:rFonts w:ascii="Times New Roman" w:hAnsi="Times New Roman"/>
          <w:b/>
          <w:bCs/>
          <w:sz w:val="24"/>
          <w:szCs w:val="24"/>
          <w:lang w:val="en-US"/>
        </w:rPr>
        <w:t>Social security and marginal returns to work near retirement</w:t>
      </w:r>
      <w:r w:rsidRPr="009A2249">
        <w:rPr>
          <w:rFonts w:ascii="Times New Roman" w:hAnsi="Times New Roman"/>
          <w:bCs/>
          <w:sz w:val="24"/>
          <w:szCs w:val="24"/>
          <w:lang w:val="en-US"/>
        </w:rPr>
        <w:t xml:space="preserve">. </w:t>
      </w:r>
      <w:proofErr w:type="gramStart"/>
      <w:r w:rsidRPr="009A2249">
        <w:rPr>
          <w:rFonts w:ascii="Times New Roman" w:hAnsi="Times New Roman"/>
          <w:bCs/>
          <w:sz w:val="24"/>
          <w:szCs w:val="24"/>
          <w:lang w:val="en-US"/>
        </w:rPr>
        <w:t>Social Security Issue Paper n. 2009-02, 2009.</w:t>
      </w:r>
      <w:proofErr w:type="gramEnd"/>
    </w:p>
    <w:p w:rsidR="00FC340B" w:rsidRPr="009A2249" w:rsidRDefault="00FC340B" w:rsidP="00E32C33">
      <w:pPr>
        <w:spacing w:after="120" w:line="240" w:lineRule="auto"/>
        <w:jc w:val="both"/>
        <w:rPr>
          <w:rFonts w:ascii="Times New Roman" w:hAnsi="Times New Roman"/>
          <w:bCs/>
          <w:sz w:val="24"/>
          <w:szCs w:val="24"/>
          <w:lang w:val="en-US"/>
        </w:rPr>
      </w:pPr>
      <w:proofErr w:type="gramStart"/>
      <w:r w:rsidRPr="009A2249">
        <w:rPr>
          <w:rFonts w:ascii="Times New Roman" w:hAnsi="Times New Roman"/>
          <w:bCs/>
          <w:sz w:val="24"/>
          <w:szCs w:val="24"/>
          <w:lang w:val="en-US"/>
        </w:rPr>
        <w:t>SHOVEN, J. B.; SLAVOV, S. N.</w:t>
      </w:r>
      <w:proofErr w:type="gramEnd"/>
      <w:r w:rsidRPr="009A2249">
        <w:rPr>
          <w:rFonts w:ascii="Times New Roman" w:hAnsi="Times New Roman"/>
          <w:bCs/>
          <w:sz w:val="24"/>
          <w:szCs w:val="24"/>
          <w:lang w:val="en-US"/>
        </w:rPr>
        <w:t xml:space="preserve"> </w:t>
      </w:r>
      <w:r w:rsidRPr="009A2249">
        <w:rPr>
          <w:rFonts w:ascii="Times New Roman" w:hAnsi="Times New Roman"/>
          <w:b/>
          <w:bCs/>
          <w:sz w:val="24"/>
          <w:szCs w:val="24"/>
          <w:lang w:val="en-US"/>
        </w:rPr>
        <w:t xml:space="preserve">The decision to delay social security benefits: theory and evidence. </w:t>
      </w:r>
      <w:proofErr w:type="gramStart"/>
      <w:r w:rsidRPr="009A2249">
        <w:rPr>
          <w:rFonts w:ascii="Times New Roman" w:hAnsi="Times New Roman"/>
          <w:bCs/>
          <w:sz w:val="24"/>
          <w:szCs w:val="24"/>
          <w:lang w:val="en-US"/>
        </w:rPr>
        <w:t>NBER Working Paper Nº 17866, February, 2012a.</w:t>
      </w:r>
      <w:proofErr w:type="gramEnd"/>
    </w:p>
    <w:p w:rsidR="00FC340B" w:rsidRPr="009A2249" w:rsidRDefault="00FC340B" w:rsidP="00E32C33">
      <w:pPr>
        <w:spacing w:after="120" w:line="240" w:lineRule="auto"/>
        <w:jc w:val="both"/>
        <w:rPr>
          <w:rFonts w:ascii="Times New Roman" w:hAnsi="Times New Roman"/>
          <w:bCs/>
          <w:sz w:val="24"/>
          <w:szCs w:val="24"/>
          <w:lang w:val="en-US"/>
        </w:rPr>
      </w:pPr>
      <w:proofErr w:type="gramStart"/>
      <w:r w:rsidRPr="009A2249">
        <w:rPr>
          <w:rFonts w:ascii="Times New Roman" w:hAnsi="Times New Roman"/>
          <w:bCs/>
          <w:sz w:val="24"/>
          <w:szCs w:val="24"/>
          <w:lang w:val="en-US"/>
        </w:rPr>
        <w:t>SHOVEN, J. B.; SLAVOV, S. N.</w:t>
      </w:r>
      <w:proofErr w:type="gramEnd"/>
      <w:r w:rsidRPr="009A2249">
        <w:rPr>
          <w:rFonts w:ascii="Times New Roman" w:hAnsi="Times New Roman"/>
          <w:bCs/>
          <w:sz w:val="24"/>
          <w:szCs w:val="24"/>
          <w:lang w:val="en-US"/>
        </w:rPr>
        <w:t xml:space="preserve"> </w:t>
      </w:r>
      <w:r w:rsidRPr="009A2249">
        <w:rPr>
          <w:rFonts w:ascii="Times New Roman" w:hAnsi="Times New Roman"/>
          <w:b/>
          <w:bCs/>
          <w:sz w:val="24"/>
          <w:szCs w:val="24"/>
          <w:lang w:val="en-US"/>
        </w:rPr>
        <w:t xml:space="preserve">When does it pay to delay social security? </w:t>
      </w:r>
      <w:proofErr w:type="gramStart"/>
      <w:r w:rsidRPr="009A2249">
        <w:rPr>
          <w:rFonts w:ascii="Times New Roman" w:hAnsi="Times New Roman"/>
          <w:b/>
          <w:bCs/>
          <w:sz w:val="24"/>
          <w:szCs w:val="24"/>
          <w:lang w:val="en-US"/>
        </w:rPr>
        <w:t>The impact of mortality, interest rates, and program rules.</w:t>
      </w:r>
      <w:proofErr w:type="gramEnd"/>
      <w:r w:rsidRPr="009A2249">
        <w:rPr>
          <w:rFonts w:ascii="Times New Roman" w:hAnsi="Times New Roman"/>
          <w:b/>
          <w:bCs/>
          <w:sz w:val="24"/>
          <w:szCs w:val="24"/>
          <w:lang w:val="en-US"/>
        </w:rPr>
        <w:t xml:space="preserve"> </w:t>
      </w:r>
      <w:proofErr w:type="gramStart"/>
      <w:r w:rsidRPr="009A2249">
        <w:rPr>
          <w:rFonts w:ascii="Times New Roman" w:hAnsi="Times New Roman"/>
          <w:bCs/>
          <w:sz w:val="24"/>
          <w:szCs w:val="24"/>
          <w:lang w:val="en-US"/>
        </w:rPr>
        <w:t>NBER Working Paper Nº 18210, July, 2012b.</w:t>
      </w:r>
      <w:proofErr w:type="gramEnd"/>
    </w:p>
    <w:p w:rsidR="00E32C33" w:rsidRPr="00E32C33" w:rsidRDefault="00A90E6C" w:rsidP="00E32C33">
      <w:pPr>
        <w:spacing w:after="120" w:line="240" w:lineRule="auto"/>
        <w:jc w:val="both"/>
        <w:textAlignment w:val="baseline"/>
        <w:rPr>
          <w:rFonts w:ascii="Times New Roman" w:eastAsia="Arial Unicode MS" w:hAnsi="Times New Roman"/>
          <w:color w:val="000000"/>
          <w:sz w:val="24"/>
          <w:szCs w:val="24"/>
          <w:lang w:val="en-US"/>
        </w:rPr>
      </w:pPr>
      <w:proofErr w:type="gramStart"/>
      <w:r w:rsidRPr="009A2249">
        <w:rPr>
          <w:rFonts w:ascii="Times New Roman" w:eastAsia="Arial Unicode MS" w:hAnsi="Times New Roman"/>
          <w:color w:val="000000"/>
          <w:sz w:val="24"/>
          <w:szCs w:val="24"/>
          <w:lang w:val="en-US"/>
        </w:rPr>
        <w:lastRenderedPageBreak/>
        <w:t xml:space="preserve">SCHRÖDER, C. Profitability of pension </w:t>
      </w:r>
      <w:r w:rsidRPr="009A2249">
        <w:rPr>
          <w:rFonts w:ascii="Times New Roman" w:hAnsi="Times New Roman"/>
          <w:sz w:val="24"/>
          <w:szCs w:val="24"/>
          <w:lang w:val="en-US"/>
        </w:rPr>
        <w:t>contributions</w:t>
      </w:r>
      <w:r w:rsidRPr="009A2249">
        <w:rPr>
          <w:rFonts w:ascii="Times New Roman" w:eastAsia="Arial Unicode MS" w:hAnsi="Times New Roman"/>
          <w:color w:val="000000"/>
          <w:sz w:val="24"/>
          <w:szCs w:val="24"/>
          <w:lang w:val="en-US"/>
        </w:rPr>
        <w:t xml:space="preserve"> – evidence from real-life employment biographies.</w:t>
      </w:r>
      <w:proofErr w:type="gramEnd"/>
      <w:r w:rsidRPr="009A2249">
        <w:rPr>
          <w:rFonts w:ascii="Times New Roman" w:eastAsia="Arial Unicode MS" w:hAnsi="Times New Roman"/>
          <w:color w:val="000000"/>
          <w:sz w:val="24"/>
          <w:szCs w:val="24"/>
          <w:lang w:val="en-US"/>
        </w:rPr>
        <w:t xml:space="preserve"> </w:t>
      </w:r>
      <w:proofErr w:type="gramStart"/>
      <w:r w:rsidRPr="009A2249">
        <w:rPr>
          <w:rFonts w:ascii="Times New Roman" w:eastAsia="Arial Unicode MS" w:hAnsi="Times New Roman"/>
          <w:b/>
          <w:color w:val="000000"/>
          <w:sz w:val="24"/>
          <w:szCs w:val="24"/>
          <w:lang w:val="en-US"/>
        </w:rPr>
        <w:t>Journal of Pension Economics and Finance</w:t>
      </w:r>
      <w:r w:rsidRPr="009A2249">
        <w:rPr>
          <w:rFonts w:ascii="Times New Roman" w:eastAsia="Arial Unicode MS" w:hAnsi="Times New Roman"/>
          <w:color w:val="000000"/>
          <w:sz w:val="24"/>
          <w:szCs w:val="24"/>
          <w:lang w:val="en-US"/>
        </w:rPr>
        <w:t>, v. 11, n. 3, p. 311-336, 2012.</w:t>
      </w:r>
      <w:proofErr w:type="gramEnd"/>
      <w:r w:rsidR="00FE60AC">
        <w:rPr>
          <w:rFonts w:eastAsia="Arial Unicode MS"/>
          <w:color w:val="000000"/>
          <w:lang w:val="en-US"/>
        </w:rPr>
        <w:fldChar w:fldCharType="begin" w:fldLock="1"/>
      </w:r>
      <w:r w:rsidR="00E32C33">
        <w:rPr>
          <w:rFonts w:eastAsia="Arial Unicode MS"/>
          <w:color w:val="000000"/>
          <w:lang w:val="en-US"/>
        </w:rPr>
        <w:instrText xml:space="preserve">ADDIN Mendeley Bibliography CSL_BIBLIOGRAPHY </w:instrText>
      </w:r>
      <w:r w:rsidR="00FE60AC">
        <w:rPr>
          <w:rFonts w:eastAsia="Arial Unicode MS"/>
          <w:color w:val="000000"/>
          <w:lang w:val="en-US"/>
        </w:rPr>
        <w:fldChar w:fldCharType="separate"/>
      </w:r>
    </w:p>
    <w:p w:rsidR="00E32C33" w:rsidRPr="00B904A6" w:rsidRDefault="00E32C33" w:rsidP="00E32C33">
      <w:pPr>
        <w:pStyle w:val="NormalWeb"/>
        <w:spacing w:before="0" w:beforeAutospacing="0" w:after="120" w:afterAutospacing="0"/>
        <w:jc w:val="both"/>
      </w:pPr>
      <w:r w:rsidRPr="00E32C33">
        <w:rPr>
          <w:noProof/>
          <w:lang w:val="en-US"/>
        </w:rPr>
        <w:t xml:space="preserve">VAN DUIJN, M.; MASTROGIACOMO, M.; LINDEBOOM, M.; LUNDBORG, P. Expected and actual replacement rates in the pension system of the Netherlands: how and why do they differ? </w:t>
      </w:r>
      <w:r w:rsidRPr="00E32C33">
        <w:rPr>
          <w:b/>
          <w:bCs/>
          <w:noProof/>
          <w:lang w:val="en-US"/>
        </w:rPr>
        <w:t>Journal of Pension Economics and Finance</w:t>
      </w:r>
      <w:r w:rsidRPr="00E32C33">
        <w:rPr>
          <w:noProof/>
          <w:lang w:val="en-US"/>
        </w:rPr>
        <w:t xml:space="preserve">, </w:t>
      </w:r>
      <w:r w:rsidR="00445BD2">
        <w:rPr>
          <w:noProof/>
          <w:lang w:val="en-US"/>
        </w:rPr>
        <w:t>v. 12, n. 02, p. 168–189, 2013.</w:t>
      </w:r>
      <w:r w:rsidR="00FE60AC">
        <w:rPr>
          <w:rFonts w:eastAsia="Arial Unicode MS"/>
          <w:color w:val="000000"/>
          <w:lang w:val="en-US"/>
        </w:rPr>
        <w:fldChar w:fldCharType="end"/>
      </w:r>
    </w:p>
    <w:sectPr w:rsidR="00E32C33" w:rsidRPr="00B904A6" w:rsidSect="00BF4FCA">
      <w:headerReference w:type="default" r:id="rId16"/>
      <w:footerReference w:type="default" r:id="rId1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ADD" w:rsidRDefault="00780ADD" w:rsidP="00A02924">
      <w:pPr>
        <w:spacing w:after="0" w:line="240" w:lineRule="auto"/>
      </w:pPr>
      <w:r>
        <w:separator/>
      </w:r>
    </w:p>
  </w:endnote>
  <w:endnote w:type="continuationSeparator" w:id="0">
    <w:p w:rsidR="00780ADD" w:rsidRDefault="00780ADD" w:rsidP="00A0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21A" w:rsidRPr="00A02924" w:rsidRDefault="00A2721A" w:rsidP="00A02924">
    <w:pPr>
      <w:pStyle w:val="Rodap"/>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ADD" w:rsidRDefault="00780ADD" w:rsidP="00A02924">
      <w:pPr>
        <w:spacing w:after="0" w:line="240" w:lineRule="auto"/>
      </w:pPr>
      <w:r>
        <w:separator/>
      </w:r>
    </w:p>
  </w:footnote>
  <w:footnote w:type="continuationSeparator" w:id="0">
    <w:p w:rsidR="00780ADD" w:rsidRDefault="00780ADD" w:rsidP="00A02924">
      <w:pPr>
        <w:spacing w:after="0" w:line="240" w:lineRule="auto"/>
      </w:pPr>
      <w:r>
        <w:continuationSeparator/>
      </w:r>
    </w:p>
  </w:footnote>
  <w:footnote w:id="1">
    <w:p w:rsidR="00A2721A" w:rsidRDefault="00A2721A" w:rsidP="00BA6695">
      <w:pPr>
        <w:pStyle w:val="Textodenotaderodap"/>
      </w:pPr>
      <w:r>
        <w:rPr>
          <w:rStyle w:val="Refdenotaderodap"/>
        </w:rPr>
        <w:footnoteRef/>
      </w:r>
      <w:r>
        <w:t xml:space="preserve"> Estão excluídos os funcionários públicos estatutários, militares, trabalhadores na produção para o próprio consumo, trabalhadores na construção para o próprio uso e trabalhadores </w:t>
      </w:r>
      <w:proofErr w:type="gramStart"/>
      <w:r>
        <w:t>não-remunerados</w:t>
      </w:r>
      <w:proofErr w:type="gramEnd"/>
      <w:r>
        <w:t>.</w:t>
      </w:r>
    </w:p>
  </w:footnote>
  <w:footnote w:id="2">
    <w:p w:rsidR="00A2721A" w:rsidRDefault="00A2721A" w:rsidP="00BA6695">
      <w:pPr>
        <w:pStyle w:val="Textodenotaderodap"/>
        <w:jc w:val="both"/>
      </w:pPr>
      <w:r>
        <w:rPr>
          <w:rStyle w:val="Refdenotaderodap"/>
        </w:rPr>
        <w:footnoteRef/>
      </w:r>
      <w:r>
        <w:t xml:space="preserve"> Pode haver uma pequena </w:t>
      </w:r>
      <w:proofErr w:type="spellStart"/>
      <w:r>
        <w:t>sobrestimação</w:t>
      </w:r>
      <w:proofErr w:type="spellEnd"/>
      <w:r>
        <w:t xml:space="preserve"> neste número, tendo em vista que os microdados da PNAD não permitem identificar a origem do benefício previdenciário. Desta forma os valores apresentados incluem o grupo de aposentados e pensionistas dos Regimes Próprios de Previdência Social (RPPS), que obviamente não poderão obter a </w:t>
      </w:r>
      <w:r>
        <w:rPr>
          <w:i/>
        </w:rPr>
        <w:t>desaposentação</w:t>
      </w:r>
      <w:r>
        <w:t xml:space="preserve"> junto ao INSS.</w:t>
      </w:r>
    </w:p>
  </w:footnote>
  <w:footnote w:id="3">
    <w:p w:rsidR="00A2721A" w:rsidRDefault="00A2721A" w:rsidP="003F6FDF">
      <w:pPr>
        <w:pStyle w:val="Textodenotaderodap"/>
        <w:jc w:val="both"/>
      </w:pPr>
      <w:r>
        <w:rPr>
          <w:rStyle w:val="Refdenotaderodap"/>
        </w:rPr>
        <w:footnoteRef/>
      </w:r>
      <w:r>
        <w:t xml:space="preserve"> Uma exceção são os empregados do setor financeiro e segurador, para os quais a alíquota é de 22,5%.</w:t>
      </w:r>
    </w:p>
  </w:footnote>
  <w:footnote w:id="4">
    <w:p w:rsidR="00A2721A" w:rsidRDefault="00A2721A" w:rsidP="00B030FB">
      <w:pPr>
        <w:pStyle w:val="Textodenotaderodap"/>
        <w:jc w:val="both"/>
      </w:pPr>
      <w:r>
        <w:rPr>
          <w:rStyle w:val="Refdenotaderodap"/>
        </w:rPr>
        <w:footnoteRef/>
      </w:r>
      <w:r>
        <w:t xml:space="preserve"> Por</w:t>
      </w:r>
      <w:r w:rsidRPr="00B030FB">
        <w:t xml:space="preserve"> exemplo, se a renda do trabalhador é de R$ 5.000,00, a alíquota de contribuição do empregador incide sobre este total, enquanto a contribuição do trabalhador está limitada 11% incidentes </w:t>
      </w:r>
      <w:r w:rsidRPr="00C50F66">
        <w:t>sobre R$ 4.159,00.</w:t>
      </w:r>
    </w:p>
  </w:footnote>
  <w:footnote w:id="5">
    <w:p w:rsidR="00A2721A" w:rsidRDefault="00A2721A" w:rsidP="00A03C1D">
      <w:pPr>
        <w:pStyle w:val="Textodenotaderodap"/>
        <w:jc w:val="both"/>
      </w:pPr>
      <w:r>
        <w:rPr>
          <w:rStyle w:val="Refdenotaderodap"/>
        </w:rPr>
        <w:footnoteRef/>
      </w:r>
      <w:r>
        <w:t xml:space="preserve"> O uso do Fator Previdenciário é obrigatório para as aposentadorias por tempo de contribuição e opcional para as aposentadorias por idade.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92806"/>
      <w:docPartObj>
        <w:docPartGallery w:val="Page Numbers (Top of Page)"/>
        <w:docPartUnique/>
      </w:docPartObj>
    </w:sdtPr>
    <w:sdtEndPr/>
    <w:sdtContent>
      <w:p w:rsidR="00A2721A" w:rsidRDefault="00FE60AC" w:rsidP="00C75F3C">
        <w:pPr>
          <w:pStyle w:val="Cabealho"/>
          <w:jc w:val="right"/>
        </w:pPr>
        <w:r w:rsidRPr="00BF4FCA">
          <w:rPr>
            <w:rFonts w:ascii="Times New Roman" w:hAnsi="Times New Roman"/>
            <w:sz w:val="24"/>
            <w:szCs w:val="24"/>
          </w:rPr>
          <w:fldChar w:fldCharType="begin"/>
        </w:r>
        <w:r w:rsidR="00A2721A" w:rsidRPr="00BF4FCA">
          <w:rPr>
            <w:rFonts w:ascii="Times New Roman" w:hAnsi="Times New Roman"/>
            <w:sz w:val="24"/>
            <w:szCs w:val="24"/>
          </w:rPr>
          <w:instrText xml:space="preserve"> PAGE   \* MERGEFORMAT </w:instrText>
        </w:r>
        <w:r w:rsidRPr="00BF4FCA">
          <w:rPr>
            <w:rFonts w:ascii="Times New Roman" w:hAnsi="Times New Roman"/>
            <w:sz w:val="24"/>
            <w:szCs w:val="24"/>
          </w:rPr>
          <w:fldChar w:fldCharType="separate"/>
        </w:r>
        <w:r w:rsidR="005B51A9">
          <w:rPr>
            <w:rFonts w:ascii="Times New Roman" w:hAnsi="Times New Roman"/>
            <w:noProof/>
            <w:sz w:val="24"/>
            <w:szCs w:val="24"/>
          </w:rPr>
          <w:t>1</w:t>
        </w:r>
        <w:r w:rsidRPr="00BF4FCA">
          <w:rPr>
            <w:rFonts w:ascii="Times New Roman" w:hAnsi="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C20"/>
    <w:multiLevelType w:val="multilevel"/>
    <w:tmpl w:val="83F2705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4230E5"/>
    <w:multiLevelType w:val="hybridMultilevel"/>
    <w:tmpl w:val="74262F06"/>
    <w:lvl w:ilvl="0" w:tplc="929E4E18">
      <w:start w:val="1"/>
      <w:numFmt w:val="lowerLetter"/>
      <w:lvlText w:val="%1)"/>
      <w:lvlJc w:val="left"/>
      <w:pPr>
        <w:tabs>
          <w:tab w:val="num" w:pos="720"/>
        </w:tabs>
        <w:ind w:left="720" w:hanging="36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2A8D189C"/>
    <w:multiLevelType w:val="multilevel"/>
    <w:tmpl w:val="CD8CEB2E"/>
    <w:lvl w:ilvl="0">
      <w:start w:val="1"/>
      <w:numFmt w:val="decimal"/>
      <w:lvlText w:val="%1."/>
      <w:lvlJc w:val="left"/>
      <w:pPr>
        <w:ind w:left="360" w:hanging="360"/>
      </w:pPr>
      <w:rPr>
        <w:b/>
        <w:lang w:val="pt-P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8C2B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A8501A"/>
    <w:multiLevelType w:val="hybridMultilevel"/>
    <w:tmpl w:val="96E8CE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58A906B5"/>
    <w:multiLevelType w:val="hybridMultilevel"/>
    <w:tmpl w:val="19E8184C"/>
    <w:lvl w:ilvl="0" w:tplc="04160001">
      <w:start w:val="1"/>
      <w:numFmt w:val="bullet"/>
      <w:lvlText w:val=""/>
      <w:lvlJc w:val="left"/>
      <w:pPr>
        <w:tabs>
          <w:tab w:val="num" w:pos="720"/>
        </w:tabs>
        <w:ind w:left="720" w:hanging="360"/>
      </w:pPr>
      <w:rPr>
        <w:rFonts w:ascii="Symbol" w:hAnsi="Symbol" w:hint="default"/>
      </w:rPr>
    </w:lvl>
    <w:lvl w:ilvl="1" w:tplc="04160001">
      <w:start w:val="1"/>
      <w:numFmt w:val="bullet"/>
      <w:lvlText w:val=""/>
      <w:lvlJc w:val="left"/>
      <w:pPr>
        <w:tabs>
          <w:tab w:val="num" w:pos="1440"/>
        </w:tabs>
        <w:ind w:left="1440" w:hanging="360"/>
      </w:pPr>
      <w:rPr>
        <w:rFonts w:ascii="Symbol" w:hAnsi="Symbol"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6E7B227A"/>
    <w:multiLevelType w:val="multilevel"/>
    <w:tmpl w:val="BAACC87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203F87"/>
    <w:multiLevelType w:val="multilevel"/>
    <w:tmpl w:val="BAACC87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2"/>
  </w:num>
  <w:num w:numId="4">
    <w:abstractNumId w:val="7"/>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924"/>
    <w:rsid w:val="00004E50"/>
    <w:rsid w:val="00013F0C"/>
    <w:rsid w:val="00014C13"/>
    <w:rsid w:val="000210E7"/>
    <w:rsid w:val="0004494C"/>
    <w:rsid w:val="00046329"/>
    <w:rsid w:val="0004741B"/>
    <w:rsid w:val="00060460"/>
    <w:rsid w:val="00064760"/>
    <w:rsid w:val="00080852"/>
    <w:rsid w:val="000916CA"/>
    <w:rsid w:val="000927E5"/>
    <w:rsid w:val="000B0C66"/>
    <w:rsid w:val="000B4537"/>
    <w:rsid w:val="000B51A2"/>
    <w:rsid w:val="000B55F5"/>
    <w:rsid w:val="000C49BD"/>
    <w:rsid w:val="000C4B30"/>
    <w:rsid w:val="000D4417"/>
    <w:rsid w:val="000D7E90"/>
    <w:rsid w:val="000E0B82"/>
    <w:rsid w:val="000E4301"/>
    <w:rsid w:val="000E7411"/>
    <w:rsid w:val="00111265"/>
    <w:rsid w:val="0011339A"/>
    <w:rsid w:val="00122AFC"/>
    <w:rsid w:val="00125235"/>
    <w:rsid w:val="00127C6F"/>
    <w:rsid w:val="00127F87"/>
    <w:rsid w:val="0013508D"/>
    <w:rsid w:val="0014021F"/>
    <w:rsid w:val="00141A56"/>
    <w:rsid w:val="00161523"/>
    <w:rsid w:val="001632B6"/>
    <w:rsid w:val="001A3D46"/>
    <w:rsid w:val="001A5C1C"/>
    <w:rsid w:val="001C779E"/>
    <w:rsid w:val="001D541E"/>
    <w:rsid w:val="001E1E03"/>
    <w:rsid w:val="001F7491"/>
    <w:rsid w:val="00211F0F"/>
    <w:rsid w:val="002169D1"/>
    <w:rsid w:val="00235481"/>
    <w:rsid w:val="00236B70"/>
    <w:rsid w:val="00244BDE"/>
    <w:rsid w:val="00253658"/>
    <w:rsid w:val="00267E49"/>
    <w:rsid w:val="002727C5"/>
    <w:rsid w:val="002736CF"/>
    <w:rsid w:val="00274F4B"/>
    <w:rsid w:val="002810BC"/>
    <w:rsid w:val="002905D4"/>
    <w:rsid w:val="00292CDC"/>
    <w:rsid w:val="002A4DFD"/>
    <w:rsid w:val="002B6900"/>
    <w:rsid w:val="002C09D2"/>
    <w:rsid w:val="002D161A"/>
    <w:rsid w:val="002F5566"/>
    <w:rsid w:val="002F7047"/>
    <w:rsid w:val="0031286F"/>
    <w:rsid w:val="00325384"/>
    <w:rsid w:val="003314DB"/>
    <w:rsid w:val="003342AB"/>
    <w:rsid w:val="003545DE"/>
    <w:rsid w:val="00363C86"/>
    <w:rsid w:val="00381389"/>
    <w:rsid w:val="003826FB"/>
    <w:rsid w:val="0039047F"/>
    <w:rsid w:val="003A549A"/>
    <w:rsid w:val="003A5CCC"/>
    <w:rsid w:val="003B5068"/>
    <w:rsid w:val="003D1854"/>
    <w:rsid w:val="003D7485"/>
    <w:rsid w:val="003E5767"/>
    <w:rsid w:val="003E5CF6"/>
    <w:rsid w:val="003E754C"/>
    <w:rsid w:val="003F44CB"/>
    <w:rsid w:val="003F6FDF"/>
    <w:rsid w:val="004141EB"/>
    <w:rsid w:val="0041426C"/>
    <w:rsid w:val="00416D78"/>
    <w:rsid w:val="0041700D"/>
    <w:rsid w:val="0041770C"/>
    <w:rsid w:val="004227CA"/>
    <w:rsid w:val="00434A9B"/>
    <w:rsid w:val="00440F3E"/>
    <w:rsid w:val="00445BD2"/>
    <w:rsid w:val="00464F5F"/>
    <w:rsid w:val="00464FA0"/>
    <w:rsid w:val="00474A81"/>
    <w:rsid w:val="00484BE0"/>
    <w:rsid w:val="00492404"/>
    <w:rsid w:val="00495B80"/>
    <w:rsid w:val="00496F67"/>
    <w:rsid w:val="004A2DAA"/>
    <w:rsid w:val="004A5541"/>
    <w:rsid w:val="004B5541"/>
    <w:rsid w:val="004C5A0C"/>
    <w:rsid w:val="004C67A4"/>
    <w:rsid w:val="004E3471"/>
    <w:rsid w:val="004E5AA0"/>
    <w:rsid w:val="004E66EE"/>
    <w:rsid w:val="004F3437"/>
    <w:rsid w:val="004F5808"/>
    <w:rsid w:val="00510BA3"/>
    <w:rsid w:val="00510DC0"/>
    <w:rsid w:val="00524A9A"/>
    <w:rsid w:val="00534C4E"/>
    <w:rsid w:val="00543569"/>
    <w:rsid w:val="0054437A"/>
    <w:rsid w:val="00547DA8"/>
    <w:rsid w:val="00556E30"/>
    <w:rsid w:val="00563227"/>
    <w:rsid w:val="00582D43"/>
    <w:rsid w:val="00591E53"/>
    <w:rsid w:val="005A1101"/>
    <w:rsid w:val="005B51A9"/>
    <w:rsid w:val="005C6665"/>
    <w:rsid w:val="005D3C28"/>
    <w:rsid w:val="005D49B6"/>
    <w:rsid w:val="005E6CBB"/>
    <w:rsid w:val="005E700B"/>
    <w:rsid w:val="005F0483"/>
    <w:rsid w:val="005F5B65"/>
    <w:rsid w:val="005F74EC"/>
    <w:rsid w:val="0060073D"/>
    <w:rsid w:val="00602283"/>
    <w:rsid w:val="00615EAC"/>
    <w:rsid w:val="00620304"/>
    <w:rsid w:val="0062552D"/>
    <w:rsid w:val="00630FAB"/>
    <w:rsid w:val="00636EDD"/>
    <w:rsid w:val="00637456"/>
    <w:rsid w:val="00642953"/>
    <w:rsid w:val="00642AF6"/>
    <w:rsid w:val="0064630B"/>
    <w:rsid w:val="00673C3B"/>
    <w:rsid w:val="00676CB2"/>
    <w:rsid w:val="00677E22"/>
    <w:rsid w:val="0069114B"/>
    <w:rsid w:val="00692CBF"/>
    <w:rsid w:val="006A4DD8"/>
    <w:rsid w:val="006A4EEE"/>
    <w:rsid w:val="006B0D52"/>
    <w:rsid w:val="006C15EB"/>
    <w:rsid w:val="006D795A"/>
    <w:rsid w:val="006E053B"/>
    <w:rsid w:val="006E1D31"/>
    <w:rsid w:val="006E24FB"/>
    <w:rsid w:val="006E4A23"/>
    <w:rsid w:val="006F62D7"/>
    <w:rsid w:val="007020D8"/>
    <w:rsid w:val="007231A3"/>
    <w:rsid w:val="00731744"/>
    <w:rsid w:val="0073445C"/>
    <w:rsid w:val="007520A1"/>
    <w:rsid w:val="00753112"/>
    <w:rsid w:val="00763FC2"/>
    <w:rsid w:val="00764047"/>
    <w:rsid w:val="00764946"/>
    <w:rsid w:val="007704D2"/>
    <w:rsid w:val="00770AEA"/>
    <w:rsid w:val="00774019"/>
    <w:rsid w:val="00776BCB"/>
    <w:rsid w:val="00776F86"/>
    <w:rsid w:val="007807FF"/>
    <w:rsid w:val="00780ADD"/>
    <w:rsid w:val="00791DEE"/>
    <w:rsid w:val="007973E8"/>
    <w:rsid w:val="007B1F3C"/>
    <w:rsid w:val="007B3079"/>
    <w:rsid w:val="007B413E"/>
    <w:rsid w:val="007B4B9C"/>
    <w:rsid w:val="007B76B6"/>
    <w:rsid w:val="007C3426"/>
    <w:rsid w:val="007C4FA2"/>
    <w:rsid w:val="00815EFE"/>
    <w:rsid w:val="00830D19"/>
    <w:rsid w:val="00832DF1"/>
    <w:rsid w:val="00846429"/>
    <w:rsid w:val="00847D19"/>
    <w:rsid w:val="00861964"/>
    <w:rsid w:val="00867725"/>
    <w:rsid w:val="00867EEB"/>
    <w:rsid w:val="0087073F"/>
    <w:rsid w:val="00885DAB"/>
    <w:rsid w:val="0088688D"/>
    <w:rsid w:val="008B1647"/>
    <w:rsid w:val="008C6C9C"/>
    <w:rsid w:val="008D279B"/>
    <w:rsid w:val="008D5249"/>
    <w:rsid w:val="008E3614"/>
    <w:rsid w:val="008F777D"/>
    <w:rsid w:val="009015EB"/>
    <w:rsid w:val="00902A51"/>
    <w:rsid w:val="00943E6A"/>
    <w:rsid w:val="00947D9F"/>
    <w:rsid w:val="009610C8"/>
    <w:rsid w:val="00962C1D"/>
    <w:rsid w:val="0097260D"/>
    <w:rsid w:val="00981D2A"/>
    <w:rsid w:val="00990445"/>
    <w:rsid w:val="00996705"/>
    <w:rsid w:val="009A008C"/>
    <w:rsid w:val="009A09C4"/>
    <w:rsid w:val="009A2249"/>
    <w:rsid w:val="009D5C0A"/>
    <w:rsid w:val="009E48C5"/>
    <w:rsid w:val="009E4FBB"/>
    <w:rsid w:val="009E56A7"/>
    <w:rsid w:val="009E6FEF"/>
    <w:rsid w:val="00A02924"/>
    <w:rsid w:val="00A03C1D"/>
    <w:rsid w:val="00A1152E"/>
    <w:rsid w:val="00A15A99"/>
    <w:rsid w:val="00A24FF3"/>
    <w:rsid w:val="00A26A46"/>
    <w:rsid w:val="00A2721A"/>
    <w:rsid w:val="00A27C94"/>
    <w:rsid w:val="00A35F86"/>
    <w:rsid w:val="00A374D9"/>
    <w:rsid w:val="00A458FB"/>
    <w:rsid w:val="00A7256B"/>
    <w:rsid w:val="00A77263"/>
    <w:rsid w:val="00A90E6C"/>
    <w:rsid w:val="00A92246"/>
    <w:rsid w:val="00AA08E0"/>
    <w:rsid w:val="00AA218B"/>
    <w:rsid w:val="00AB169B"/>
    <w:rsid w:val="00AB7516"/>
    <w:rsid w:val="00AD2C23"/>
    <w:rsid w:val="00AE152D"/>
    <w:rsid w:val="00AF59AF"/>
    <w:rsid w:val="00B030FB"/>
    <w:rsid w:val="00B10F65"/>
    <w:rsid w:val="00B147CC"/>
    <w:rsid w:val="00B22A2B"/>
    <w:rsid w:val="00B274C2"/>
    <w:rsid w:val="00B335DC"/>
    <w:rsid w:val="00B36947"/>
    <w:rsid w:val="00B36E03"/>
    <w:rsid w:val="00B43999"/>
    <w:rsid w:val="00B5651D"/>
    <w:rsid w:val="00B65879"/>
    <w:rsid w:val="00B70D61"/>
    <w:rsid w:val="00B904A6"/>
    <w:rsid w:val="00BA23DB"/>
    <w:rsid w:val="00BA6695"/>
    <w:rsid w:val="00BB14C5"/>
    <w:rsid w:val="00BB5F32"/>
    <w:rsid w:val="00BC2FC5"/>
    <w:rsid w:val="00BC6D19"/>
    <w:rsid w:val="00BC7BE7"/>
    <w:rsid w:val="00BD4DB9"/>
    <w:rsid w:val="00BD75CE"/>
    <w:rsid w:val="00BE76BA"/>
    <w:rsid w:val="00BF4FCA"/>
    <w:rsid w:val="00BF79C2"/>
    <w:rsid w:val="00C00483"/>
    <w:rsid w:val="00C0393A"/>
    <w:rsid w:val="00C12F87"/>
    <w:rsid w:val="00C36D48"/>
    <w:rsid w:val="00C40344"/>
    <w:rsid w:val="00C407BC"/>
    <w:rsid w:val="00C43F08"/>
    <w:rsid w:val="00C50F66"/>
    <w:rsid w:val="00C55C92"/>
    <w:rsid w:val="00C658F7"/>
    <w:rsid w:val="00C75F3C"/>
    <w:rsid w:val="00C761CF"/>
    <w:rsid w:val="00C85680"/>
    <w:rsid w:val="00C86152"/>
    <w:rsid w:val="00C92BFA"/>
    <w:rsid w:val="00C94E9A"/>
    <w:rsid w:val="00C95857"/>
    <w:rsid w:val="00CA54F5"/>
    <w:rsid w:val="00CA573A"/>
    <w:rsid w:val="00CA5869"/>
    <w:rsid w:val="00CC0447"/>
    <w:rsid w:val="00CC223D"/>
    <w:rsid w:val="00CC269B"/>
    <w:rsid w:val="00CC704A"/>
    <w:rsid w:val="00CD0E12"/>
    <w:rsid w:val="00CD128C"/>
    <w:rsid w:val="00CE1545"/>
    <w:rsid w:val="00CE2DE6"/>
    <w:rsid w:val="00CE736B"/>
    <w:rsid w:val="00CF057B"/>
    <w:rsid w:val="00CF29FE"/>
    <w:rsid w:val="00D0184C"/>
    <w:rsid w:val="00D13E4B"/>
    <w:rsid w:val="00D141FE"/>
    <w:rsid w:val="00D20E17"/>
    <w:rsid w:val="00D3202A"/>
    <w:rsid w:val="00D403D1"/>
    <w:rsid w:val="00D40AEC"/>
    <w:rsid w:val="00D40FF7"/>
    <w:rsid w:val="00D42F23"/>
    <w:rsid w:val="00D5374F"/>
    <w:rsid w:val="00D568E1"/>
    <w:rsid w:val="00D61215"/>
    <w:rsid w:val="00D721CE"/>
    <w:rsid w:val="00D724DA"/>
    <w:rsid w:val="00D77FEF"/>
    <w:rsid w:val="00D91D14"/>
    <w:rsid w:val="00D97B6C"/>
    <w:rsid w:val="00DA0BDB"/>
    <w:rsid w:val="00DA730D"/>
    <w:rsid w:val="00DF1BB6"/>
    <w:rsid w:val="00E0088B"/>
    <w:rsid w:val="00E038EB"/>
    <w:rsid w:val="00E158B4"/>
    <w:rsid w:val="00E17C70"/>
    <w:rsid w:val="00E21747"/>
    <w:rsid w:val="00E22A65"/>
    <w:rsid w:val="00E27B33"/>
    <w:rsid w:val="00E32C33"/>
    <w:rsid w:val="00E51F70"/>
    <w:rsid w:val="00E608BD"/>
    <w:rsid w:val="00E623F6"/>
    <w:rsid w:val="00E62727"/>
    <w:rsid w:val="00E7119B"/>
    <w:rsid w:val="00E748D0"/>
    <w:rsid w:val="00E77CF7"/>
    <w:rsid w:val="00E84B2D"/>
    <w:rsid w:val="00E939E0"/>
    <w:rsid w:val="00E95289"/>
    <w:rsid w:val="00EB193C"/>
    <w:rsid w:val="00EB271D"/>
    <w:rsid w:val="00EB37B5"/>
    <w:rsid w:val="00EC2368"/>
    <w:rsid w:val="00ED0DBD"/>
    <w:rsid w:val="00ED0FFD"/>
    <w:rsid w:val="00ED7D75"/>
    <w:rsid w:val="00EF0B1D"/>
    <w:rsid w:val="00F2796E"/>
    <w:rsid w:val="00F47B43"/>
    <w:rsid w:val="00F55F51"/>
    <w:rsid w:val="00F56C85"/>
    <w:rsid w:val="00F605D3"/>
    <w:rsid w:val="00F8137E"/>
    <w:rsid w:val="00F931F3"/>
    <w:rsid w:val="00F93417"/>
    <w:rsid w:val="00FA0CD8"/>
    <w:rsid w:val="00FB23FC"/>
    <w:rsid w:val="00FC340B"/>
    <w:rsid w:val="00FC358F"/>
    <w:rsid w:val="00FC3916"/>
    <w:rsid w:val="00FC5B94"/>
    <w:rsid w:val="00FC7F50"/>
    <w:rsid w:val="00FD0EF3"/>
    <w:rsid w:val="00FE4C90"/>
    <w:rsid w:val="00FE60AC"/>
    <w:rsid w:val="00FF6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F3E"/>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9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924"/>
  </w:style>
  <w:style w:type="paragraph" w:styleId="Rodap">
    <w:name w:val="footer"/>
    <w:basedOn w:val="Normal"/>
    <w:link w:val="RodapChar"/>
    <w:uiPriority w:val="99"/>
    <w:unhideWhenUsed/>
    <w:rsid w:val="00A02924"/>
    <w:pPr>
      <w:tabs>
        <w:tab w:val="center" w:pos="4252"/>
        <w:tab w:val="right" w:pos="8504"/>
      </w:tabs>
      <w:spacing w:after="0" w:line="240" w:lineRule="auto"/>
    </w:pPr>
  </w:style>
  <w:style w:type="character" w:customStyle="1" w:styleId="RodapChar">
    <w:name w:val="Rodapé Char"/>
    <w:basedOn w:val="Fontepargpadro"/>
    <w:link w:val="Rodap"/>
    <w:uiPriority w:val="99"/>
    <w:rsid w:val="00A02924"/>
  </w:style>
  <w:style w:type="paragraph" w:styleId="Textodebalo">
    <w:name w:val="Balloon Text"/>
    <w:basedOn w:val="Normal"/>
    <w:link w:val="TextodebaloChar"/>
    <w:uiPriority w:val="99"/>
    <w:semiHidden/>
    <w:unhideWhenUsed/>
    <w:rsid w:val="00A029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924"/>
    <w:rPr>
      <w:rFonts w:ascii="Tahoma" w:hAnsi="Tahoma" w:cs="Tahoma"/>
      <w:sz w:val="16"/>
      <w:szCs w:val="16"/>
    </w:rPr>
  </w:style>
  <w:style w:type="character" w:styleId="Hyperlink">
    <w:name w:val="Hyperlink"/>
    <w:uiPriority w:val="99"/>
    <w:unhideWhenUsed/>
    <w:rsid w:val="00B904A6"/>
    <w:rPr>
      <w:color w:val="0000FF"/>
      <w:u w:val="single"/>
    </w:rPr>
  </w:style>
  <w:style w:type="character" w:customStyle="1" w:styleId="il">
    <w:name w:val="il"/>
    <w:rsid w:val="00B904A6"/>
  </w:style>
  <w:style w:type="character" w:styleId="Forte">
    <w:name w:val="Strong"/>
    <w:uiPriority w:val="22"/>
    <w:qFormat/>
    <w:rsid w:val="00B904A6"/>
    <w:rPr>
      <w:b/>
      <w:bCs/>
    </w:rPr>
  </w:style>
  <w:style w:type="character" w:styleId="HiperlinkVisitado">
    <w:name w:val="FollowedHyperlink"/>
    <w:uiPriority w:val="99"/>
    <w:semiHidden/>
    <w:unhideWhenUsed/>
    <w:rsid w:val="00B904A6"/>
    <w:rPr>
      <w:color w:val="800080"/>
      <w:u w:val="single"/>
    </w:rPr>
  </w:style>
  <w:style w:type="character" w:customStyle="1" w:styleId="shorttext">
    <w:name w:val="short_text"/>
    <w:rsid w:val="00B904A6"/>
  </w:style>
  <w:style w:type="character" w:customStyle="1" w:styleId="hps">
    <w:name w:val="hps"/>
    <w:rsid w:val="00B904A6"/>
  </w:style>
  <w:style w:type="character" w:styleId="TextodoEspaoReservado">
    <w:name w:val="Placeholder Text"/>
    <w:uiPriority w:val="99"/>
    <w:semiHidden/>
    <w:rsid w:val="00B904A6"/>
    <w:rPr>
      <w:color w:val="808080"/>
    </w:rPr>
  </w:style>
  <w:style w:type="paragraph" w:styleId="Legenda">
    <w:name w:val="caption"/>
    <w:basedOn w:val="Normal"/>
    <w:next w:val="Normal"/>
    <w:uiPriority w:val="35"/>
    <w:unhideWhenUsed/>
    <w:qFormat/>
    <w:rsid w:val="00B904A6"/>
    <w:pPr>
      <w:spacing w:line="240" w:lineRule="auto"/>
    </w:pPr>
    <w:rPr>
      <w:rFonts w:ascii="Times New Roman" w:eastAsia="Times New Roman" w:hAnsi="Times New Roman"/>
      <w:b/>
      <w:bCs/>
      <w:color w:val="4F81BD"/>
      <w:sz w:val="18"/>
      <w:szCs w:val="18"/>
      <w:lang w:eastAsia="pt-BR"/>
    </w:rPr>
  </w:style>
  <w:style w:type="character" w:styleId="Refdecomentrio">
    <w:name w:val="annotation reference"/>
    <w:uiPriority w:val="99"/>
    <w:semiHidden/>
    <w:unhideWhenUsed/>
    <w:rsid w:val="00B904A6"/>
    <w:rPr>
      <w:sz w:val="16"/>
      <w:szCs w:val="16"/>
    </w:rPr>
  </w:style>
  <w:style w:type="paragraph" w:styleId="Textodecomentrio">
    <w:name w:val="annotation text"/>
    <w:basedOn w:val="Normal"/>
    <w:link w:val="TextodecomentrioChar"/>
    <w:uiPriority w:val="99"/>
    <w:semiHidden/>
    <w:unhideWhenUsed/>
    <w:rsid w:val="00B904A6"/>
    <w:pPr>
      <w:spacing w:after="0" w:line="240" w:lineRule="auto"/>
    </w:pPr>
    <w:rPr>
      <w:rFonts w:ascii="Times New Roman" w:eastAsia="Times New Roman" w:hAnsi="Times New Roman"/>
      <w:sz w:val="20"/>
      <w:szCs w:val="20"/>
      <w:lang w:eastAsia="pt-BR"/>
    </w:rPr>
  </w:style>
  <w:style w:type="character" w:customStyle="1" w:styleId="TextodecomentrioChar">
    <w:name w:val="Texto de comentário Char"/>
    <w:basedOn w:val="Fontepargpadro"/>
    <w:link w:val="Textodecomentrio"/>
    <w:uiPriority w:val="99"/>
    <w:semiHidden/>
    <w:rsid w:val="00B904A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B904A6"/>
    <w:rPr>
      <w:b/>
      <w:bCs/>
    </w:rPr>
  </w:style>
  <w:style w:type="character" w:customStyle="1" w:styleId="AssuntodocomentrioChar">
    <w:name w:val="Assunto do comentário Char"/>
    <w:basedOn w:val="TextodecomentrioChar"/>
    <w:link w:val="Assuntodocomentrio"/>
    <w:uiPriority w:val="99"/>
    <w:semiHidden/>
    <w:rsid w:val="00B904A6"/>
    <w:rPr>
      <w:rFonts w:ascii="Times New Roman" w:eastAsia="Times New Roman" w:hAnsi="Times New Roman"/>
      <w:b/>
      <w:bCs/>
    </w:rPr>
  </w:style>
  <w:style w:type="paragraph" w:styleId="Recuodecorpodetexto">
    <w:name w:val="Body Text Indent"/>
    <w:basedOn w:val="Normal"/>
    <w:link w:val="RecuodecorpodetextoChar"/>
    <w:uiPriority w:val="99"/>
    <w:unhideWhenUsed/>
    <w:rsid w:val="00B904A6"/>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RecuodecorpodetextoChar">
    <w:name w:val="Recuo de corpo de texto Char"/>
    <w:basedOn w:val="Fontepargpadro"/>
    <w:link w:val="Recuodecorpodetexto"/>
    <w:uiPriority w:val="99"/>
    <w:rsid w:val="00B904A6"/>
    <w:rPr>
      <w:rFonts w:ascii="Times New Roman" w:eastAsia="Times New Roman" w:hAnsi="Times New Roman"/>
      <w:sz w:val="24"/>
      <w:szCs w:val="24"/>
    </w:rPr>
  </w:style>
  <w:style w:type="paragraph" w:styleId="PargrafodaLista">
    <w:name w:val="List Paragraph"/>
    <w:basedOn w:val="Normal"/>
    <w:uiPriority w:val="34"/>
    <w:qFormat/>
    <w:rsid w:val="00B904A6"/>
    <w:pPr>
      <w:spacing w:after="0" w:line="240" w:lineRule="auto"/>
      <w:ind w:left="720"/>
      <w:contextualSpacing/>
    </w:pPr>
    <w:rPr>
      <w:rFonts w:ascii="Times New Roman" w:eastAsia="Times New Roman" w:hAnsi="Times New Roman"/>
      <w:sz w:val="24"/>
      <w:szCs w:val="24"/>
      <w:lang w:eastAsia="pt-BR"/>
    </w:rPr>
  </w:style>
  <w:style w:type="paragraph" w:styleId="Textodenotaderodap">
    <w:name w:val="footnote text"/>
    <w:basedOn w:val="Normal"/>
    <w:link w:val="TextodenotaderodapChar"/>
    <w:semiHidden/>
    <w:unhideWhenUsed/>
    <w:rsid w:val="00B904A6"/>
    <w:pPr>
      <w:spacing w:after="0" w:line="240" w:lineRule="auto"/>
    </w:pPr>
    <w:rPr>
      <w:rFonts w:ascii="Times New Roman" w:eastAsia="Times New Roman" w:hAnsi="Times New Roman"/>
      <w:sz w:val="20"/>
      <w:szCs w:val="20"/>
      <w:lang w:eastAsia="pt-BR"/>
    </w:rPr>
  </w:style>
  <w:style w:type="character" w:customStyle="1" w:styleId="TextodenotaderodapChar">
    <w:name w:val="Texto de nota de rodapé Char"/>
    <w:basedOn w:val="Fontepargpadro"/>
    <w:link w:val="Textodenotaderodap"/>
    <w:semiHidden/>
    <w:rsid w:val="00B904A6"/>
    <w:rPr>
      <w:rFonts w:ascii="Times New Roman" w:eastAsia="Times New Roman" w:hAnsi="Times New Roman"/>
    </w:rPr>
  </w:style>
  <w:style w:type="character" w:styleId="Refdenotaderodap">
    <w:name w:val="footnote reference"/>
    <w:uiPriority w:val="99"/>
    <w:semiHidden/>
    <w:unhideWhenUsed/>
    <w:rsid w:val="00B904A6"/>
    <w:rPr>
      <w:vertAlign w:val="superscript"/>
    </w:rPr>
  </w:style>
  <w:style w:type="character" w:customStyle="1" w:styleId="apple-converted-space">
    <w:name w:val="apple-converted-space"/>
    <w:basedOn w:val="Fontepargpadro"/>
    <w:rsid w:val="00731744"/>
  </w:style>
  <w:style w:type="paragraph" w:styleId="Corpodetexto">
    <w:name w:val="Body Text"/>
    <w:basedOn w:val="Normal"/>
    <w:link w:val="CorpodetextoChar"/>
    <w:uiPriority w:val="99"/>
    <w:semiHidden/>
    <w:unhideWhenUsed/>
    <w:rsid w:val="003F44CB"/>
    <w:pPr>
      <w:spacing w:after="120"/>
    </w:pPr>
  </w:style>
  <w:style w:type="character" w:customStyle="1" w:styleId="CorpodetextoChar">
    <w:name w:val="Corpo de texto Char"/>
    <w:basedOn w:val="Fontepargpadro"/>
    <w:link w:val="Corpodetexto"/>
    <w:uiPriority w:val="99"/>
    <w:semiHidden/>
    <w:rsid w:val="003F44CB"/>
    <w:rPr>
      <w:sz w:val="22"/>
      <w:szCs w:val="22"/>
      <w:lang w:eastAsia="en-US"/>
    </w:rPr>
  </w:style>
  <w:style w:type="paragraph" w:styleId="NormalWeb">
    <w:name w:val="Normal (Web)"/>
    <w:basedOn w:val="Normal"/>
    <w:uiPriority w:val="99"/>
    <w:unhideWhenUsed/>
    <w:rsid w:val="00E32C33"/>
    <w:pPr>
      <w:spacing w:before="100" w:beforeAutospacing="1" w:after="100" w:afterAutospacing="1" w:line="240" w:lineRule="auto"/>
    </w:pPr>
    <w:rPr>
      <w:rFonts w:ascii="Times New Roman" w:eastAsiaTheme="minorEastAsia" w:hAnsi="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F3E"/>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9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924"/>
  </w:style>
  <w:style w:type="paragraph" w:styleId="Rodap">
    <w:name w:val="footer"/>
    <w:basedOn w:val="Normal"/>
    <w:link w:val="RodapChar"/>
    <w:uiPriority w:val="99"/>
    <w:unhideWhenUsed/>
    <w:rsid w:val="00A02924"/>
    <w:pPr>
      <w:tabs>
        <w:tab w:val="center" w:pos="4252"/>
        <w:tab w:val="right" w:pos="8504"/>
      </w:tabs>
      <w:spacing w:after="0" w:line="240" w:lineRule="auto"/>
    </w:pPr>
  </w:style>
  <w:style w:type="character" w:customStyle="1" w:styleId="RodapChar">
    <w:name w:val="Rodapé Char"/>
    <w:basedOn w:val="Fontepargpadro"/>
    <w:link w:val="Rodap"/>
    <w:uiPriority w:val="99"/>
    <w:rsid w:val="00A02924"/>
  </w:style>
  <w:style w:type="paragraph" w:styleId="Textodebalo">
    <w:name w:val="Balloon Text"/>
    <w:basedOn w:val="Normal"/>
    <w:link w:val="TextodebaloChar"/>
    <w:uiPriority w:val="99"/>
    <w:semiHidden/>
    <w:unhideWhenUsed/>
    <w:rsid w:val="00A029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924"/>
    <w:rPr>
      <w:rFonts w:ascii="Tahoma" w:hAnsi="Tahoma" w:cs="Tahoma"/>
      <w:sz w:val="16"/>
      <w:szCs w:val="16"/>
    </w:rPr>
  </w:style>
  <w:style w:type="character" w:styleId="Hyperlink">
    <w:name w:val="Hyperlink"/>
    <w:uiPriority w:val="99"/>
    <w:unhideWhenUsed/>
    <w:rsid w:val="00B904A6"/>
    <w:rPr>
      <w:color w:val="0000FF"/>
      <w:u w:val="single"/>
    </w:rPr>
  </w:style>
  <w:style w:type="character" w:customStyle="1" w:styleId="il">
    <w:name w:val="il"/>
    <w:rsid w:val="00B904A6"/>
  </w:style>
  <w:style w:type="character" w:styleId="Forte">
    <w:name w:val="Strong"/>
    <w:uiPriority w:val="22"/>
    <w:qFormat/>
    <w:rsid w:val="00B904A6"/>
    <w:rPr>
      <w:b/>
      <w:bCs/>
    </w:rPr>
  </w:style>
  <w:style w:type="character" w:styleId="HiperlinkVisitado">
    <w:name w:val="FollowedHyperlink"/>
    <w:uiPriority w:val="99"/>
    <w:semiHidden/>
    <w:unhideWhenUsed/>
    <w:rsid w:val="00B904A6"/>
    <w:rPr>
      <w:color w:val="800080"/>
      <w:u w:val="single"/>
    </w:rPr>
  </w:style>
  <w:style w:type="character" w:customStyle="1" w:styleId="shorttext">
    <w:name w:val="short_text"/>
    <w:rsid w:val="00B904A6"/>
  </w:style>
  <w:style w:type="character" w:customStyle="1" w:styleId="hps">
    <w:name w:val="hps"/>
    <w:rsid w:val="00B904A6"/>
  </w:style>
  <w:style w:type="character" w:styleId="TextodoEspaoReservado">
    <w:name w:val="Placeholder Text"/>
    <w:uiPriority w:val="99"/>
    <w:semiHidden/>
    <w:rsid w:val="00B904A6"/>
    <w:rPr>
      <w:color w:val="808080"/>
    </w:rPr>
  </w:style>
  <w:style w:type="paragraph" w:styleId="Legenda">
    <w:name w:val="caption"/>
    <w:basedOn w:val="Normal"/>
    <w:next w:val="Normal"/>
    <w:uiPriority w:val="35"/>
    <w:unhideWhenUsed/>
    <w:qFormat/>
    <w:rsid w:val="00B904A6"/>
    <w:pPr>
      <w:spacing w:line="240" w:lineRule="auto"/>
    </w:pPr>
    <w:rPr>
      <w:rFonts w:ascii="Times New Roman" w:eastAsia="Times New Roman" w:hAnsi="Times New Roman"/>
      <w:b/>
      <w:bCs/>
      <w:color w:val="4F81BD"/>
      <w:sz w:val="18"/>
      <w:szCs w:val="18"/>
      <w:lang w:eastAsia="pt-BR"/>
    </w:rPr>
  </w:style>
  <w:style w:type="character" w:styleId="Refdecomentrio">
    <w:name w:val="annotation reference"/>
    <w:uiPriority w:val="99"/>
    <w:semiHidden/>
    <w:unhideWhenUsed/>
    <w:rsid w:val="00B904A6"/>
    <w:rPr>
      <w:sz w:val="16"/>
      <w:szCs w:val="16"/>
    </w:rPr>
  </w:style>
  <w:style w:type="paragraph" w:styleId="Textodecomentrio">
    <w:name w:val="annotation text"/>
    <w:basedOn w:val="Normal"/>
    <w:link w:val="TextodecomentrioChar"/>
    <w:uiPriority w:val="99"/>
    <w:semiHidden/>
    <w:unhideWhenUsed/>
    <w:rsid w:val="00B904A6"/>
    <w:pPr>
      <w:spacing w:after="0" w:line="240" w:lineRule="auto"/>
    </w:pPr>
    <w:rPr>
      <w:rFonts w:ascii="Times New Roman" w:eastAsia="Times New Roman" w:hAnsi="Times New Roman"/>
      <w:sz w:val="20"/>
      <w:szCs w:val="20"/>
      <w:lang w:eastAsia="pt-BR"/>
    </w:rPr>
  </w:style>
  <w:style w:type="character" w:customStyle="1" w:styleId="TextodecomentrioChar">
    <w:name w:val="Texto de comentário Char"/>
    <w:basedOn w:val="Fontepargpadro"/>
    <w:link w:val="Textodecomentrio"/>
    <w:uiPriority w:val="99"/>
    <w:semiHidden/>
    <w:rsid w:val="00B904A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B904A6"/>
    <w:rPr>
      <w:b/>
      <w:bCs/>
    </w:rPr>
  </w:style>
  <w:style w:type="character" w:customStyle="1" w:styleId="AssuntodocomentrioChar">
    <w:name w:val="Assunto do comentário Char"/>
    <w:basedOn w:val="TextodecomentrioChar"/>
    <w:link w:val="Assuntodocomentrio"/>
    <w:uiPriority w:val="99"/>
    <w:semiHidden/>
    <w:rsid w:val="00B904A6"/>
    <w:rPr>
      <w:rFonts w:ascii="Times New Roman" w:eastAsia="Times New Roman" w:hAnsi="Times New Roman"/>
      <w:b/>
      <w:bCs/>
    </w:rPr>
  </w:style>
  <w:style w:type="paragraph" w:styleId="Recuodecorpodetexto">
    <w:name w:val="Body Text Indent"/>
    <w:basedOn w:val="Normal"/>
    <w:link w:val="RecuodecorpodetextoChar"/>
    <w:uiPriority w:val="99"/>
    <w:unhideWhenUsed/>
    <w:rsid w:val="00B904A6"/>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RecuodecorpodetextoChar">
    <w:name w:val="Recuo de corpo de texto Char"/>
    <w:basedOn w:val="Fontepargpadro"/>
    <w:link w:val="Recuodecorpodetexto"/>
    <w:uiPriority w:val="99"/>
    <w:rsid w:val="00B904A6"/>
    <w:rPr>
      <w:rFonts w:ascii="Times New Roman" w:eastAsia="Times New Roman" w:hAnsi="Times New Roman"/>
      <w:sz w:val="24"/>
      <w:szCs w:val="24"/>
    </w:rPr>
  </w:style>
  <w:style w:type="paragraph" w:styleId="PargrafodaLista">
    <w:name w:val="List Paragraph"/>
    <w:basedOn w:val="Normal"/>
    <w:uiPriority w:val="34"/>
    <w:qFormat/>
    <w:rsid w:val="00B904A6"/>
    <w:pPr>
      <w:spacing w:after="0" w:line="240" w:lineRule="auto"/>
      <w:ind w:left="720"/>
      <w:contextualSpacing/>
    </w:pPr>
    <w:rPr>
      <w:rFonts w:ascii="Times New Roman" w:eastAsia="Times New Roman" w:hAnsi="Times New Roman"/>
      <w:sz w:val="24"/>
      <w:szCs w:val="24"/>
      <w:lang w:eastAsia="pt-BR"/>
    </w:rPr>
  </w:style>
  <w:style w:type="paragraph" w:styleId="Textodenotaderodap">
    <w:name w:val="footnote text"/>
    <w:basedOn w:val="Normal"/>
    <w:link w:val="TextodenotaderodapChar"/>
    <w:semiHidden/>
    <w:unhideWhenUsed/>
    <w:rsid w:val="00B904A6"/>
    <w:pPr>
      <w:spacing w:after="0" w:line="240" w:lineRule="auto"/>
    </w:pPr>
    <w:rPr>
      <w:rFonts w:ascii="Times New Roman" w:eastAsia="Times New Roman" w:hAnsi="Times New Roman"/>
      <w:sz w:val="20"/>
      <w:szCs w:val="20"/>
      <w:lang w:eastAsia="pt-BR"/>
    </w:rPr>
  </w:style>
  <w:style w:type="character" w:customStyle="1" w:styleId="TextodenotaderodapChar">
    <w:name w:val="Texto de nota de rodapé Char"/>
    <w:basedOn w:val="Fontepargpadro"/>
    <w:link w:val="Textodenotaderodap"/>
    <w:semiHidden/>
    <w:rsid w:val="00B904A6"/>
    <w:rPr>
      <w:rFonts w:ascii="Times New Roman" w:eastAsia="Times New Roman" w:hAnsi="Times New Roman"/>
    </w:rPr>
  </w:style>
  <w:style w:type="character" w:styleId="Refdenotaderodap">
    <w:name w:val="footnote reference"/>
    <w:uiPriority w:val="99"/>
    <w:semiHidden/>
    <w:unhideWhenUsed/>
    <w:rsid w:val="00B904A6"/>
    <w:rPr>
      <w:vertAlign w:val="superscript"/>
    </w:rPr>
  </w:style>
  <w:style w:type="character" w:customStyle="1" w:styleId="apple-converted-space">
    <w:name w:val="apple-converted-space"/>
    <w:basedOn w:val="Fontepargpadro"/>
    <w:rsid w:val="00731744"/>
  </w:style>
  <w:style w:type="paragraph" w:styleId="Corpodetexto">
    <w:name w:val="Body Text"/>
    <w:basedOn w:val="Normal"/>
    <w:link w:val="CorpodetextoChar"/>
    <w:uiPriority w:val="99"/>
    <w:semiHidden/>
    <w:unhideWhenUsed/>
    <w:rsid w:val="003F44CB"/>
    <w:pPr>
      <w:spacing w:after="120"/>
    </w:pPr>
  </w:style>
  <w:style w:type="character" w:customStyle="1" w:styleId="CorpodetextoChar">
    <w:name w:val="Corpo de texto Char"/>
    <w:basedOn w:val="Fontepargpadro"/>
    <w:link w:val="Corpodetexto"/>
    <w:uiPriority w:val="99"/>
    <w:semiHidden/>
    <w:rsid w:val="003F44CB"/>
    <w:rPr>
      <w:sz w:val="22"/>
      <w:szCs w:val="22"/>
      <w:lang w:eastAsia="en-US"/>
    </w:rPr>
  </w:style>
  <w:style w:type="paragraph" w:styleId="NormalWeb">
    <w:name w:val="Normal (Web)"/>
    <w:basedOn w:val="Normal"/>
    <w:uiPriority w:val="99"/>
    <w:unhideWhenUsed/>
    <w:rsid w:val="00E32C33"/>
    <w:pPr>
      <w:spacing w:before="100" w:beforeAutospacing="1" w:after="100" w:afterAutospacing="1" w:line="240" w:lineRule="auto"/>
    </w:pPr>
    <w:rPr>
      <w:rFonts w:ascii="Times New Roman" w:eastAsiaTheme="minorEastAsia"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9894">
      <w:bodyDiv w:val="1"/>
      <w:marLeft w:val="0"/>
      <w:marRight w:val="0"/>
      <w:marTop w:val="0"/>
      <w:marBottom w:val="0"/>
      <w:divBdr>
        <w:top w:val="none" w:sz="0" w:space="0" w:color="auto"/>
        <w:left w:val="none" w:sz="0" w:space="0" w:color="auto"/>
        <w:bottom w:val="none" w:sz="0" w:space="0" w:color="auto"/>
        <w:right w:val="none" w:sz="0" w:space="0" w:color="auto"/>
      </w:divBdr>
    </w:div>
    <w:div w:id="97331795">
      <w:bodyDiv w:val="1"/>
      <w:marLeft w:val="0"/>
      <w:marRight w:val="0"/>
      <w:marTop w:val="0"/>
      <w:marBottom w:val="0"/>
      <w:divBdr>
        <w:top w:val="none" w:sz="0" w:space="0" w:color="auto"/>
        <w:left w:val="none" w:sz="0" w:space="0" w:color="auto"/>
        <w:bottom w:val="none" w:sz="0" w:space="0" w:color="auto"/>
        <w:right w:val="none" w:sz="0" w:space="0" w:color="auto"/>
      </w:divBdr>
    </w:div>
    <w:div w:id="244383983">
      <w:bodyDiv w:val="1"/>
      <w:marLeft w:val="0"/>
      <w:marRight w:val="0"/>
      <w:marTop w:val="0"/>
      <w:marBottom w:val="0"/>
      <w:divBdr>
        <w:top w:val="none" w:sz="0" w:space="0" w:color="auto"/>
        <w:left w:val="none" w:sz="0" w:space="0" w:color="auto"/>
        <w:bottom w:val="none" w:sz="0" w:space="0" w:color="auto"/>
        <w:right w:val="none" w:sz="0" w:space="0" w:color="auto"/>
      </w:divBdr>
    </w:div>
    <w:div w:id="261648535">
      <w:bodyDiv w:val="1"/>
      <w:marLeft w:val="0"/>
      <w:marRight w:val="0"/>
      <w:marTop w:val="0"/>
      <w:marBottom w:val="0"/>
      <w:divBdr>
        <w:top w:val="none" w:sz="0" w:space="0" w:color="auto"/>
        <w:left w:val="none" w:sz="0" w:space="0" w:color="auto"/>
        <w:bottom w:val="none" w:sz="0" w:space="0" w:color="auto"/>
        <w:right w:val="none" w:sz="0" w:space="0" w:color="auto"/>
      </w:divBdr>
    </w:div>
    <w:div w:id="416902099">
      <w:bodyDiv w:val="1"/>
      <w:marLeft w:val="0"/>
      <w:marRight w:val="0"/>
      <w:marTop w:val="0"/>
      <w:marBottom w:val="0"/>
      <w:divBdr>
        <w:top w:val="none" w:sz="0" w:space="0" w:color="auto"/>
        <w:left w:val="none" w:sz="0" w:space="0" w:color="auto"/>
        <w:bottom w:val="none" w:sz="0" w:space="0" w:color="auto"/>
        <w:right w:val="none" w:sz="0" w:space="0" w:color="auto"/>
      </w:divBdr>
    </w:div>
    <w:div w:id="433479385">
      <w:bodyDiv w:val="1"/>
      <w:marLeft w:val="0"/>
      <w:marRight w:val="0"/>
      <w:marTop w:val="0"/>
      <w:marBottom w:val="0"/>
      <w:divBdr>
        <w:top w:val="none" w:sz="0" w:space="0" w:color="auto"/>
        <w:left w:val="none" w:sz="0" w:space="0" w:color="auto"/>
        <w:bottom w:val="none" w:sz="0" w:space="0" w:color="auto"/>
        <w:right w:val="none" w:sz="0" w:space="0" w:color="auto"/>
      </w:divBdr>
    </w:div>
    <w:div w:id="492913532">
      <w:bodyDiv w:val="1"/>
      <w:marLeft w:val="0"/>
      <w:marRight w:val="0"/>
      <w:marTop w:val="0"/>
      <w:marBottom w:val="0"/>
      <w:divBdr>
        <w:top w:val="none" w:sz="0" w:space="0" w:color="auto"/>
        <w:left w:val="none" w:sz="0" w:space="0" w:color="auto"/>
        <w:bottom w:val="none" w:sz="0" w:space="0" w:color="auto"/>
        <w:right w:val="none" w:sz="0" w:space="0" w:color="auto"/>
      </w:divBdr>
    </w:div>
    <w:div w:id="806625408">
      <w:bodyDiv w:val="1"/>
      <w:marLeft w:val="0"/>
      <w:marRight w:val="0"/>
      <w:marTop w:val="0"/>
      <w:marBottom w:val="0"/>
      <w:divBdr>
        <w:top w:val="none" w:sz="0" w:space="0" w:color="auto"/>
        <w:left w:val="none" w:sz="0" w:space="0" w:color="auto"/>
        <w:bottom w:val="none" w:sz="0" w:space="0" w:color="auto"/>
        <w:right w:val="none" w:sz="0" w:space="0" w:color="auto"/>
      </w:divBdr>
    </w:div>
    <w:div w:id="900021936">
      <w:bodyDiv w:val="1"/>
      <w:marLeft w:val="0"/>
      <w:marRight w:val="0"/>
      <w:marTop w:val="0"/>
      <w:marBottom w:val="0"/>
      <w:divBdr>
        <w:top w:val="none" w:sz="0" w:space="0" w:color="auto"/>
        <w:left w:val="none" w:sz="0" w:space="0" w:color="auto"/>
        <w:bottom w:val="none" w:sz="0" w:space="0" w:color="auto"/>
        <w:right w:val="none" w:sz="0" w:space="0" w:color="auto"/>
      </w:divBdr>
    </w:div>
    <w:div w:id="1059742863">
      <w:bodyDiv w:val="1"/>
      <w:marLeft w:val="0"/>
      <w:marRight w:val="0"/>
      <w:marTop w:val="0"/>
      <w:marBottom w:val="0"/>
      <w:divBdr>
        <w:top w:val="none" w:sz="0" w:space="0" w:color="auto"/>
        <w:left w:val="none" w:sz="0" w:space="0" w:color="auto"/>
        <w:bottom w:val="none" w:sz="0" w:space="0" w:color="auto"/>
        <w:right w:val="none" w:sz="0" w:space="0" w:color="auto"/>
      </w:divBdr>
    </w:div>
    <w:div w:id="1125391794">
      <w:bodyDiv w:val="1"/>
      <w:marLeft w:val="0"/>
      <w:marRight w:val="0"/>
      <w:marTop w:val="0"/>
      <w:marBottom w:val="0"/>
      <w:divBdr>
        <w:top w:val="none" w:sz="0" w:space="0" w:color="auto"/>
        <w:left w:val="none" w:sz="0" w:space="0" w:color="auto"/>
        <w:bottom w:val="none" w:sz="0" w:space="0" w:color="auto"/>
        <w:right w:val="none" w:sz="0" w:space="0" w:color="auto"/>
      </w:divBdr>
    </w:div>
    <w:div w:id="1268851384">
      <w:bodyDiv w:val="1"/>
      <w:marLeft w:val="0"/>
      <w:marRight w:val="0"/>
      <w:marTop w:val="0"/>
      <w:marBottom w:val="0"/>
      <w:divBdr>
        <w:top w:val="none" w:sz="0" w:space="0" w:color="auto"/>
        <w:left w:val="none" w:sz="0" w:space="0" w:color="auto"/>
        <w:bottom w:val="none" w:sz="0" w:space="0" w:color="auto"/>
        <w:right w:val="none" w:sz="0" w:space="0" w:color="auto"/>
      </w:divBdr>
    </w:div>
    <w:div w:id="1313295016">
      <w:bodyDiv w:val="1"/>
      <w:marLeft w:val="0"/>
      <w:marRight w:val="0"/>
      <w:marTop w:val="0"/>
      <w:marBottom w:val="0"/>
      <w:divBdr>
        <w:top w:val="none" w:sz="0" w:space="0" w:color="auto"/>
        <w:left w:val="none" w:sz="0" w:space="0" w:color="auto"/>
        <w:bottom w:val="none" w:sz="0" w:space="0" w:color="auto"/>
        <w:right w:val="none" w:sz="0" w:space="0" w:color="auto"/>
      </w:divBdr>
    </w:div>
    <w:div w:id="1318000382">
      <w:bodyDiv w:val="1"/>
      <w:marLeft w:val="0"/>
      <w:marRight w:val="0"/>
      <w:marTop w:val="0"/>
      <w:marBottom w:val="0"/>
      <w:divBdr>
        <w:top w:val="none" w:sz="0" w:space="0" w:color="auto"/>
        <w:left w:val="none" w:sz="0" w:space="0" w:color="auto"/>
        <w:bottom w:val="none" w:sz="0" w:space="0" w:color="auto"/>
        <w:right w:val="none" w:sz="0" w:space="0" w:color="auto"/>
      </w:divBdr>
    </w:div>
    <w:div w:id="1843427878">
      <w:bodyDiv w:val="1"/>
      <w:marLeft w:val="0"/>
      <w:marRight w:val="0"/>
      <w:marTop w:val="0"/>
      <w:marBottom w:val="0"/>
      <w:divBdr>
        <w:top w:val="none" w:sz="0" w:space="0" w:color="auto"/>
        <w:left w:val="none" w:sz="0" w:space="0" w:color="auto"/>
        <w:bottom w:val="none" w:sz="0" w:space="0" w:color="auto"/>
        <w:right w:val="none" w:sz="0" w:space="0" w:color="auto"/>
      </w:divBdr>
    </w:div>
    <w:div w:id="2006742190">
      <w:bodyDiv w:val="1"/>
      <w:marLeft w:val="0"/>
      <w:marRight w:val="0"/>
      <w:marTop w:val="0"/>
      <w:marBottom w:val="0"/>
      <w:divBdr>
        <w:top w:val="none" w:sz="0" w:space="0" w:color="auto"/>
        <w:left w:val="none" w:sz="0" w:space="0" w:color="auto"/>
        <w:bottom w:val="none" w:sz="0" w:space="0" w:color="auto"/>
        <w:right w:val="none" w:sz="0" w:space="0" w:color="auto"/>
      </w:divBdr>
    </w:div>
    <w:div w:id="210706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gelo\AppData\Local\Temp\TrabalhaAposenta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esaposenta&#231;&#227;o\Desaposenta&#231;&#227;o%202013%20mensal\GR&#225;ficos%20Finais%20curvas%20decrescent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esaposenta&#231;&#227;o\Desaposenta&#231;&#227;o%202013%20mensal\GR&#225;ficos%20Finais%20curvas%20decrescent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esaposenta&#231;&#227;o\Desaposenta&#231;&#227;o%202013%20mensal\GR&#225;ficos%20Finais%20curvas%20decrescent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Desaposenta&#231;&#227;o\Desaposenta&#231;&#227;o%202013%20mensal\GR&#225;ficos%20Finais%20curvas%20decrescent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esaposenta&#231;&#227;o\Desaposenta&#231;&#227;o%202013%20mensal\GR&#225;ficos%20Finais%20curvas%20decrescen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9"/>
          <c:order val="0"/>
          <c:tx>
            <c:strRef>
              <c:f>Sheet1!$J$1</c:f>
              <c:strCache>
                <c:ptCount val="1"/>
                <c:pt idx="0">
                  <c:v>Não-Pea, Não-Aposentado, Não-Pensionista</c:v>
                </c:pt>
              </c:strCache>
            </c:strRef>
          </c:tx>
          <c:spPr>
            <a:pattFill prst="wdDnDiag">
              <a:fgClr>
                <a:srgbClr val="FFC000"/>
              </a:fgClr>
              <a:bgClr>
                <a:schemeClr val="bg1"/>
              </a:bgClr>
            </a:pattFill>
            <a:ln>
              <a:noFill/>
            </a:ln>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Sheet1!$J$42:$J$77</c:f>
              <c:numCache>
                <c:formatCode>General</c:formatCode>
                <c:ptCount val="36"/>
                <c:pt idx="0">
                  <c:v>0.17771539092063912</c:v>
                </c:pt>
                <c:pt idx="1">
                  <c:v>0.183161661028862</c:v>
                </c:pt>
                <c:pt idx="2">
                  <c:v>0.18835386633873</c:v>
                </c:pt>
                <c:pt idx="3">
                  <c:v>0.18535789847374001</c:v>
                </c:pt>
                <c:pt idx="4">
                  <c:v>0.18982388079166412</c:v>
                </c:pt>
                <c:pt idx="5">
                  <c:v>0.19495958089828508</c:v>
                </c:pt>
                <c:pt idx="6">
                  <c:v>0.18254351615905801</c:v>
                </c:pt>
                <c:pt idx="7">
                  <c:v>0.20229941606521609</c:v>
                </c:pt>
                <c:pt idx="8">
                  <c:v>0.20346762239933008</c:v>
                </c:pt>
                <c:pt idx="9">
                  <c:v>0.21197073161602009</c:v>
                </c:pt>
                <c:pt idx="10">
                  <c:v>0.22152064740657793</c:v>
                </c:pt>
                <c:pt idx="11">
                  <c:v>0.219174355268478</c:v>
                </c:pt>
                <c:pt idx="12">
                  <c:v>0.21590909361839317</c:v>
                </c:pt>
                <c:pt idx="13">
                  <c:v>0.21484038233757016</c:v>
                </c:pt>
                <c:pt idx="14">
                  <c:v>0.22287480533123</c:v>
                </c:pt>
                <c:pt idx="15">
                  <c:v>0.230206683278084</c:v>
                </c:pt>
                <c:pt idx="16">
                  <c:v>0.21446619927883112</c:v>
                </c:pt>
                <c:pt idx="17">
                  <c:v>0.209388718008995</c:v>
                </c:pt>
                <c:pt idx="18">
                  <c:v>0.20789569616317699</c:v>
                </c:pt>
                <c:pt idx="19">
                  <c:v>0.20485858619213107</c:v>
                </c:pt>
                <c:pt idx="20">
                  <c:v>0.18395017087459609</c:v>
                </c:pt>
                <c:pt idx="21">
                  <c:v>0.195705026388168</c:v>
                </c:pt>
                <c:pt idx="22">
                  <c:v>0.180320769548416</c:v>
                </c:pt>
                <c:pt idx="23">
                  <c:v>0.17620550096035001</c:v>
                </c:pt>
                <c:pt idx="24">
                  <c:v>0.17368420958519012</c:v>
                </c:pt>
                <c:pt idx="25">
                  <c:v>0.14773869514465299</c:v>
                </c:pt>
                <c:pt idx="26">
                  <c:v>0.13140197098255191</c:v>
                </c:pt>
                <c:pt idx="27">
                  <c:v>0.12823219597339608</c:v>
                </c:pt>
                <c:pt idx="28">
                  <c:v>0.14179530739784213</c:v>
                </c:pt>
                <c:pt idx="29">
                  <c:v>0.12158808857202498</c:v>
                </c:pt>
                <c:pt idx="30">
                  <c:v>0.116204001009464</c:v>
                </c:pt>
                <c:pt idx="31">
                  <c:v>0.111897103488445</c:v>
                </c:pt>
                <c:pt idx="32">
                  <c:v>0.12837344408035301</c:v>
                </c:pt>
                <c:pt idx="33">
                  <c:v>0.11119750887155502</c:v>
                </c:pt>
                <c:pt idx="34">
                  <c:v>9.6289753913879381E-2</c:v>
                </c:pt>
                <c:pt idx="35">
                  <c:v>0.10999160259962104</c:v>
                </c:pt>
              </c:numCache>
            </c:numRef>
          </c:val>
        </c:ser>
        <c:ser>
          <c:idx val="10"/>
          <c:order val="1"/>
          <c:tx>
            <c:strRef>
              <c:f>Sheet1!$K$1</c:f>
              <c:strCache>
                <c:ptCount val="1"/>
                <c:pt idx="0">
                  <c:v>Não-Pea, Aposentado, Não-Pensionista</c:v>
                </c:pt>
              </c:strCache>
            </c:strRef>
          </c:tx>
          <c:spPr>
            <a:pattFill prst="ltVert">
              <a:fgClr>
                <a:schemeClr val="tx1"/>
              </a:fgClr>
              <a:bgClr>
                <a:schemeClr val="bg1"/>
              </a:bgClr>
            </a:pattFill>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Sheet1!$K$42:$K$77</c:f>
              <c:numCache>
                <c:formatCode>General</c:formatCode>
                <c:ptCount val="36"/>
                <c:pt idx="0">
                  <c:v>1.2740229256451107E-2</c:v>
                </c:pt>
                <c:pt idx="1">
                  <c:v>1.2091357260942501E-2</c:v>
                </c:pt>
                <c:pt idx="2">
                  <c:v>1.3885778374970008E-2</c:v>
                </c:pt>
                <c:pt idx="3">
                  <c:v>1.655397564172742E-2</c:v>
                </c:pt>
                <c:pt idx="4">
                  <c:v>1.8590997904539098E-2</c:v>
                </c:pt>
                <c:pt idx="5">
                  <c:v>1.9971469417214411E-2</c:v>
                </c:pt>
                <c:pt idx="6">
                  <c:v>2.1276595070958099E-2</c:v>
                </c:pt>
                <c:pt idx="7">
                  <c:v>2.8620352968573612E-2</c:v>
                </c:pt>
                <c:pt idx="8">
                  <c:v>3.1616523861885099E-2</c:v>
                </c:pt>
                <c:pt idx="9">
                  <c:v>3.29325683414936E-2</c:v>
                </c:pt>
                <c:pt idx="10">
                  <c:v>4.709286987781524E-2</c:v>
                </c:pt>
                <c:pt idx="11">
                  <c:v>5.37751205265522E-2</c:v>
                </c:pt>
                <c:pt idx="12">
                  <c:v>7.0512823760509505E-2</c:v>
                </c:pt>
                <c:pt idx="13">
                  <c:v>8.800690621137626E-2</c:v>
                </c:pt>
                <c:pt idx="14">
                  <c:v>9.1499224305152879E-2</c:v>
                </c:pt>
                <c:pt idx="15">
                  <c:v>0.12464229017496102</c:v>
                </c:pt>
                <c:pt idx="16">
                  <c:v>0.14939987659454301</c:v>
                </c:pt>
                <c:pt idx="17">
                  <c:v>0.16616007685661291</c:v>
                </c:pt>
                <c:pt idx="18">
                  <c:v>0.20608475804328891</c:v>
                </c:pt>
                <c:pt idx="19">
                  <c:v>0.21646119654178617</c:v>
                </c:pt>
                <c:pt idx="20">
                  <c:v>0.29497984051704418</c:v>
                </c:pt>
                <c:pt idx="21">
                  <c:v>0.30429497361183216</c:v>
                </c:pt>
                <c:pt idx="22">
                  <c:v>0.33853489160537725</c:v>
                </c:pt>
                <c:pt idx="23">
                  <c:v>0.36502930521965044</c:v>
                </c:pt>
                <c:pt idx="24">
                  <c:v>0.38851675391197232</c:v>
                </c:pt>
                <c:pt idx="25">
                  <c:v>0.46381908655166598</c:v>
                </c:pt>
                <c:pt idx="26">
                  <c:v>0.4888773858547214</c:v>
                </c:pt>
                <c:pt idx="27">
                  <c:v>0.49551451206207325</c:v>
                </c:pt>
                <c:pt idx="28">
                  <c:v>0.52086907625198431</c:v>
                </c:pt>
                <c:pt idx="29">
                  <c:v>0.54590570926666271</c:v>
                </c:pt>
                <c:pt idx="30">
                  <c:v>0.55842477083206166</c:v>
                </c:pt>
                <c:pt idx="31">
                  <c:v>0.54469454288482733</c:v>
                </c:pt>
                <c:pt idx="32">
                  <c:v>0.55944567918777532</c:v>
                </c:pt>
                <c:pt idx="33">
                  <c:v>0.55676513910293568</c:v>
                </c:pt>
                <c:pt idx="34">
                  <c:v>0.61307418346405029</c:v>
                </c:pt>
                <c:pt idx="35">
                  <c:v>0.5701091289520257</c:v>
                </c:pt>
              </c:numCache>
            </c:numRef>
          </c:val>
        </c:ser>
        <c:ser>
          <c:idx val="11"/>
          <c:order val="2"/>
          <c:tx>
            <c:strRef>
              <c:f>Sheet1!$L$1</c:f>
              <c:strCache>
                <c:ptCount val="1"/>
                <c:pt idx="0">
                  <c:v>Não-Pea, Não-Aposentado, Pensionista</c:v>
                </c:pt>
              </c:strCache>
            </c:strRef>
          </c:tx>
          <c:spPr>
            <a:solidFill>
              <a:srgbClr val="FFFF00"/>
            </a:solidFill>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Sheet1!$L$42:$L$77</c:f>
              <c:numCache>
                <c:formatCode>General</c:formatCode>
                <c:ptCount val="36"/>
                <c:pt idx="0">
                  <c:v>8.6374431848526001E-3</c:v>
                </c:pt>
                <c:pt idx="1">
                  <c:v>9.6283024176955188E-3</c:v>
                </c:pt>
                <c:pt idx="2">
                  <c:v>1.0750279761850801E-2</c:v>
                </c:pt>
                <c:pt idx="3">
                  <c:v>1.18908835574985E-2</c:v>
                </c:pt>
                <c:pt idx="4">
                  <c:v>1.5655577182769803E-2</c:v>
                </c:pt>
                <c:pt idx="5">
                  <c:v>1.6405135393142711E-2</c:v>
                </c:pt>
                <c:pt idx="6">
                  <c:v>1.4990328811109101E-2</c:v>
                </c:pt>
                <c:pt idx="7">
                  <c:v>1.7612524330616011E-2</c:v>
                </c:pt>
                <c:pt idx="8">
                  <c:v>2.2437531501054816E-2</c:v>
                </c:pt>
                <c:pt idx="9">
                  <c:v>2.8227914124727211E-2</c:v>
                </c:pt>
                <c:pt idx="10">
                  <c:v>2.7098132297396701E-2</c:v>
                </c:pt>
                <c:pt idx="11">
                  <c:v>2.5801194831728911E-2</c:v>
                </c:pt>
                <c:pt idx="12">
                  <c:v>3.4673660993576119E-2</c:v>
                </c:pt>
                <c:pt idx="13">
                  <c:v>3.3362094312906279E-2</c:v>
                </c:pt>
                <c:pt idx="14">
                  <c:v>3.8948994129896199E-2</c:v>
                </c:pt>
                <c:pt idx="15">
                  <c:v>3.4658186137676197E-2</c:v>
                </c:pt>
                <c:pt idx="16">
                  <c:v>4.3272268027067171E-2</c:v>
                </c:pt>
                <c:pt idx="17">
                  <c:v>4.3904084712266901E-2</c:v>
                </c:pt>
                <c:pt idx="18">
                  <c:v>4.0565013885497998E-2</c:v>
                </c:pt>
                <c:pt idx="19">
                  <c:v>5.1849167793989154E-2</c:v>
                </c:pt>
                <c:pt idx="20">
                  <c:v>5.67973628640175E-2</c:v>
                </c:pt>
                <c:pt idx="21">
                  <c:v>5.2269045263528796E-2</c:v>
                </c:pt>
                <c:pt idx="22">
                  <c:v>6.0684870928525904E-2</c:v>
                </c:pt>
                <c:pt idx="23">
                  <c:v>6.8949975073337569E-2</c:v>
                </c:pt>
                <c:pt idx="24">
                  <c:v>6.9377988576888996E-2</c:v>
                </c:pt>
                <c:pt idx="25">
                  <c:v>6.9346733391284901E-2</c:v>
                </c:pt>
                <c:pt idx="26">
                  <c:v>8.5876874625682859E-2</c:v>
                </c:pt>
                <c:pt idx="27">
                  <c:v>8.4960423409938785E-2</c:v>
                </c:pt>
                <c:pt idx="28">
                  <c:v>8.5191540420055459E-2</c:v>
                </c:pt>
                <c:pt idx="29">
                  <c:v>8.1885859370231656E-2</c:v>
                </c:pt>
                <c:pt idx="30">
                  <c:v>9.167204797267918E-2</c:v>
                </c:pt>
                <c:pt idx="31">
                  <c:v>0.10996784269809698</c:v>
                </c:pt>
                <c:pt idx="32">
                  <c:v>9.8468273878097506E-2</c:v>
                </c:pt>
                <c:pt idx="33">
                  <c:v>0.11041990667581596</c:v>
                </c:pt>
                <c:pt idx="34">
                  <c:v>0.10070671141147607</c:v>
                </c:pt>
                <c:pt idx="35">
                  <c:v>0.12426532059907899</c:v>
                </c:pt>
              </c:numCache>
            </c:numRef>
          </c:val>
        </c:ser>
        <c:ser>
          <c:idx val="12"/>
          <c:order val="3"/>
          <c:tx>
            <c:strRef>
              <c:f>Sheet1!$M$1</c:f>
              <c:strCache>
                <c:ptCount val="1"/>
                <c:pt idx="0">
                  <c:v>Não-Pea, Aposentado, Pensionista</c:v>
                </c:pt>
              </c:strCache>
            </c:strRef>
          </c:tx>
          <c:spPr>
            <a:solidFill>
              <a:srgbClr val="FF0000"/>
            </a:solidFill>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Sheet1!$M$42:$M$77</c:f>
              <c:numCache>
                <c:formatCode>General</c:formatCode>
                <c:ptCount val="36"/>
                <c:pt idx="0">
                  <c:v>0</c:v>
                </c:pt>
                <c:pt idx="1">
                  <c:v>2.2391401580534921E-4</c:v>
                </c:pt>
                <c:pt idx="2">
                  <c:v>0</c:v>
                </c:pt>
                <c:pt idx="3">
                  <c:v>0</c:v>
                </c:pt>
                <c:pt idx="4">
                  <c:v>2.4461839348077801E-4</c:v>
                </c:pt>
                <c:pt idx="5">
                  <c:v>7.1326678153127464E-4</c:v>
                </c:pt>
                <c:pt idx="6">
                  <c:v>4.8355900798924322E-4</c:v>
                </c:pt>
                <c:pt idx="7">
                  <c:v>4.8923678696155505E-4</c:v>
                </c:pt>
                <c:pt idx="8">
                  <c:v>5.099439295008784E-4</c:v>
                </c:pt>
                <c:pt idx="9">
                  <c:v>5.2273913752287637E-4</c:v>
                </c:pt>
                <c:pt idx="10">
                  <c:v>5.261773476377135E-4</c:v>
                </c:pt>
                <c:pt idx="11">
                  <c:v>5.4318306501954837E-4</c:v>
                </c:pt>
                <c:pt idx="12">
                  <c:v>2.9137528035789702E-3</c:v>
                </c:pt>
                <c:pt idx="13">
                  <c:v>1.7256255960091899E-3</c:v>
                </c:pt>
                <c:pt idx="14">
                  <c:v>4.6367850154638342E-3</c:v>
                </c:pt>
                <c:pt idx="15">
                  <c:v>4.4515104964375513E-3</c:v>
                </c:pt>
                <c:pt idx="16">
                  <c:v>8.5281115025281906E-3</c:v>
                </c:pt>
                <c:pt idx="17">
                  <c:v>1.0469435714185208E-2</c:v>
                </c:pt>
                <c:pt idx="18">
                  <c:v>1.1590003967285201E-2</c:v>
                </c:pt>
                <c:pt idx="19">
                  <c:v>1.0152284055948299E-2</c:v>
                </c:pt>
                <c:pt idx="20">
                  <c:v>1.9054599106311812E-2</c:v>
                </c:pt>
                <c:pt idx="21">
                  <c:v>2.269043773412701E-2</c:v>
                </c:pt>
                <c:pt idx="22">
                  <c:v>2.9475510120391814E-2</c:v>
                </c:pt>
                <c:pt idx="23">
                  <c:v>2.7940513566136402E-2</c:v>
                </c:pt>
                <c:pt idx="24">
                  <c:v>3.971291705966002E-2</c:v>
                </c:pt>
                <c:pt idx="25">
                  <c:v>4.3718591332435663E-2</c:v>
                </c:pt>
                <c:pt idx="26">
                  <c:v>4.4490430504083647E-2</c:v>
                </c:pt>
                <c:pt idx="27">
                  <c:v>5.7519789785146727E-2</c:v>
                </c:pt>
                <c:pt idx="28">
                  <c:v>5.0314463675022104E-2</c:v>
                </c:pt>
                <c:pt idx="29">
                  <c:v>6.2655083835124997E-2</c:v>
                </c:pt>
                <c:pt idx="30">
                  <c:v>6.6494509577751201E-2</c:v>
                </c:pt>
                <c:pt idx="31">
                  <c:v>5.6591641157865503E-2</c:v>
                </c:pt>
                <c:pt idx="32">
                  <c:v>7.0751279592513996E-2</c:v>
                </c:pt>
                <c:pt idx="33">
                  <c:v>7.46500790119171E-2</c:v>
                </c:pt>
                <c:pt idx="34">
                  <c:v>7.42049440741539E-2</c:v>
                </c:pt>
                <c:pt idx="35">
                  <c:v>8.6481951177120181E-2</c:v>
                </c:pt>
              </c:numCache>
            </c:numRef>
          </c:val>
        </c:ser>
        <c:ser>
          <c:idx val="13"/>
          <c:order val="4"/>
          <c:tx>
            <c:strRef>
              <c:f>Sheet1!$N$1</c:f>
              <c:strCache>
                <c:ptCount val="1"/>
                <c:pt idx="0">
                  <c:v>Pea, Não-Aposentado, Não-Pensionista</c:v>
                </c:pt>
              </c:strCache>
            </c:strRef>
          </c:tx>
          <c:spPr>
            <a:solidFill>
              <a:srgbClr val="00B0F0"/>
            </a:solidFill>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Sheet1!$N$42:$N$77</c:f>
              <c:numCache>
                <c:formatCode>General</c:formatCode>
                <c:ptCount val="36"/>
                <c:pt idx="0">
                  <c:v>0.78946232795715232</c:v>
                </c:pt>
                <c:pt idx="1">
                  <c:v>0.78571426868438732</c:v>
                </c:pt>
                <c:pt idx="2">
                  <c:v>0.77581185102462835</c:v>
                </c:pt>
                <c:pt idx="3">
                  <c:v>0.77337372303009033</c:v>
                </c:pt>
                <c:pt idx="4">
                  <c:v>0.76247555017471336</c:v>
                </c:pt>
                <c:pt idx="5">
                  <c:v>0.75225865840911965</c:v>
                </c:pt>
                <c:pt idx="6">
                  <c:v>0.76474857330322366</c:v>
                </c:pt>
                <c:pt idx="7">
                  <c:v>0.73214286565780595</c:v>
                </c:pt>
                <c:pt idx="8">
                  <c:v>0.71825599670410234</c:v>
                </c:pt>
                <c:pt idx="9">
                  <c:v>0.69994771480560303</c:v>
                </c:pt>
                <c:pt idx="10">
                  <c:v>0.67219150066375766</c:v>
                </c:pt>
                <c:pt idx="11">
                  <c:v>0.66322648525238004</c:v>
                </c:pt>
                <c:pt idx="12">
                  <c:v>0.62762236595153797</c:v>
                </c:pt>
                <c:pt idx="13">
                  <c:v>0.61087143421173162</c:v>
                </c:pt>
                <c:pt idx="14">
                  <c:v>0.5786707997322077</c:v>
                </c:pt>
                <c:pt idx="15">
                  <c:v>0.53354531526565596</c:v>
                </c:pt>
                <c:pt idx="16">
                  <c:v>0.50442200899124046</c:v>
                </c:pt>
                <c:pt idx="17">
                  <c:v>0.47619047760963418</c:v>
                </c:pt>
                <c:pt idx="18">
                  <c:v>0.44367983937263517</c:v>
                </c:pt>
                <c:pt idx="19">
                  <c:v>0.42494562268257102</c:v>
                </c:pt>
                <c:pt idx="20">
                  <c:v>0.31110295653343201</c:v>
                </c:pt>
                <c:pt idx="21">
                  <c:v>0.27228525280952481</c:v>
                </c:pt>
                <c:pt idx="22">
                  <c:v>0.239271774888039</c:v>
                </c:pt>
                <c:pt idx="23">
                  <c:v>0.20594862103462208</c:v>
                </c:pt>
                <c:pt idx="24">
                  <c:v>0.19712918996810891</c:v>
                </c:pt>
                <c:pt idx="25">
                  <c:v>0.10402010381221805</c:v>
                </c:pt>
                <c:pt idx="26">
                  <c:v>7.0356957614421844E-2</c:v>
                </c:pt>
                <c:pt idx="27">
                  <c:v>6.4379945397377E-2</c:v>
                </c:pt>
                <c:pt idx="28">
                  <c:v>4.745569080114366E-2</c:v>
                </c:pt>
                <c:pt idx="29">
                  <c:v>5.2729528397321722E-2</c:v>
                </c:pt>
                <c:pt idx="30">
                  <c:v>3.3570043742656701E-2</c:v>
                </c:pt>
                <c:pt idx="31">
                  <c:v>2.8938906267285298E-2</c:v>
                </c:pt>
                <c:pt idx="32">
                  <c:v>2.5528810918331101E-2</c:v>
                </c:pt>
                <c:pt idx="33">
                  <c:v>2.0217729732394198E-2</c:v>
                </c:pt>
                <c:pt idx="34">
                  <c:v>2.0318021997809386E-2</c:v>
                </c:pt>
                <c:pt idx="35">
                  <c:v>1.8471872434020001E-2</c:v>
                </c:pt>
              </c:numCache>
            </c:numRef>
          </c:val>
        </c:ser>
        <c:ser>
          <c:idx val="14"/>
          <c:order val="5"/>
          <c:tx>
            <c:strRef>
              <c:f>Sheet1!$O$1</c:f>
              <c:strCache>
                <c:ptCount val="1"/>
                <c:pt idx="0">
                  <c:v>Pea, Não-Aposentado, Pensionista</c:v>
                </c:pt>
              </c:strCache>
            </c:strRef>
          </c:tx>
          <c:spPr>
            <a:pattFill prst="smGrid">
              <a:fgClr>
                <a:schemeClr val="tx1"/>
              </a:fgClr>
              <a:bgClr>
                <a:schemeClr val="bg1"/>
              </a:bgClr>
            </a:pattFill>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Sheet1!$O$42:$O$77</c:f>
              <c:numCache>
                <c:formatCode>General</c:formatCode>
                <c:ptCount val="36"/>
                <c:pt idx="0">
                  <c:v>9.2852516099810652E-3</c:v>
                </c:pt>
                <c:pt idx="1">
                  <c:v>7.6130763627588714E-3</c:v>
                </c:pt>
                <c:pt idx="2">
                  <c:v>8.958566933870326E-3</c:v>
                </c:pt>
                <c:pt idx="3">
                  <c:v>9.0930284932255693E-3</c:v>
                </c:pt>
                <c:pt idx="4">
                  <c:v>1.0518590919673399E-2</c:v>
                </c:pt>
                <c:pt idx="5">
                  <c:v>1.1650023981928799E-2</c:v>
                </c:pt>
                <c:pt idx="6">
                  <c:v>9.671179577708253E-3</c:v>
                </c:pt>
                <c:pt idx="7">
                  <c:v>1.0518590919673399E-2</c:v>
                </c:pt>
                <c:pt idx="8">
                  <c:v>1.4023457653820501E-2</c:v>
                </c:pt>
                <c:pt idx="9">
                  <c:v>1.3329848647117616E-2</c:v>
                </c:pt>
                <c:pt idx="10">
                  <c:v>1.3417521491646801E-2</c:v>
                </c:pt>
                <c:pt idx="11">
                  <c:v>1.602390035986901E-2</c:v>
                </c:pt>
                <c:pt idx="12">
                  <c:v>1.7191141843795801E-2</c:v>
                </c:pt>
                <c:pt idx="13">
                  <c:v>1.5243025496602114E-2</c:v>
                </c:pt>
                <c:pt idx="14">
                  <c:v>2.5656877085566531E-2</c:v>
                </c:pt>
                <c:pt idx="15">
                  <c:v>1.844197139143941E-2</c:v>
                </c:pt>
                <c:pt idx="16">
                  <c:v>2.5900188833475099E-2</c:v>
                </c:pt>
                <c:pt idx="17">
                  <c:v>2.0938871428370528E-2</c:v>
                </c:pt>
                <c:pt idx="18">
                  <c:v>1.73850059509277E-2</c:v>
                </c:pt>
                <c:pt idx="19">
                  <c:v>1.5591007657349101E-2</c:v>
                </c:pt>
                <c:pt idx="20">
                  <c:v>1.57566871494055E-2</c:v>
                </c:pt>
                <c:pt idx="21">
                  <c:v>1.1750404722988607E-2</c:v>
                </c:pt>
                <c:pt idx="22">
                  <c:v>1.34373642504215E-2</c:v>
                </c:pt>
                <c:pt idx="23">
                  <c:v>1.712483167648321E-2</c:v>
                </c:pt>
                <c:pt idx="24">
                  <c:v>9.5693776383996062E-3</c:v>
                </c:pt>
                <c:pt idx="25">
                  <c:v>1.1055276729166501E-2</c:v>
                </c:pt>
                <c:pt idx="26">
                  <c:v>8.7946197018027306E-3</c:v>
                </c:pt>
                <c:pt idx="27">
                  <c:v>6.8601584061980204E-3</c:v>
                </c:pt>
                <c:pt idx="28">
                  <c:v>7.4328188784420499E-3</c:v>
                </c:pt>
                <c:pt idx="29">
                  <c:v>9.3052107840776461E-3</c:v>
                </c:pt>
                <c:pt idx="30">
                  <c:v>1.0974822565913206E-2</c:v>
                </c:pt>
                <c:pt idx="31">
                  <c:v>1.1575562879443198E-2</c:v>
                </c:pt>
                <c:pt idx="32">
                  <c:v>4.3763676658272752E-3</c:v>
                </c:pt>
                <c:pt idx="33">
                  <c:v>8.5536548867821763E-3</c:v>
                </c:pt>
                <c:pt idx="34">
                  <c:v>6.1837458051741141E-3</c:v>
                </c:pt>
                <c:pt idx="35">
                  <c:v>3.3585221972316499E-3</c:v>
                </c:pt>
              </c:numCache>
            </c:numRef>
          </c:val>
        </c:ser>
        <c:ser>
          <c:idx val="16"/>
          <c:order val="6"/>
          <c:tx>
            <c:strRef>
              <c:f>Sheet1!$Q$1</c:f>
              <c:strCache>
                <c:ptCount val="1"/>
                <c:pt idx="0">
                  <c:v>Pea, Aposentado, Pensionista</c:v>
                </c:pt>
              </c:strCache>
            </c:strRef>
          </c:tx>
          <c:spPr>
            <a:solidFill>
              <a:schemeClr val="tx2"/>
            </a:solidFill>
          </c:spPr>
          <c:cat>
            <c:numRef>
              <c:f>Sheet1!$A$42:$A$77</c:f>
              <c:numCache>
                <c:formatCode>General</c:formatCode>
                <c:ptCount val="36"/>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numCache>
            </c:numRef>
          </c:cat>
          <c:val>
            <c:numRef>
              <c:f>Sheet1!$Q$42:$Q$77</c:f>
              <c:numCache>
                <c:formatCode>General</c:formatCode>
                <c:ptCount val="36"/>
                <c:pt idx="0">
                  <c:v>0</c:v>
                </c:pt>
                <c:pt idx="1">
                  <c:v>0</c:v>
                </c:pt>
                <c:pt idx="2">
                  <c:v>0</c:v>
                </c:pt>
                <c:pt idx="3">
                  <c:v>2.3315458383876801E-4</c:v>
                </c:pt>
                <c:pt idx="4">
                  <c:v>0</c:v>
                </c:pt>
                <c:pt idx="5">
                  <c:v>0</c:v>
                </c:pt>
                <c:pt idx="6">
                  <c:v>0</c:v>
                </c:pt>
                <c:pt idx="7">
                  <c:v>2.4461839348077801E-4</c:v>
                </c:pt>
                <c:pt idx="8">
                  <c:v>7.6491583604365631E-4</c:v>
                </c:pt>
                <c:pt idx="9">
                  <c:v>1.0454782750457501E-3</c:v>
                </c:pt>
                <c:pt idx="10">
                  <c:v>0</c:v>
                </c:pt>
                <c:pt idx="11">
                  <c:v>2.7159153250977402E-4</c:v>
                </c:pt>
                <c:pt idx="12">
                  <c:v>1.1655011912807807E-3</c:v>
                </c:pt>
                <c:pt idx="13">
                  <c:v>0</c:v>
                </c:pt>
                <c:pt idx="14">
                  <c:v>6.1823800206184398E-4</c:v>
                </c:pt>
                <c:pt idx="15">
                  <c:v>1.27186009194702E-3</c:v>
                </c:pt>
                <c:pt idx="16">
                  <c:v>2.2109916899353326E-3</c:v>
                </c:pt>
                <c:pt idx="17">
                  <c:v>2.7017898391932201E-3</c:v>
                </c:pt>
                <c:pt idx="18">
                  <c:v>2.5353133678436314E-3</c:v>
                </c:pt>
                <c:pt idx="19">
                  <c:v>1.08774472028017E-3</c:v>
                </c:pt>
                <c:pt idx="20">
                  <c:v>4.3972153216600401E-3</c:v>
                </c:pt>
                <c:pt idx="21">
                  <c:v>4.0518636815249955E-3</c:v>
                </c:pt>
                <c:pt idx="22">
                  <c:v>5.635024048388E-3</c:v>
                </c:pt>
                <c:pt idx="23">
                  <c:v>4.5065344311296914E-3</c:v>
                </c:pt>
                <c:pt idx="24">
                  <c:v>9.0909088030457549E-3</c:v>
                </c:pt>
                <c:pt idx="25">
                  <c:v>8.0402009189128893E-3</c:v>
                </c:pt>
                <c:pt idx="26">
                  <c:v>8.2772895693779061E-3</c:v>
                </c:pt>
                <c:pt idx="27">
                  <c:v>6.8601584061980204E-3</c:v>
                </c:pt>
                <c:pt idx="28">
                  <c:v>9.7198402509093406E-3</c:v>
                </c:pt>
                <c:pt idx="29">
                  <c:v>4.9627791158855031E-3</c:v>
                </c:pt>
                <c:pt idx="30">
                  <c:v>7.1013555862009499E-3</c:v>
                </c:pt>
                <c:pt idx="31">
                  <c:v>7.0739551447331931E-3</c:v>
                </c:pt>
                <c:pt idx="32">
                  <c:v>5.8351568877697E-3</c:v>
                </c:pt>
                <c:pt idx="33">
                  <c:v>1.2441679835319507E-2</c:v>
                </c:pt>
                <c:pt idx="34">
                  <c:v>6.1837458051741141E-3</c:v>
                </c:pt>
                <c:pt idx="35">
                  <c:v>5.0377831794321528E-3</c:v>
                </c:pt>
              </c:numCache>
            </c:numRef>
          </c:val>
        </c:ser>
        <c:ser>
          <c:idx val="0"/>
          <c:order val="7"/>
          <c:tx>
            <c:strRef>
              <c:f>Sheet1!$P$1</c:f>
              <c:strCache>
                <c:ptCount val="1"/>
                <c:pt idx="0">
                  <c:v>Pea, Aposentado, Não-Pensionista</c:v>
                </c:pt>
              </c:strCache>
            </c:strRef>
          </c:tx>
          <c:spPr>
            <a:solidFill>
              <a:srgbClr val="66FF33"/>
            </a:solidFill>
          </c:spPr>
          <c:val>
            <c:numRef>
              <c:f>Sheet1!$P$42:$P$77</c:f>
              <c:numCache>
                <c:formatCode>General</c:formatCode>
                <c:ptCount val="36"/>
                <c:pt idx="0">
                  <c:v>2.1593607962131513E-3</c:v>
                </c:pt>
                <c:pt idx="1">
                  <c:v>1.5673980815336106E-3</c:v>
                </c:pt>
                <c:pt idx="2">
                  <c:v>2.2396417334675802E-3</c:v>
                </c:pt>
                <c:pt idx="3">
                  <c:v>3.4973188303411011E-3</c:v>
                </c:pt>
                <c:pt idx="4">
                  <c:v>2.6908023282885599E-3</c:v>
                </c:pt>
                <c:pt idx="5">
                  <c:v>4.0418449789285703E-3</c:v>
                </c:pt>
                <c:pt idx="6">
                  <c:v>6.2862667255103684E-3</c:v>
                </c:pt>
                <c:pt idx="7">
                  <c:v>8.072406984865681E-3</c:v>
                </c:pt>
                <c:pt idx="8">
                  <c:v>8.9240185916423798E-3</c:v>
                </c:pt>
                <c:pt idx="9">
                  <c:v>1.20230009779334E-2</c:v>
                </c:pt>
                <c:pt idx="10">
                  <c:v>1.8153117969632107E-2</c:v>
                </c:pt>
                <c:pt idx="11">
                  <c:v>2.1184138953685799E-2</c:v>
                </c:pt>
                <c:pt idx="12">
                  <c:v>3.0011655762791602E-2</c:v>
                </c:pt>
                <c:pt idx="13">
                  <c:v>3.5950530320406002E-2</c:v>
                </c:pt>
                <c:pt idx="14">
                  <c:v>3.7094280123710612E-2</c:v>
                </c:pt>
                <c:pt idx="15">
                  <c:v>5.278219282627114E-2</c:v>
                </c:pt>
                <c:pt idx="16">
                  <c:v>5.1800377666950163E-2</c:v>
                </c:pt>
                <c:pt idx="17">
                  <c:v>7.0246540009975406E-2</c:v>
                </c:pt>
                <c:pt idx="18">
                  <c:v>7.0264399051666343E-2</c:v>
                </c:pt>
                <c:pt idx="19">
                  <c:v>7.50543847680092E-2</c:v>
                </c:pt>
                <c:pt idx="20">
                  <c:v>0.11396116018295302</c:v>
                </c:pt>
                <c:pt idx="21">
                  <c:v>0.13695299625396701</c:v>
                </c:pt>
                <c:pt idx="22">
                  <c:v>0.13263979554176308</c:v>
                </c:pt>
                <c:pt idx="23">
                  <c:v>0.13429473340511308</c:v>
                </c:pt>
                <c:pt idx="24">
                  <c:v>0.11291866004466998</c:v>
                </c:pt>
                <c:pt idx="25">
                  <c:v>0.15226130187511416</c:v>
                </c:pt>
                <c:pt idx="26">
                  <c:v>0.16192446649074599</c:v>
                </c:pt>
                <c:pt idx="27">
                  <c:v>0.155672818422318</c:v>
                </c:pt>
                <c:pt idx="28">
                  <c:v>0.13722126185894001</c:v>
                </c:pt>
                <c:pt idx="29">
                  <c:v>0.12096773833036401</c:v>
                </c:pt>
                <c:pt idx="30">
                  <c:v>0.11555842310190198</c:v>
                </c:pt>
                <c:pt idx="31">
                  <c:v>0.12926045060157801</c:v>
                </c:pt>
                <c:pt idx="32">
                  <c:v>0.10722100734710704</c:v>
                </c:pt>
                <c:pt idx="33">
                  <c:v>0.10575427860021606</c:v>
                </c:pt>
                <c:pt idx="34">
                  <c:v>8.3038866519928062E-2</c:v>
                </c:pt>
                <c:pt idx="35">
                  <c:v>8.2283794879913191E-2</c:v>
                </c:pt>
              </c:numCache>
            </c:numRef>
          </c:val>
        </c:ser>
        <c:dLbls>
          <c:showLegendKey val="0"/>
          <c:showVal val="0"/>
          <c:showCatName val="0"/>
          <c:showSerName val="0"/>
          <c:showPercent val="0"/>
          <c:showBubbleSize val="0"/>
        </c:dLbls>
        <c:axId val="41249792"/>
        <c:axId val="41264256"/>
      </c:areaChart>
      <c:catAx>
        <c:axId val="41249792"/>
        <c:scaling>
          <c:orientation val="minMax"/>
        </c:scaling>
        <c:delete val="0"/>
        <c:axPos val="b"/>
        <c:title>
          <c:tx>
            <c:rich>
              <a:bodyPr/>
              <a:lstStyle/>
              <a:p>
                <a:pPr>
                  <a:defRPr/>
                </a:pPr>
                <a:r>
                  <a:rPr lang="en-US"/>
                  <a:t>Idade</a:t>
                </a:r>
              </a:p>
            </c:rich>
          </c:tx>
          <c:overlay val="0"/>
        </c:title>
        <c:numFmt formatCode="General" sourceLinked="1"/>
        <c:majorTickMark val="out"/>
        <c:minorTickMark val="none"/>
        <c:tickLblPos val="nextTo"/>
        <c:crossAx val="41264256"/>
        <c:crosses val="autoZero"/>
        <c:auto val="1"/>
        <c:lblAlgn val="ctr"/>
        <c:lblOffset val="100"/>
        <c:noMultiLvlLbl val="0"/>
      </c:catAx>
      <c:valAx>
        <c:axId val="41264256"/>
        <c:scaling>
          <c:orientation val="minMax"/>
        </c:scaling>
        <c:delete val="0"/>
        <c:axPos val="l"/>
        <c:majorGridlines/>
        <c:numFmt formatCode="0%" sourceLinked="1"/>
        <c:majorTickMark val="out"/>
        <c:minorTickMark val="none"/>
        <c:tickLblPos val="nextTo"/>
        <c:crossAx val="41249792"/>
        <c:crosses val="autoZero"/>
        <c:crossBetween val="midCat"/>
      </c:valAx>
    </c:plotArea>
    <c:legend>
      <c:legendPos val="b"/>
      <c:layout>
        <c:manualLayout>
          <c:xMode val="edge"/>
          <c:yMode val="edge"/>
          <c:x val="8.449750232833805E-3"/>
          <c:y val="0.79586168242331701"/>
          <c:w val="0.99006010195772309"/>
          <c:h val="0.19111355048630546"/>
        </c:manualLayout>
      </c:layout>
      <c:overlay val="0"/>
      <c:spPr>
        <a:ln>
          <a:noFill/>
        </a:ln>
      </c:sp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Plan1!$C$5</c:f>
              <c:strCache>
                <c:ptCount val="1"/>
                <c:pt idx="0">
                  <c:v>M - 1 SM</c:v>
                </c:pt>
              </c:strCache>
            </c:strRef>
          </c:tx>
          <c:spPr>
            <a:ln w="28575">
              <a:solidFill>
                <a:srgbClr val="FF0000"/>
              </a:solidFill>
            </a:ln>
          </c:spPr>
          <c:marker>
            <c:symbol val="square"/>
            <c:size val="2"/>
            <c:spPr>
              <a:solidFill>
                <a:srgbClr val="FF0000"/>
              </a:solidFill>
              <a:ln w="28575">
                <a:solidFill>
                  <a:srgbClr val="FF000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Plan1!$C$6:$C$16</c:f>
              <c:numCache>
                <c:formatCode>General</c:formatCode>
                <c:ptCount val="11"/>
                <c:pt idx="0">
                  <c:v>0.56311230675950952</c:v>
                </c:pt>
                <c:pt idx="1">
                  <c:v>0.55207088897991152</c:v>
                </c:pt>
                <c:pt idx="2">
                  <c:v>0.54124596958814863</c:v>
                </c:pt>
                <c:pt idx="3">
                  <c:v>0.57152733200797279</c:v>
                </c:pt>
                <c:pt idx="4">
                  <c:v>0.6051092507459227</c:v>
                </c:pt>
                <c:pt idx="5">
                  <c:v>0.64114412954779765</c:v>
                </c:pt>
                <c:pt idx="6">
                  <c:v>0.66550637470009189</c:v>
                </c:pt>
                <c:pt idx="7">
                  <c:v>0.70466878386464737</c:v>
                </c:pt>
                <c:pt idx="8">
                  <c:v>0.74680743432789498</c:v>
                </c:pt>
                <c:pt idx="9">
                  <c:v>0.79106272136441558</c:v>
                </c:pt>
                <c:pt idx="10">
                  <c:v>0.83882777833490063</c:v>
                </c:pt>
              </c:numCache>
            </c:numRef>
          </c:val>
          <c:smooth val="1"/>
        </c:ser>
        <c:ser>
          <c:idx val="1"/>
          <c:order val="1"/>
          <c:tx>
            <c:strRef>
              <c:f>Plan1!$D$5</c:f>
              <c:strCache>
                <c:ptCount val="1"/>
                <c:pt idx="0">
                  <c:v>M - 2 SM</c:v>
                </c:pt>
              </c:strCache>
            </c:strRef>
          </c:tx>
          <c:spPr>
            <a:ln w="19050">
              <a:solidFill>
                <a:srgbClr val="FFC000"/>
              </a:solidFill>
            </a:ln>
          </c:spPr>
          <c:marker>
            <c:symbol val="triangle"/>
            <c:size val="3"/>
            <c:spPr>
              <a:solidFill>
                <a:srgbClr val="FFC000"/>
              </a:solidFill>
              <a:ln w="19050">
                <a:solidFill>
                  <a:srgbClr val="FFC00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Plan1!$D$6:$D$16</c:f>
              <c:numCache>
                <c:formatCode>General</c:formatCode>
                <c:ptCount val="11"/>
                <c:pt idx="0">
                  <c:v>0.48083710812656699</c:v>
                </c:pt>
                <c:pt idx="1">
                  <c:v>0.50931132830995696</c:v>
                </c:pt>
                <c:pt idx="2">
                  <c:v>0.53935864753826968</c:v>
                </c:pt>
                <c:pt idx="3">
                  <c:v>0.57152733200797279</c:v>
                </c:pt>
                <c:pt idx="4">
                  <c:v>0.6051092507459227</c:v>
                </c:pt>
                <c:pt idx="5">
                  <c:v>0.64114412954779765</c:v>
                </c:pt>
                <c:pt idx="6">
                  <c:v>0.66550637470009189</c:v>
                </c:pt>
                <c:pt idx="7">
                  <c:v>0.70466878386464737</c:v>
                </c:pt>
                <c:pt idx="8">
                  <c:v>0.74680743432789498</c:v>
                </c:pt>
                <c:pt idx="9">
                  <c:v>0.79106272136441558</c:v>
                </c:pt>
                <c:pt idx="10">
                  <c:v>0.83882777833490063</c:v>
                </c:pt>
              </c:numCache>
            </c:numRef>
          </c:val>
          <c:smooth val="1"/>
        </c:ser>
        <c:ser>
          <c:idx val="2"/>
          <c:order val="2"/>
          <c:tx>
            <c:strRef>
              <c:f>Plan1!$E$5</c:f>
              <c:strCache>
                <c:ptCount val="1"/>
                <c:pt idx="0">
                  <c:v>M - 3 SM</c:v>
                </c:pt>
              </c:strCache>
            </c:strRef>
          </c:tx>
          <c:spPr>
            <a:ln w="12700">
              <a:solidFill>
                <a:srgbClr val="00B050"/>
              </a:solidFill>
            </a:ln>
          </c:spPr>
          <c:marker>
            <c:symbol val="circle"/>
            <c:size val="2"/>
            <c:spPr>
              <a:solidFill>
                <a:srgbClr val="00B050"/>
              </a:solidFill>
              <a:ln>
                <a:solidFill>
                  <a:srgbClr val="00B05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Plan1!$E$6:$E$16</c:f>
              <c:numCache>
                <c:formatCode>General</c:formatCode>
                <c:ptCount val="11"/>
                <c:pt idx="0">
                  <c:v>0.48083710812656699</c:v>
                </c:pt>
                <c:pt idx="1">
                  <c:v>0.50931132830995596</c:v>
                </c:pt>
                <c:pt idx="2">
                  <c:v>0.53935864753826934</c:v>
                </c:pt>
                <c:pt idx="3">
                  <c:v>0.57152733200797345</c:v>
                </c:pt>
                <c:pt idx="4">
                  <c:v>0.60510925074592403</c:v>
                </c:pt>
                <c:pt idx="5">
                  <c:v>0.64114412954779865</c:v>
                </c:pt>
                <c:pt idx="6">
                  <c:v>0.66550637470009233</c:v>
                </c:pt>
                <c:pt idx="7">
                  <c:v>0.70462314705543061</c:v>
                </c:pt>
                <c:pt idx="8">
                  <c:v>0.74614829447319719</c:v>
                </c:pt>
                <c:pt idx="9">
                  <c:v>0.78910807841684061</c:v>
                </c:pt>
                <c:pt idx="10">
                  <c:v>0.83483105734998309</c:v>
                </c:pt>
              </c:numCache>
            </c:numRef>
          </c:val>
          <c:smooth val="1"/>
        </c:ser>
        <c:ser>
          <c:idx val="3"/>
          <c:order val="3"/>
          <c:tx>
            <c:strRef>
              <c:f>Plan1!$F$5</c:f>
              <c:strCache>
                <c:ptCount val="1"/>
                <c:pt idx="0">
                  <c:v>M - 4 SM</c:v>
                </c:pt>
              </c:strCache>
            </c:strRef>
          </c:tx>
          <c:spPr>
            <a:ln w="12700">
              <a:solidFill>
                <a:srgbClr val="0070C0"/>
              </a:solidFill>
            </a:ln>
          </c:spPr>
          <c:marker>
            <c:symbol val="x"/>
            <c:size val="3"/>
            <c:spPr>
              <a:noFill/>
              <a:ln w="19050">
                <a:solidFill>
                  <a:srgbClr val="0070C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Plan1!$F$6:$F$16</c:f>
              <c:numCache>
                <c:formatCode>General</c:formatCode>
                <c:ptCount val="11"/>
                <c:pt idx="0">
                  <c:v>0.46680464064407756</c:v>
                </c:pt>
                <c:pt idx="1">
                  <c:v>0.49118000872232132</c:v>
                </c:pt>
                <c:pt idx="2">
                  <c:v>0.51649788622200266</c:v>
                </c:pt>
                <c:pt idx="3">
                  <c:v>0.54317378423099516</c:v>
                </c:pt>
                <c:pt idx="4">
                  <c:v>0.57061345575705347</c:v>
                </c:pt>
                <c:pt idx="5">
                  <c:v>0.59960511920637571</c:v>
                </c:pt>
                <c:pt idx="6">
                  <c:v>0.61710867532509595</c:v>
                </c:pt>
                <c:pt idx="7">
                  <c:v>0.64770891723948887</c:v>
                </c:pt>
                <c:pt idx="8">
                  <c:v>0.68014135503558482</c:v>
                </c:pt>
                <c:pt idx="9">
                  <c:v>0.70842281028411103</c:v>
                </c:pt>
                <c:pt idx="10">
                  <c:v>0.69453216694520392</c:v>
                </c:pt>
              </c:numCache>
            </c:numRef>
          </c:val>
          <c:smooth val="1"/>
        </c:ser>
        <c:ser>
          <c:idx val="4"/>
          <c:order val="4"/>
          <c:tx>
            <c:strRef>
              <c:f>Plan1!$G$5</c:f>
              <c:strCache>
                <c:ptCount val="1"/>
                <c:pt idx="0">
                  <c:v>M - 5 SM</c:v>
                </c:pt>
              </c:strCache>
            </c:strRef>
          </c:tx>
          <c:spPr>
            <a:ln w="12700">
              <a:solidFill>
                <a:sysClr val="windowText" lastClr="000000">
                  <a:lumMod val="95000"/>
                  <a:lumOff val="5000"/>
                </a:sysClr>
              </a:solidFill>
            </a:ln>
          </c:spPr>
          <c:marker>
            <c:symbol val="star"/>
            <c:size val="3"/>
            <c:spPr>
              <a:ln>
                <a:solidFill>
                  <a:sysClr val="windowText" lastClr="000000">
                    <a:lumMod val="95000"/>
                    <a:lumOff val="5000"/>
                  </a:sysClr>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Plan1!$G$6:$G$16</c:f>
              <c:numCache>
                <c:formatCode>General</c:formatCode>
                <c:ptCount val="11"/>
                <c:pt idx="0">
                  <c:v>0.40913070983326338</c:v>
                </c:pt>
                <c:pt idx="1">
                  <c:v>0.42850291073063201</c:v>
                </c:pt>
                <c:pt idx="2">
                  <c:v>0.44865253610152916</c:v>
                </c:pt>
                <c:pt idx="3">
                  <c:v>0.4697490836692253</c:v>
                </c:pt>
                <c:pt idx="4">
                  <c:v>0.4916338572714013</c:v>
                </c:pt>
                <c:pt idx="5">
                  <c:v>0.51460423166264191</c:v>
                </c:pt>
                <c:pt idx="6">
                  <c:v>0.52788099968732549</c:v>
                </c:pt>
                <c:pt idx="7">
                  <c:v>0.55234041463790462</c:v>
                </c:pt>
                <c:pt idx="8">
                  <c:v>0.57807301319183491</c:v>
                </c:pt>
                <c:pt idx="9">
                  <c:v>0.56673824822728769</c:v>
                </c:pt>
                <c:pt idx="10">
                  <c:v>0.55562573355616618</c:v>
                </c:pt>
              </c:numCache>
            </c:numRef>
          </c:val>
          <c:smooth val="1"/>
        </c:ser>
        <c:ser>
          <c:idx val="5"/>
          <c:order val="5"/>
          <c:tx>
            <c:strRef>
              <c:f>Plan1!$H$5</c:f>
              <c:strCache>
                <c:ptCount val="1"/>
                <c:pt idx="0">
                  <c:v>H - 1 SM</c:v>
                </c:pt>
              </c:strCache>
            </c:strRef>
          </c:tx>
          <c:spPr>
            <a:ln w="19050">
              <a:solidFill>
                <a:srgbClr val="FF0000"/>
              </a:solidFill>
              <a:prstDash val="lgDash"/>
            </a:ln>
          </c:spPr>
          <c:marker>
            <c:symbol val="square"/>
            <c:size val="3"/>
            <c:spPr>
              <a:solidFill>
                <a:srgbClr val="FF0000"/>
              </a:solidFill>
              <a:ln w="19050">
                <a:solidFill>
                  <a:srgbClr val="FF000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Plan1!$H$6:$H$16</c:f>
              <c:numCache>
                <c:formatCode>General</c:formatCode>
                <c:ptCount val="11"/>
                <c:pt idx="0">
                  <c:v>0.55580665860104184</c:v>
                </c:pt>
                <c:pt idx="1">
                  <c:v>0.57897845218816013</c:v>
                </c:pt>
                <c:pt idx="2">
                  <c:v>0.61512025905272461</c:v>
                </c:pt>
                <c:pt idx="3">
                  <c:v>0.65399870447310637</c:v>
                </c:pt>
                <c:pt idx="4">
                  <c:v>0.69487397829051656</c:v>
                </c:pt>
                <c:pt idx="5">
                  <c:v>0.73898072363034972</c:v>
                </c:pt>
                <c:pt idx="6">
                  <c:v>0.78542167155584464</c:v>
                </c:pt>
                <c:pt idx="7">
                  <c:v>0.83502217592605188</c:v>
                </c:pt>
                <c:pt idx="8">
                  <c:v>0.88869100096110187</c:v>
                </c:pt>
                <c:pt idx="9">
                  <c:v>0.94044048012583492</c:v>
                </c:pt>
                <c:pt idx="10">
                  <c:v>0.98833788403261813</c:v>
                </c:pt>
              </c:numCache>
            </c:numRef>
          </c:val>
          <c:smooth val="1"/>
        </c:ser>
        <c:ser>
          <c:idx val="6"/>
          <c:order val="6"/>
          <c:tx>
            <c:strRef>
              <c:f>Plan1!$I$5</c:f>
              <c:strCache>
                <c:ptCount val="1"/>
                <c:pt idx="0">
                  <c:v>H - 2 SM</c:v>
                </c:pt>
              </c:strCache>
            </c:strRef>
          </c:tx>
          <c:spPr>
            <a:ln w="19050">
              <a:solidFill>
                <a:srgbClr val="FFC000"/>
              </a:solidFill>
              <a:prstDash val="sysDash"/>
            </a:ln>
          </c:spPr>
          <c:marker>
            <c:symbol val="triangle"/>
            <c:size val="3"/>
            <c:spPr>
              <a:solidFill>
                <a:srgbClr val="FFC000"/>
              </a:solidFill>
              <a:ln w="19050">
                <a:solidFill>
                  <a:srgbClr val="FFC00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Plan1!$I$6:$I$16</c:f>
              <c:numCache>
                <c:formatCode>General</c:formatCode>
                <c:ptCount val="11"/>
                <c:pt idx="0">
                  <c:v>0.55580665860104184</c:v>
                </c:pt>
                <c:pt idx="1">
                  <c:v>0.57897845218816013</c:v>
                </c:pt>
                <c:pt idx="2">
                  <c:v>0.61512025905272461</c:v>
                </c:pt>
                <c:pt idx="3">
                  <c:v>0.65399870447310637</c:v>
                </c:pt>
                <c:pt idx="4">
                  <c:v>0.69487397829051656</c:v>
                </c:pt>
                <c:pt idx="5">
                  <c:v>0.73898072363034972</c:v>
                </c:pt>
                <c:pt idx="6">
                  <c:v>0.78542167155584464</c:v>
                </c:pt>
                <c:pt idx="7">
                  <c:v>0.83502217592605188</c:v>
                </c:pt>
                <c:pt idx="8">
                  <c:v>0.88869100096110187</c:v>
                </c:pt>
                <c:pt idx="9">
                  <c:v>0.94044048012583492</c:v>
                </c:pt>
                <c:pt idx="10">
                  <c:v>0.98833788403261813</c:v>
                </c:pt>
              </c:numCache>
            </c:numRef>
          </c:val>
          <c:smooth val="1"/>
        </c:ser>
        <c:ser>
          <c:idx val="7"/>
          <c:order val="7"/>
          <c:tx>
            <c:strRef>
              <c:f>Plan1!$J$5</c:f>
              <c:strCache>
                <c:ptCount val="1"/>
                <c:pt idx="0">
                  <c:v>H - 3 SM</c:v>
                </c:pt>
              </c:strCache>
            </c:strRef>
          </c:tx>
          <c:spPr>
            <a:ln w="12700">
              <a:solidFill>
                <a:srgbClr val="00B050"/>
              </a:solidFill>
              <a:prstDash val="dash"/>
            </a:ln>
          </c:spPr>
          <c:marker>
            <c:symbol val="circle"/>
            <c:size val="3"/>
            <c:spPr>
              <a:solidFill>
                <a:srgbClr val="00B050"/>
              </a:solidFill>
              <a:ln>
                <a:solidFill>
                  <a:srgbClr val="00B05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Plan1!$J$6:$J$16</c:f>
              <c:numCache>
                <c:formatCode>General</c:formatCode>
                <c:ptCount val="11"/>
                <c:pt idx="0">
                  <c:v>0.55580665860104261</c:v>
                </c:pt>
                <c:pt idx="1">
                  <c:v>0.57897845218816035</c:v>
                </c:pt>
                <c:pt idx="2">
                  <c:v>0.61508042171843269</c:v>
                </c:pt>
                <c:pt idx="3">
                  <c:v>0.6534214785494955</c:v>
                </c:pt>
                <c:pt idx="4">
                  <c:v>0.69315700884619991</c:v>
                </c:pt>
                <c:pt idx="5">
                  <c:v>0.73545973893972993</c:v>
                </c:pt>
                <c:pt idx="6">
                  <c:v>0.77938541571082764</c:v>
                </c:pt>
                <c:pt idx="7">
                  <c:v>0.82568841178557506</c:v>
                </c:pt>
                <c:pt idx="8">
                  <c:v>0.87263089729843435</c:v>
                </c:pt>
                <c:pt idx="9">
                  <c:v>0.85552048754748322</c:v>
                </c:pt>
                <c:pt idx="10">
                  <c:v>0.83874557602694411</c:v>
                </c:pt>
              </c:numCache>
            </c:numRef>
          </c:val>
          <c:smooth val="1"/>
        </c:ser>
        <c:ser>
          <c:idx val="8"/>
          <c:order val="8"/>
          <c:tx>
            <c:strRef>
              <c:f>Plan1!$K$5</c:f>
              <c:strCache>
                <c:ptCount val="1"/>
                <c:pt idx="0">
                  <c:v>H - 4 SM</c:v>
                </c:pt>
              </c:strCache>
            </c:strRef>
          </c:tx>
          <c:spPr>
            <a:ln w="15875">
              <a:solidFill>
                <a:srgbClr val="0070C0"/>
              </a:solidFill>
              <a:prstDash val="sysDash"/>
            </a:ln>
          </c:spPr>
          <c:marker>
            <c:symbol val="x"/>
            <c:size val="4"/>
            <c:spPr>
              <a:noFill/>
              <a:ln w="12700">
                <a:solidFill>
                  <a:srgbClr val="0070C0"/>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Plan1!$K$6:$K$16</c:f>
              <c:numCache>
                <c:formatCode>General</c:formatCode>
                <c:ptCount val="11"/>
                <c:pt idx="0">
                  <c:v>0.51979656746015601</c:v>
                </c:pt>
                <c:pt idx="1">
                  <c:v>0.53687333323083464</c:v>
                </c:pt>
                <c:pt idx="2">
                  <c:v>0.5653987888863824</c:v>
                </c:pt>
                <c:pt idx="3">
                  <c:v>0.59561748397988512</c:v>
                </c:pt>
                <c:pt idx="4">
                  <c:v>0.62701060199319303</c:v>
                </c:pt>
                <c:pt idx="5">
                  <c:v>0.66038274970168109</c:v>
                </c:pt>
                <c:pt idx="6">
                  <c:v>0.68091388916196471</c:v>
                </c:pt>
                <c:pt idx="7">
                  <c:v>0.66756263643330138</c:v>
                </c:pt>
                <c:pt idx="8">
                  <c:v>0.65447317297382479</c:v>
                </c:pt>
                <c:pt idx="9">
                  <c:v>0.64164036566061255</c:v>
                </c:pt>
                <c:pt idx="10">
                  <c:v>0.62905918202020705</c:v>
                </c:pt>
              </c:numCache>
            </c:numRef>
          </c:val>
          <c:smooth val="1"/>
        </c:ser>
        <c:ser>
          <c:idx val="9"/>
          <c:order val="9"/>
          <c:tx>
            <c:strRef>
              <c:f>Plan1!$L$5</c:f>
              <c:strCache>
                <c:ptCount val="1"/>
                <c:pt idx="0">
                  <c:v>H - 5 SM</c:v>
                </c:pt>
              </c:strCache>
            </c:strRef>
          </c:tx>
          <c:spPr>
            <a:ln w="12700">
              <a:solidFill>
                <a:schemeClr val="tx1"/>
              </a:solidFill>
              <a:prstDash val="sysDash"/>
            </a:ln>
          </c:spPr>
          <c:marker>
            <c:symbol val="star"/>
            <c:size val="4"/>
            <c:spPr>
              <a:ln>
                <a:solidFill>
                  <a:schemeClr val="tx1"/>
                </a:solidFill>
              </a:ln>
            </c:spPr>
          </c:marker>
          <c:cat>
            <c:numRef>
              <c:f>Plan1!$B$6:$B$16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Plan1!$L$6:$L$16</c:f>
              <c:numCache>
                <c:formatCode>General</c:formatCode>
                <c:ptCount val="11"/>
                <c:pt idx="0">
                  <c:v>0.44610945545754477</c:v>
                </c:pt>
                <c:pt idx="1">
                  <c:v>0.45924687690067173</c:v>
                </c:pt>
                <c:pt idx="2">
                  <c:v>0.48214960945767832</c:v>
                </c:pt>
                <c:pt idx="3">
                  <c:v>0.50624212727580453</c:v>
                </c:pt>
                <c:pt idx="4">
                  <c:v>0.53146038125010087</c:v>
                </c:pt>
                <c:pt idx="5">
                  <c:v>0.55562573355616618</c:v>
                </c:pt>
                <c:pt idx="6">
                  <c:v>0.54473111132957508</c:v>
                </c:pt>
                <c:pt idx="7">
                  <c:v>0.53405010914663875</c:v>
                </c:pt>
                <c:pt idx="8">
                  <c:v>0.52357853837905888</c:v>
                </c:pt>
                <c:pt idx="9">
                  <c:v>0.51331229252848964</c:v>
                </c:pt>
                <c:pt idx="10">
                  <c:v>0.50324734561616558</c:v>
                </c:pt>
              </c:numCache>
            </c:numRef>
          </c:val>
          <c:smooth val="1"/>
        </c:ser>
        <c:dLbls>
          <c:showLegendKey val="0"/>
          <c:showVal val="0"/>
          <c:showCatName val="0"/>
          <c:showSerName val="0"/>
          <c:showPercent val="0"/>
          <c:showBubbleSize val="0"/>
        </c:dLbls>
        <c:marker val="1"/>
        <c:smooth val="0"/>
        <c:axId val="55729152"/>
        <c:axId val="55735808"/>
      </c:lineChart>
      <c:catAx>
        <c:axId val="55729152"/>
        <c:scaling>
          <c:orientation val="minMax"/>
        </c:scaling>
        <c:delete val="0"/>
        <c:axPos val="b"/>
        <c:title>
          <c:tx>
            <c:rich>
              <a:bodyPr/>
              <a:lstStyle/>
              <a:p>
                <a:pPr>
                  <a:defRPr sz="1000">
                    <a:latin typeface="Times New Roman" pitchFamily="18" charset="0"/>
                    <a:cs typeface="Times New Roman" pitchFamily="18" charset="0"/>
                  </a:defRPr>
                </a:pPr>
                <a:r>
                  <a:rPr lang="pt-BR" sz="1000" b="1" i="0" baseline="0">
                    <a:latin typeface="Times New Roman" pitchFamily="18" charset="0"/>
                    <a:cs typeface="Times New Roman" pitchFamily="18" charset="0"/>
                  </a:rPr>
                  <a:t>Tempo de desaposentação (anos)</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55735808"/>
        <c:crosses val="autoZero"/>
        <c:auto val="1"/>
        <c:lblAlgn val="ctr"/>
        <c:lblOffset val="100"/>
        <c:noMultiLvlLbl val="0"/>
      </c:catAx>
      <c:valAx>
        <c:axId val="55735808"/>
        <c:scaling>
          <c:orientation val="minMax"/>
          <c:max val="1"/>
          <c:min val="0.4"/>
        </c:scaling>
        <c:delete val="0"/>
        <c:axPos val="l"/>
        <c:majorGridlines/>
        <c:title>
          <c:tx>
            <c:rich>
              <a:bodyPr rot="-5400000" vert="horz"/>
              <a:lstStyle/>
              <a:p>
                <a:pPr>
                  <a:defRPr>
                    <a:latin typeface="Times New Roman" pitchFamily="18" charset="0"/>
                    <a:cs typeface="Times New Roman" pitchFamily="18" charset="0"/>
                  </a:defRPr>
                </a:pPr>
                <a:r>
                  <a:rPr lang="pt-BR">
                    <a:latin typeface="Times New Roman" pitchFamily="18" charset="0"/>
                    <a:cs typeface="Times New Roman" pitchFamily="18" charset="0"/>
                  </a:rPr>
                  <a:t>Taxa de Reposição (TR) </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55729152"/>
        <c:crosses val="autoZero"/>
        <c:crossBetween val="between"/>
      </c:valAx>
    </c:plotArea>
    <c:legend>
      <c:legendPos val="r"/>
      <c:layout>
        <c:manualLayout>
          <c:xMode val="edge"/>
          <c:yMode val="edge"/>
          <c:x val="0.79886111111111113"/>
          <c:y val="4.4727430315787707E-2"/>
          <c:w val="0.18447222222222273"/>
          <c:h val="0.8884143434988033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Plan1!$C$38</c:f>
              <c:strCache>
                <c:ptCount val="1"/>
                <c:pt idx="0">
                  <c:v>M - 1 SM</c:v>
                </c:pt>
              </c:strCache>
            </c:strRef>
          </c:tx>
          <c:spPr>
            <a:ln w="28575">
              <a:solidFill>
                <a:srgbClr val="FF0000"/>
              </a:solidFill>
            </a:ln>
          </c:spPr>
          <c:marker>
            <c:symbol val="square"/>
            <c:size val="2"/>
            <c:spPr>
              <a:solidFill>
                <a:srgbClr val="FF0000"/>
              </a:solidFill>
              <a:ln w="28575">
                <a:solidFill>
                  <a:srgbClr val="FF000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Plan1!$C$39:$C$49</c:f>
              <c:numCache>
                <c:formatCode>General</c:formatCode>
                <c:ptCount val="11"/>
                <c:pt idx="0">
                  <c:v>3.2830572412077741</c:v>
                </c:pt>
                <c:pt idx="1">
                  <c:v>3.1807285392341007</c:v>
                </c:pt>
                <c:pt idx="2">
                  <c:v>3.0757379006556071</c:v>
                </c:pt>
                <c:pt idx="3">
                  <c:v>3.2176496341977443</c:v>
                </c:pt>
                <c:pt idx="4">
                  <c:v>3.3508079035723837</c:v>
                </c:pt>
                <c:pt idx="5">
                  <c:v>3.4695758560207679</c:v>
                </c:pt>
                <c:pt idx="6">
                  <c:v>3.5702822885605352</c:v>
                </c:pt>
                <c:pt idx="7">
                  <c:v>3.6563523600345187</c:v>
                </c:pt>
                <c:pt idx="8">
                  <c:v>3.7309556699207427</c:v>
                </c:pt>
                <c:pt idx="9">
                  <c:v>3.7905686621247936</c:v>
                </c:pt>
                <c:pt idx="10">
                  <c:v>3.8399213681117992</c:v>
                </c:pt>
              </c:numCache>
            </c:numRef>
          </c:val>
          <c:smooth val="1"/>
        </c:ser>
        <c:ser>
          <c:idx val="1"/>
          <c:order val="1"/>
          <c:tx>
            <c:strRef>
              <c:f>Plan1!$D$38</c:f>
              <c:strCache>
                <c:ptCount val="1"/>
                <c:pt idx="0">
                  <c:v>M - 2 SM</c:v>
                </c:pt>
              </c:strCache>
            </c:strRef>
          </c:tx>
          <c:spPr>
            <a:ln w="19050">
              <a:solidFill>
                <a:srgbClr val="FFC000"/>
              </a:solidFill>
            </a:ln>
          </c:spPr>
          <c:marker>
            <c:symbol val="triangle"/>
            <c:size val="3"/>
            <c:spPr>
              <a:solidFill>
                <a:srgbClr val="FFC000"/>
              </a:solidFill>
              <a:ln w="19050">
                <a:solidFill>
                  <a:srgbClr val="FFC00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Plan1!$D$39:$D$49</c:f>
              <c:numCache>
                <c:formatCode>General</c:formatCode>
                <c:ptCount val="11"/>
                <c:pt idx="0">
                  <c:v>2.5017575205205982</c:v>
                </c:pt>
                <c:pt idx="1">
                  <c:v>2.6601090639039482</c:v>
                </c:pt>
                <c:pt idx="2">
                  <c:v>2.800655525601492</c:v>
                </c:pt>
                <c:pt idx="3">
                  <c:v>2.9273070948832025</c:v>
                </c:pt>
                <c:pt idx="4">
                  <c:v>3.0360369974961721</c:v>
                </c:pt>
                <c:pt idx="5">
                  <c:v>3.1330192646783752</c:v>
                </c:pt>
                <c:pt idx="6">
                  <c:v>3.2140524780787048</c:v>
                </c:pt>
                <c:pt idx="7">
                  <c:v>3.2822987931255376</c:v>
                </c:pt>
                <c:pt idx="8">
                  <c:v>3.3407477412707163</c:v>
                </c:pt>
                <c:pt idx="9">
                  <c:v>3.385360914552904</c:v>
                </c:pt>
                <c:pt idx="10">
                  <c:v>3.4208394687911041</c:v>
                </c:pt>
              </c:numCache>
            </c:numRef>
          </c:val>
          <c:smooth val="1"/>
        </c:ser>
        <c:ser>
          <c:idx val="2"/>
          <c:order val="2"/>
          <c:tx>
            <c:strRef>
              <c:f>Plan1!$E$38</c:f>
              <c:strCache>
                <c:ptCount val="1"/>
                <c:pt idx="0">
                  <c:v>M - 3 SM</c:v>
                </c:pt>
              </c:strCache>
            </c:strRef>
          </c:tx>
          <c:spPr>
            <a:ln w="12700">
              <a:solidFill>
                <a:srgbClr val="00B050"/>
              </a:solidFill>
            </a:ln>
          </c:spPr>
          <c:marker>
            <c:symbol val="circle"/>
            <c:size val="2"/>
            <c:spPr>
              <a:solidFill>
                <a:srgbClr val="00B050"/>
              </a:solidFill>
              <a:ln>
                <a:solidFill>
                  <a:srgbClr val="00B05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Plan1!$E$39:$E$49</c:f>
              <c:numCache>
                <c:formatCode>General</c:formatCode>
                <c:ptCount val="11"/>
                <c:pt idx="0">
                  <c:v>2.3344667704423792</c:v>
                </c:pt>
                <c:pt idx="1">
                  <c:v>2.4944372919398106</c:v>
                </c:pt>
                <c:pt idx="2">
                  <c:v>2.6368163408878598</c:v>
                </c:pt>
                <c:pt idx="3">
                  <c:v>2.7654460633845357</c:v>
                </c:pt>
                <c:pt idx="4">
                  <c:v>2.8762735634846717</c:v>
                </c:pt>
                <c:pt idx="5">
                  <c:v>2.9754155637184967</c:v>
                </c:pt>
                <c:pt idx="6">
                  <c:v>3.0586561515334227</c:v>
                </c:pt>
                <c:pt idx="7">
                  <c:v>3.1289287985803429</c:v>
                </c:pt>
                <c:pt idx="8">
                  <c:v>3.1876713272189385</c:v>
                </c:pt>
                <c:pt idx="9">
                  <c:v>3.2309437989168202</c:v>
                </c:pt>
                <c:pt idx="10">
                  <c:v>3.2636846598181242</c:v>
                </c:pt>
              </c:numCache>
            </c:numRef>
          </c:val>
          <c:smooth val="1"/>
        </c:ser>
        <c:ser>
          <c:idx val="3"/>
          <c:order val="3"/>
          <c:tx>
            <c:strRef>
              <c:f>Plan1!$F$38</c:f>
              <c:strCache>
                <c:ptCount val="1"/>
                <c:pt idx="0">
                  <c:v>M - 4 SM</c:v>
                </c:pt>
              </c:strCache>
            </c:strRef>
          </c:tx>
          <c:spPr>
            <a:ln w="12700">
              <a:solidFill>
                <a:srgbClr val="0070C0"/>
              </a:solidFill>
            </a:ln>
          </c:spPr>
          <c:marker>
            <c:symbol val="x"/>
            <c:size val="3"/>
            <c:spPr>
              <a:noFill/>
              <a:ln w="19050">
                <a:solidFill>
                  <a:srgbClr val="0070C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Plan1!$F$39:$F$49</c:f>
              <c:numCache>
                <c:formatCode>General</c:formatCode>
                <c:ptCount val="11"/>
                <c:pt idx="0">
                  <c:v>2.2326314306662067</c:v>
                </c:pt>
                <c:pt idx="1">
                  <c:v>2.3722665844796134</c:v>
                </c:pt>
                <c:pt idx="2">
                  <c:v>2.4948220985163916</c:v>
                </c:pt>
                <c:pt idx="3">
                  <c:v>2.6037559779432877</c:v>
                </c:pt>
                <c:pt idx="4">
                  <c:v>2.6958835122088627</c:v>
                </c:pt>
                <c:pt idx="5">
                  <c:v>2.7764183071674182</c:v>
                </c:pt>
                <c:pt idx="6">
                  <c:v>2.8418702003420582</c:v>
                </c:pt>
                <c:pt idx="7">
                  <c:v>2.8952061433642839</c:v>
                </c:pt>
                <c:pt idx="8">
                  <c:v>2.9387269022222782</c:v>
                </c:pt>
                <c:pt idx="9">
                  <c:v>2.9477664714597562</c:v>
                </c:pt>
                <c:pt idx="10">
                  <c:v>2.7768631470422189</c:v>
                </c:pt>
              </c:numCache>
            </c:numRef>
          </c:val>
          <c:smooth val="1"/>
        </c:ser>
        <c:ser>
          <c:idx val="4"/>
          <c:order val="4"/>
          <c:tx>
            <c:strRef>
              <c:f>Plan1!$G$38</c:f>
              <c:strCache>
                <c:ptCount val="1"/>
                <c:pt idx="0">
                  <c:v>M - 5 SM</c:v>
                </c:pt>
              </c:strCache>
            </c:strRef>
          </c:tx>
          <c:spPr>
            <a:ln w="12700">
              <a:solidFill>
                <a:sysClr val="windowText" lastClr="000000">
                  <a:lumMod val="95000"/>
                  <a:lumOff val="5000"/>
                </a:sysClr>
              </a:solidFill>
            </a:ln>
          </c:spPr>
          <c:marker>
            <c:symbol val="star"/>
            <c:size val="3"/>
            <c:spPr>
              <a:ln>
                <a:solidFill>
                  <a:sysClr val="windowText" lastClr="000000">
                    <a:lumMod val="95000"/>
                    <a:lumOff val="5000"/>
                  </a:sysClr>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Plan1!$G$39:$G$49</c:f>
              <c:numCache>
                <c:formatCode>General</c:formatCode>
                <c:ptCount val="11"/>
                <c:pt idx="0">
                  <c:v>1.8647165763057392</c:v>
                </c:pt>
                <c:pt idx="1">
                  <c:v>1.9844284863423489</c:v>
                </c:pt>
                <c:pt idx="2">
                  <c:v>2.0898772606703209</c:v>
                </c:pt>
                <c:pt idx="3">
                  <c:v>2.1827871780279646</c:v>
                </c:pt>
                <c:pt idx="4">
                  <c:v>2.2623306287726006</c:v>
                </c:pt>
                <c:pt idx="5">
                  <c:v>2.3307915575087952</c:v>
                </c:pt>
                <c:pt idx="6">
                  <c:v>2.3868878487151042</c:v>
                </c:pt>
                <c:pt idx="7">
                  <c:v>2.4321031190571438</c:v>
                </c:pt>
                <c:pt idx="8">
                  <c:v>2.4673593747404992</c:v>
                </c:pt>
                <c:pt idx="9">
                  <c:v>2.3026478884596586</c:v>
                </c:pt>
                <c:pt idx="10">
                  <c:v>2.135797755682121</c:v>
                </c:pt>
              </c:numCache>
            </c:numRef>
          </c:val>
          <c:smooth val="1"/>
        </c:ser>
        <c:ser>
          <c:idx val="5"/>
          <c:order val="5"/>
          <c:tx>
            <c:strRef>
              <c:f>Plan1!$H$38</c:f>
              <c:strCache>
                <c:ptCount val="1"/>
                <c:pt idx="0">
                  <c:v>H - 1 SM</c:v>
                </c:pt>
              </c:strCache>
            </c:strRef>
          </c:tx>
          <c:spPr>
            <a:ln w="19050">
              <a:solidFill>
                <a:srgbClr val="FF0000"/>
              </a:solidFill>
              <a:prstDash val="lgDash"/>
            </a:ln>
          </c:spPr>
          <c:marker>
            <c:symbol val="square"/>
            <c:size val="3"/>
            <c:spPr>
              <a:solidFill>
                <a:srgbClr val="FF0000"/>
              </a:solidFill>
              <a:ln w="19050">
                <a:solidFill>
                  <a:srgbClr val="FF000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Plan1!$H$39:$H$49</c:f>
              <c:numCache>
                <c:formatCode>General</c:formatCode>
                <c:ptCount val="11"/>
                <c:pt idx="0">
                  <c:v>0.79319787317973101</c:v>
                </c:pt>
                <c:pt idx="1">
                  <c:v>0.96402974692462173</c:v>
                </c:pt>
                <c:pt idx="2">
                  <c:v>1.1011126872753518</c:v>
                </c:pt>
                <c:pt idx="3">
                  <c:v>1.2086994177533199</c:v>
                </c:pt>
                <c:pt idx="4">
                  <c:v>1.2818149894060049</c:v>
                </c:pt>
                <c:pt idx="5">
                  <c:v>1.3256726105369978</c:v>
                </c:pt>
                <c:pt idx="6">
                  <c:v>1.3336488895891119</c:v>
                </c:pt>
                <c:pt idx="7">
                  <c:v>1.3062140786022081</c:v>
                </c:pt>
                <c:pt idx="8">
                  <c:v>1.2414218845270473</c:v>
                </c:pt>
                <c:pt idx="9">
                  <c:v>1.1130581591953801</c:v>
                </c:pt>
                <c:pt idx="10">
                  <c:v>0.90988948588330842</c:v>
                </c:pt>
              </c:numCache>
            </c:numRef>
          </c:val>
          <c:smooth val="1"/>
        </c:ser>
        <c:ser>
          <c:idx val="6"/>
          <c:order val="6"/>
          <c:tx>
            <c:strRef>
              <c:f>Plan1!$I$38</c:f>
              <c:strCache>
                <c:ptCount val="1"/>
                <c:pt idx="0">
                  <c:v>H - 2 SM</c:v>
                </c:pt>
              </c:strCache>
            </c:strRef>
          </c:tx>
          <c:spPr>
            <a:ln w="19050">
              <a:solidFill>
                <a:srgbClr val="FFC000"/>
              </a:solidFill>
              <a:prstDash val="sysDash"/>
            </a:ln>
          </c:spPr>
          <c:marker>
            <c:symbol val="triangle"/>
            <c:size val="3"/>
            <c:spPr>
              <a:solidFill>
                <a:srgbClr val="FFC000"/>
              </a:solidFill>
              <a:ln w="19050">
                <a:solidFill>
                  <a:srgbClr val="FFC00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Plan1!$I$39:$I$49</c:f>
              <c:numCache>
                <c:formatCode>General</c:formatCode>
                <c:ptCount val="11"/>
                <c:pt idx="0">
                  <c:v>0.54176084939512315</c:v>
                </c:pt>
                <c:pt idx="1">
                  <c:v>0.70814691129041962</c:v>
                </c:pt>
                <c:pt idx="2">
                  <c:v>0.84098470033671102</c:v>
                </c:pt>
                <c:pt idx="3">
                  <c:v>0.94440260560320066</c:v>
                </c:pt>
                <c:pt idx="4">
                  <c:v>1.0131074637781623</c:v>
                </c:pt>
                <c:pt idx="5">
                  <c:v>1.0522158382275462</c:v>
                </c:pt>
                <c:pt idx="6">
                  <c:v>1.0547097284312481</c:v>
                </c:pt>
                <c:pt idx="7">
                  <c:v>1.0208056814041442</c:v>
                </c:pt>
                <c:pt idx="8">
                  <c:v>0.94819496680798032</c:v>
                </c:pt>
                <c:pt idx="9">
                  <c:v>0.80930869165383301</c:v>
                </c:pt>
                <c:pt idx="10">
                  <c:v>0.59166366779652657</c:v>
                </c:pt>
              </c:numCache>
            </c:numRef>
          </c:val>
          <c:smooth val="1"/>
        </c:ser>
        <c:ser>
          <c:idx val="7"/>
          <c:order val="7"/>
          <c:tx>
            <c:strRef>
              <c:f>Plan1!$J$38</c:f>
              <c:strCache>
                <c:ptCount val="1"/>
                <c:pt idx="0">
                  <c:v>H - 3 SM</c:v>
                </c:pt>
              </c:strCache>
            </c:strRef>
          </c:tx>
          <c:spPr>
            <a:ln w="12700">
              <a:solidFill>
                <a:srgbClr val="00B050"/>
              </a:solidFill>
              <a:prstDash val="dash"/>
            </a:ln>
          </c:spPr>
          <c:marker>
            <c:symbol val="circle"/>
            <c:size val="3"/>
            <c:spPr>
              <a:solidFill>
                <a:srgbClr val="00B050"/>
              </a:solidFill>
              <a:ln>
                <a:solidFill>
                  <a:srgbClr val="00B05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Plan1!$J$39:$J$49</c:f>
              <c:numCache>
                <c:formatCode>General</c:formatCode>
                <c:ptCount val="11"/>
                <c:pt idx="0">
                  <c:v>0.39408536490726126</c:v>
                </c:pt>
                <c:pt idx="1">
                  <c:v>0.56135126956924353</c:v>
                </c:pt>
                <c:pt idx="2">
                  <c:v>0.69512241284339793</c:v>
                </c:pt>
                <c:pt idx="3">
                  <c:v>0.7977913752403879</c:v>
                </c:pt>
                <c:pt idx="4">
                  <c:v>0.86435237159625411</c:v>
                </c:pt>
                <c:pt idx="5">
                  <c:v>0.90032371942012634</c:v>
                </c:pt>
                <c:pt idx="6">
                  <c:v>0.89918603534113739</c:v>
                </c:pt>
                <c:pt idx="7">
                  <c:v>0.86155818376958404</c:v>
                </c:pt>
                <c:pt idx="8">
                  <c:v>0.77660245117097293</c:v>
                </c:pt>
                <c:pt idx="9">
                  <c:v>0.42491654694181225</c:v>
                </c:pt>
                <c:pt idx="10">
                  <c:v>3.8037659631395826E-2</c:v>
                </c:pt>
              </c:numCache>
            </c:numRef>
          </c:val>
          <c:smooth val="1"/>
        </c:ser>
        <c:ser>
          <c:idx val="8"/>
          <c:order val="8"/>
          <c:tx>
            <c:strRef>
              <c:f>Plan1!$K$38</c:f>
              <c:strCache>
                <c:ptCount val="1"/>
                <c:pt idx="0">
                  <c:v>H - 4 SM</c:v>
                </c:pt>
              </c:strCache>
            </c:strRef>
          </c:tx>
          <c:spPr>
            <a:ln w="15875">
              <a:solidFill>
                <a:srgbClr val="0070C0"/>
              </a:solidFill>
              <a:prstDash val="sysDash"/>
            </a:ln>
          </c:spPr>
          <c:marker>
            <c:symbol val="x"/>
            <c:size val="4"/>
            <c:spPr>
              <a:noFill/>
              <a:ln w="12700">
                <a:solidFill>
                  <a:srgbClr val="0070C0"/>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Plan1!$K$39:$K$49</c:f>
              <c:numCache>
                <c:formatCode>General</c:formatCode>
                <c:ptCount val="11"/>
                <c:pt idx="0">
                  <c:v>0.17800255879325538</c:v>
                </c:pt>
                <c:pt idx="1">
                  <c:v>0.31522372669283732</c:v>
                </c:pt>
                <c:pt idx="2">
                  <c:v>0.42217714985020038</c:v>
                </c:pt>
                <c:pt idx="3">
                  <c:v>0.50187585059977835</c:v>
                </c:pt>
                <c:pt idx="4">
                  <c:v>0.55032153162970565</c:v>
                </c:pt>
                <c:pt idx="5">
                  <c:v>0.5709997210140888</c:v>
                </c:pt>
                <c:pt idx="6">
                  <c:v>0.49032265284709803</c:v>
                </c:pt>
                <c:pt idx="7">
                  <c:v>0.2217474242652174</c:v>
                </c:pt>
                <c:pt idx="8">
                  <c:v>-6.5592056747310112E-2</c:v>
                </c:pt>
                <c:pt idx="9">
                  <c:v>-0.3767989643397654</c:v>
                </c:pt>
                <c:pt idx="10">
                  <c:v>-0.71886892768135979</c:v>
                </c:pt>
              </c:numCache>
            </c:numRef>
          </c:val>
          <c:smooth val="1"/>
        </c:ser>
        <c:ser>
          <c:idx val="9"/>
          <c:order val="9"/>
          <c:tx>
            <c:strRef>
              <c:f>Plan1!$L$38</c:f>
              <c:strCache>
                <c:ptCount val="1"/>
                <c:pt idx="0">
                  <c:v>H - 5 SM</c:v>
                </c:pt>
              </c:strCache>
            </c:strRef>
          </c:tx>
          <c:spPr>
            <a:ln w="12700">
              <a:solidFill>
                <a:schemeClr val="tx1"/>
              </a:solidFill>
              <a:prstDash val="sysDash"/>
            </a:ln>
          </c:spPr>
          <c:marker>
            <c:symbol val="star"/>
            <c:size val="4"/>
            <c:spPr>
              <a:ln>
                <a:solidFill>
                  <a:schemeClr val="tx1"/>
                </a:solidFill>
              </a:ln>
            </c:spPr>
          </c:marker>
          <c:cat>
            <c:numRef>
              <c:f>Plan1!$B$39:$B$49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Plan1!$L$39:$L$49</c:f>
              <c:numCache>
                <c:formatCode>General</c:formatCode>
                <c:ptCount val="11"/>
                <c:pt idx="0">
                  <c:v>-0.29311995496159593</c:v>
                </c:pt>
                <c:pt idx="1">
                  <c:v>-0.17737244472958436</c:v>
                </c:pt>
                <c:pt idx="2">
                  <c:v>-8.9382389198522524E-2</c:v>
                </c:pt>
                <c:pt idx="3">
                  <c:v>-2.8105420343549348E-2</c:v>
                </c:pt>
                <c:pt idx="4">
                  <c:v>4.8706630135564493E-3</c:v>
                </c:pt>
                <c:pt idx="5">
                  <c:v>-5.7041941173840982E-3</c:v>
                </c:pt>
                <c:pt idx="6">
                  <c:v>-0.26331805675728931</c:v>
                </c:pt>
                <c:pt idx="7">
                  <c:v>-0.5385468312313455</c:v>
                </c:pt>
                <c:pt idx="8">
                  <c:v>-0.83589040453335894</c:v>
                </c:pt>
                <c:pt idx="9">
                  <c:v>-1.1614044857772177</c:v>
                </c:pt>
                <c:pt idx="10">
                  <c:v>-1.5235524091398833</c:v>
                </c:pt>
              </c:numCache>
            </c:numRef>
          </c:val>
          <c:smooth val="1"/>
        </c:ser>
        <c:dLbls>
          <c:showLegendKey val="0"/>
          <c:showVal val="0"/>
          <c:showCatName val="0"/>
          <c:showSerName val="0"/>
          <c:showPercent val="0"/>
          <c:showBubbleSize val="0"/>
        </c:dLbls>
        <c:marker val="1"/>
        <c:smooth val="0"/>
        <c:axId val="140509568"/>
        <c:axId val="140511872"/>
      </c:lineChart>
      <c:catAx>
        <c:axId val="140509568"/>
        <c:scaling>
          <c:orientation val="minMax"/>
        </c:scaling>
        <c:delete val="0"/>
        <c:axPos val="b"/>
        <c:title>
          <c:tx>
            <c:rich>
              <a:bodyPr/>
              <a:lstStyle/>
              <a:p>
                <a:pPr>
                  <a:defRPr sz="1000">
                    <a:latin typeface="Times New Roman" pitchFamily="18" charset="0"/>
                    <a:cs typeface="Times New Roman" pitchFamily="18" charset="0"/>
                  </a:defRPr>
                </a:pPr>
                <a:r>
                  <a:rPr lang="pt-BR" sz="1000" b="1" i="0" baseline="0">
                    <a:latin typeface="Times New Roman" pitchFamily="18" charset="0"/>
                    <a:cs typeface="Times New Roman" pitchFamily="18" charset="0"/>
                  </a:rPr>
                  <a:t>Tempo de desaposentação (anos)</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140511872"/>
        <c:crosses val="autoZero"/>
        <c:auto val="1"/>
        <c:lblAlgn val="ctr"/>
        <c:lblOffset val="100"/>
        <c:noMultiLvlLbl val="0"/>
      </c:catAx>
      <c:valAx>
        <c:axId val="140511872"/>
        <c:scaling>
          <c:orientation val="minMax"/>
          <c:max val="4"/>
          <c:min val="-2"/>
        </c:scaling>
        <c:delete val="0"/>
        <c:axPos val="l"/>
        <c:majorGridlines/>
        <c:title>
          <c:tx>
            <c:rich>
              <a:bodyPr rot="-5400000" vert="horz"/>
              <a:lstStyle/>
              <a:p>
                <a:pPr>
                  <a:defRPr>
                    <a:latin typeface="Times New Roman" pitchFamily="18" charset="0"/>
                    <a:cs typeface="Times New Roman" pitchFamily="18" charset="0"/>
                  </a:defRPr>
                </a:pPr>
                <a:r>
                  <a:rPr lang="pt-BR">
                    <a:latin typeface="Times New Roman" pitchFamily="18" charset="0"/>
                    <a:cs typeface="Times New Roman" pitchFamily="18" charset="0"/>
                  </a:rPr>
                  <a:t>Taxa</a:t>
                </a:r>
                <a:r>
                  <a:rPr lang="pt-BR" baseline="0">
                    <a:latin typeface="Times New Roman" pitchFamily="18" charset="0"/>
                    <a:cs typeface="Times New Roman" pitchFamily="18" charset="0"/>
                  </a:rPr>
                  <a:t> Interna de Retorno ao ano (TIR), em %</a:t>
                </a:r>
                <a:endParaRPr lang="pt-BR">
                  <a:latin typeface="Times New Roman" pitchFamily="18" charset="0"/>
                  <a:cs typeface="Times New Roman" pitchFamily="18" charset="0"/>
                </a:endParaRPr>
              </a:p>
            </c:rich>
          </c:tx>
          <c:overlay val="0"/>
        </c:title>
        <c:numFmt formatCode="#,##0" sourceLinked="0"/>
        <c:majorTickMark val="out"/>
        <c:minorTickMark val="none"/>
        <c:tickLblPos val="nextTo"/>
        <c:txPr>
          <a:bodyPr/>
          <a:lstStyle/>
          <a:p>
            <a:pPr>
              <a:defRPr>
                <a:latin typeface="Times New Roman" pitchFamily="18" charset="0"/>
                <a:cs typeface="Times New Roman" pitchFamily="18" charset="0"/>
              </a:defRPr>
            </a:pPr>
            <a:endParaRPr lang="pt-BR"/>
          </a:p>
        </c:txPr>
        <c:crossAx val="140509568"/>
        <c:crosses val="autoZero"/>
        <c:crossBetween val="between"/>
      </c:valAx>
    </c:plotArea>
    <c:legend>
      <c:legendPos val="r"/>
      <c:layout>
        <c:manualLayout>
          <c:xMode val="edge"/>
          <c:yMode val="edge"/>
          <c:x val="0.79886111111111113"/>
          <c:y val="4.4727430315787672E-2"/>
          <c:w val="0.18447222222222273"/>
          <c:h val="0.88841434349880277"/>
        </c:manualLayout>
      </c:layout>
      <c:overlay val="0"/>
      <c:txPr>
        <a:bodyPr/>
        <a:lstStyle/>
        <a:p>
          <a:pPr>
            <a:defRPr>
              <a:latin typeface="Times New Roman" pitchFamily="18" charset="0"/>
              <a:cs typeface="Times New Roman" pitchFamily="18" charset="0"/>
            </a:defRPr>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Plan1!$C$21</c:f>
              <c:strCache>
                <c:ptCount val="1"/>
                <c:pt idx="0">
                  <c:v>M - 1 SM</c:v>
                </c:pt>
              </c:strCache>
            </c:strRef>
          </c:tx>
          <c:spPr>
            <a:ln w="28575">
              <a:solidFill>
                <a:srgbClr val="FF0000"/>
              </a:solidFill>
            </a:ln>
          </c:spPr>
          <c:marker>
            <c:symbol val="square"/>
            <c:size val="2"/>
            <c:spPr>
              <a:solidFill>
                <a:srgbClr val="FF0000"/>
              </a:solidFill>
              <a:ln w="28575">
                <a:solidFill>
                  <a:srgbClr val="FF000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Plan1!$C$22:$C$32</c:f>
              <c:numCache>
                <c:formatCode>0.000000</c:formatCode>
                <c:ptCount val="11"/>
                <c:pt idx="0">
                  <c:v>28.000000000000018</c:v>
                </c:pt>
                <c:pt idx="1">
                  <c:v>28.000000000000018</c:v>
                </c:pt>
                <c:pt idx="2">
                  <c:v>28.024681732706092</c:v>
                </c:pt>
                <c:pt idx="3">
                  <c:v>28.049833359444236</c:v>
                </c:pt>
                <c:pt idx="4" formatCode="General">
                  <c:v>28.073494234069337</c:v>
                </c:pt>
                <c:pt idx="5" formatCode="General">
                  <c:v>28.095792047884586</c:v>
                </c:pt>
                <c:pt idx="6" formatCode="General">
                  <c:v>28.116840314753514</c:v>
                </c:pt>
                <c:pt idx="7" formatCode="General">
                  <c:v>28.136770098938058</c:v>
                </c:pt>
                <c:pt idx="8" formatCode="General">
                  <c:v>28.155639334252886</c:v>
                </c:pt>
                <c:pt idx="9" formatCode="General">
                  <c:v>28.173529651792279</c:v>
                </c:pt>
                <c:pt idx="10" formatCode="General">
                  <c:v>28.190514515562786</c:v>
                </c:pt>
              </c:numCache>
            </c:numRef>
          </c:val>
          <c:smooth val="1"/>
        </c:ser>
        <c:ser>
          <c:idx val="1"/>
          <c:order val="1"/>
          <c:tx>
            <c:strRef>
              <c:f>Plan1!$D$21</c:f>
              <c:strCache>
                <c:ptCount val="1"/>
                <c:pt idx="0">
                  <c:v>M - 2 SM</c:v>
                </c:pt>
              </c:strCache>
            </c:strRef>
          </c:tx>
          <c:spPr>
            <a:ln w="19050">
              <a:solidFill>
                <a:srgbClr val="FFC000"/>
              </a:solidFill>
            </a:ln>
          </c:spPr>
          <c:marker>
            <c:symbol val="triangle"/>
            <c:size val="3"/>
            <c:spPr>
              <a:solidFill>
                <a:srgbClr val="FFC000"/>
              </a:solidFill>
              <a:ln w="19050">
                <a:solidFill>
                  <a:srgbClr val="FFC00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Plan1!$D$22:$D$32</c:f>
              <c:numCache>
                <c:formatCode>General</c:formatCode>
                <c:ptCount val="11"/>
                <c:pt idx="0">
                  <c:v>29.472271630571782</c:v>
                </c:pt>
                <c:pt idx="1">
                  <c:v>29.514641130056503</c:v>
                </c:pt>
                <c:pt idx="2">
                  <c:v>29.554345174426917</c:v>
                </c:pt>
                <c:pt idx="3">
                  <c:v>29.591625897842356</c:v>
                </c:pt>
                <c:pt idx="4">
                  <c:v>29.626696970256543</c:v>
                </c:pt>
                <c:pt idx="5">
                  <c:v>29.659747660705627</c:v>
                </c:pt>
                <c:pt idx="6">
                  <c:v>29.690946223871428</c:v>
                </c:pt>
                <c:pt idx="7">
                  <c:v>29.720486928321641</c:v>
                </c:pt>
                <c:pt idx="8">
                  <c:v>29.748455645818844</c:v>
                </c:pt>
                <c:pt idx="9">
                  <c:v>29.774973373158875</c:v>
                </c:pt>
                <c:pt idx="10">
                  <c:v>29.800149001561262</c:v>
                </c:pt>
              </c:numCache>
            </c:numRef>
          </c:val>
          <c:smooth val="1"/>
        </c:ser>
        <c:ser>
          <c:idx val="2"/>
          <c:order val="2"/>
          <c:tx>
            <c:strRef>
              <c:f>Plan1!$E$21</c:f>
              <c:strCache>
                <c:ptCount val="1"/>
                <c:pt idx="0">
                  <c:v>M - 3 SM</c:v>
                </c:pt>
              </c:strCache>
            </c:strRef>
          </c:tx>
          <c:spPr>
            <a:ln w="12700">
              <a:solidFill>
                <a:srgbClr val="00B050"/>
              </a:solidFill>
            </a:ln>
          </c:spPr>
          <c:marker>
            <c:symbol val="circle"/>
            <c:size val="2"/>
            <c:spPr>
              <a:solidFill>
                <a:srgbClr val="00B050"/>
              </a:solidFill>
              <a:ln>
                <a:solidFill>
                  <a:srgbClr val="00B05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Plan1!$E$22:$E$32</c:f>
              <c:numCache>
                <c:formatCode>General</c:formatCode>
                <c:ptCount val="11"/>
                <c:pt idx="0">
                  <c:v>30.847613914107122</c:v>
                </c:pt>
                <c:pt idx="1">
                  <c:v>30.851840138033388</c:v>
                </c:pt>
                <c:pt idx="2">
                  <c:v>30.855800491219782</c:v>
                </c:pt>
                <c:pt idx="3">
                  <c:v>30.859519125784768</c:v>
                </c:pt>
                <c:pt idx="4">
                  <c:v>30.863017354632387</c:v>
                </c:pt>
                <c:pt idx="5">
                  <c:v>30.866314056751929</c:v>
                </c:pt>
                <c:pt idx="6">
                  <c:v>30.869426015017186</c:v>
                </c:pt>
                <c:pt idx="7">
                  <c:v>30.872372607104989</c:v>
                </c:pt>
                <c:pt idx="8">
                  <c:v>30.871008454541794</c:v>
                </c:pt>
                <c:pt idx="9">
                  <c:v>30.865224061257678</c:v>
                </c:pt>
                <c:pt idx="10">
                  <c:v>30.855461825617191</c:v>
                </c:pt>
              </c:numCache>
            </c:numRef>
          </c:val>
          <c:smooth val="1"/>
        </c:ser>
        <c:ser>
          <c:idx val="3"/>
          <c:order val="3"/>
          <c:tx>
            <c:strRef>
              <c:f>Plan1!$F$21</c:f>
              <c:strCache>
                <c:ptCount val="1"/>
                <c:pt idx="0">
                  <c:v>M - 4 SM</c:v>
                </c:pt>
              </c:strCache>
            </c:strRef>
          </c:tx>
          <c:spPr>
            <a:ln w="12700">
              <a:solidFill>
                <a:srgbClr val="0070C0"/>
              </a:solidFill>
            </a:ln>
          </c:spPr>
          <c:marker>
            <c:symbol val="x"/>
            <c:size val="3"/>
            <c:spPr>
              <a:noFill/>
              <a:ln w="19050">
                <a:solidFill>
                  <a:srgbClr val="0070C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Plan1!$F$22:$F$32</c:f>
              <c:numCache>
                <c:formatCode>General</c:formatCode>
                <c:ptCount val="11"/>
                <c:pt idx="0">
                  <c:v>30.81304013744619</c:v>
                </c:pt>
                <c:pt idx="1">
                  <c:v>30.771832728592805</c:v>
                </c:pt>
                <c:pt idx="2">
                  <c:v>30.728329061304169</c:v>
                </c:pt>
                <c:pt idx="3">
                  <c:v>30.682856799485091</c:v>
                </c:pt>
                <c:pt idx="4">
                  <c:v>30.635702344559629</c:v>
                </c:pt>
                <c:pt idx="5">
                  <c:v>30.587116787833313</c:v>
                </c:pt>
                <c:pt idx="6">
                  <c:v>30.537320870122269</c:v>
                </c:pt>
                <c:pt idx="7">
                  <c:v>30.486146976960583</c:v>
                </c:pt>
                <c:pt idx="8">
                  <c:v>30.434151859674891</c:v>
                </c:pt>
                <c:pt idx="9">
                  <c:v>30.38148594032058</c:v>
                </c:pt>
                <c:pt idx="10">
                  <c:v>30.328282567257528</c:v>
                </c:pt>
              </c:numCache>
            </c:numRef>
          </c:val>
          <c:smooth val="1"/>
        </c:ser>
        <c:ser>
          <c:idx val="4"/>
          <c:order val="4"/>
          <c:tx>
            <c:strRef>
              <c:f>Plan1!$G$21</c:f>
              <c:strCache>
                <c:ptCount val="1"/>
                <c:pt idx="0">
                  <c:v>M - 5 SM</c:v>
                </c:pt>
              </c:strCache>
            </c:strRef>
          </c:tx>
          <c:spPr>
            <a:ln w="12700">
              <a:solidFill>
                <a:sysClr val="windowText" lastClr="000000">
                  <a:lumMod val="95000"/>
                  <a:lumOff val="5000"/>
                </a:sysClr>
              </a:solidFill>
            </a:ln>
          </c:spPr>
          <c:marker>
            <c:symbol val="star"/>
            <c:size val="3"/>
            <c:spPr>
              <a:ln>
                <a:solidFill>
                  <a:sysClr val="windowText" lastClr="000000">
                    <a:lumMod val="95000"/>
                    <a:lumOff val="5000"/>
                  </a:sysClr>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Plan1!$G$22:$G$32</c:f>
              <c:numCache>
                <c:formatCode>General</c:formatCode>
                <c:ptCount val="11"/>
                <c:pt idx="0">
                  <c:v>29.918305936611929</c:v>
                </c:pt>
                <c:pt idx="1">
                  <c:v>29.850177227636891</c:v>
                </c:pt>
                <c:pt idx="2">
                  <c:v>29.782423594141608</c:v>
                </c:pt>
                <c:pt idx="3">
                  <c:v>29.715106218201189</c:v>
                </c:pt>
                <c:pt idx="4">
                  <c:v>29.648276894574487</c:v>
                </c:pt>
                <c:pt idx="5">
                  <c:v>29.581979420439495</c:v>
                </c:pt>
                <c:pt idx="6">
                  <c:v>29.516250752561309</c:v>
                </c:pt>
                <c:pt idx="7">
                  <c:v>29.450795574350131</c:v>
                </c:pt>
                <c:pt idx="8">
                  <c:v>29.385988021214178</c:v>
                </c:pt>
                <c:pt idx="9">
                  <c:v>29.321848014602157</c:v>
                </c:pt>
                <c:pt idx="10">
                  <c:v>29.258391863519773</c:v>
                </c:pt>
              </c:numCache>
            </c:numRef>
          </c:val>
          <c:smooth val="1"/>
        </c:ser>
        <c:ser>
          <c:idx val="5"/>
          <c:order val="5"/>
          <c:tx>
            <c:strRef>
              <c:f>Plan1!$H$21</c:f>
              <c:strCache>
                <c:ptCount val="1"/>
                <c:pt idx="0">
                  <c:v>H - 1 SM</c:v>
                </c:pt>
              </c:strCache>
            </c:strRef>
          </c:tx>
          <c:spPr>
            <a:ln w="19050">
              <a:solidFill>
                <a:srgbClr val="FF0000"/>
              </a:solidFill>
              <a:prstDash val="lgDash"/>
            </a:ln>
          </c:spPr>
          <c:marker>
            <c:symbol val="square"/>
            <c:size val="3"/>
            <c:spPr>
              <a:solidFill>
                <a:srgbClr val="FF0000"/>
              </a:solidFill>
              <a:ln w="19050">
                <a:solidFill>
                  <a:srgbClr val="FF000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Plan1!$H$22:$H$32</c:f>
              <c:numCache>
                <c:formatCode>General</c:formatCode>
                <c:ptCount val="11"/>
                <c:pt idx="0">
                  <c:v>28.095792047884586</c:v>
                </c:pt>
                <c:pt idx="1">
                  <c:v>28.116840314753514</c:v>
                </c:pt>
                <c:pt idx="2">
                  <c:v>28.136770098938058</c:v>
                </c:pt>
                <c:pt idx="3">
                  <c:v>28.155639334252886</c:v>
                </c:pt>
                <c:pt idx="4">
                  <c:v>28.173529651792279</c:v>
                </c:pt>
                <c:pt idx="5">
                  <c:v>28.190514515562786</c:v>
                </c:pt>
                <c:pt idx="6">
                  <c:v>28.206660218965482</c:v>
                </c:pt>
                <c:pt idx="7">
                  <c:v>28.222026738854382</c:v>
                </c:pt>
                <c:pt idx="8">
                  <c:v>28.236668470367217</c:v>
                </c:pt>
                <c:pt idx="9">
                  <c:v>28.250634861505638</c:v>
                </c:pt>
                <c:pt idx="10">
                  <c:v>28.263970963065926</c:v>
                </c:pt>
              </c:numCache>
            </c:numRef>
          </c:val>
          <c:smooth val="1"/>
        </c:ser>
        <c:ser>
          <c:idx val="6"/>
          <c:order val="6"/>
          <c:tx>
            <c:strRef>
              <c:f>Plan1!$I$21</c:f>
              <c:strCache>
                <c:ptCount val="1"/>
                <c:pt idx="0">
                  <c:v>H - 2 SM</c:v>
                </c:pt>
              </c:strCache>
            </c:strRef>
          </c:tx>
          <c:spPr>
            <a:ln w="19050">
              <a:solidFill>
                <a:srgbClr val="FFC000"/>
              </a:solidFill>
              <a:prstDash val="sysDash"/>
            </a:ln>
          </c:spPr>
          <c:marker>
            <c:symbol val="triangle"/>
            <c:size val="3"/>
            <c:spPr>
              <a:solidFill>
                <a:srgbClr val="FFC000"/>
              </a:solidFill>
              <a:ln w="19050">
                <a:solidFill>
                  <a:srgbClr val="FFC00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Plan1!$I$22:$I$32</c:f>
              <c:numCache>
                <c:formatCode>General</c:formatCode>
                <c:ptCount val="11"/>
                <c:pt idx="0">
                  <c:v>29.659747660705627</c:v>
                </c:pt>
                <c:pt idx="1">
                  <c:v>29.690946223871428</c:v>
                </c:pt>
                <c:pt idx="2">
                  <c:v>29.720486928321641</c:v>
                </c:pt>
                <c:pt idx="3">
                  <c:v>29.748455645818844</c:v>
                </c:pt>
                <c:pt idx="4">
                  <c:v>29.774973373158875</c:v>
                </c:pt>
                <c:pt idx="5">
                  <c:v>29.800149001561262</c:v>
                </c:pt>
                <c:pt idx="6">
                  <c:v>29.824080793694382</c:v>
                </c:pt>
                <c:pt idx="7">
                  <c:v>29.84685764959319</c:v>
                </c:pt>
                <c:pt idx="8">
                  <c:v>29.86856019585543</c:v>
                </c:pt>
                <c:pt idx="9">
                  <c:v>29.889261726240122</c:v>
                </c:pt>
                <c:pt idx="10">
                  <c:v>29.909029016796829</c:v>
                </c:pt>
              </c:numCache>
            </c:numRef>
          </c:val>
          <c:smooth val="1"/>
        </c:ser>
        <c:ser>
          <c:idx val="7"/>
          <c:order val="7"/>
          <c:tx>
            <c:strRef>
              <c:f>Plan1!$J$21</c:f>
              <c:strCache>
                <c:ptCount val="1"/>
                <c:pt idx="0">
                  <c:v>H - 3 SM</c:v>
                </c:pt>
              </c:strCache>
            </c:strRef>
          </c:tx>
          <c:spPr>
            <a:ln w="12700">
              <a:solidFill>
                <a:srgbClr val="00B050"/>
              </a:solidFill>
              <a:prstDash val="dash"/>
            </a:ln>
          </c:spPr>
          <c:marker>
            <c:symbol val="circle"/>
            <c:size val="3"/>
            <c:spPr>
              <a:solidFill>
                <a:srgbClr val="00B050"/>
              </a:solidFill>
              <a:ln>
                <a:solidFill>
                  <a:srgbClr val="00B05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Plan1!$J$22:$J$32</c:f>
              <c:numCache>
                <c:formatCode>General</c:formatCode>
                <c:ptCount val="11"/>
                <c:pt idx="0">
                  <c:v>30.866314056751929</c:v>
                </c:pt>
                <c:pt idx="1">
                  <c:v>30.869426015017186</c:v>
                </c:pt>
                <c:pt idx="2">
                  <c:v>30.872372607104989</c:v>
                </c:pt>
                <c:pt idx="3">
                  <c:v>30.871008454541794</c:v>
                </c:pt>
                <c:pt idx="4">
                  <c:v>30.865224061257678</c:v>
                </c:pt>
                <c:pt idx="5">
                  <c:v>30.855461825617191</c:v>
                </c:pt>
                <c:pt idx="6">
                  <c:v>30.842118393235129</c:v>
                </c:pt>
                <c:pt idx="7">
                  <c:v>30.82555016499893</c:v>
                </c:pt>
                <c:pt idx="8">
                  <c:v>30.806078034843594</c:v>
                </c:pt>
                <c:pt idx="9">
                  <c:v>30.783991479906593</c:v>
                </c:pt>
                <c:pt idx="10">
                  <c:v>30.759552103875759</c:v>
                </c:pt>
              </c:numCache>
            </c:numRef>
          </c:val>
          <c:smooth val="1"/>
        </c:ser>
        <c:ser>
          <c:idx val="8"/>
          <c:order val="8"/>
          <c:tx>
            <c:strRef>
              <c:f>Plan1!$K$21</c:f>
              <c:strCache>
                <c:ptCount val="1"/>
                <c:pt idx="0">
                  <c:v>H - 4 SM</c:v>
                </c:pt>
              </c:strCache>
            </c:strRef>
          </c:tx>
          <c:spPr>
            <a:ln w="15875">
              <a:solidFill>
                <a:srgbClr val="0070C0"/>
              </a:solidFill>
              <a:prstDash val="sysDash"/>
            </a:ln>
          </c:spPr>
          <c:marker>
            <c:symbol val="x"/>
            <c:size val="4"/>
            <c:spPr>
              <a:noFill/>
              <a:ln w="12700">
                <a:solidFill>
                  <a:srgbClr val="0070C0"/>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Plan1!$K$22:$K$32</c:f>
              <c:numCache>
                <c:formatCode>General</c:formatCode>
                <c:ptCount val="11"/>
                <c:pt idx="0">
                  <c:v>30.587116787833313</c:v>
                </c:pt>
                <c:pt idx="1">
                  <c:v>30.537320870122269</c:v>
                </c:pt>
                <c:pt idx="2">
                  <c:v>30.486146976960583</c:v>
                </c:pt>
                <c:pt idx="3">
                  <c:v>30.434151859674891</c:v>
                </c:pt>
                <c:pt idx="4">
                  <c:v>30.38148594032058</c:v>
                </c:pt>
                <c:pt idx="5">
                  <c:v>30.328282567257528</c:v>
                </c:pt>
                <c:pt idx="6">
                  <c:v>30.274660144444191</c:v>
                </c:pt>
                <c:pt idx="7">
                  <c:v>30.220723955361617</c:v>
                </c:pt>
                <c:pt idx="8">
                  <c:v>30.166567731326289</c:v>
                </c:pt>
                <c:pt idx="9">
                  <c:v>30.112275004895931</c:v>
                </c:pt>
                <c:pt idx="10">
                  <c:v>30.057920281836946</c:v>
                </c:pt>
              </c:numCache>
            </c:numRef>
          </c:val>
          <c:smooth val="1"/>
        </c:ser>
        <c:ser>
          <c:idx val="9"/>
          <c:order val="9"/>
          <c:tx>
            <c:strRef>
              <c:f>Plan1!$L$21</c:f>
              <c:strCache>
                <c:ptCount val="1"/>
                <c:pt idx="0">
                  <c:v>H - 5 SM</c:v>
                </c:pt>
              </c:strCache>
            </c:strRef>
          </c:tx>
          <c:spPr>
            <a:ln w="12700">
              <a:solidFill>
                <a:schemeClr val="tx1"/>
              </a:solidFill>
              <a:prstDash val="sysDash"/>
            </a:ln>
          </c:spPr>
          <c:marker>
            <c:symbol val="star"/>
            <c:size val="4"/>
            <c:spPr>
              <a:ln>
                <a:solidFill>
                  <a:schemeClr val="tx1"/>
                </a:solidFill>
              </a:ln>
            </c:spPr>
          </c:marker>
          <c:cat>
            <c:numRef>
              <c:f>Plan1!$B$22:$B$32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Plan1!$L$22:$L$32</c:f>
              <c:numCache>
                <c:formatCode>General</c:formatCode>
                <c:ptCount val="11"/>
                <c:pt idx="0">
                  <c:v>29.581979420439495</c:v>
                </c:pt>
                <c:pt idx="1">
                  <c:v>29.516250752561309</c:v>
                </c:pt>
                <c:pt idx="2">
                  <c:v>29.450795574350131</c:v>
                </c:pt>
                <c:pt idx="3">
                  <c:v>29.385988021214178</c:v>
                </c:pt>
                <c:pt idx="4">
                  <c:v>29.321848014602157</c:v>
                </c:pt>
                <c:pt idx="5">
                  <c:v>29.258391863519773</c:v>
                </c:pt>
                <c:pt idx="6">
                  <c:v>29.195632742170275</c:v>
                </c:pt>
                <c:pt idx="7">
                  <c:v>29.133581098498141</c:v>
                </c:pt>
                <c:pt idx="8">
                  <c:v>29.072245004906584</c:v>
                </c:pt>
                <c:pt idx="9">
                  <c:v>29.011630460373262</c:v>
                </c:pt>
                <c:pt idx="10">
                  <c:v>28.951741651540839</c:v>
                </c:pt>
              </c:numCache>
            </c:numRef>
          </c:val>
          <c:smooth val="1"/>
        </c:ser>
        <c:dLbls>
          <c:showLegendKey val="0"/>
          <c:showVal val="0"/>
          <c:showCatName val="0"/>
          <c:showSerName val="0"/>
          <c:showPercent val="0"/>
          <c:showBubbleSize val="0"/>
        </c:dLbls>
        <c:marker val="1"/>
        <c:smooth val="0"/>
        <c:axId val="180647040"/>
        <c:axId val="180649344"/>
      </c:lineChart>
      <c:catAx>
        <c:axId val="180647040"/>
        <c:scaling>
          <c:orientation val="minMax"/>
        </c:scaling>
        <c:delete val="0"/>
        <c:axPos val="b"/>
        <c:title>
          <c:tx>
            <c:rich>
              <a:bodyPr/>
              <a:lstStyle/>
              <a:p>
                <a:pPr>
                  <a:defRPr sz="1000"/>
                </a:pPr>
                <a:r>
                  <a:rPr lang="pt-BR" sz="1000" b="1" i="0" baseline="0">
                    <a:latin typeface="Times New Roman" pitchFamily="18" charset="0"/>
                    <a:cs typeface="Times New Roman" pitchFamily="18" charset="0"/>
                  </a:rPr>
                  <a:t>Tempo de desaposentação (anos)</a:t>
                </a:r>
                <a:endParaRPr lang="pt-BR" sz="1000">
                  <a:latin typeface="Times New Roman" pitchFamily="18" charset="0"/>
                  <a:cs typeface="Times New Roman" pitchFamily="18" charset="0"/>
                </a:endParaRP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180649344"/>
        <c:crosses val="autoZero"/>
        <c:auto val="1"/>
        <c:lblAlgn val="ctr"/>
        <c:lblOffset val="100"/>
        <c:noMultiLvlLbl val="0"/>
      </c:catAx>
      <c:valAx>
        <c:axId val="180649344"/>
        <c:scaling>
          <c:orientation val="minMax"/>
          <c:max val="31"/>
          <c:min val="28"/>
        </c:scaling>
        <c:delete val="0"/>
        <c:axPos val="l"/>
        <c:majorGridlines/>
        <c:title>
          <c:tx>
            <c:rich>
              <a:bodyPr rot="-5400000" vert="horz"/>
              <a:lstStyle/>
              <a:p>
                <a:pPr>
                  <a:defRPr/>
                </a:pPr>
                <a:r>
                  <a:rPr lang="pt-BR">
                    <a:latin typeface="Times New Roman" pitchFamily="18" charset="0"/>
                    <a:cs typeface="Times New Roman" pitchFamily="18" charset="0"/>
                  </a:rPr>
                  <a:t>Alíquota</a:t>
                </a:r>
                <a:r>
                  <a:rPr lang="pt-BR" baseline="0">
                    <a:latin typeface="Times New Roman" pitchFamily="18" charset="0"/>
                    <a:cs typeface="Times New Roman" pitchFamily="18" charset="0"/>
                  </a:rPr>
                  <a:t> Efetiva (AE), em %</a:t>
                </a:r>
                <a:endParaRPr lang="pt-BR">
                  <a:latin typeface="Times New Roman" pitchFamily="18" charset="0"/>
                  <a:cs typeface="Times New Roman" pitchFamily="18" charset="0"/>
                </a:endParaRPr>
              </a:p>
            </c:rich>
          </c:tx>
          <c:layout>
            <c:manualLayout>
              <c:xMode val="edge"/>
              <c:yMode val="edge"/>
              <c:x val="1.1661809364922723E-2"/>
              <c:y val="0.20889830805584222"/>
            </c:manualLayout>
          </c:layout>
          <c:overlay val="0"/>
        </c:title>
        <c:numFmt formatCode="#,##0.0" sourceLinked="0"/>
        <c:majorTickMark val="out"/>
        <c:minorTickMark val="none"/>
        <c:tickLblPos val="nextTo"/>
        <c:txPr>
          <a:bodyPr/>
          <a:lstStyle/>
          <a:p>
            <a:pPr>
              <a:defRPr>
                <a:latin typeface="Times New Roman" pitchFamily="18" charset="0"/>
                <a:cs typeface="Times New Roman" pitchFamily="18" charset="0"/>
              </a:defRPr>
            </a:pPr>
            <a:endParaRPr lang="pt-BR"/>
          </a:p>
        </c:txPr>
        <c:crossAx val="180647040"/>
        <c:crosses val="autoZero"/>
        <c:crossBetween val="between"/>
      </c:valAx>
    </c:plotArea>
    <c:legend>
      <c:legendPos val="r"/>
      <c:layout>
        <c:manualLayout>
          <c:xMode val="edge"/>
          <c:yMode val="edge"/>
          <c:x val="0.79886111111111113"/>
          <c:y val="4.4727430315787672E-2"/>
          <c:w val="0.18447222222222273"/>
          <c:h val="0.88841434349880277"/>
        </c:manualLayout>
      </c:layout>
      <c:overlay val="0"/>
      <c:txPr>
        <a:bodyPr/>
        <a:lstStyle/>
        <a:p>
          <a:pPr>
            <a:defRPr>
              <a:latin typeface="Times New Roman" pitchFamily="18" charset="0"/>
              <a:cs typeface="Times New Roman" pitchFamily="18" charset="0"/>
            </a:defRPr>
          </a:pPr>
          <a:endParaRPr lang="pt-BR"/>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Plan1!$C$55</c:f>
              <c:strCache>
                <c:ptCount val="1"/>
                <c:pt idx="0">
                  <c:v>M - 1 SM</c:v>
                </c:pt>
              </c:strCache>
            </c:strRef>
          </c:tx>
          <c:spPr>
            <a:ln w="28575">
              <a:solidFill>
                <a:srgbClr val="FF0000"/>
              </a:solidFill>
            </a:ln>
          </c:spPr>
          <c:marker>
            <c:symbol val="square"/>
            <c:size val="2"/>
            <c:spPr>
              <a:solidFill>
                <a:srgbClr val="FF0000"/>
              </a:solidFill>
              <a:ln w="28575">
                <a:solidFill>
                  <a:srgbClr val="FF000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Plan1!$C$56:$C$66</c:f>
              <c:numCache>
                <c:formatCode>General</c:formatCode>
                <c:ptCount val="11"/>
                <c:pt idx="0">
                  <c:v>30.014647749570756</c:v>
                </c:pt>
                <c:pt idx="1">
                  <c:v>28.582879426008965</c:v>
                </c:pt>
                <c:pt idx="2">
                  <c:v>27.044338185015139</c:v>
                </c:pt>
                <c:pt idx="3">
                  <c:v>27.413268545834697</c:v>
                </c:pt>
                <c:pt idx="4">
                  <c:v>27.773765329504531</c:v>
                </c:pt>
                <c:pt idx="5">
                  <c:v>28.077853948758609</c:v>
                </c:pt>
                <c:pt idx="6">
                  <c:v>28.288241847240872</c:v>
                </c:pt>
                <c:pt idx="7">
                  <c:v>28.423433287635209</c:v>
                </c:pt>
                <c:pt idx="8">
                  <c:v>28.504122769566887</c:v>
                </c:pt>
                <c:pt idx="9">
                  <c:v>28.493633378517988</c:v>
                </c:pt>
                <c:pt idx="10">
                  <c:v>28.426859047617981</c:v>
                </c:pt>
              </c:numCache>
            </c:numRef>
          </c:val>
          <c:smooth val="1"/>
        </c:ser>
        <c:ser>
          <c:idx val="1"/>
          <c:order val="1"/>
          <c:tx>
            <c:strRef>
              <c:f>Plan1!$D$55</c:f>
              <c:strCache>
                <c:ptCount val="1"/>
                <c:pt idx="0">
                  <c:v>M - 2 SM</c:v>
                </c:pt>
              </c:strCache>
            </c:strRef>
          </c:tx>
          <c:spPr>
            <a:ln w="19050">
              <a:solidFill>
                <a:srgbClr val="FFC000"/>
              </a:solidFill>
            </a:ln>
          </c:spPr>
          <c:marker>
            <c:symbol val="triangle"/>
            <c:size val="3"/>
            <c:spPr>
              <a:solidFill>
                <a:srgbClr val="FFC000"/>
              </a:solidFill>
              <a:ln w="19050">
                <a:solidFill>
                  <a:srgbClr val="FFC00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Plan1!$D$56:$D$66</c:f>
              <c:numCache>
                <c:formatCode>General</c:formatCode>
                <c:ptCount val="11"/>
                <c:pt idx="0">
                  <c:v>25.629268357483731</c:v>
                </c:pt>
                <c:pt idx="1">
                  <c:v>26.13223313249259</c:v>
                </c:pt>
                <c:pt idx="2">
                  <c:v>26.397431394417691</c:v>
                </c:pt>
                <c:pt idx="3">
                  <c:v>26.619211818105793</c:v>
                </c:pt>
                <c:pt idx="4">
                  <c:v>26.761129478087721</c:v>
                </c:pt>
                <c:pt idx="5">
                  <c:v>26.86280628265127</c:v>
                </c:pt>
                <c:pt idx="6">
                  <c:v>26.885515735213232</c:v>
                </c:pt>
                <c:pt idx="7">
                  <c:v>26.846470651618191</c:v>
                </c:pt>
                <c:pt idx="8">
                  <c:v>26.765250872468417</c:v>
                </c:pt>
                <c:pt idx="9">
                  <c:v>26.60415546673892</c:v>
                </c:pt>
                <c:pt idx="10">
                  <c:v>26.397158547499533</c:v>
                </c:pt>
              </c:numCache>
            </c:numRef>
          </c:val>
          <c:smooth val="1"/>
        </c:ser>
        <c:ser>
          <c:idx val="2"/>
          <c:order val="2"/>
          <c:tx>
            <c:strRef>
              <c:f>Plan1!$E$55</c:f>
              <c:strCache>
                <c:ptCount val="1"/>
                <c:pt idx="0">
                  <c:v>M - 3 SM</c:v>
                </c:pt>
              </c:strCache>
            </c:strRef>
          </c:tx>
          <c:spPr>
            <a:ln w="12700">
              <a:solidFill>
                <a:srgbClr val="00B050"/>
              </a:solidFill>
            </a:ln>
          </c:spPr>
          <c:marker>
            <c:symbol val="circle"/>
            <c:size val="2"/>
            <c:spPr>
              <a:solidFill>
                <a:srgbClr val="00B050"/>
              </a:solidFill>
              <a:ln>
                <a:solidFill>
                  <a:srgbClr val="00B05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Plan1!$E$56:$E$66</c:f>
              <c:numCache>
                <c:formatCode>General</c:formatCode>
                <c:ptCount val="11"/>
                <c:pt idx="0">
                  <c:v>25.629268357483724</c:v>
                </c:pt>
                <c:pt idx="1">
                  <c:v>26.132233132492555</c:v>
                </c:pt>
                <c:pt idx="2">
                  <c:v>26.397431394417691</c:v>
                </c:pt>
                <c:pt idx="3">
                  <c:v>26.619211818105821</c:v>
                </c:pt>
                <c:pt idx="4">
                  <c:v>26.761129478087813</c:v>
                </c:pt>
                <c:pt idx="5">
                  <c:v>26.862806282651324</c:v>
                </c:pt>
                <c:pt idx="6">
                  <c:v>26.885515735213289</c:v>
                </c:pt>
                <c:pt idx="7">
                  <c:v>26.844876809515988</c:v>
                </c:pt>
                <c:pt idx="8">
                  <c:v>26.747893337848904</c:v>
                </c:pt>
                <c:pt idx="9">
                  <c:v>26.55726380920213</c:v>
                </c:pt>
                <c:pt idx="10">
                  <c:v>26.308881269942901</c:v>
                </c:pt>
              </c:numCache>
            </c:numRef>
          </c:val>
          <c:smooth val="1"/>
        </c:ser>
        <c:ser>
          <c:idx val="3"/>
          <c:order val="3"/>
          <c:tx>
            <c:strRef>
              <c:f>Plan1!$F$55</c:f>
              <c:strCache>
                <c:ptCount val="1"/>
                <c:pt idx="0">
                  <c:v>M - 4 SM</c:v>
                </c:pt>
              </c:strCache>
            </c:strRef>
          </c:tx>
          <c:spPr>
            <a:ln w="12700">
              <a:solidFill>
                <a:srgbClr val="0070C0"/>
              </a:solidFill>
            </a:ln>
          </c:spPr>
          <c:marker>
            <c:symbol val="x"/>
            <c:size val="3"/>
            <c:spPr>
              <a:noFill/>
              <a:ln w="19050">
                <a:solidFill>
                  <a:srgbClr val="0070C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Plan1!$F$56:$F$66</c:f>
              <c:numCache>
                <c:formatCode>General</c:formatCode>
                <c:ptCount val="11"/>
                <c:pt idx="0">
                  <c:v>24.881318857022656</c:v>
                </c:pt>
                <c:pt idx="1">
                  <c:v>25.225200619379716</c:v>
                </c:pt>
                <c:pt idx="2">
                  <c:v>25.335297345888133</c:v>
                </c:pt>
                <c:pt idx="3">
                  <c:v>25.396820050394737</c:v>
                </c:pt>
                <c:pt idx="4">
                  <c:v>25.381977256152048</c:v>
                </c:pt>
                <c:pt idx="5">
                  <c:v>25.323254173673742</c:v>
                </c:pt>
                <c:pt idx="6">
                  <c:v>25.190584338479972</c:v>
                </c:pt>
                <c:pt idx="7">
                  <c:v>25.000590122097993</c:v>
                </c:pt>
                <c:pt idx="8">
                  <c:v>24.767886353606944</c:v>
                </c:pt>
                <c:pt idx="9">
                  <c:v>24.304205381546247</c:v>
                </c:pt>
                <c:pt idx="10">
                  <c:v>22.565926889546979</c:v>
                </c:pt>
              </c:numCache>
            </c:numRef>
          </c:val>
          <c:smooth val="1"/>
        </c:ser>
        <c:ser>
          <c:idx val="4"/>
          <c:order val="4"/>
          <c:tx>
            <c:strRef>
              <c:f>Plan1!$G$55</c:f>
              <c:strCache>
                <c:ptCount val="1"/>
                <c:pt idx="0">
                  <c:v>M - 5 SM</c:v>
                </c:pt>
              </c:strCache>
            </c:strRef>
          </c:tx>
          <c:spPr>
            <a:ln w="12700">
              <a:solidFill>
                <a:sysClr val="windowText" lastClr="000000">
                  <a:lumMod val="95000"/>
                  <a:lumOff val="5000"/>
                </a:sysClr>
              </a:solidFill>
            </a:ln>
          </c:spPr>
          <c:marker>
            <c:symbol val="star"/>
            <c:size val="3"/>
            <c:spPr>
              <a:ln>
                <a:solidFill>
                  <a:sysClr val="windowText" lastClr="000000">
                    <a:lumMod val="95000"/>
                    <a:lumOff val="5000"/>
                  </a:sysClr>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Plan1!$G$56:$G$66</c:f>
              <c:numCache>
                <c:formatCode>General</c:formatCode>
                <c:ptCount val="11"/>
                <c:pt idx="0">
                  <c:v>21.807220321365929</c:v>
                </c:pt>
                <c:pt idx="1">
                  <c:v>21.963493786861694</c:v>
                </c:pt>
                <c:pt idx="2">
                  <c:v>21.923548825100429</c:v>
                </c:pt>
                <c:pt idx="3">
                  <c:v>21.844094039652472</c:v>
                </c:pt>
                <c:pt idx="4">
                  <c:v>21.716774396678399</c:v>
                </c:pt>
                <c:pt idx="5">
                  <c:v>21.552715900790492</c:v>
                </c:pt>
                <c:pt idx="6">
                  <c:v>21.340999306838444</c:v>
                </c:pt>
                <c:pt idx="7">
                  <c:v>21.087632667277102</c:v>
                </c:pt>
                <c:pt idx="8">
                  <c:v>20.797132117323937</c:v>
                </c:pt>
                <c:pt idx="9">
                  <c:v>19.299483444365251</c:v>
                </c:pt>
                <c:pt idx="10">
                  <c:v>17.889695880070789</c:v>
                </c:pt>
              </c:numCache>
            </c:numRef>
          </c:val>
          <c:smooth val="1"/>
        </c:ser>
        <c:ser>
          <c:idx val="5"/>
          <c:order val="5"/>
          <c:tx>
            <c:strRef>
              <c:f>Plan1!$H$55</c:f>
              <c:strCache>
                <c:ptCount val="1"/>
                <c:pt idx="0">
                  <c:v>H - 1 SM</c:v>
                </c:pt>
              </c:strCache>
            </c:strRef>
          </c:tx>
          <c:spPr>
            <a:ln w="19050">
              <a:solidFill>
                <a:srgbClr val="FF0000"/>
              </a:solidFill>
              <a:prstDash val="lgDash"/>
            </a:ln>
          </c:spPr>
          <c:marker>
            <c:symbol val="square"/>
            <c:size val="3"/>
            <c:spPr>
              <a:solidFill>
                <a:srgbClr val="FF0000"/>
              </a:solidFill>
              <a:ln w="19050">
                <a:solidFill>
                  <a:srgbClr val="FF000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Plan1!$H$56:$H$66</c:f>
              <c:numCache>
                <c:formatCode>General</c:formatCode>
                <c:ptCount val="11"/>
                <c:pt idx="0">
                  <c:v>16.304127376294968</c:v>
                </c:pt>
                <c:pt idx="1">
                  <c:v>16.635030250657209</c:v>
                </c:pt>
                <c:pt idx="2">
                  <c:v>16.702207806167877</c:v>
                </c:pt>
                <c:pt idx="3">
                  <c:v>16.672524451189886</c:v>
                </c:pt>
                <c:pt idx="4">
                  <c:v>16.522044213742923</c:v>
                </c:pt>
                <c:pt idx="5">
                  <c:v>16.270193082913899</c:v>
                </c:pt>
                <c:pt idx="6">
                  <c:v>15.890798889843223</c:v>
                </c:pt>
                <c:pt idx="7">
                  <c:v>15.390389198247254</c:v>
                </c:pt>
                <c:pt idx="8">
                  <c:v>14.770255915690448</c:v>
                </c:pt>
                <c:pt idx="9">
                  <c:v>13.950030114882535</c:v>
                </c:pt>
                <c:pt idx="10">
                  <c:v>12.929688567889775</c:v>
                </c:pt>
              </c:numCache>
            </c:numRef>
          </c:val>
          <c:smooth val="1"/>
        </c:ser>
        <c:ser>
          <c:idx val="6"/>
          <c:order val="6"/>
          <c:tx>
            <c:strRef>
              <c:f>Plan1!$I$55</c:f>
              <c:strCache>
                <c:ptCount val="1"/>
                <c:pt idx="0">
                  <c:v>H - 2 SM</c:v>
                </c:pt>
              </c:strCache>
            </c:strRef>
          </c:tx>
          <c:spPr>
            <a:ln w="19050">
              <a:solidFill>
                <a:srgbClr val="FFC000"/>
              </a:solidFill>
              <a:prstDash val="sysDash"/>
            </a:ln>
          </c:spPr>
          <c:marker>
            <c:symbol val="triangle"/>
            <c:size val="3"/>
            <c:spPr>
              <a:solidFill>
                <a:srgbClr val="FFC000"/>
              </a:solidFill>
              <a:ln w="19050">
                <a:solidFill>
                  <a:srgbClr val="FFC00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Plan1!$I$56:$I$66</c:f>
              <c:numCache>
                <c:formatCode>General</c:formatCode>
                <c:ptCount val="11"/>
                <c:pt idx="0">
                  <c:v>16.304127376294968</c:v>
                </c:pt>
                <c:pt idx="1">
                  <c:v>16.592147707091026</c:v>
                </c:pt>
                <c:pt idx="2">
                  <c:v>16.615271093711645</c:v>
                </c:pt>
                <c:pt idx="3">
                  <c:v>16.543877880177696</c:v>
                </c:pt>
                <c:pt idx="4">
                  <c:v>16.353851651510904</c:v>
                </c:pt>
                <c:pt idx="5">
                  <c:v>16.06445600689322</c:v>
                </c:pt>
                <c:pt idx="6">
                  <c:v>15.649372237961273</c:v>
                </c:pt>
                <c:pt idx="7">
                  <c:v>15.114995331458697</c:v>
                </c:pt>
                <c:pt idx="8">
                  <c:v>14.462496956187518</c:v>
                </c:pt>
                <c:pt idx="9">
                  <c:v>13.611398881585698</c:v>
                </c:pt>
                <c:pt idx="10">
                  <c:v>12.561578296333863</c:v>
                </c:pt>
              </c:numCache>
            </c:numRef>
          </c:val>
          <c:smooth val="1"/>
        </c:ser>
        <c:ser>
          <c:idx val="7"/>
          <c:order val="7"/>
          <c:tx>
            <c:strRef>
              <c:f>Plan1!$J$55</c:f>
              <c:strCache>
                <c:ptCount val="1"/>
                <c:pt idx="0">
                  <c:v>H - 3 SM</c:v>
                </c:pt>
              </c:strCache>
            </c:strRef>
          </c:tx>
          <c:spPr>
            <a:ln w="12700">
              <a:solidFill>
                <a:srgbClr val="00B050"/>
              </a:solidFill>
              <a:prstDash val="dash"/>
            </a:ln>
          </c:spPr>
          <c:marker>
            <c:symbol val="circle"/>
            <c:size val="3"/>
            <c:spPr>
              <a:solidFill>
                <a:srgbClr val="00B050"/>
              </a:solidFill>
              <a:ln>
                <a:solidFill>
                  <a:srgbClr val="00B05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Plan1!$J$56:$J$66</c:f>
              <c:numCache>
                <c:formatCode>General</c:formatCode>
                <c:ptCount val="11"/>
                <c:pt idx="0">
                  <c:v>16.304127376294993</c:v>
                </c:pt>
                <c:pt idx="1">
                  <c:v>16.592147707091026</c:v>
                </c:pt>
                <c:pt idx="2">
                  <c:v>16.614265505475107</c:v>
                </c:pt>
                <c:pt idx="3">
                  <c:v>16.534768335892895</c:v>
                </c:pt>
                <c:pt idx="4">
                  <c:v>16.330747076057186</c:v>
                </c:pt>
                <c:pt idx="5">
                  <c:v>16.023562849966758</c:v>
                </c:pt>
                <c:pt idx="6">
                  <c:v>15.589534160377882</c:v>
                </c:pt>
                <c:pt idx="7">
                  <c:v>15.037502238000986</c:v>
                </c:pt>
                <c:pt idx="8">
                  <c:v>14.338586905512306</c:v>
                </c:pt>
                <c:pt idx="9">
                  <c:v>12.790224341398718</c:v>
                </c:pt>
                <c:pt idx="10">
                  <c:v>11.329302764530548</c:v>
                </c:pt>
              </c:numCache>
            </c:numRef>
          </c:val>
          <c:smooth val="1"/>
        </c:ser>
        <c:ser>
          <c:idx val="8"/>
          <c:order val="8"/>
          <c:tx>
            <c:strRef>
              <c:f>Plan1!$K$55</c:f>
              <c:strCache>
                <c:ptCount val="1"/>
                <c:pt idx="0">
                  <c:v>H - 4 SM</c:v>
                </c:pt>
              </c:strCache>
            </c:strRef>
          </c:tx>
          <c:spPr>
            <a:ln w="15875">
              <a:solidFill>
                <a:srgbClr val="0070C0"/>
              </a:solidFill>
              <a:prstDash val="sysDash"/>
            </a:ln>
          </c:spPr>
          <c:marker>
            <c:symbol val="x"/>
            <c:size val="4"/>
            <c:spPr>
              <a:noFill/>
              <a:ln w="12700">
                <a:solidFill>
                  <a:srgbClr val="0070C0"/>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Plan1!$K$56:$K$66</c:f>
              <c:numCache>
                <c:formatCode>General</c:formatCode>
                <c:ptCount val="11"/>
                <c:pt idx="0">
                  <c:v>15.247801217355518</c:v>
                </c:pt>
                <c:pt idx="1">
                  <c:v>15.402205846169124</c:v>
                </c:pt>
                <c:pt idx="2">
                  <c:v>15.317596169857012</c:v>
                </c:pt>
                <c:pt idx="3">
                  <c:v>15.151020387242903</c:v>
                </c:pt>
                <c:pt idx="4">
                  <c:v>14.887548501706506</c:v>
                </c:pt>
                <c:pt idx="5">
                  <c:v>14.541357516155101</c:v>
                </c:pt>
                <c:pt idx="6">
                  <c:v>13.860166299884886</c:v>
                </c:pt>
                <c:pt idx="7">
                  <c:v>12.617251223621793</c:v>
                </c:pt>
                <c:pt idx="8">
                  <c:v>11.444163293204307</c:v>
                </c:pt>
                <c:pt idx="9">
                  <c:v>10.335860894838802</c:v>
                </c:pt>
                <c:pt idx="10">
                  <c:v>9.2877572237485779</c:v>
                </c:pt>
              </c:numCache>
            </c:numRef>
          </c:val>
          <c:smooth val="1"/>
        </c:ser>
        <c:ser>
          <c:idx val="9"/>
          <c:order val="9"/>
          <c:tx>
            <c:strRef>
              <c:f>Plan1!$L$55</c:f>
              <c:strCache>
                <c:ptCount val="1"/>
                <c:pt idx="0">
                  <c:v>H - 5 SM</c:v>
                </c:pt>
              </c:strCache>
            </c:strRef>
          </c:tx>
          <c:spPr>
            <a:ln w="12700">
              <a:solidFill>
                <a:schemeClr val="tx1"/>
              </a:solidFill>
              <a:prstDash val="sysDash"/>
            </a:ln>
          </c:spPr>
          <c:marker>
            <c:symbol val="star"/>
            <c:size val="4"/>
            <c:spPr>
              <a:ln>
                <a:solidFill>
                  <a:schemeClr val="tx1"/>
                </a:solidFill>
              </a:ln>
            </c:spPr>
          </c:marker>
          <c:cat>
            <c:numRef>
              <c:f>Plan1!$B$56:$B$66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Plan1!$L$56:$L$66</c:f>
              <c:numCache>
                <c:formatCode>General</c:formatCode>
                <c:ptCount val="11"/>
                <c:pt idx="0">
                  <c:v>13.086250898570587</c:v>
                </c:pt>
                <c:pt idx="1">
                  <c:v>13.12656464097593</c:v>
                </c:pt>
                <c:pt idx="2">
                  <c:v>12.965859128379854</c:v>
                </c:pt>
                <c:pt idx="3">
                  <c:v>12.738370640789402</c:v>
                </c:pt>
                <c:pt idx="4">
                  <c:v>12.440333941403418</c:v>
                </c:pt>
                <c:pt idx="5">
                  <c:v>12.029039840422072</c:v>
                </c:pt>
                <c:pt idx="6">
                  <c:v>10.950447501343339</c:v>
                </c:pt>
                <c:pt idx="7">
                  <c:v>9.9322996676695148</c:v>
                </c:pt>
                <c:pt idx="8">
                  <c:v>8.9701689364770214</c:v>
                </c:pt>
                <c:pt idx="9">
                  <c:v>8.0600354107879912</c:v>
                </c:pt>
                <c:pt idx="10">
                  <c:v>7.1982412899557691</c:v>
                </c:pt>
              </c:numCache>
            </c:numRef>
          </c:val>
          <c:smooth val="1"/>
        </c:ser>
        <c:dLbls>
          <c:showLegendKey val="0"/>
          <c:showVal val="0"/>
          <c:showCatName val="0"/>
          <c:showSerName val="0"/>
          <c:showPercent val="0"/>
          <c:showBubbleSize val="0"/>
        </c:dLbls>
        <c:marker val="1"/>
        <c:smooth val="0"/>
        <c:axId val="68008192"/>
        <c:axId val="68014848"/>
      </c:lineChart>
      <c:catAx>
        <c:axId val="68008192"/>
        <c:scaling>
          <c:orientation val="minMax"/>
        </c:scaling>
        <c:delete val="0"/>
        <c:axPos val="b"/>
        <c:title>
          <c:tx>
            <c:rich>
              <a:bodyPr/>
              <a:lstStyle/>
              <a:p>
                <a:pPr>
                  <a:defRPr>
                    <a:latin typeface="Times New Roman" pitchFamily="18" charset="0"/>
                    <a:cs typeface="Times New Roman" pitchFamily="18" charset="0"/>
                  </a:defRPr>
                </a:pPr>
                <a:r>
                  <a:rPr lang="pt-BR">
                    <a:latin typeface="Times New Roman" pitchFamily="18" charset="0"/>
                    <a:cs typeface="Times New Roman" pitchFamily="18" charset="0"/>
                  </a:rPr>
                  <a:t>Tempo de desaposentação (anos)</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68014848"/>
        <c:crosses val="autoZero"/>
        <c:auto val="1"/>
        <c:lblAlgn val="ctr"/>
        <c:lblOffset val="100"/>
        <c:noMultiLvlLbl val="0"/>
      </c:catAx>
      <c:valAx>
        <c:axId val="68014848"/>
        <c:scaling>
          <c:orientation val="minMax"/>
          <c:max val="31"/>
          <c:min val="6"/>
        </c:scaling>
        <c:delete val="0"/>
        <c:axPos val="l"/>
        <c:majorGridlines/>
        <c:title>
          <c:tx>
            <c:rich>
              <a:bodyPr rot="-5400000" vert="horz"/>
              <a:lstStyle/>
              <a:p>
                <a:pPr>
                  <a:defRPr>
                    <a:latin typeface="Times New Roman" pitchFamily="18" charset="0"/>
                    <a:cs typeface="Times New Roman" pitchFamily="18" charset="0"/>
                  </a:defRPr>
                </a:pPr>
                <a:r>
                  <a:rPr lang="pt-BR">
                    <a:latin typeface="Times New Roman" pitchFamily="18" charset="0"/>
                    <a:cs typeface="Times New Roman" pitchFamily="18" charset="0"/>
                  </a:rPr>
                  <a:t>Alíquota</a:t>
                </a:r>
                <a:r>
                  <a:rPr lang="pt-BR" baseline="0">
                    <a:latin typeface="Times New Roman" pitchFamily="18" charset="0"/>
                    <a:cs typeface="Times New Roman" pitchFamily="18" charset="0"/>
                  </a:rPr>
                  <a:t> Necessária (AN) em %</a:t>
                </a:r>
                <a:endParaRPr lang="pt-BR">
                  <a:latin typeface="Times New Roman" pitchFamily="18" charset="0"/>
                  <a:cs typeface="Times New Roman" pitchFamily="18" charset="0"/>
                </a:endParaRPr>
              </a:p>
            </c:rich>
          </c:tx>
          <c:overlay val="0"/>
        </c:title>
        <c:numFmt formatCode="#,##0" sourceLinked="0"/>
        <c:majorTickMark val="out"/>
        <c:minorTickMark val="none"/>
        <c:tickLblPos val="nextTo"/>
        <c:txPr>
          <a:bodyPr/>
          <a:lstStyle/>
          <a:p>
            <a:pPr>
              <a:defRPr>
                <a:latin typeface="Times New Roman" pitchFamily="18" charset="0"/>
                <a:cs typeface="Times New Roman" pitchFamily="18" charset="0"/>
              </a:defRPr>
            </a:pPr>
            <a:endParaRPr lang="pt-BR"/>
          </a:p>
        </c:txPr>
        <c:crossAx val="68008192"/>
        <c:crosses val="autoZero"/>
        <c:crossBetween val="between"/>
      </c:valAx>
    </c:plotArea>
    <c:legend>
      <c:legendPos val="r"/>
      <c:layout>
        <c:manualLayout>
          <c:xMode val="edge"/>
          <c:yMode val="edge"/>
          <c:x val="0.79886111111111113"/>
          <c:y val="4.4727430315787672E-2"/>
          <c:w val="0.18447222222222273"/>
          <c:h val="0.88841434349880277"/>
        </c:manualLayout>
      </c:layout>
      <c:overlay val="0"/>
      <c:txPr>
        <a:bodyPr/>
        <a:lstStyle/>
        <a:p>
          <a:pPr>
            <a:defRPr>
              <a:latin typeface="Times New Roman" pitchFamily="18" charset="0"/>
              <a:cs typeface="Times New Roman" pitchFamily="18" charset="0"/>
            </a:defRPr>
          </a:pPr>
          <a:endParaRPr lang="pt-BR"/>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Plan1!$C$72</c:f>
              <c:strCache>
                <c:ptCount val="1"/>
                <c:pt idx="0">
                  <c:v>M - 1 SM</c:v>
                </c:pt>
              </c:strCache>
            </c:strRef>
          </c:tx>
          <c:spPr>
            <a:ln w="28575">
              <a:solidFill>
                <a:srgbClr val="FF0000"/>
              </a:solidFill>
            </a:ln>
          </c:spPr>
          <c:marker>
            <c:symbol val="square"/>
            <c:size val="2"/>
            <c:spPr>
              <a:solidFill>
                <a:srgbClr val="FF0000"/>
              </a:solidFill>
              <a:ln w="28575">
                <a:solidFill>
                  <a:srgbClr val="FF000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Plan1!$C$73:$C$82</c:f>
              <c:numCache>
                <c:formatCode>General</c:formatCode>
                <c:ptCount val="10"/>
                <c:pt idx="3">
                  <c:v>60.860350279813495</c:v>
                </c:pt>
                <c:pt idx="4">
                  <c:v>37.727897216438329</c:v>
                </c:pt>
                <c:pt idx="5">
                  <c:v>30.063034204874487</c:v>
                </c:pt>
                <c:pt idx="6">
                  <c:v>25.900439164250187</c:v>
                </c:pt>
                <c:pt idx="7">
                  <c:v>23.09751242572527</c:v>
                </c:pt>
                <c:pt idx="8">
                  <c:v>21.103443184785629</c:v>
                </c:pt>
                <c:pt idx="9">
                  <c:v>19.485199301283792</c:v>
                </c:pt>
              </c:numCache>
            </c:numRef>
          </c:val>
          <c:smooth val="1"/>
        </c:ser>
        <c:ser>
          <c:idx val="1"/>
          <c:order val="1"/>
          <c:tx>
            <c:strRef>
              <c:f>Plan1!$D$72</c:f>
              <c:strCache>
                <c:ptCount val="1"/>
                <c:pt idx="0">
                  <c:v>M - 2 SM</c:v>
                </c:pt>
              </c:strCache>
            </c:strRef>
          </c:tx>
          <c:spPr>
            <a:ln w="19050">
              <a:solidFill>
                <a:srgbClr val="FFC000"/>
              </a:solidFill>
            </a:ln>
          </c:spPr>
          <c:marker>
            <c:symbol val="triangle"/>
            <c:size val="3"/>
            <c:spPr>
              <a:solidFill>
                <a:srgbClr val="FFC000"/>
              </a:solidFill>
              <a:ln w="19050">
                <a:solidFill>
                  <a:srgbClr val="FFC00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Plan1!$D$73:$D$82</c:f>
              <c:numCache>
                <c:formatCode>General</c:formatCode>
                <c:ptCount val="10"/>
                <c:pt idx="0">
                  <c:v>17.553027457309053</c:v>
                </c:pt>
                <c:pt idx="1">
                  <c:v>17.032522617427489</c:v>
                </c:pt>
                <c:pt idx="2">
                  <c:v>16.440691419464102</c:v>
                </c:pt>
                <c:pt idx="3">
                  <c:v>15.95176673134698</c:v>
                </c:pt>
                <c:pt idx="4">
                  <c:v>15.414454220332864</c:v>
                </c:pt>
                <c:pt idx="5">
                  <c:v>14.935390402448009</c:v>
                </c:pt>
                <c:pt idx="6">
                  <c:v>14.458550193609064</c:v>
                </c:pt>
                <c:pt idx="7">
                  <c:v>13.957008268544875</c:v>
                </c:pt>
                <c:pt idx="8">
                  <c:v>13.490246209923374</c:v>
                </c:pt>
                <c:pt idx="9">
                  <c:v>13.004763437990919</c:v>
                </c:pt>
              </c:numCache>
            </c:numRef>
          </c:val>
          <c:smooth val="1"/>
        </c:ser>
        <c:ser>
          <c:idx val="2"/>
          <c:order val="2"/>
          <c:tx>
            <c:strRef>
              <c:f>Plan1!$E$72</c:f>
              <c:strCache>
                <c:ptCount val="1"/>
                <c:pt idx="0">
                  <c:v>M - 3 SM</c:v>
                </c:pt>
              </c:strCache>
            </c:strRef>
          </c:tx>
          <c:spPr>
            <a:ln w="12700">
              <a:solidFill>
                <a:srgbClr val="00B050"/>
              </a:solidFill>
            </a:ln>
          </c:spPr>
          <c:marker>
            <c:symbol val="circle"/>
            <c:size val="2"/>
            <c:spPr>
              <a:solidFill>
                <a:srgbClr val="00B050"/>
              </a:solidFill>
              <a:ln>
                <a:solidFill>
                  <a:srgbClr val="00B05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Plan1!$E$73:$E$82</c:f>
              <c:numCache>
                <c:formatCode>General</c:formatCode>
                <c:ptCount val="10"/>
                <c:pt idx="0">
                  <c:v>17.553027457309668</c:v>
                </c:pt>
                <c:pt idx="1">
                  <c:v>17.032522617427528</c:v>
                </c:pt>
                <c:pt idx="2">
                  <c:v>16.440691419463924</c:v>
                </c:pt>
                <c:pt idx="3">
                  <c:v>15.951766731346726</c:v>
                </c:pt>
                <c:pt idx="4">
                  <c:v>15.4144542203328</c:v>
                </c:pt>
                <c:pt idx="5">
                  <c:v>14.935390402447974</c:v>
                </c:pt>
                <c:pt idx="6">
                  <c:v>14.461348338185459</c:v>
                </c:pt>
                <c:pt idx="7">
                  <c:v>13.990146562163027</c:v>
                </c:pt>
                <c:pt idx="8">
                  <c:v>13.572444023975507</c:v>
                </c:pt>
                <c:pt idx="9">
                  <c:v>13.146497019414054</c:v>
                </c:pt>
              </c:numCache>
            </c:numRef>
          </c:val>
          <c:smooth val="1"/>
        </c:ser>
        <c:ser>
          <c:idx val="3"/>
          <c:order val="3"/>
          <c:tx>
            <c:strRef>
              <c:f>Plan1!$F$72</c:f>
              <c:strCache>
                <c:ptCount val="1"/>
                <c:pt idx="0">
                  <c:v>M - 4 SM</c:v>
                </c:pt>
              </c:strCache>
            </c:strRef>
          </c:tx>
          <c:spPr>
            <a:ln w="12700">
              <a:solidFill>
                <a:srgbClr val="0070C0"/>
              </a:solidFill>
            </a:ln>
          </c:spPr>
          <c:marker>
            <c:symbol val="x"/>
            <c:size val="3"/>
            <c:spPr>
              <a:noFill/>
              <a:ln w="19050">
                <a:solidFill>
                  <a:srgbClr val="0070C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Plan1!$F$73:$F$82</c:f>
              <c:numCache>
                <c:formatCode>General</c:formatCode>
                <c:ptCount val="10"/>
                <c:pt idx="0">
                  <c:v>19.873301692745436</c:v>
                </c:pt>
                <c:pt idx="1">
                  <c:v>19.440746209321549</c:v>
                </c:pt>
                <c:pt idx="2">
                  <c:v>18.922138975374942</c:v>
                </c:pt>
                <c:pt idx="3">
                  <c:v>18.508242002599459</c:v>
                </c:pt>
                <c:pt idx="4">
                  <c:v>18.034458159408278</c:v>
                </c:pt>
                <c:pt idx="5">
                  <c:v>17.621002335439588</c:v>
                </c:pt>
                <c:pt idx="6">
                  <c:v>17.200366040116002</c:v>
                </c:pt>
                <c:pt idx="7">
                  <c:v>16.746317386861616</c:v>
                </c:pt>
                <c:pt idx="8">
                  <c:v>16.6678849834815</c:v>
                </c:pt>
                <c:pt idx="9">
                  <c:v>19.554054465933703</c:v>
                </c:pt>
              </c:numCache>
            </c:numRef>
          </c:val>
          <c:smooth val="1"/>
        </c:ser>
        <c:ser>
          <c:idx val="4"/>
          <c:order val="4"/>
          <c:tx>
            <c:strRef>
              <c:f>Plan1!$G$72</c:f>
              <c:strCache>
                <c:ptCount val="1"/>
                <c:pt idx="0">
                  <c:v>M - 5 SM</c:v>
                </c:pt>
              </c:strCache>
            </c:strRef>
          </c:tx>
          <c:spPr>
            <a:ln w="12700">
              <a:solidFill>
                <a:sysClr val="windowText" lastClr="000000">
                  <a:lumMod val="95000"/>
                  <a:lumOff val="5000"/>
                </a:sysClr>
              </a:solidFill>
            </a:ln>
          </c:spPr>
          <c:marker>
            <c:symbol val="star"/>
            <c:size val="3"/>
            <c:spPr>
              <a:ln>
                <a:solidFill>
                  <a:sysClr val="windowText" lastClr="000000">
                    <a:lumMod val="95000"/>
                    <a:lumOff val="5000"/>
                  </a:sysClr>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Plan1!$G$73:$G$82</c:f>
              <c:numCache>
                <c:formatCode>General</c:formatCode>
                <c:ptCount val="10"/>
                <c:pt idx="0">
                  <c:v>21.898780231779735</c:v>
                </c:pt>
                <c:pt idx="1">
                  <c:v>21.408370101561474</c:v>
                </c:pt>
                <c:pt idx="2">
                  <c:v>20.879050758976231</c:v>
                </c:pt>
                <c:pt idx="3">
                  <c:v>20.398093690953662</c:v>
                </c:pt>
                <c:pt idx="4">
                  <c:v>19.890368395716798</c:v>
                </c:pt>
                <c:pt idx="5">
                  <c:v>19.416180025966124</c:v>
                </c:pt>
                <c:pt idx="6">
                  <c:v>18.937454927013601</c:v>
                </c:pt>
                <c:pt idx="7">
                  <c:v>18.446264607628468</c:v>
                </c:pt>
                <c:pt idx="8">
                  <c:v>22.134463764853123</c:v>
                </c:pt>
                <c:pt idx="9">
                  <c:v>26.406886533500888</c:v>
                </c:pt>
              </c:numCache>
            </c:numRef>
          </c:val>
          <c:smooth val="1"/>
        </c:ser>
        <c:ser>
          <c:idx val="5"/>
          <c:order val="5"/>
          <c:tx>
            <c:strRef>
              <c:f>Plan1!$H$72</c:f>
              <c:strCache>
                <c:ptCount val="1"/>
                <c:pt idx="0">
                  <c:v>H - 1 SM</c:v>
                </c:pt>
              </c:strCache>
            </c:strRef>
          </c:tx>
          <c:spPr>
            <a:ln w="19050">
              <a:solidFill>
                <a:srgbClr val="FF0000"/>
              </a:solidFill>
              <a:prstDash val="lgDash"/>
            </a:ln>
          </c:spPr>
          <c:marker>
            <c:symbol val="square"/>
            <c:size val="3"/>
            <c:spPr>
              <a:solidFill>
                <a:srgbClr val="FF0000"/>
              </a:solidFill>
              <a:ln w="19050">
                <a:solidFill>
                  <a:srgbClr val="FF000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Plan1!$H$73:$H$82</c:f>
              <c:numCache>
                <c:formatCode>General</c:formatCode>
                <c:ptCount val="10"/>
                <c:pt idx="0">
                  <c:v>16.639305890904133</c:v>
                </c:pt>
                <c:pt idx="1">
                  <c:v>16.102296201576323</c:v>
                </c:pt>
                <c:pt idx="2">
                  <c:v>15.502372736556023</c:v>
                </c:pt>
                <c:pt idx="3">
                  <c:v>14.993187290557486</c:v>
                </c:pt>
                <c:pt idx="4">
                  <c:v>14.441734656063064</c:v>
                </c:pt>
                <c:pt idx="5">
                  <c:v>13.944308464937638</c:v>
                </c:pt>
                <c:pt idx="6">
                  <c:v>13.449084006628945</c:v>
                </c:pt>
                <c:pt idx="7">
                  <c:v>12.934868351866093</c:v>
                </c:pt>
                <c:pt idx="8">
                  <c:v>12.610865053232855</c:v>
                </c:pt>
                <c:pt idx="9">
                  <c:v>12.460632353409295</c:v>
                </c:pt>
              </c:numCache>
            </c:numRef>
          </c:val>
          <c:smooth val="1"/>
        </c:ser>
        <c:ser>
          <c:idx val="6"/>
          <c:order val="6"/>
          <c:tx>
            <c:strRef>
              <c:f>Plan1!$I$72</c:f>
              <c:strCache>
                <c:ptCount val="1"/>
                <c:pt idx="0">
                  <c:v>H - 2 SM</c:v>
                </c:pt>
              </c:strCache>
            </c:strRef>
          </c:tx>
          <c:spPr>
            <a:ln w="19050">
              <a:solidFill>
                <a:srgbClr val="FFC000"/>
              </a:solidFill>
              <a:prstDash val="sysDash"/>
            </a:ln>
          </c:spPr>
          <c:marker>
            <c:symbol val="triangle"/>
            <c:size val="3"/>
            <c:spPr>
              <a:solidFill>
                <a:srgbClr val="FFC000"/>
              </a:solidFill>
              <a:ln w="19050">
                <a:solidFill>
                  <a:srgbClr val="FFC00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Plan1!$I$73:$I$82</c:f>
              <c:numCache>
                <c:formatCode>General</c:formatCode>
                <c:ptCount val="10"/>
                <c:pt idx="0">
                  <c:v>16.639305890904133</c:v>
                </c:pt>
                <c:pt idx="1">
                  <c:v>16.102296201576323</c:v>
                </c:pt>
                <c:pt idx="2">
                  <c:v>15.502372736556023</c:v>
                </c:pt>
                <c:pt idx="3">
                  <c:v>14.993187290557486</c:v>
                </c:pt>
                <c:pt idx="4">
                  <c:v>14.441734656063064</c:v>
                </c:pt>
                <c:pt idx="5">
                  <c:v>13.944308464937638</c:v>
                </c:pt>
                <c:pt idx="6">
                  <c:v>13.449084006628945</c:v>
                </c:pt>
                <c:pt idx="7">
                  <c:v>12.934868351866093</c:v>
                </c:pt>
                <c:pt idx="8">
                  <c:v>12.610865053232855</c:v>
                </c:pt>
                <c:pt idx="9">
                  <c:v>12.460632353409295</c:v>
                </c:pt>
              </c:numCache>
            </c:numRef>
          </c:val>
          <c:smooth val="1"/>
        </c:ser>
        <c:ser>
          <c:idx val="7"/>
          <c:order val="7"/>
          <c:tx>
            <c:strRef>
              <c:f>Plan1!$J$72</c:f>
              <c:strCache>
                <c:ptCount val="1"/>
                <c:pt idx="0">
                  <c:v>H - 3 SM</c:v>
                </c:pt>
              </c:strCache>
            </c:strRef>
          </c:tx>
          <c:spPr>
            <a:ln w="12700">
              <a:solidFill>
                <a:srgbClr val="00B050"/>
              </a:solidFill>
              <a:prstDash val="dash"/>
            </a:ln>
          </c:spPr>
          <c:marker>
            <c:symbol val="circle"/>
            <c:size val="3"/>
            <c:spPr>
              <a:solidFill>
                <a:srgbClr val="00B050"/>
              </a:solidFill>
              <a:ln>
                <a:solidFill>
                  <a:srgbClr val="00B05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Plan1!$J$73:$J$82</c:f>
              <c:numCache>
                <c:formatCode>General</c:formatCode>
                <c:ptCount val="10"/>
                <c:pt idx="0">
                  <c:v>16.639305890904318</c:v>
                </c:pt>
                <c:pt idx="1">
                  <c:v>16.111292458380518</c:v>
                </c:pt>
                <c:pt idx="2">
                  <c:v>15.583583520024069</c:v>
                </c:pt>
                <c:pt idx="3">
                  <c:v>15.164333084125309</c:v>
                </c:pt>
                <c:pt idx="4">
                  <c:v>14.704936925543537</c:v>
                </c:pt>
                <c:pt idx="5">
                  <c:v>14.298648169193093</c:v>
                </c:pt>
                <c:pt idx="6">
                  <c:v>13.89072327683872</c:v>
                </c:pt>
                <c:pt idx="7">
                  <c:v>13.561488066210885</c:v>
                </c:pt>
                <c:pt idx="8">
                  <c:v>16.025593288631551</c:v>
                </c:pt>
                <c:pt idx="9">
                  <c:v>18.766423721914183</c:v>
                </c:pt>
              </c:numCache>
            </c:numRef>
          </c:val>
          <c:smooth val="1"/>
        </c:ser>
        <c:ser>
          <c:idx val="8"/>
          <c:order val="8"/>
          <c:tx>
            <c:strRef>
              <c:f>Plan1!$K$72</c:f>
              <c:strCache>
                <c:ptCount val="1"/>
                <c:pt idx="0">
                  <c:v>H - 4 SM</c:v>
                </c:pt>
              </c:strCache>
            </c:strRef>
          </c:tx>
          <c:spPr>
            <a:ln w="15875">
              <a:solidFill>
                <a:srgbClr val="0070C0"/>
              </a:solidFill>
              <a:prstDash val="sysDash"/>
            </a:ln>
          </c:spPr>
          <c:marker>
            <c:symbol val="x"/>
            <c:size val="4"/>
            <c:spPr>
              <a:noFill/>
              <a:ln w="12700">
                <a:solidFill>
                  <a:srgbClr val="0070C0"/>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Plan1!$K$73:$K$82</c:f>
              <c:numCache>
                <c:formatCode>General</c:formatCode>
                <c:ptCount val="10"/>
                <c:pt idx="0">
                  <c:v>19.398663195629577</c:v>
                </c:pt>
                <c:pt idx="1">
                  <c:v>18.908032817368568</c:v>
                </c:pt>
                <c:pt idx="2">
                  <c:v>18.346637537838152</c:v>
                </c:pt>
                <c:pt idx="3">
                  <c:v>17.870943645729024</c:v>
                </c:pt>
                <c:pt idx="4">
                  <c:v>17.346333726303289</c:v>
                </c:pt>
                <c:pt idx="5">
                  <c:v>18.259648886305918</c:v>
                </c:pt>
                <c:pt idx="6">
                  <c:v>23.052321707718388</c:v>
                </c:pt>
                <c:pt idx="7">
                  <c:v>28.820493112768826</c:v>
                </c:pt>
                <c:pt idx="8">
                  <c:v>36.011025359945144</c:v>
                </c:pt>
                <c:pt idx="9">
                  <c:v>45.470613331563477</c:v>
                </c:pt>
              </c:numCache>
            </c:numRef>
          </c:val>
          <c:smooth val="1"/>
        </c:ser>
        <c:ser>
          <c:idx val="9"/>
          <c:order val="9"/>
          <c:tx>
            <c:strRef>
              <c:f>Plan1!$L$72</c:f>
              <c:strCache>
                <c:ptCount val="1"/>
                <c:pt idx="0">
                  <c:v>H - 5 SM</c:v>
                </c:pt>
              </c:strCache>
            </c:strRef>
          </c:tx>
          <c:spPr>
            <a:ln w="12700">
              <a:solidFill>
                <a:schemeClr val="tx1"/>
              </a:solidFill>
              <a:prstDash val="sysDash"/>
            </a:ln>
          </c:spPr>
          <c:marker>
            <c:symbol val="star"/>
            <c:size val="4"/>
            <c:spPr>
              <a:ln>
                <a:solidFill>
                  <a:schemeClr val="tx1"/>
                </a:solidFill>
              </a:ln>
            </c:spPr>
          </c:marker>
          <c:cat>
            <c:numRef>
              <c:f>Plan1!$B$73:$B$82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Plan1!$L$73:$L$82</c:f>
              <c:numCache>
                <c:formatCode>General</c:formatCode>
                <c:ptCount val="10"/>
                <c:pt idx="0">
                  <c:v>20.730410647610615</c:v>
                </c:pt>
                <c:pt idx="1">
                  <c:v>20.202675324445</c:v>
                </c:pt>
                <c:pt idx="2">
                  <c:v>19.649963102989691</c:v>
                </c:pt>
                <c:pt idx="3">
                  <c:v>19.125487839628427</c:v>
                </c:pt>
                <c:pt idx="4">
                  <c:v>18.967428269022776</c:v>
                </c:pt>
                <c:pt idx="5">
                  <c:v>25.034037434281213</c:v>
                </c:pt>
                <c:pt idx="6">
                  <c:v>32.680485660095144</c:v>
                </c:pt>
                <c:pt idx="7">
                  <c:v>42.922430637639614</c:v>
                </c:pt>
                <c:pt idx="8">
                  <c:v>58.241800764573256</c:v>
                </c:pt>
                <c:pt idx="9">
                  <c:v>88.399310964505105</c:v>
                </c:pt>
              </c:numCache>
            </c:numRef>
          </c:val>
          <c:smooth val="1"/>
        </c:ser>
        <c:dLbls>
          <c:showLegendKey val="0"/>
          <c:showVal val="0"/>
          <c:showCatName val="0"/>
          <c:showSerName val="0"/>
          <c:showPercent val="0"/>
          <c:showBubbleSize val="0"/>
        </c:dLbls>
        <c:marker val="1"/>
        <c:smooth val="0"/>
        <c:axId val="76316032"/>
        <c:axId val="76322688"/>
      </c:lineChart>
      <c:catAx>
        <c:axId val="76316032"/>
        <c:scaling>
          <c:orientation val="minMax"/>
        </c:scaling>
        <c:delete val="0"/>
        <c:axPos val="b"/>
        <c:title>
          <c:tx>
            <c:rich>
              <a:bodyPr/>
              <a:lstStyle/>
              <a:p>
                <a:pPr>
                  <a:defRPr>
                    <a:latin typeface="Times New Roman" pitchFamily="18" charset="0"/>
                    <a:cs typeface="Times New Roman" pitchFamily="18" charset="0"/>
                  </a:defRPr>
                </a:pPr>
                <a:r>
                  <a:rPr lang="pt-BR">
                    <a:latin typeface="Times New Roman" pitchFamily="18" charset="0"/>
                    <a:cs typeface="Times New Roman" pitchFamily="18" charset="0"/>
                  </a:rPr>
                  <a:t>Tempo</a:t>
                </a:r>
                <a:r>
                  <a:rPr lang="pt-BR" baseline="0">
                    <a:latin typeface="Times New Roman" pitchFamily="18" charset="0"/>
                    <a:cs typeface="Times New Roman" pitchFamily="18" charset="0"/>
                  </a:rPr>
                  <a:t> de desaposentação (anos)</a:t>
                </a:r>
                <a:endParaRPr lang="pt-BR">
                  <a:latin typeface="Times New Roman" pitchFamily="18" charset="0"/>
                  <a:cs typeface="Times New Roman" pitchFamily="18" charset="0"/>
                </a:endParaRP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76322688"/>
        <c:crosses val="autoZero"/>
        <c:auto val="1"/>
        <c:lblAlgn val="ctr"/>
        <c:lblOffset val="100"/>
        <c:noMultiLvlLbl val="0"/>
      </c:catAx>
      <c:valAx>
        <c:axId val="76322688"/>
        <c:scaling>
          <c:orientation val="minMax"/>
          <c:max val="100"/>
          <c:min val="0"/>
        </c:scaling>
        <c:delete val="0"/>
        <c:axPos val="l"/>
        <c:majorGridlines/>
        <c:title>
          <c:tx>
            <c:rich>
              <a:bodyPr rot="-5400000" vert="horz"/>
              <a:lstStyle/>
              <a:p>
                <a:pPr>
                  <a:defRPr>
                    <a:latin typeface="Times New Roman" pitchFamily="18" charset="0"/>
                    <a:cs typeface="Times New Roman" pitchFamily="18" charset="0"/>
                  </a:defRPr>
                </a:pPr>
                <a:r>
                  <a:rPr lang="pt-BR">
                    <a:latin typeface="Times New Roman" pitchFamily="18" charset="0"/>
                    <a:cs typeface="Times New Roman" pitchFamily="18" charset="0"/>
                  </a:rPr>
                  <a:t>Tempo</a:t>
                </a:r>
                <a:r>
                  <a:rPr lang="pt-BR" baseline="0">
                    <a:latin typeface="Times New Roman" pitchFamily="18" charset="0"/>
                    <a:cs typeface="Times New Roman" pitchFamily="18" charset="0"/>
                  </a:rPr>
                  <a:t> para retorno (anos)</a:t>
                </a:r>
                <a:endParaRPr lang="pt-BR">
                  <a:latin typeface="Times New Roman" pitchFamily="18" charset="0"/>
                  <a:cs typeface="Times New Roman" pitchFamily="18" charset="0"/>
                </a:endParaRPr>
              </a:p>
            </c:rich>
          </c:tx>
          <c:layout>
            <c:manualLayout>
              <c:xMode val="edge"/>
              <c:yMode val="edge"/>
              <c:x val="1.7492714047383985E-2"/>
              <c:y val="0.17139732571449381"/>
            </c:manualLayout>
          </c:layout>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76316032"/>
        <c:crosses val="autoZero"/>
        <c:crossBetween val="between"/>
      </c:valAx>
    </c:plotArea>
    <c:legend>
      <c:legendPos val="r"/>
      <c:layout>
        <c:manualLayout>
          <c:xMode val="edge"/>
          <c:yMode val="edge"/>
          <c:x val="0.79886111111111113"/>
          <c:y val="4.4727430315787672E-2"/>
          <c:w val="0.18447222222222273"/>
          <c:h val="0.88841434349880277"/>
        </c:manualLayout>
      </c:layout>
      <c:overlay val="0"/>
      <c:txPr>
        <a:bodyPr/>
        <a:lstStyle/>
        <a:p>
          <a:pPr>
            <a:defRPr>
              <a:latin typeface="Times New Roman" pitchFamily="18" charset="0"/>
              <a:cs typeface="Times New Roman"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A95689-BCFD-46BE-A11A-A55584BF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8609</Words>
  <Characters>46494</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2013-07-22T02:01:00Z</dcterms:created>
  <dcterms:modified xsi:type="dcterms:W3CDTF">2013-07-22T23:55:00Z</dcterms:modified>
</cp:coreProperties>
</file>