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A976E" w14:textId="77777777" w:rsidR="00726964" w:rsidRPr="00726964" w:rsidRDefault="00BC156B" w:rsidP="00726964">
      <w:pPr>
        <w:spacing w:line="240" w:lineRule="auto"/>
        <w:jc w:val="center"/>
        <w:rPr>
          <w:rFonts w:ascii="Times New Roman" w:hAnsi="Times New Roman" w:cs="Times New Roman"/>
          <w:b/>
          <w:bCs/>
          <w:sz w:val="28"/>
          <w:szCs w:val="28"/>
        </w:rPr>
      </w:pPr>
      <w:r w:rsidRPr="00726964">
        <w:rPr>
          <w:rFonts w:ascii="Times New Roman" w:hAnsi="Times New Roman" w:cs="Times New Roman"/>
          <w:b/>
          <w:bCs/>
          <w:sz w:val="28"/>
          <w:szCs w:val="28"/>
        </w:rPr>
        <w:t xml:space="preserve"> </w:t>
      </w:r>
      <w:r w:rsidR="00AB63BF" w:rsidRPr="00726964">
        <w:rPr>
          <w:rFonts w:ascii="Times New Roman" w:hAnsi="Times New Roman" w:cs="Times New Roman"/>
          <w:b/>
          <w:bCs/>
          <w:sz w:val="28"/>
          <w:szCs w:val="28"/>
        </w:rPr>
        <w:t xml:space="preserve"> </w:t>
      </w:r>
      <w:r w:rsidR="000913E5" w:rsidRPr="00726964">
        <w:rPr>
          <w:rFonts w:ascii="Times New Roman" w:hAnsi="Times New Roman" w:cs="Times New Roman"/>
          <w:b/>
          <w:bCs/>
          <w:sz w:val="28"/>
          <w:szCs w:val="28"/>
        </w:rPr>
        <w:t xml:space="preserve">Uma análise exploratória dos efeitos </w:t>
      </w:r>
      <w:r w:rsidR="00415468" w:rsidRPr="00726964">
        <w:rPr>
          <w:rFonts w:ascii="Times New Roman" w:hAnsi="Times New Roman" w:cs="Times New Roman"/>
          <w:b/>
          <w:bCs/>
          <w:sz w:val="28"/>
          <w:szCs w:val="28"/>
        </w:rPr>
        <w:t>da política de formalização dos</w:t>
      </w:r>
      <w:r w:rsidR="009F41AB" w:rsidRPr="00726964">
        <w:rPr>
          <w:rFonts w:ascii="Times New Roman" w:hAnsi="Times New Roman" w:cs="Times New Roman"/>
          <w:b/>
          <w:bCs/>
          <w:sz w:val="28"/>
          <w:szCs w:val="28"/>
        </w:rPr>
        <w:t xml:space="preserve"> </w:t>
      </w:r>
      <w:r w:rsidR="00415468" w:rsidRPr="00726964">
        <w:rPr>
          <w:rFonts w:ascii="Times New Roman" w:hAnsi="Times New Roman" w:cs="Times New Roman"/>
          <w:b/>
          <w:bCs/>
          <w:sz w:val="28"/>
          <w:szCs w:val="28"/>
        </w:rPr>
        <w:t>Microe</w:t>
      </w:r>
      <w:r w:rsidR="009F41AB" w:rsidRPr="00726964">
        <w:rPr>
          <w:rFonts w:ascii="Times New Roman" w:hAnsi="Times New Roman" w:cs="Times New Roman"/>
          <w:b/>
          <w:bCs/>
          <w:sz w:val="28"/>
          <w:szCs w:val="28"/>
        </w:rPr>
        <w:t>mpreendedor</w:t>
      </w:r>
      <w:r w:rsidR="00415468" w:rsidRPr="00726964">
        <w:rPr>
          <w:rFonts w:ascii="Times New Roman" w:hAnsi="Times New Roman" w:cs="Times New Roman"/>
          <w:b/>
          <w:bCs/>
          <w:sz w:val="28"/>
          <w:szCs w:val="28"/>
        </w:rPr>
        <w:t>es</w:t>
      </w:r>
      <w:r w:rsidR="009F41AB" w:rsidRPr="00726964">
        <w:rPr>
          <w:rFonts w:ascii="Times New Roman" w:hAnsi="Times New Roman" w:cs="Times New Roman"/>
          <w:b/>
          <w:bCs/>
          <w:sz w:val="28"/>
          <w:szCs w:val="28"/>
        </w:rPr>
        <w:t xml:space="preserve"> Individua</w:t>
      </w:r>
      <w:r w:rsidR="00415468" w:rsidRPr="00726964">
        <w:rPr>
          <w:rFonts w:ascii="Times New Roman" w:hAnsi="Times New Roman" w:cs="Times New Roman"/>
          <w:b/>
          <w:bCs/>
          <w:sz w:val="28"/>
          <w:szCs w:val="28"/>
        </w:rPr>
        <w:t>is</w:t>
      </w:r>
      <w:r w:rsidR="002A6FE6" w:rsidRPr="00726964">
        <w:rPr>
          <w:rStyle w:val="FootnoteReference"/>
          <w:rFonts w:ascii="Times New Roman" w:hAnsi="Times New Roman" w:cs="Times New Roman"/>
          <w:b/>
          <w:bCs/>
          <w:sz w:val="28"/>
          <w:szCs w:val="28"/>
        </w:rPr>
        <w:footnoteReference w:id="1"/>
      </w:r>
      <w:r w:rsidR="009F41AB" w:rsidRPr="00726964">
        <w:rPr>
          <w:rFonts w:ascii="Times New Roman" w:hAnsi="Times New Roman" w:cs="Times New Roman"/>
          <w:b/>
          <w:bCs/>
          <w:sz w:val="28"/>
          <w:szCs w:val="28"/>
        </w:rPr>
        <w:t xml:space="preserve"> </w:t>
      </w:r>
    </w:p>
    <w:p w14:paraId="5AC05EF4" w14:textId="77777777" w:rsidR="002A6FE6" w:rsidRPr="00726964" w:rsidRDefault="002A6FE6" w:rsidP="00726964">
      <w:pPr>
        <w:spacing w:line="240" w:lineRule="auto"/>
        <w:rPr>
          <w:rFonts w:ascii="Times New Roman" w:hAnsi="Times New Roman" w:cs="Times New Roman"/>
          <w:b/>
          <w:bCs/>
          <w:sz w:val="24"/>
          <w:szCs w:val="24"/>
        </w:rPr>
      </w:pPr>
    </w:p>
    <w:p w14:paraId="2107AA8F" w14:textId="77777777" w:rsidR="00AD4F5C" w:rsidRPr="00726964" w:rsidRDefault="002A6FE6" w:rsidP="00726964">
      <w:pPr>
        <w:spacing w:line="240" w:lineRule="auto"/>
        <w:jc w:val="center"/>
        <w:rPr>
          <w:rFonts w:ascii="Times New Roman" w:hAnsi="Times New Roman" w:cs="Times New Roman"/>
          <w:b/>
          <w:bCs/>
          <w:sz w:val="24"/>
          <w:szCs w:val="24"/>
        </w:rPr>
      </w:pPr>
      <w:r w:rsidRPr="00726964">
        <w:rPr>
          <w:rFonts w:ascii="Times New Roman" w:hAnsi="Times New Roman" w:cs="Times New Roman"/>
          <w:b/>
          <w:bCs/>
          <w:sz w:val="24"/>
          <w:szCs w:val="24"/>
        </w:rPr>
        <w:t>Carlos Henrique L. Corseuil</w:t>
      </w:r>
      <w:r w:rsidR="001C1CBF" w:rsidRPr="00726964">
        <w:rPr>
          <w:rFonts w:ascii="Times New Roman" w:hAnsi="Times New Roman" w:cs="Times New Roman"/>
          <w:b/>
          <w:bCs/>
          <w:sz w:val="24"/>
          <w:szCs w:val="24"/>
        </w:rPr>
        <w:t xml:space="preserve"> </w:t>
      </w:r>
      <w:r w:rsidRPr="00726964">
        <w:rPr>
          <w:rFonts w:ascii="Times New Roman" w:hAnsi="Times New Roman" w:cs="Times New Roman"/>
          <w:b/>
          <w:bCs/>
          <w:sz w:val="24"/>
          <w:szCs w:val="24"/>
        </w:rPr>
        <w:t>(IPEA)</w:t>
      </w:r>
      <w:r w:rsidR="001C1CBF" w:rsidRPr="00726964">
        <w:rPr>
          <w:rFonts w:ascii="Times New Roman" w:hAnsi="Times New Roman" w:cs="Times New Roman"/>
          <w:b/>
          <w:bCs/>
          <w:sz w:val="24"/>
          <w:szCs w:val="24"/>
        </w:rPr>
        <w:t xml:space="preserve">    </w:t>
      </w:r>
    </w:p>
    <w:p w14:paraId="3E26E35A" w14:textId="77777777" w:rsidR="00AD4F5C" w:rsidRPr="00726964" w:rsidRDefault="002A6FE6" w:rsidP="00726964">
      <w:pPr>
        <w:spacing w:line="240" w:lineRule="auto"/>
        <w:jc w:val="center"/>
        <w:rPr>
          <w:rFonts w:ascii="Times New Roman" w:hAnsi="Times New Roman" w:cs="Times New Roman"/>
          <w:b/>
          <w:bCs/>
          <w:sz w:val="24"/>
          <w:szCs w:val="24"/>
        </w:rPr>
      </w:pPr>
      <w:r w:rsidRPr="00726964">
        <w:rPr>
          <w:rFonts w:ascii="Times New Roman" w:hAnsi="Times New Roman" w:cs="Times New Roman"/>
          <w:b/>
          <w:bCs/>
          <w:sz w:val="24"/>
          <w:szCs w:val="24"/>
        </w:rPr>
        <w:t>Marcelo C. Neri</w:t>
      </w:r>
      <w:r w:rsidR="001C1CBF" w:rsidRPr="00726964">
        <w:rPr>
          <w:rFonts w:ascii="Times New Roman" w:hAnsi="Times New Roman" w:cs="Times New Roman"/>
          <w:b/>
          <w:bCs/>
          <w:sz w:val="24"/>
          <w:szCs w:val="24"/>
        </w:rPr>
        <w:t xml:space="preserve"> </w:t>
      </w:r>
      <w:r w:rsidRPr="00726964">
        <w:rPr>
          <w:rFonts w:ascii="Times New Roman" w:hAnsi="Times New Roman" w:cs="Times New Roman"/>
          <w:b/>
          <w:bCs/>
          <w:sz w:val="24"/>
          <w:szCs w:val="24"/>
        </w:rPr>
        <w:t>(IPEA)</w:t>
      </w:r>
      <w:r w:rsidR="001C1CBF" w:rsidRPr="00726964">
        <w:rPr>
          <w:rFonts w:ascii="Times New Roman" w:hAnsi="Times New Roman" w:cs="Times New Roman"/>
          <w:b/>
          <w:bCs/>
          <w:sz w:val="24"/>
          <w:szCs w:val="24"/>
        </w:rPr>
        <w:t xml:space="preserve"> </w:t>
      </w:r>
    </w:p>
    <w:p w14:paraId="74ECBE65" w14:textId="77777777" w:rsidR="002A6FE6" w:rsidRPr="00726964" w:rsidRDefault="002A6FE6" w:rsidP="00726964">
      <w:pPr>
        <w:spacing w:line="240" w:lineRule="auto"/>
        <w:jc w:val="center"/>
        <w:rPr>
          <w:rFonts w:ascii="Times New Roman" w:hAnsi="Times New Roman" w:cs="Times New Roman"/>
          <w:b/>
          <w:bCs/>
          <w:sz w:val="24"/>
          <w:szCs w:val="24"/>
        </w:rPr>
      </w:pPr>
      <w:r w:rsidRPr="00726964">
        <w:rPr>
          <w:rFonts w:ascii="Times New Roman" w:hAnsi="Times New Roman" w:cs="Times New Roman"/>
          <w:b/>
          <w:bCs/>
          <w:sz w:val="24"/>
          <w:szCs w:val="24"/>
        </w:rPr>
        <w:t>Gabriel Ulyssea</w:t>
      </w:r>
      <w:r w:rsidR="001C1CBF" w:rsidRPr="00726964">
        <w:rPr>
          <w:rFonts w:ascii="Times New Roman" w:hAnsi="Times New Roman" w:cs="Times New Roman"/>
          <w:b/>
          <w:bCs/>
          <w:sz w:val="24"/>
          <w:szCs w:val="24"/>
        </w:rPr>
        <w:t xml:space="preserve"> </w:t>
      </w:r>
      <w:r w:rsidRPr="00726964">
        <w:rPr>
          <w:rFonts w:ascii="Times New Roman" w:hAnsi="Times New Roman" w:cs="Times New Roman"/>
          <w:b/>
          <w:bCs/>
          <w:sz w:val="24"/>
          <w:szCs w:val="24"/>
        </w:rPr>
        <w:t>(IPEA)</w:t>
      </w:r>
    </w:p>
    <w:p w14:paraId="39512C91" w14:textId="77777777" w:rsidR="00726964" w:rsidRPr="00726964" w:rsidRDefault="00726964" w:rsidP="00726964">
      <w:pPr>
        <w:spacing w:line="240" w:lineRule="auto"/>
        <w:jc w:val="center"/>
        <w:rPr>
          <w:rFonts w:ascii="Times New Roman" w:hAnsi="Times New Roman" w:cs="Times New Roman"/>
          <w:b/>
          <w:bCs/>
          <w:sz w:val="24"/>
          <w:szCs w:val="24"/>
        </w:rPr>
      </w:pPr>
    </w:p>
    <w:p w14:paraId="7A278486" w14:textId="77777777" w:rsidR="002A6FE6" w:rsidRPr="00726964" w:rsidRDefault="002A6FE6" w:rsidP="00726964">
      <w:pPr>
        <w:spacing w:line="240" w:lineRule="auto"/>
        <w:jc w:val="center"/>
        <w:rPr>
          <w:rFonts w:ascii="Times New Roman" w:hAnsi="Times New Roman" w:cs="Times New Roman"/>
          <w:b/>
          <w:bCs/>
          <w:sz w:val="24"/>
          <w:szCs w:val="24"/>
        </w:rPr>
      </w:pPr>
      <w:r w:rsidRPr="00726964">
        <w:rPr>
          <w:rFonts w:ascii="Times New Roman" w:hAnsi="Times New Roman" w:cs="Times New Roman"/>
          <w:b/>
          <w:bCs/>
          <w:sz w:val="24"/>
          <w:szCs w:val="24"/>
        </w:rPr>
        <w:t>Resumo</w:t>
      </w:r>
    </w:p>
    <w:p w14:paraId="5913FE51" w14:textId="77777777" w:rsidR="002A6FE6" w:rsidRPr="00726964" w:rsidRDefault="0068718B">
      <w:pPr>
        <w:spacing w:after="0" w:line="240" w:lineRule="auto"/>
        <w:jc w:val="both"/>
        <w:rPr>
          <w:rFonts w:ascii="Times New Roman" w:hAnsi="Times New Roman" w:cs="Times New Roman"/>
          <w:b/>
          <w:bCs/>
          <w:sz w:val="24"/>
          <w:szCs w:val="24"/>
        </w:rPr>
      </w:pPr>
      <w:r w:rsidRPr="00726964">
        <w:rPr>
          <w:rFonts w:ascii="Times New Roman" w:hAnsi="Times New Roman" w:cs="Times New Roman"/>
          <w:sz w:val="24"/>
          <w:szCs w:val="24"/>
        </w:rPr>
        <w:t>Este artigo apresenta uma análise exploratória dos potenciais impactos da Lei do Empreendedor Individual</w:t>
      </w:r>
      <w:r w:rsidR="001C1CBF" w:rsidRPr="00726964">
        <w:rPr>
          <w:rFonts w:ascii="Times New Roman" w:hAnsi="Times New Roman" w:cs="Times New Roman"/>
          <w:sz w:val="24"/>
          <w:szCs w:val="24"/>
        </w:rPr>
        <w:t xml:space="preserve"> (MEI)</w:t>
      </w:r>
      <w:r w:rsidRPr="00726964">
        <w:rPr>
          <w:rFonts w:ascii="Times New Roman" w:hAnsi="Times New Roman" w:cs="Times New Roman"/>
          <w:sz w:val="24"/>
          <w:szCs w:val="24"/>
        </w:rPr>
        <w:t xml:space="preserve">. </w:t>
      </w:r>
      <w:r w:rsidR="00152031" w:rsidRPr="00726964">
        <w:rPr>
          <w:rFonts w:ascii="Times New Roman" w:hAnsi="Times New Roman" w:cs="Times New Roman"/>
          <w:sz w:val="24"/>
          <w:szCs w:val="24"/>
        </w:rPr>
        <w:t>O objetivo é trazer evidências que contribua</w:t>
      </w:r>
      <w:r w:rsidR="003969E2" w:rsidRPr="00726964">
        <w:rPr>
          <w:rFonts w:ascii="Times New Roman" w:hAnsi="Times New Roman" w:cs="Times New Roman"/>
          <w:sz w:val="24"/>
          <w:szCs w:val="24"/>
        </w:rPr>
        <w:t>m</w:t>
      </w:r>
      <w:r w:rsidR="00152031" w:rsidRPr="00726964">
        <w:rPr>
          <w:rFonts w:ascii="Times New Roman" w:hAnsi="Times New Roman" w:cs="Times New Roman"/>
          <w:sz w:val="24"/>
          <w:szCs w:val="24"/>
        </w:rPr>
        <w:t xml:space="preserve"> para esclarecer, ainda que parcialmente, as seguintes indagações: i) a política do MEI teve êxito em promover o </w:t>
      </w:r>
      <w:r w:rsidR="00F02F12" w:rsidRPr="00726964">
        <w:rPr>
          <w:rFonts w:ascii="Times New Roman" w:hAnsi="Times New Roman" w:cs="Times New Roman"/>
          <w:sz w:val="24"/>
          <w:szCs w:val="24"/>
        </w:rPr>
        <w:t>micro empreendedorismo</w:t>
      </w:r>
      <w:r w:rsidR="00152031" w:rsidRPr="00726964">
        <w:rPr>
          <w:rFonts w:ascii="Times New Roman" w:hAnsi="Times New Roman" w:cs="Times New Roman"/>
          <w:sz w:val="24"/>
          <w:szCs w:val="24"/>
        </w:rPr>
        <w:t xml:space="preserve"> no Brasil? </w:t>
      </w:r>
      <w:proofErr w:type="spellStart"/>
      <w:r w:rsidR="00152031" w:rsidRPr="00726964">
        <w:rPr>
          <w:rFonts w:ascii="Times New Roman" w:hAnsi="Times New Roman" w:cs="Times New Roman"/>
          <w:sz w:val="24"/>
          <w:szCs w:val="24"/>
        </w:rPr>
        <w:t>ii</w:t>
      </w:r>
      <w:proofErr w:type="spellEnd"/>
      <w:r w:rsidR="00152031" w:rsidRPr="00726964">
        <w:rPr>
          <w:rFonts w:ascii="Times New Roman" w:hAnsi="Times New Roman" w:cs="Times New Roman"/>
          <w:sz w:val="24"/>
          <w:szCs w:val="24"/>
        </w:rPr>
        <w:t>) a política do MEI teve êxito em promover a formalização dos empreendedores</w:t>
      </w:r>
      <w:r w:rsidR="00FD286C" w:rsidRPr="00726964">
        <w:rPr>
          <w:rFonts w:ascii="Times New Roman" w:hAnsi="Times New Roman" w:cs="Times New Roman"/>
          <w:sz w:val="24"/>
          <w:szCs w:val="24"/>
        </w:rPr>
        <w:t xml:space="preserve"> individuais</w:t>
      </w:r>
      <w:r w:rsidR="00152031" w:rsidRPr="00726964">
        <w:rPr>
          <w:rFonts w:ascii="Times New Roman" w:hAnsi="Times New Roman" w:cs="Times New Roman"/>
          <w:sz w:val="24"/>
          <w:szCs w:val="24"/>
        </w:rPr>
        <w:t xml:space="preserve">? </w:t>
      </w:r>
      <w:r w:rsidR="00F02F12" w:rsidRPr="00726964">
        <w:rPr>
          <w:rFonts w:ascii="Times New Roman" w:hAnsi="Times New Roman" w:cs="Times New Roman"/>
          <w:sz w:val="24"/>
          <w:szCs w:val="24"/>
        </w:rPr>
        <w:t>Em relação à promoção do micro empreendedorismo há evidências de que a política pode ter atingido esse objetivo. Cabe destacar</w:t>
      </w:r>
      <w:r w:rsidR="003969E2" w:rsidRPr="00726964">
        <w:rPr>
          <w:rFonts w:ascii="Times New Roman" w:hAnsi="Times New Roman" w:cs="Times New Roman"/>
          <w:sz w:val="24"/>
          <w:szCs w:val="24"/>
        </w:rPr>
        <w:t>,</w:t>
      </w:r>
      <w:r w:rsidR="00F02F12" w:rsidRPr="00726964">
        <w:rPr>
          <w:rFonts w:ascii="Times New Roman" w:hAnsi="Times New Roman" w:cs="Times New Roman"/>
          <w:sz w:val="24"/>
          <w:szCs w:val="24"/>
        </w:rPr>
        <w:t xml:space="preserve"> no entanto</w:t>
      </w:r>
      <w:r w:rsidR="003969E2" w:rsidRPr="00726964">
        <w:rPr>
          <w:rFonts w:ascii="Times New Roman" w:hAnsi="Times New Roman" w:cs="Times New Roman"/>
          <w:sz w:val="24"/>
          <w:szCs w:val="24"/>
        </w:rPr>
        <w:t>,</w:t>
      </w:r>
      <w:r w:rsidR="00F02F12" w:rsidRPr="00726964">
        <w:rPr>
          <w:rFonts w:ascii="Times New Roman" w:hAnsi="Times New Roman" w:cs="Times New Roman"/>
          <w:sz w:val="24"/>
          <w:szCs w:val="24"/>
        </w:rPr>
        <w:t xml:space="preserve"> que nossas evidências são compatíveis com empresários maiores reduzindo a escala para se enquadrar no programa como também com a possibilidade de </w:t>
      </w:r>
      <w:r w:rsidR="003969E2" w:rsidRPr="00726964">
        <w:rPr>
          <w:rFonts w:ascii="Times New Roman" w:hAnsi="Times New Roman" w:cs="Times New Roman"/>
          <w:sz w:val="24"/>
          <w:szCs w:val="24"/>
        </w:rPr>
        <w:t xml:space="preserve">que </w:t>
      </w:r>
      <w:r w:rsidR="00F02F12" w:rsidRPr="00726964">
        <w:rPr>
          <w:rFonts w:ascii="Times New Roman" w:hAnsi="Times New Roman" w:cs="Times New Roman"/>
          <w:bCs/>
          <w:sz w:val="24"/>
          <w:szCs w:val="24"/>
        </w:rPr>
        <w:t xml:space="preserve">algumas empresas (em particular as menores) podem estar usando o MEI para trocar uma relação de trabalho assalariado por uma de prestação de serviços. </w:t>
      </w:r>
      <w:r w:rsidR="00F02F12" w:rsidRPr="00726964">
        <w:rPr>
          <w:rFonts w:ascii="Times New Roman" w:hAnsi="Times New Roman" w:cs="Times New Roman"/>
          <w:sz w:val="24"/>
          <w:szCs w:val="24"/>
        </w:rPr>
        <w:t>Já a</w:t>
      </w:r>
      <w:r w:rsidR="00FD286C" w:rsidRPr="00726964">
        <w:rPr>
          <w:rFonts w:ascii="Times New Roman" w:hAnsi="Times New Roman" w:cs="Times New Roman"/>
          <w:sz w:val="24"/>
          <w:szCs w:val="24"/>
        </w:rPr>
        <w:t xml:space="preserve"> formalização dos empreendedores individuais parece ter sido afetada positivamente pela política no que diz respeito </w:t>
      </w:r>
      <w:r w:rsidR="00F02F12" w:rsidRPr="00726964">
        <w:rPr>
          <w:rFonts w:ascii="Times New Roman" w:hAnsi="Times New Roman" w:cs="Times New Roman"/>
          <w:sz w:val="24"/>
          <w:szCs w:val="24"/>
        </w:rPr>
        <w:t>à</w:t>
      </w:r>
      <w:r w:rsidR="00FD286C" w:rsidRPr="00726964">
        <w:rPr>
          <w:rFonts w:ascii="Times New Roman" w:hAnsi="Times New Roman" w:cs="Times New Roman"/>
          <w:sz w:val="24"/>
          <w:szCs w:val="24"/>
        </w:rPr>
        <w:t xml:space="preserve"> contribuição </w:t>
      </w:r>
      <w:r w:rsidR="00F02F12" w:rsidRPr="00726964">
        <w:rPr>
          <w:rFonts w:ascii="Times New Roman" w:hAnsi="Times New Roman" w:cs="Times New Roman"/>
          <w:sz w:val="24"/>
          <w:szCs w:val="24"/>
        </w:rPr>
        <w:t>para a</w:t>
      </w:r>
      <w:r w:rsidR="00FD286C" w:rsidRPr="00726964">
        <w:rPr>
          <w:rFonts w:ascii="Times New Roman" w:hAnsi="Times New Roman" w:cs="Times New Roman"/>
          <w:sz w:val="24"/>
          <w:szCs w:val="24"/>
        </w:rPr>
        <w:t xml:space="preserve"> previdência mas não a posse do CNPJ. </w:t>
      </w:r>
      <w:r w:rsidRPr="00726964">
        <w:rPr>
          <w:rFonts w:ascii="Times New Roman" w:hAnsi="Times New Roman" w:cs="Times New Roman"/>
          <w:bCs/>
          <w:sz w:val="24"/>
          <w:szCs w:val="24"/>
        </w:rPr>
        <w:t xml:space="preserve"> </w:t>
      </w:r>
    </w:p>
    <w:p w14:paraId="6F104A28" w14:textId="77777777" w:rsidR="002A6FE6" w:rsidRPr="00726964" w:rsidRDefault="002A6FE6" w:rsidP="00726964">
      <w:pPr>
        <w:spacing w:line="240" w:lineRule="auto"/>
        <w:jc w:val="center"/>
        <w:rPr>
          <w:rFonts w:ascii="Times New Roman" w:hAnsi="Times New Roman" w:cs="Times New Roman"/>
          <w:b/>
          <w:bCs/>
          <w:sz w:val="24"/>
          <w:szCs w:val="24"/>
        </w:rPr>
      </w:pPr>
    </w:p>
    <w:p w14:paraId="5EF9CD7A" w14:textId="77777777" w:rsidR="002A6FE6" w:rsidRPr="00726964" w:rsidRDefault="002A6FE6" w:rsidP="00726964">
      <w:pPr>
        <w:spacing w:line="240" w:lineRule="auto"/>
        <w:jc w:val="center"/>
        <w:rPr>
          <w:rFonts w:ascii="Times New Roman" w:hAnsi="Times New Roman" w:cs="Times New Roman"/>
          <w:b/>
          <w:bCs/>
          <w:sz w:val="24"/>
          <w:szCs w:val="24"/>
          <w:lang w:val="en-US"/>
        </w:rPr>
      </w:pPr>
      <w:r w:rsidRPr="00726964">
        <w:rPr>
          <w:rFonts w:ascii="Times New Roman" w:hAnsi="Times New Roman" w:cs="Times New Roman"/>
          <w:b/>
          <w:bCs/>
          <w:sz w:val="24"/>
          <w:szCs w:val="24"/>
          <w:lang w:val="en-US"/>
        </w:rPr>
        <w:t>Abstract</w:t>
      </w:r>
    </w:p>
    <w:p w14:paraId="304C9F5B" w14:textId="77777777" w:rsidR="002A6FE6" w:rsidRPr="00726964" w:rsidRDefault="001C1CBF" w:rsidP="00726964">
      <w:pPr>
        <w:spacing w:line="240" w:lineRule="auto"/>
        <w:jc w:val="both"/>
        <w:rPr>
          <w:rFonts w:ascii="Times New Roman" w:hAnsi="Times New Roman" w:cs="Times New Roman"/>
          <w:bCs/>
          <w:sz w:val="24"/>
          <w:szCs w:val="24"/>
          <w:lang w:val="en-US"/>
        </w:rPr>
      </w:pPr>
      <w:r w:rsidRPr="00726964">
        <w:rPr>
          <w:rFonts w:ascii="Times New Roman" w:hAnsi="Times New Roman" w:cs="Times New Roman"/>
          <w:bCs/>
          <w:sz w:val="24"/>
          <w:szCs w:val="24"/>
          <w:lang w:val="en-US"/>
        </w:rPr>
        <w:t xml:space="preserve">This paper provides a preliminary analysis of the potential impacts from a formalization </w:t>
      </w:r>
      <w:proofErr w:type="gramStart"/>
      <w:r w:rsidRPr="00726964">
        <w:rPr>
          <w:rFonts w:ascii="Times New Roman" w:hAnsi="Times New Roman" w:cs="Times New Roman"/>
          <w:bCs/>
          <w:sz w:val="24"/>
          <w:szCs w:val="24"/>
          <w:lang w:val="en-US"/>
        </w:rPr>
        <w:t>policy</w:t>
      </w:r>
      <w:proofErr w:type="gramEnd"/>
      <w:r w:rsidRPr="00726964">
        <w:rPr>
          <w:rFonts w:ascii="Times New Roman" w:hAnsi="Times New Roman" w:cs="Times New Roman"/>
          <w:bCs/>
          <w:sz w:val="24"/>
          <w:szCs w:val="24"/>
          <w:lang w:val="en-US"/>
        </w:rPr>
        <w:t xml:space="preserve"> introduced in Brazil targeted at micro</w:t>
      </w:r>
      <w:r w:rsidR="00C54C4D" w:rsidRPr="00726964">
        <w:rPr>
          <w:rFonts w:ascii="Times New Roman" w:hAnsi="Times New Roman" w:cs="Times New Roman"/>
          <w:bCs/>
          <w:sz w:val="24"/>
          <w:szCs w:val="24"/>
          <w:lang w:val="en-US"/>
        </w:rPr>
        <w:t xml:space="preserve"> </w:t>
      </w:r>
      <w:r w:rsidRPr="00726964">
        <w:rPr>
          <w:rFonts w:ascii="Times New Roman" w:hAnsi="Times New Roman" w:cs="Times New Roman"/>
          <w:bCs/>
          <w:sz w:val="24"/>
          <w:szCs w:val="24"/>
          <w:lang w:val="en-US"/>
        </w:rPr>
        <w:t>entrepreneurs</w:t>
      </w:r>
      <w:r w:rsidR="00BD52AD" w:rsidRPr="00726964">
        <w:rPr>
          <w:rFonts w:ascii="Times New Roman" w:hAnsi="Times New Roman" w:cs="Times New Roman"/>
          <w:bCs/>
          <w:sz w:val="24"/>
          <w:szCs w:val="24"/>
          <w:lang w:val="en-US"/>
        </w:rPr>
        <w:t xml:space="preserve"> with at most one employee</w:t>
      </w:r>
      <w:r w:rsidRPr="00726964">
        <w:rPr>
          <w:rFonts w:ascii="Times New Roman" w:hAnsi="Times New Roman" w:cs="Times New Roman"/>
          <w:bCs/>
          <w:sz w:val="24"/>
          <w:szCs w:val="24"/>
          <w:lang w:val="en-US"/>
        </w:rPr>
        <w:t xml:space="preserve">. Our </w:t>
      </w:r>
      <w:r w:rsidR="00BD52AD" w:rsidRPr="00726964">
        <w:rPr>
          <w:rFonts w:ascii="Times New Roman" w:hAnsi="Times New Roman" w:cs="Times New Roman"/>
          <w:bCs/>
          <w:sz w:val="24"/>
          <w:szCs w:val="24"/>
          <w:lang w:val="en-US"/>
        </w:rPr>
        <w:t>goal is to provide evidence to shed light on the following points: (</w:t>
      </w:r>
      <w:proofErr w:type="spellStart"/>
      <w:r w:rsidR="00BD52AD" w:rsidRPr="00726964">
        <w:rPr>
          <w:rFonts w:ascii="Times New Roman" w:hAnsi="Times New Roman" w:cs="Times New Roman"/>
          <w:bCs/>
          <w:sz w:val="24"/>
          <w:szCs w:val="24"/>
          <w:lang w:val="en-US"/>
        </w:rPr>
        <w:t>i</w:t>
      </w:r>
      <w:proofErr w:type="spellEnd"/>
      <w:r w:rsidR="00BD52AD" w:rsidRPr="00726964">
        <w:rPr>
          <w:rFonts w:ascii="Times New Roman" w:hAnsi="Times New Roman" w:cs="Times New Roman"/>
          <w:bCs/>
          <w:sz w:val="24"/>
          <w:szCs w:val="24"/>
          <w:lang w:val="en-US"/>
        </w:rPr>
        <w:t xml:space="preserve">) </w:t>
      </w:r>
      <w:proofErr w:type="gramStart"/>
      <w:r w:rsidR="00BD52AD" w:rsidRPr="00726964">
        <w:rPr>
          <w:rFonts w:ascii="Times New Roman" w:hAnsi="Times New Roman" w:cs="Times New Roman"/>
          <w:bCs/>
          <w:sz w:val="24"/>
          <w:szCs w:val="24"/>
          <w:lang w:val="en-US"/>
        </w:rPr>
        <w:t>Did</w:t>
      </w:r>
      <w:proofErr w:type="gramEnd"/>
      <w:r w:rsidR="00BD52AD" w:rsidRPr="00726964">
        <w:rPr>
          <w:rFonts w:ascii="Times New Roman" w:hAnsi="Times New Roman" w:cs="Times New Roman"/>
          <w:bCs/>
          <w:sz w:val="24"/>
          <w:szCs w:val="24"/>
          <w:lang w:val="en-US"/>
        </w:rPr>
        <w:t xml:space="preserve"> the program fostered micro entrepreneurship? </w:t>
      </w:r>
      <w:r w:rsidR="00A62830" w:rsidRPr="00726964">
        <w:rPr>
          <w:rFonts w:ascii="Times New Roman" w:hAnsi="Times New Roman" w:cs="Times New Roman"/>
          <w:bCs/>
          <w:sz w:val="24"/>
          <w:szCs w:val="24"/>
          <w:lang w:val="en-US"/>
        </w:rPr>
        <w:t xml:space="preserve">(ii) Did the program lead to greater formalization rates? The evidence suggests that the program might have positive effects on both points. </w:t>
      </w:r>
    </w:p>
    <w:p w14:paraId="068A3E54" w14:textId="77777777" w:rsidR="002A6FE6" w:rsidRPr="00726964" w:rsidRDefault="002A6FE6" w:rsidP="00726964">
      <w:pPr>
        <w:spacing w:line="240" w:lineRule="auto"/>
        <w:rPr>
          <w:rFonts w:ascii="Times New Roman" w:hAnsi="Times New Roman" w:cs="Times New Roman"/>
          <w:b/>
          <w:bCs/>
          <w:sz w:val="24"/>
          <w:szCs w:val="24"/>
          <w:lang w:val="en-US"/>
        </w:rPr>
      </w:pPr>
    </w:p>
    <w:p w14:paraId="0085CEF2" w14:textId="77777777" w:rsidR="002A6FE6" w:rsidRPr="00726964" w:rsidRDefault="002A6FE6" w:rsidP="00726964">
      <w:pPr>
        <w:spacing w:line="240" w:lineRule="auto"/>
        <w:rPr>
          <w:rFonts w:ascii="Times New Roman" w:hAnsi="Times New Roman" w:cs="Times New Roman"/>
          <w:bCs/>
          <w:sz w:val="24"/>
          <w:szCs w:val="24"/>
          <w:lang w:val="en-US"/>
        </w:rPr>
      </w:pPr>
      <w:proofErr w:type="spellStart"/>
      <w:r w:rsidRPr="00726964">
        <w:rPr>
          <w:rFonts w:ascii="Times New Roman" w:hAnsi="Times New Roman" w:cs="Times New Roman"/>
          <w:b/>
          <w:bCs/>
          <w:sz w:val="24"/>
          <w:szCs w:val="24"/>
          <w:lang w:val="en-US"/>
        </w:rPr>
        <w:t>Código</w:t>
      </w:r>
      <w:proofErr w:type="spellEnd"/>
      <w:r w:rsidRPr="00726964">
        <w:rPr>
          <w:rFonts w:ascii="Times New Roman" w:hAnsi="Times New Roman" w:cs="Times New Roman"/>
          <w:b/>
          <w:bCs/>
          <w:sz w:val="24"/>
          <w:szCs w:val="24"/>
          <w:lang w:val="en-US"/>
        </w:rPr>
        <w:t xml:space="preserve"> JEL:</w:t>
      </w:r>
      <w:r w:rsidR="00C54C4D" w:rsidRPr="00726964">
        <w:rPr>
          <w:rFonts w:ascii="Times New Roman" w:hAnsi="Times New Roman" w:cs="Times New Roman"/>
          <w:b/>
          <w:bCs/>
          <w:sz w:val="24"/>
          <w:szCs w:val="24"/>
          <w:lang w:val="en-US"/>
        </w:rPr>
        <w:t xml:space="preserve"> </w:t>
      </w:r>
      <w:r w:rsidR="00C54C4D" w:rsidRPr="00726964">
        <w:rPr>
          <w:rFonts w:ascii="Times New Roman" w:hAnsi="Times New Roman" w:cs="Times New Roman"/>
          <w:bCs/>
          <w:sz w:val="24"/>
          <w:szCs w:val="24"/>
          <w:lang w:val="en-US"/>
        </w:rPr>
        <w:t>L26, O17.</w:t>
      </w:r>
    </w:p>
    <w:p w14:paraId="2860D6C2" w14:textId="77777777" w:rsidR="002A6FE6" w:rsidRPr="00726964" w:rsidRDefault="002A6FE6" w:rsidP="00726964">
      <w:pPr>
        <w:spacing w:line="240" w:lineRule="auto"/>
        <w:rPr>
          <w:rFonts w:ascii="Times New Roman" w:hAnsi="Times New Roman" w:cs="Times New Roman"/>
          <w:b/>
          <w:bCs/>
          <w:sz w:val="24"/>
          <w:szCs w:val="24"/>
        </w:rPr>
      </w:pPr>
      <w:r w:rsidRPr="00726964">
        <w:rPr>
          <w:rFonts w:ascii="Times New Roman" w:hAnsi="Times New Roman" w:cs="Times New Roman"/>
          <w:b/>
          <w:bCs/>
          <w:sz w:val="24"/>
          <w:szCs w:val="24"/>
        </w:rPr>
        <w:t>Palavras-Chave</w:t>
      </w:r>
      <w:r w:rsidR="00C54C4D" w:rsidRPr="00726964">
        <w:rPr>
          <w:rFonts w:ascii="Times New Roman" w:hAnsi="Times New Roman" w:cs="Times New Roman"/>
          <w:b/>
          <w:bCs/>
          <w:sz w:val="24"/>
          <w:szCs w:val="24"/>
        </w:rPr>
        <w:t xml:space="preserve">: </w:t>
      </w:r>
      <w:r w:rsidR="00C54C4D" w:rsidRPr="00726964">
        <w:rPr>
          <w:rFonts w:ascii="Times New Roman" w:hAnsi="Times New Roman" w:cs="Times New Roman"/>
          <w:bCs/>
          <w:sz w:val="24"/>
          <w:szCs w:val="24"/>
        </w:rPr>
        <w:t>Empreendedorismo, informalidade.</w:t>
      </w:r>
    </w:p>
    <w:p w14:paraId="261B96D6" w14:textId="77777777" w:rsidR="00FC3E6E" w:rsidRPr="00726964" w:rsidRDefault="002A6FE6" w:rsidP="00726964">
      <w:pPr>
        <w:spacing w:line="240" w:lineRule="auto"/>
        <w:rPr>
          <w:rFonts w:ascii="Times New Roman" w:hAnsi="Times New Roman" w:cs="Times New Roman"/>
          <w:b/>
          <w:bCs/>
          <w:sz w:val="24"/>
          <w:szCs w:val="24"/>
        </w:rPr>
      </w:pPr>
      <w:proofErr w:type="spellStart"/>
      <w:r w:rsidRPr="00726964">
        <w:rPr>
          <w:rFonts w:ascii="Times New Roman" w:hAnsi="Times New Roman" w:cs="Times New Roman"/>
          <w:b/>
          <w:bCs/>
          <w:sz w:val="24"/>
          <w:szCs w:val="24"/>
        </w:rPr>
        <w:t>Keywords</w:t>
      </w:r>
      <w:proofErr w:type="spellEnd"/>
      <w:r w:rsidR="00C54C4D" w:rsidRPr="00726964">
        <w:rPr>
          <w:rFonts w:ascii="Times New Roman" w:hAnsi="Times New Roman" w:cs="Times New Roman"/>
          <w:bCs/>
          <w:sz w:val="24"/>
          <w:szCs w:val="24"/>
        </w:rPr>
        <w:t xml:space="preserve">: </w:t>
      </w:r>
      <w:proofErr w:type="spellStart"/>
      <w:r w:rsidR="00C54C4D" w:rsidRPr="00726964">
        <w:rPr>
          <w:rFonts w:ascii="Times New Roman" w:hAnsi="Times New Roman" w:cs="Times New Roman"/>
          <w:bCs/>
          <w:sz w:val="24"/>
          <w:szCs w:val="24"/>
        </w:rPr>
        <w:t>Entrepreneurship</w:t>
      </w:r>
      <w:proofErr w:type="spellEnd"/>
      <w:r w:rsidR="00C54C4D" w:rsidRPr="00726964">
        <w:rPr>
          <w:rFonts w:ascii="Times New Roman" w:hAnsi="Times New Roman" w:cs="Times New Roman"/>
          <w:bCs/>
          <w:sz w:val="24"/>
          <w:szCs w:val="24"/>
        </w:rPr>
        <w:t xml:space="preserve">, </w:t>
      </w:r>
      <w:proofErr w:type="spellStart"/>
      <w:r w:rsidR="00C54C4D" w:rsidRPr="00726964">
        <w:rPr>
          <w:rFonts w:ascii="Times New Roman" w:hAnsi="Times New Roman" w:cs="Times New Roman"/>
          <w:bCs/>
          <w:sz w:val="24"/>
          <w:szCs w:val="24"/>
        </w:rPr>
        <w:t>informality</w:t>
      </w:r>
      <w:proofErr w:type="spellEnd"/>
      <w:r w:rsidR="00C54C4D" w:rsidRPr="00726964">
        <w:rPr>
          <w:rFonts w:ascii="Times New Roman" w:hAnsi="Times New Roman" w:cs="Times New Roman"/>
          <w:bCs/>
          <w:sz w:val="24"/>
          <w:szCs w:val="24"/>
        </w:rPr>
        <w:t>.</w:t>
      </w:r>
    </w:p>
    <w:p w14:paraId="0B76643A" w14:textId="77777777" w:rsidR="00726964" w:rsidRDefault="00726964" w:rsidP="00726964">
      <w:pPr>
        <w:spacing w:line="240" w:lineRule="auto"/>
        <w:jc w:val="center"/>
        <w:rPr>
          <w:rFonts w:ascii="Times New Roman" w:hAnsi="Times New Roman" w:cs="Times New Roman"/>
          <w:b/>
          <w:bCs/>
          <w:sz w:val="24"/>
          <w:szCs w:val="24"/>
        </w:rPr>
      </w:pPr>
    </w:p>
    <w:p w14:paraId="57EFC40C" w14:textId="77777777" w:rsidR="002A6FE6" w:rsidRPr="00726964" w:rsidRDefault="00726964" w:rsidP="00726964">
      <w:pPr>
        <w:jc w:val="center"/>
        <w:rPr>
          <w:rFonts w:ascii="Times New Roman" w:eastAsia="Times New Roman" w:hAnsi="Times New Roman" w:cs="Times New Roman"/>
          <w:b/>
          <w:sz w:val="28"/>
          <w:szCs w:val="28"/>
        </w:rPr>
      </w:pPr>
      <w:r w:rsidRPr="00726964">
        <w:rPr>
          <w:rFonts w:ascii="Times New Roman" w:eastAsia="Times New Roman" w:hAnsi="Times New Roman" w:cs="Times New Roman"/>
          <w:b/>
          <w:bCs/>
          <w:sz w:val="28"/>
          <w:szCs w:val="28"/>
        </w:rPr>
        <w:t>Área 5 - Economia do Setor Público</w:t>
      </w:r>
      <w:bookmarkStart w:id="0" w:name="_GoBack"/>
      <w:bookmarkEnd w:id="0"/>
      <w:r>
        <w:rPr>
          <w:rFonts w:ascii="Times New Roman" w:hAnsi="Times New Roman" w:cs="Times New Roman"/>
          <w:b/>
          <w:bCs/>
          <w:sz w:val="24"/>
          <w:szCs w:val="24"/>
        </w:rPr>
        <w:t xml:space="preserve"> </w:t>
      </w:r>
      <w:r w:rsidR="00FC3E6E">
        <w:rPr>
          <w:rFonts w:ascii="Times New Roman" w:hAnsi="Times New Roman" w:cs="Times New Roman"/>
          <w:b/>
          <w:bCs/>
          <w:sz w:val="24"/>
          <w:szCs w:val="24"/>
        </w:rPr>
        <w:br w:type="page"/>
      </w:r>
    </w:p>
    <w:p w14:paraId="2440E0AF" w14:textId="77777777" w:rsidR="005C3A7B" w:rsidRPr="00726964" w:rsidRDefault="000913E5" w:rsidP="00726964">
      <w:pPr>
        <w:pStyle w:val="Heading1"/>
        <w:spacing w:before="0" w:after="360" w:line="240" w:lineRule="auto"/>
        <w:rPr>
          <w:rFonts w:ascii="Times New Roman" w:hAnsi="Times New Roman" w:cs="Times New Roman"/>
          <w:color w:val="auto"/>
          <w:sz w:val="24"/>
          <w:szCs w:val="24"/>
          <w:lang w:val="en-US"/>
        </w:rPr>
      </w:pPr>
      <w:r w:rsidRPr="00726964">
        <w:rPr>
          <w:rFonts w:ascii="Times New Roman" w:hAnsi="Times New Roman" w:cs="Times New Roman"/>
          <w:color w:val="auto"/>
          <w:sz w:val="24"/>
          <w:szCs w:val="24"/>
          <w:lang w:val="en-US"/>
        </w:rPr>
        <w:lastRenderedPageBreak/>
        <w:t xml:space="preserve">1 </w:t>
      </w:r>
      <w:proofErr w:type="spellStart"/>
      <w:r w:rsidR="005C3A7B" w:rsidRPr="00726964">
        <w:rPr>
          <w:rFonts w:ascii="Times New Roman" w:hAnsi="Times New Roman" w:cs="Times New Roman"/>
          <w:color w:val="auto"/>
          <w:sz w:val="24"/>
          <w:szCs w:val="24"/>
          <w:lang w:val="en-US"/>
        </w:rPr>
        <w:t>Introdução</w:t>
      </w:r>
      <w:proofErr w:type="spellEnd"/>
    </w:p>
    <w:p w14:paraId="67F84CF9" w14:textId="77777777" w:rsidR="00686EDC" w:rsidRPr="00726964" w:rsidRDefault="00027247"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No</w:t>
      </w:r>
      <w:r w:rsidR="00307441" w:rsidRPr="00726964">
        <w:rPr>
          <w:rFonts w:ascii="Times New Roman" w:hAnsi="Times New Roman" w:cs="Times New Roman"/>
          <w:bCs/>
          <w:sz w:val="24"/>
          <w:szCs w:val="24"/>
        </w:rPr>
        <w:t xml:space="preserve"> Brasil</w:t>
      </w:r>
      <w:r w:rsidRPr="00726964">
        <w:rPr>
          <w:rFonts w:ascii="Times New Roman" w:hAnsi="Times New Roman" w:cs="Times New Roman"/>
          <w:bCs/>
          <w:sz w:val="24"/>
          <w:szCs w:val="24"/>
        </w:rPr>
        <w:t>,</w:t>
      </w:r>
      <w:r w:rsidR="00307441" w:rsidRPr="00726964">
        <w:rPr>
          <w:rFonts w:ascii="Times New Roman" w:hAnsi="Times New Roman" w:cs="Times New Roman"/>
          <w:bCs/>
          <w:sz w:val="24"/>
          <w:szCs w:val="24"/>
        </w:rPr>
        <w:t xml:space="preserve"> a maior parte das firmas é informal</w:t>
      </w:r>
      <w:r w:rsidR="00824070" w:rsidRPr="00726964">
        <w:rPr>
          <w:rFonts w:ascii="Times New Roman" w:hAnsi="Times New Roman" w:cs="Times New Roman"/>
          <w:bCs/>
          <w:sz w:val="24"/>
          <w:szCs w:val="24"/>
        </w:rPr>
        <w:t>: c</w:t>
      </w:r>
      <w:r w:rsidR="00307441" w:rsidRPr="00726964">
        <w:rPr>
          <w:rFonts w:ascii="Times New Roman" w:hAnsi="Times New Roman" w:cs="Times New Roman"/>
          <w:bCs/>
          <w:sz w:val="24"/>
          <w:szCs w:val="24"/>
        </w:rPr>
        <w:t xml:space="preserve">erca </w:t>
      </w:r>
      <w:r w:rsidRPr="00726964">
        <w:rPr>
          <w:rFonts w:ascii="Times New Roman" w:hAnsi="Times New Roman" w:cs="Times New Roman"/>
          <w:bCs/>
          <w:sz w:val="24"/>
          <w:szCs w:val="24"/>
        </w:rPr>
        <w:t>de 75%</w:t>
      </w:r>
      <w:r w:rsidR="00307441" w:rsidRPr="00726964">
        <w:rPr>
          <w:rFonts w:ascii="Times New Roman" w:hAnsi="Times New Roman" w:cs="Times New Roman"/>
          <w:bCs/>
          <w:sz w:val="24"/>
          <w:szCs w:val="24"/>
        </w:rPr>
        <w:t xml:space="preserve"> dos </w:t>
      </w:r>
      <w:r w:rsidR="00FD6A5A" w:rsidRPr="00726964">
        <w:rPr>
          <w:rFonts w:ascii="Times New Roman" w:hAnsi="Times New Roman" w:cs="Times New Roman"/>
          <w:bCs/>
          <w:sz w:val="24"/>
          <w:szCs w:val="24"/>
        </w:rPr>
        <w:t xml:space="preserve"> empreendedores </w:t>
      </w:r>
      <w:r w:rsidR="00307441" w:rsidRPr="00726964">
        <w:rPr>
          <w:rFonts w:ascii="Times New Roman" w:hAnsi="Times New Roman" w:cs="Times New Roman"/>
          <w:bCs/>
          <w:sz w:val="24"/>
          <w:szCs w:val="24"/>
        </w:rPr>
        <w:t xml:space="preserve">não </w:t>
      </w:r>
      <w:r w:rsidRPr="00726964">
        <w:rPr>
          <w:rFonts w:ascii="Times New Roman" w:hAnsi="Times New Roman" w:cs="Times New Roman"/>
          <w:bCs/>
          <w:sz w:val="24"/>
          <w:szCs w:val="24"/>
        </w:rPr>
        <w:t xml:space="preserve">possuem CNPJ e não </w:t>
      </w:r>
      <w:r w:rsidR="00307441" w:rsidRPr="00726964">
        <w:rPr>
          <w:rFonts w:ascii="Times New Roman" w:hAnsi="Times New Roman" w:cs="Times New Roman"/>
          <w:bCs/>
          <w:sz w:val="24"/>
          <w:szCs w:val="24"/>
        </w:rPr>
        <w:t xml:space="preserve">contribuem para </w:t>
      </w:r>
      <w:r w:rsidR="00FD6A5A" w:rsidRPr="00726964">
        <w:rPr>
          <w:rFonts w:ascii="Times New Roman" w:hAnsi="Times New Roman" w:cs="Times New Roman"/>
          <w:bCs/>
          <w:sz w:val="24"/>
          <w:szCs w:val="24"/>
        </w:rPr>
        <w:t>o sistema previdenciário</w:t>
      </w:r>
      <w:r w:rsidR="004A3BDB" w:rsidRPr="00726964">
        <w:rPr>
          <w:rFonts w:ascii="Times New Roman" w:hAnsi="Times New Roman" w:cs="Times New Roman"/>
          <w:bCs/>
          <w:sz w:val="24"/>
          <w:szCs w:val="24"/>
        </w:rPr>
        <w:t xml:space="preserve"> (dados da Pesquisa Nacional por Amostra de Domicílios, 2011)</w:t>
      </w:r>
      <w:r w:rsidR="00FD6A5A" w:rsidRPr="00726964">
        <w:rPr>
          <w:rFonts w:ascii="Times New Roman" w:hAnsi="Times New Roman" w:cs="Times New Roman"/>
          <w:bCs/>
          <w:sz w:val="24"/>
          <w:szCs w:val="24"/>
        </w:rPr>
        <w:t>. Ambos os indicadores são preocupantes do ponto de vista de políticas públicas. O primeiro implica um elevado grau de evasão fiscal e pode representar um sério entrave ao desenvolvimento dos empreendimentos (difícil acesso ao crédito, impossibilidade de emitir nota fiscal, entre outros). O segundo implica que a maioria desses empreendedores</w:t>
      </w:r>
      <w:r w:rsidRPr="00726964">
        <w:rPr>
          <w:rFonts w:ascii="Times New Roman" w:hAnsi="Times New Roman" w:cs="Times New Roman"/>
          <w:bCs/>
          <w:sz w:val="24"/>
          <w:szCs w:val="24"/>
        </w:rPr>
        <w:t xml:space="preserve"> </w:t>
      </w:r>
      <w:r w:rsidR="00D53247" w:rsidRPr="00726964">
        <w:rPr>
          <w:rFonts w:ascii="Times New Roman" w:hAnsi="Times New Roman" w:cs="Times New Roman"/>
          <w:bCs/>
          <w:sz w:val="24"/>
          <w:szCs w:val="24"/>
        </w:rPr>
        <w:t>não está protegida pelo sistema de seguridade social, o que pode constituir um elevado passivo social</w:t>
      </w:r>
      <w:r w:rsidR="00307441" w:rsidRPr="00726964">
        <w:rPr>
          <w:rFonts w:ascii="Times New Roman" w:hAnsi="Times New Roman" w:cs="Times New Roman"/>
          <w:bCs/>
          <w:sz w:val="24"/>
          <w:szCs w:val="24"/>
        </w:rPr>
        <w:t>.</w:t>
      </w:r>
      <w:r w:rsidR="00D53247" w:rsidRPr="00726964">
        <w:rPr>
          <w:rFonts w:ascii="Times New Roman" w:hAnsi="Times New Roman" w:cs="Times New Roman"/>
          <w:bCs/>
          <w:sz w:val="24"/>
          <w:szCs w:val="24"/>
        </w:rPr>
        <w:t xml:space="preserve"> Esse cenário é ainda mais acentuado entre </w:t>
      </w:r>
      <w:r w:rsidR="00EB732C" w:rsidRPr="00726964">
        <w:rPr>
          <w:rFonts w:ascii="Times New Roman" w:hAnsi="Times New Roman" w:cs="Times New Roman"/>
          <w:bCs/>
          <w:sz w:val="24"/>
          <w:szCs w:val="24"/>
        </w:rPr>
        <w:t>microempreendedores com até um empregado</w:t>
      </w:r>
      <w:r w:rsidR="00D53247" w:rsidRPr="00726964">
        <w:rPr>
          <w:rFonts w:ascii="Times New Roman" w:hAnsi="Times New Roman" w:cs="Times New Roman"/>
          <w:bCs/>
          <w:sz w:val="24"/>
          <w:szCs w:val="24"/>
        </w:rPr>
        <w:t xml:space="preserve">, que </w:t>
      </w:r>
      <w:r w:rsidR="00EB732C" w:rsidRPr="00726964">
        <w:rPr>
          <w:rFonts w:ascii="Times New Roman" w:hAnsi="Times New Roman" w:cs="Times New Roman"/>
          <w:bCs/>
          <w:sz w:val="24"/>
          <w:szCs w:val="24"/>
        </w:rPr>
        <w:t>correspondem a cerca de um quarto do total de ocupados</w:t>
      </w:r>
      <w:r w:rsidR="00D53247"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 xml:space="preserve">e 89% dos empreendedores no Brasil </w:t>
      </w:r>
      <w:r w:rsidR="00D53247" w:rsidRPr="00726964">
        <w:rPr>
          <w:rFonts w:ascii="Times New Roman" w:hAnsi="Times New Roman" w:cs="Times New Roman"/>
          <w:bCs/>
          <w:sz w:val="24"/>
          <w:szCs w:val="24"/>
        </w:rPr>
        <w:t>(</w:t>
      </w:r>
      <w:r w:rsidRPr="00726964">
        <w:rPr>
          <w:rFonts w:ascii="Times New Roman" w:hAnsi="Times New Roman" w:cs="Times New Roman"/>
          <w:bCs/>
          <w:sz w:val="24"/>
          <w:szCs w:val="24"/>
        </w:rPr>
        <w:t>dados da Pesquisa Nacional por Amostra de Domicílios, 2011</w:t>
      </w:r>
      <w:r w:rsidR="00D53247" w:rsidRPr="00726964">
        <w:rPr>
          <w:rFonts w:ascii="Times New Roman" w:hAnsi="Times New Roman" w:cs="Times New Roman"/>
          <w:bCs/>
          <w:sz w:val="24"/>
          <w:szCs w:val="24"/>
        </w:rPr>
        <w:t>).</w:t>
      </w:r>
      <w:r w:rsidR="00824070" w:rsidRPr="00726964">
        <w:rPr>
          <w:rFonts w:ascii="Times New Roman" w:hAnsi="Times New Roman" w:cs="Times New Roman"/>
          <w:bCs/>
          <w:sz w:val="24"/>
          <w:szCs w:val="24"/>
        </w:rPr>
        <w:t xml:space="preserve"> </w:t>
      </w:r>
    </w:p>
    <w:p w14:paraId="3BADDD86" w14:textId="77777777" w:rsidR="007A618A" w:rsidRPr="00726964" w:rsidRDefault="007A618A"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Por outro lado há quem aponte os </w:t>
      </w:r>
      <w:proofErr w:type="spellStart"/>
      <w:r w:rsidRPr="00726964">
        <w:rPr>
          <w:rFonts w:ascii="Times New Roman" w:hAnsi="Times New Roman" w:cs="Times New Roman"/>
          <w:bCs/>
          <w:sz w:val="24"/>
          <w:szCs w:val="24"/>
        </w:rPr>
        <w:t>micro-empreendedores</w:t>
      </w:r>
      <w:proofErr w:type="spellEnd"/>
      <w:r w:rsidRPr="00726964">
        <w:rPr>
          <w:rFonts w:ascii="Times New Roman" w:hAnsi="Times New Roman" w:cs="Times New Roman"/>
          <w:bCs/>
          <w:sz w:val="24"/>
          <w:szCs w:val="24"/>
        </w:rPr>
        <w:t>, em particular os trabalhadores por conta-própria, como importante fonte de dinamismo para a economia dado seu potencial de inovação e de expansão dos negócios.</w:t>
      </w:r>
      <w:r w:rsidR="00205395" w:rsidRPr="00726964">
        <w:rPr>
          <w:rStyle w:val="FootnoteReference"/>
          <w:rFonts w:ascii="Times New Roman" w:hAnsi="Times New Roman" w:cs="Times New Roman"/>
          <w:bCs/>
          <w:sz w:val="24"/>
          <w:szCs w:val="24"/>
        </w:rPr>
        <w:footnoteReference w:id="2"/>
      </w:r>
      <w:r w:rsidRPr="00726964">
        <w:rPr>
          <w:rFonts w:ascii="Times New Roman" w:hAnsi="Times New Roman" w:cs="Times New Roman"/>
          <w:bCs/>
          <w:sz w:val="24"/>
          <w:szCs w:val="24"/>
        </w:rPr>
        <w:t xml:space="preserve"> </w:t>
      </w:r>
      <w:r w:rsidR="00205395" w:rsidRPr="00726964">
        <w:rPr>
          <w:rFonts w:ascii="Times New Roman" w:hAnsi="Times New Roman" w:cs="Times New Roman"/>
          <w:bCs/>
          <w:sz w:val="24"/>
          <w:szCs w:val="24"/>
        </w:rPr>
        <w:t xml:space="preserve">Visto desse ângulo a tendência de queda na participação dos </w:t>
      </w:r>
      <w:proofErr w:type="spellStart"/>
      <w:r w:rsidR="00205395" w:rsidRPr="00726964">
        <w:rPr>
          <w:rFonts w:ascii="Times New Roman" w:hAnsi="Times New Roman" w:cs="Times New Roman"/>
          <w:bCs/>
          <w:sz w:val="24"/>
          <w:szCs w:val="24"/>
        </w:rPr>
        <w:t>micro-empreendedores</w:t>
      </w:r>
      <w:proofErr w:type="spellEnd"/>
      <w:r w:rsidR="00205395" w:rsidRPr="00726964">
        <w:rPr>
          <w:rFonts w:ascii="Times New Roman" w:hAnsi="Times New Roman" w:cs="Times New Roman"/>
          <w:bCs/>
          <w:sz w:val="24"/>
          <w:szCs w:val="24"/>
        </w:rPr>
        <w:t xml:space="preserve"> observada no Brasil entre 2003 e 2008 seria motivo de preocupação para a sociedade.</w:t>
      </w:r>
      <w:r w:rsidR="00205395" w:rsidRPr="00726964">
        <w:rPr>
          <w:rStyle w:val="FootnoteReference"/>
          <w:rFonts w:ascii="Times New Roman" w:hAnsi="Times New Roman" w:cs="Times New Roman"/>
          <w:bCs/>
          <w:sz w:val="24"/>
          <w:szCs w:val="24"/>
        </w:rPr>
        <w:footnoteReference w:id="3"/>
      </w:r>
    </w:p>
    <w:p w14:paraId="18183B31" w14:textId="77777777" w:rsidR="00824070" w:rsidRPr="00726964" w:rsidRDefault="00824070"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Em 2009, o governo federal introduziu uma nova política direcionada exclusivamente aos microempreendedores com até um empregado (daqui em diante denominados MEI). A política, de cobertura nacional, reduziu de forma substancial os custos de formalização para esse grupo de empreendedores. O objetivo deste artigo é apresentar uma análise exploratória dos possíveis impactos dessa política.</w:t>
      </w:r>
      <w:r w:rsidR="00686EDC" w:rsidRPr="00726964">
        <w:rPr>
          <w:rFonts w:ascii="Times New Roman" w:hAnsi="Times New Roman" w:cs="Times New Roman"/>
          <w:sz w:val="24"/>
          <w:szCs w:val="24"/>
        </w:rPr>
        <w:t xml:space="preserve"> Para tanto, utilizamos os dados da PNAD e PME e modelos econométricos simples para contrastar os resultados observados no grupo elegível à política (microempreendedores com até um empregado) com aqueles observados em diferentes grupos não elegíveis (por exemplo, firmas com dois a cinco empregados). </w:t>
      </w:r>
      <w:r w:rsidR="003A3236" w:rsidRPr="00726964">
        <w:rPr>
          <w:rFonts w:ascii="Times New Roman" w:hAnsi="Times New Roman" w:cs="Times New Roman"/>
          <w:sz w:val="24"/>
          <w:szCs w:val="24"/>
        </w:rPr>
        <w:t>Cabe ressaltar que</w:t>
      </w:r>
      <w:r w:rsidR="00686EDC" w:rsidRPr="00726964">
        <w:rPr>
          <w:rFonts w:ascii="Times New Roman" w:hAnsi="Times New Roman" w:cs="Times New Roman"/>
          <w:sz w:val="24"/>
          <w:szCs w:val="24"/>
        </w:rPr>
        <w:t xml:space="preserve"> análise apresentada aqui não pretende identificar o efeito causal da política do MEI, mas sim estabelecer associações entre a política e as dimensões</w:t>
      </w:r>
      <w:r w:rsidR="000471AC" w:rsidRPr="00726964">
        <w:rPr>
          <w:rFonts w:ascii="Times New Roman" w:hAnsi="Times New Roman" w:cs="Times New Roman"/>
          <w:sz w:val="24"/>
          <w:szCs w:val="24"/>
        </w:rPr>
        <w:t xml:space="preserve"> destacadas aqui</w:t>
      </w:r>
      <w:r w:rsidR="00686EDC" w:rsidRPr="00726964">
        <w:rPr>
          <w:rFonts w:ascii="Times New Roman" w:hAnsi="Times New Roman" w:cs="Times New Roman"/>
          <w:sz w:val="24"/>
          <w:szCs w:val="24"/>
        </w:rPr>
        <w:t>.</w:t>
      </w:r>
    </w:p>
    <w:p w14:paraId="74A394A6" w14:textId="77777777" w:rsidR="000471AC" w:rsidRPr="00726964" w:rsidRDefault="00D53247"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Desde a introdução do Simples, em 1996, o governo brasileiro tem desenhado políticas que visam reduzir os encargos burocráticos e tributários que incidem sobre as micro e pequenas empresas. O objetivo geral de tais políticas é incentivar a criação de novas empresas formais, formalizar os empreendimentos informais já existentes e incentivar a criação de empregos formais. </w:t>
      </w:r>
      <w:r w:rsidR="00EB314D" w:rsidRPr="00726964">
        <w:rPr>
          <w:rFonts w:ascii="Times New Roman" w:hAnsi="Times New Roman" w:cs="Times New Roman"/>
          <w:sz w:val="24"/>
          <w:szCs w:val="24"/>
        </w:rPr>
        <w:t>A Lei Complementar n. 128/2008 (conhecida como a Lei</w:t>
      </w:r>
      <w:r w:rsidR="00824070" w:rsidRPr="00726964">
        <w:rPr>
          <w:rFonts w:ascii="Times New Roman" w:hAnsi="Times New Roman" w:cs="Times New Roman"/>
          <w:sz w:val="24"/>
          <w:szCs w:val="24"/>
        </w:rPr>
        <w:t xml:space="preserve"> do Empreendedor Individual</w:t>
      </w:r>
      <w:r w:rsidR="00EB314D" w:rsidRPr="00726964">
        <w:rPr>
          <w:rFonts w:ascii="Times New Roman" w:hAnsi="Times New Roman" w:cs="Times New Roman"/>
          <w:sz w:val="24"/>
          <w:szCs w:val="24"/>
        </w:rPr>
        <w:t xml:space="preserve">) constitui o marco institucional básico para os </w:t>
      </w:r>
      <w:r w:rsidR="00824070" w:rsidRPr="00726964">
        <w:rPr>
          <w:rFonts w:ascii="Times New Roman" w:hAnsi="Times New Roman" w:cs="Times New Roman"/>
          <w:sz w:val="24"/>
          <w:szCs w:val="24"/>
        </w:rPr>
        <w:t>MEI</w:t>
      </w:r>
      <w:r w:rsidR="00EB314D" w:rsidRPr="00726964">
        <w:rPr>
          <w:rFonts w:ascii="Times New Roman" w:hAnsi="Times New Roman" w:cs="Times New Roman"/>
          <w:sz w:val="24"/>
          <w:szCs w:val="24"/>
        </w:rPr>
        <w:t xml:space="preserve">, diferenciando-os dos demais empreendedores e criando incentivos específicos para a formalização de seus negócios e contribuição previdenciária. A </w:t>
      </w:r>
      <w:r w:rsidR="000471AC" w:rsidRPr="00726964">
        <w:rPr>
          <w:rFonts w:ascii="Times New Roman" w:hAnsi="Times New Roman" w:cs="Times New Roman"/>
          <w:sz w:val="24"/>
          <w:szCs w:val="24"/>
        </w:rPr>
        <w:t>lei</w:t>
      </w:r>
      <w:r w:rsidR="00EB314D" w:rsidRPr="00726964">
        <w:rPr>
          <w:rFonts w:ascii="Times New Roman" w:hAnsi="Times New Roman" w:cs="Times New Roman"/>
          <w:sz w:val="24"/>
          <w:szCs w:val="24"/>
        </w:rPr>
        <w:t xml:space="preserve"> entrou oficialmente em vigor em Julho de 2009, </w:t>
      </w:r>
      <w:r w:rsidR="000471AC" w:rsidRPr="00726964">
        <w:rPr>
          <w:rFonts w:ascii="Times New Roman" w:hAnsi="Times New Roman" w:cs="Times New Roman"/>
          <w:sz w:val="24"/>
          <w:szCs w:val="24"/>
        </w:rPr>
        <w:t>e</w:t>
      </w:r>
      <w:r w:rsidR="00EB314D" w:rsidRPr="00726964">
        <w:rPr>
          <w:rFonts w:ascii="Times New Roman" w:hAnsi="Times New Roman" w:cs="Times New Roman"/>
          <w:sz w:val="24"/>
          <w:szCs w:val="24"/>
        </w:rPr>
        <w:t xml:space="preserve"> o início efetivo para todas as unidades federativas </w:t>
      </w:r>
      <w:r w:rsidR="000471AC" w:rsidRPr="00726964">
        <w:rPr>
          <w:rFonts w:ascii="Times New Roman" w:hAnsi="Times New Roman" w:cs="Times New Roman"/>
          <w:sz w:val="24"/>
          <w:szCs w:val="24"/>
        </w:rPr>
        <w:t>ocorreu</w:t>
      </w:r>
      <w:r w:rsidR="00EB314D" w:rsidRPr="00726964">
        <w:rPr>
          <w:rFonts w:ascii="Times New Roman" w:hAnsi="Times New Roman" w:cs="Times New Roman"/>
          <w:sz w:val="24"/>
          <w:szCs w:val="24"/>
        </w:rPr>
        <w:t xml:space="preserve"> de forma progressiva entre julho de 2009 e fevereiro de 2010.</w:t>
      </w:r>
      <w:r w:rsidR="003A3236" w:rsidRPr="00726964">
        <w:rPr>
          <w:rFonts w:ascii="Times New Roman" w:hAnsi="Times New Roman" w:cs="Times New Roman"/>
          <w:sz w:val="24"/>
          <w:szCs w:val="24"/>
        </w:rPr>
        <w:t xml:space="preserve"> </w:t>
      </w:r>
      <w:r w:rsidR="000471AC" w:rsidRPr="00726964">
        <w:rPr>
          <w:rFonts w:ascii="Times New Roman" w:hAnsi="Times New Roman" w:cs="Times New Roman"/>
          <w:sz w:val="24"/>
          <w:szCs w:val="24"/>
        </w:rPr>
        <w:t>Para ser enquadrado na lei, o empreendedor deve ter uma receita bruta de até 60 mil reais anuais</w:t>
      </w:r>
      <w:r w:rsidR="000471AC" w:rsidRPr="00726964">
        <w:rPr>
          <w:rStyle w:val="FootnoteReference"/>
          <w:rFonts w:ascii="Times New Roman" w:hAnsi="Times New Roman" w:cs="Times New Roman"/>
          <w:sz w:val="24"/>
          <w:szCs w:val="24"/>
        </w:rPr>
        <w:footnoteReference w:id="4"/>
      </w:r>
      <w:r w:rsidR="000471AC" w:rsidRPr="00726964">
        <w:rPr>
          <w:rFonts w:ascii="Times New Roman" w:hAnsi="Times New Roman" w:cs="Times New Roman"/>
          <w:sz w:val="24"/>
          <w:szCs w:val="24"/>
        </w:rPr>
        <w:t xml:space="preserve"> e possuir no máximo um empregado que receba até um salário mínimo.</w:t>
      </w:r>
    </w:p>
    <w:p w14:paraId="428A99F1" w14:textId="77777777" w:rsidR="00686EDC" w:rsidRPr="00726964" w:rsidRDefault="00EB314D"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lastRenderedPageBreak/>
        <w:t xml:space="preserve">Com a LC 128, os </w:t>
      </w:r>
      <w:r w:rsidR="00824070" w:rsidRPr="00726964">
        <w:rPr>
          <w:rFonts w:ascii="Times New Roman" w:hAnsi="Times New Roman" w:cs="Times New Roman"/>
          <w:sz w:val="24"/>
          <w:szCs w:val="24"/>
        </w:rPr>
        <w:t>M</w:t>
      </w:r>
      <w:r w:rsidR="000471AC" w:rsidRPr="00726964">
        <w:rPr>
          <w:rFonts w:ascii="Times New Roman" w:hAnsi="Times New Roman" w:cs="Times New Roman"/>
          <w:sz w:val="24"/>
          <w:szCs w:val="24"/>
        </w:rPr>
        <w:t>EI passam a ter acesso</w:t>
      </w:r>
      <w:r w:rsidRPr="00726964">
        <w:rPr>
          <w:rFonts w:ascii="Times New Roman" w:hAnsi="Times New Roman" w:cs="Times New Roman"/>
          <w:sz w:val="24"/>
          <w:szCs w:val="24"/>
        </w:rPr>
        <w:t xml:space="preserve"> sem cu</w:t>
      </w:r>
      <w:r w:rsidR="000471AC" w:rsidRPr="00726964">
        <w:rPr>
          <w:rFonts w:ascii="Times New Roman" w:hAnsi="Times New Roman" w:cs="Times New Roman"/>
          <w:sz w:val="24"/>
          <w:szCs w:val="24"/>
        </w:rPr>
        <w:t>stos monetários ou burocráticos</w:t>
      </w:r>
      <w:r w:rsidRPr="00726964">
        <w:rPr>
          <w:rFonts w:ascii="Times New Roman" w:hAnsi="Times New Roman" w:cs="Times New Roman"/>
          <w:sz w:val="24"/>
          <w:szCs w:val="24"/>
        </w:rPr>
        <w:t xml:space="preserve"> ao Cadastro Nacional de Pessoas Jurídicas (CNPJ) e passam a estar automaticamente enquadrados no Simples Nacional e isentos dos tributos federais (Imposto de Renda, PIS, </w:t>
      </w:r>
      <w:proofErr w:type="spellStart"/>
      <w:r w:rsidRPr="00726964">
        <w:rPr>
          <w:rFonts w:ascii="Times New Roman" w:hAnsi="Times New Roman" w:cs="Times New Roman"/>
          <w:sz w:val="24"/>
          <w:szCs w:val="24"/>
        </w:rPr>
        <w:t>Cofins</w:t>
      </w:r>
      <w:proofErr w:type="spellEnd"/>
      <w:r w:rsidRPr="00726964">
        <w:rPr>
          <w:rFonts w:ascii="Times New Roman" w:hAnsi="Times New Roman" w:cs="Times New Roman"/>
          <w:sz w:val="24"/>
          <w:szCs w:val="24"/>
        </w:rPr>
        <w:t xml:space="preserve">, IPI e CSLL). </w:t>
      </w:r>
      <w:r w:rsidR="000471AC" w:rsidRPr="00726964">
        <w:rPr>
          <w:rFonts w:ascii="Times New Roman" w:hAnsi="Times New Roman" w:cs="Times New Roman"/>
          <w:sz w:val="24"/>
          <w:szCs w:val="24"/>
        </w:rPr>
        <w:t>Quanto</w:t>
      </w:r>
      <w:r w:rsidRPr="00726964">
        <w:rPr>
          <w:rFonts w:ascii="Times New Roman" w:hAnsi="Times New Roman" w:cs="Times New Roman"/>
          <w:sz w:val="24"/>
          <w:szCs w:val="24"/>
        </w:rPr>
        <w:t xml:space="preserve"> à contribuição previdenciária própria, o MEI </w:t>
      </w:r>
      <w:r w:rsidR="000471AC" w:rsidRPr="00726964">
        <w:rPr>
          <w:rFonts w:ascii="Times New Roman" w:hAnsi="Times New Roman" w:cs="Times New Roman"/>
          <w:sz w:val="24"/>
          <w:szCs w:val="24"/>
        </w:rPr>
        <w:t>passa a</w:t>
      </w:r>
      <w:r w:rsidRPr="00726964">
        <w:rPr>
          <w:rFonts w:ascii="Times New Roman" w:hAnsi="Times New Roman" w:cs="Times New Roman"/>
          <w:sz w:val="24"/>
          <w:szCs w:val="24"/>
        </w:rPr>
        <w:t xml:space="preserve"> contribuir com uma alíquota fixa de apenas 5% sobre o salário mínimo.</w:t>
      </w:r>
      <w:r w:rsidRPr="00726964">
        <w:rPr>
          <w:rStyle w:val="FootnoteReference"/>
          <w:rFonts w:ascii="Times New Roman" w:hAnsi="Times New Roman" w:cs="Times New Roman"/>
          <w:sz w:val="24"/>
          <w:szCs w:val="24"/>
        </w:rPr>
        <w:footnoteReference w:id="5"/>
      </w:r>
      <w:r w:rsidRPr="00726964">
        <w:rPr>
          <w:rFonts w:ascii="Times New Roman" w:hAnsi="Times New Roman" w:cs="Times New Roman"/>
          <w:sz w:val="24"/>
          <w:szCs w:val="24"/>
        </w:rPr>
        <w:t xml:space="preserve"> Dessa forma, a política do MEI reduziu significativamente os custos tanto</w:t>
      </w:r>
      <w:r w:rsidR="00221677" w:rsidRPr="00726964">
        <w:rPr>
          <w:rFonts w:ascii="Times New Roman" w:hAnsi="Times New Roman" w:cs="Times New Roman"/>
          <w:sz w:val="24"/>
          <w:szCs w:val="24"/>
        </w:rPr>
        <w:t xml:space="preserve"> de</w:t>
      </w:r>
      <w:r w:rsidRPr="00726964">
        <w:rPr>
          <w:rFonts w:ascii="Times New Roman" w:hAnsi="Times New Roman" w:cs="Times New Roman"/>
          <w:sz w:val="24"/>
          <w:szCs w:val="24"/>
        </w:rPr>
        <w:t xml:space="preserve"> tornar o negócio formal (obtenção de CNPJ), quanto os custos de contribuir para a previdência. Sendo assim, há incentivos para que os microempreendedores se formalizem em ambas as dimensões e cria um vínculo entre ambas (para este grupo de empreendedores).</w:t>
      </w:r>
    </w:p>
    <w:p w14:paraId="5A409348" w14:textId="77777777" w:rsidR="00571D16" w:rsidRPr="00726964" w:rsidRDefault="00571D16" w:rsidP="00726964">
      <w:pPr>
        <w:spacing w:after="0" w:line="240" w:lineRule="auto"/>
        <w:ind w:firstLine="284"/>
        <w:jc w:val="both"/>
        <w:rPr>
          <w:rFonts w:ascii="Times New Roman" w:hAnsi="Times New Roman" w:cs="Times New Roman"/>
          <w:sz w:val="24"/>
          <w:szCs w:val="24"/>
          <w:u w:val="single"/>
        </w:rPr>
      </w:pPr>
      <w:r w:rsidRPr="00726964">
        <w:rPr>
          <w:rFonts w:ascii="Times New Roman" w:hAnsi="Times New Roman" w:cs="Times New Roman"/>
          <w:sz w:val="24"/>
          <w:szCs w:val="24"/>
        </w:rPr>
        <w:t>Nesse trabalho pretendemos trazer evidências que contribua</w:t>
      </w:r>
      <w:r w:rsidR="003969E2" w:rsidRPr="00726964">
        <w:rPr>
          <w:rFonts w:ascii="Times New Roman" w:hAnsi="Times New Roman" w:cs="Times New Roman"/>
          <w:sz w:val="24"/>
          <w:szCs w:val="24"/>
        </w:rPr>
        <w:t>m</w:t>
      </w:r>
      <w:r w:rsidRPr="00726964">
        <w:rPr>
          <w:rFonts w:ascii="Times New Roman" w:hAnsi="Times New Roman" w:cs="Times New Roman"/>
          <w:sz w:val="24"/>
          <w:szCs w:val="24"/>
        </w:rPr>
        <w:t xml:space="preserve"> para esclarecer, ainda que parcialmente, as seguintes indagações: i) a política do MEI teve êxito em promover o </w:t>
      </w:r>
      <w:r w:rsidR="00F02F12" w:rsidRPr="00726964">
        <w:rPr>
          <w:rFonts w:ascii="Times New Roman" w:hAnsi="Times New Roman" w:cs="Times New Roman"/>
          <w:sz w:val="24"/>
          <w:szCs w:val="24"/>
        </w:rPr>
        <w:t xml:space="preserve">micro </w:t>
      </w:r>
      <w:r w:rsidRPr="00726964">
        <w:rPr>
          <w:rFonts w:ascii="Times New Roman" w:hAnsi="Times New Roman" w:cs="Times New Roman"/>
          <w:sz w:val="24"/>
          <w:szCs w:val="24"/>
        </w:rPr>
        <w:t xml:space="preserve">empreendedorismo no Brasil? </w:t>
      </w:r>
      <w:proofErr w:type="spellStart"/>
      <w:r w:rsidRPr="00726964">
        <w:rPr>
          <w:rFonts w:ascii="Times New Roman" w:hAnsi="Times New Roman" w:cs="Times New Roman"/>
          <w:sz w:val="24"/>
          <w:szCs w:val="24"/>
        </w:rPr>
        <w:t>ii</w:t>
      </w:r>
      <w:proofErr w:type="spellEnd"/>
      <w:r w:rsidRPr="00726964">
        <w:rPr>
          <w:rFonts w:ascii="Times New Roman" w:hAnsi="Times New Roman" w:cs="Times New Roman"/>
          <w:sz w:val="24"/>
          <w:szCs w:val="24"/>
        </w:rPr>
        <w:t>) a política do MEI teve êxito em promover a formalização dos empreendedores?</w:t>
      </w:r>
      <w:r w:rsidR="00C946B4" w:rsidRPr="00726964">
        <w:rPr>
          <w:rFonts w:ascii="Times New Roman" w:hAnsi="Times New Roman" w:cs="Times New Roman"/>
          <w:sz w:val="24"/>
          <w:szCs w:val="24"/>
        </w:rPr>
        <w:t xml:space="preserve"> Para atingir esses objetivos procedemos de duas formas alternativas. Num primeiro momento</w:t>
      </w:r>
      <w:r w:rsidR="003969E2" w:rsidRPr="00726964">
        <w:rPr>
          <w:rFonts w:ascii="Times New Roman" w:hAnsi="Times New Roman" w:cs="Times New Roman"/>
          <w:sz w:val="24"/>
          <w:szCs w:val="24"/>
        </w:rPr>
        <w:t>,</w:t>
      </w:r>
      <w:r w:rsidR="00C946B4" w:rsidRPr="00726964">
        <w:rPr>
          <w:rFonts w:ascii="Times New Roman" w:hAnsi="Times New Roman" w:cs="Times New Roman"/>
          <w:sz w:val="24"/>
          <w:szCs w:val="24"/>
        </w:rPr>
        <w:t xml:space="preserve"> coletamos evidências para cada uma das perguntas separadamente, fazendo uso de metodologias específicas para cada pergunta. Num segundo momento</w:t>
      </w:r>
      <w:r w:rsidR="003969E2" w:rsidRPr="00726964">
        <w:rPr>
          <w:rFonts w:ascii="Times New Roman" w:hAnsi="Times New Roman" w:cs="Times New Roman"/>
          <w:sz w:val="24"/>
          <w:szCs w:val="24"/>
        </w:rPr>
        <w:t>,</w:t>
      </w:r>
      <w:r w:rsidR="00C946B4" w:rsidRPr="00726964">
        <w:rPr>
          <w:rFonts w:ascii="Times New Roman" w:hAnsi="Times New Roman" w:cs="Times New Roman"/>
          <w:sz w:val="24"/>
          <w:szCs w:val="24"/>
        </w:rPr>
        <w:t xml:space="preserve"> faz-se uma análise integrada dessas duas perguntas acompanhando as transições dos indivíduos pelas diferentes situações no mercado de trabalho, inclusive suas ocupações e status de formalização.</w:t>
      </w:r>
      <w:r w:rsidR="003969E2" w:rsidRPr="00726964">
        <w:rPr>
          <w:rFonts w:ascii="Times New Roman" w:hAnsi="Times New Roman" w:cs="Times New Roman"/>
          <w:sz w:val="24"/>
          <w:szCs w:val="24"/>
        </w:rPr>
        <w:t xml:space="preserve"> </w:t>
      </w:r>
      <w:r w:rsidR="00C946B4" w:rsidRPr="00726964">
        <w:rPr>
          <w:rFonts w:ascii="Times New Roman" w:hAnsi="Times New Roman" w:cs="Times New Roman"/>
          <w:sz w:val="24"/>
          <w:szCs w:val="24"/>
        </w:rPr>
        <w:t>Nessa análise integrada é possível contribuir também</w:t>
      </w:r>
      <w:r w:rsidR="00A978E8" w:rsidRPr="00726964">
        <w:rPr>
          <w:rFonts w:ascii="Times New Roman" w:hAnsi="Times New Roman" w:cs="Times New Roman"/>
          <w:sz w:val="24"/>
          <w:szCs w:val="24"/>
        </w:rPr>
        <w:t xml:space="preserve"> para uma terceira indagação, qual seja: </w:t>
      </w:r>
      <w:proofErr w:type="spellStart"/>
      <w:r w:rsidR="00A978E8" w:rsidRPr="00726964">
        <w:rPr>
          <w:rFonts w:ascii="Times New Roman" w:hAnsi="Times New Roman" w:cs="Times New Roman"/>
          <w:sz w:val="24"/>
          <w:szCs w:val="24"/>
        </w:rPr>
        <w:t>iii</w:t>
      </w:r>
      <w:proofErr w:type="spellEnd"/>
      <w:r w:rsidR="00A978E8" w:rsidRPr="00726964">
        <w:rPr>
          <w:rFonts w:ascii="Times New Roman" w:hAnsi="Times New Roman" w:cs="Times New Roman"/>
          <w:sz w:val="24"/>
          <w:szCs w:val="24"/>
        </w:rPr>
        <w:t xml:space="preserve">) a política do MEI pode estar sendo usada por empregadores para evitar encargos trabalhistas via substituição de contratos de trabalho com empregados por contratos de prestação de serviços com </w:t>
      </w:r>
      <w:proofErr w:type="spellStart"/>
      <w:r w:rsidR="00A978E8" w:rsidRPr="00726964">
        <w:rPr>
          <w:rFonts w:ascii="Times New Roman" w:hAnsi="Times New Roman" w:cs="Times New Roman"/>
          <w:sz w:val="24"/>
          <w:szCs w:val="24"/>
        </w:rPr>
        <w:t>suspostos</w:t>
      </w:r>
      <w:proofErr w:type="spellEnd"/>
      <w:r w:rsidR="00A978E8" w:rsidRPr="00726964">
        <w:rPr>
          <w:rFonts w:ascii="Times New Roman" w:hAnsi="Times New Roman" w:cs="Times New Roman"/>
          <w:sz w:val="24"/>
          <w:szCs w:val="24"/>
        </w:rPr>
        <w:t xml:space="preserve"> empreendedores individuais? </w:t>
      </w:r>
    </w:p>
    <w:p w14:paraId="7A5F1E19" w14:textId="77777777" w:rsidR="00141565" w:rsidRPr="00726964" w:rsidRDefault="00686EDC"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sz w:val="24"/>
          <w:szCs w:val="24"/>
        </w:rPr>
        <w:t xml:space="preserve">Os resultados </w:t>
      </w:r>
      <w:r w:rsidR="00A978E8" w:rsidRPr="00726964">
        <w:rPr>
          <w:rFonts w:ascii="Times New Roman" w:hAnsi="Times New Roman" w:cs="Times New Roman"/>
          <w:sz w:val="24"/>
          <w:szCs w:val="24"/>
        </w:rPr>
        <w:t xml:space="preserve">na investigação específica </w:t>
      </w:r>
      <w:r w:rsidR="00FF60DC" w:rsidRPr="00726964">
        <w:rPr>
          <w:rFonts w:ascii="Times New Roman" w:hAnsi="Times New Roman" w:cs="Times New Roman"/>
          <w:sz w:val="24"/>
          <w:szCs w:val="24"/>
        </w:rPr>
        <w:t>sobre promoção do empreendedorismo</w:t>
      </w:r>
      <w:r w:rsidR="00A978E8" w:rsidRPr="00726964">
        <w:rPr>
          <w:rFonts w:ascii="Times New Roman" w:hAnsi="Times New Roman" w:cs="Times New Roman"/>
          <w:sz w:val="24"/>
          <w:szCs w:val="24"/>
        </w:rPr>
        <w:t xml:space="preserve"> </w:t>
      </w:r>
      <w:r w:rsidR="006471F7" w:rsidRPr="00726964">
        <w:rPr>
          <w:rFonts w:ascii="Times New Roman" w:hAnsi="Times New Roman" w:cs="Times New Roman"/>
          <w:sz w:val="24"/>
          <w:szCs w:val="24"/>
        </w:rPr>
        <w:t xml:space="preserve">sugerem que a política do MEI pode ter tido um efeito de redução de escala para aqueles que já eram empreendedores, mas não há evidências de mudanças no padrão de escolha ocupacional entre ser um micro empreendedor e demais posições na ocupação. </w:t>
      </w:r>
      <w:r w:rsidR="00264087" w:rsidRPr="00726964">
        <w:rPr>
          <w:rFonts w:ascii="Times New Roman" w:hAnsi="Times New Roman" w:cs="Times New Roman"/>
          <w:sz w:val="24"/>
          <w:szCs w:val="24"/>
        </w:rPr>
        <w:t xml:space="preserve">Quanto à </w:t>
      </w:r>
      <w:r w:rsidR="00A978E8" w:rsidRPr="00726964">
        <w:rPr>
          <w:rFonts w:ascii="Times New Roman" w:hAnsi="Times New Roman" w:cs="Times New Roman"/>
          <w:sz w:val="24"/>
          <w:szCs w:val="24"/>
        </w:rPr>
        <w:t xml:space="preserve">investigação específica sobre </w:t>
      </w:r>
      <w:r w:rsidR="00264087" w:rsidRPr="00726964">
        <w:rPr>
          <w:rFonts w:ascii="Times New Roman" w:hAnsi="Times New Roman" w:cs="Times New Roman"/>
          <w:sz w:val="24"/>
          <w:szCs w:val="24"/>
        </w:rPr>
        <w:t xml:space="preserve">decisão de formalização, </w:t>
      </w:r>
      <w:r w:rsidR="006471F7" w:rsidRPr="00726964">
        <w:rPr>
          <w:rFonts w:ascii="Times New Roman" w:hAnsi="Times New Roman" w:cs="Times New Roman"/>
          <w:sz w:val="24"/>
          <w:szCs w:val="24"/>
        </w:rPr>
        <w:t xml:space="preserve">os resultados sugerem que a política pode ter tido um impacto </w:t>
      </w:r>
      <w:r w:rsidR="00DC2381" w:rsidRPr="00726964">
        <w:rPr>
          <w:rFonts w:ascii="Times New Roman" w:hAnsi="Times New Roman" w:cs="Times New Roman"/>
          <w:sz w:val="24"/>
          <w:szCs w:val="24"/>
        </w:rPr>
        <w:t xml:space="preserve">positivo </w:t>
      </w:r>
      <w:r w:rsidR="006471F7" w:rsidRPr="00726964">
        <w:rPr>
          <w:rFonts w:ascii="Times New Roman" w:hAnsi="Times New Roman" w:cs="Times New Roman"/>
          <w:sz w:val="24"/>
          <w:szCs w:val="24"/>
        </w:rPr>
        <w:t xml:space="preserve">na decisão dos </w:t>
      </w:r>
      <w:r w:rsidR="00DC2381" w:rsidRPr="00726964">
        <w:rPr>
          <w:rFonts w:ascii="Times New Roman" w:hAnsi="Times New Roman" w:cs="Times New Roman"/>
          <w:sz w:val="24"/>
          <w:szCs w:val="24"/>
        </w:rPr>
        <w:t xml:space="preserve">empreendedores individuais </w:t>
      </w:r>
      <w:r w:rsidR="006471F7" w:rsidRPr="00726964">
        <w:rPr>
          <w:rFonts w:ascii="Times New Roman" w:hAnsi="Times New Roman" w:cs="Times New Roman"/>
          <w:sz w:val="24"/>
          <w:szCs w:val="24"/>
        </w:rPr>
        <w:t>de contribuírem para a previdência.</w:t>
      </w:r>
      <w:r w:rsidR="00141565" w:rsidRPr="00726964">
        <w:rPr>
          <w:rFonts w:ascii="Times New Roman" w:hAnsi="Times New Roman" w:cs="Times New Roman"/>
          <w:sz w:val="24"/>
          <w:szCs w:val="24"/>
        </w:rPr>
        <w:t xml:space="preserve"> </w:t>
      </w:r>
    </w:p>
    <w:p w14:paraId="2E12A955" w14:textId="77777777" w:rsidR="00DB55FD" w:rsidRPr="00726964" w:rsidRDefault="00DB55FD"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Finalmente, a análise </w:t>
      </w:r>
      <w:r w:rsidR="00A978E8" w:rsidRPr="00726964">
        <w:rPr>
          <w:rFonts w:ascii="Times New Roman" w:hAnsi="Times New Roman" w:cs="Times New Roman"/>
          <w:bCs/>
          <w:sz w:val="24"/>
          <w:szCs w:val="24"/>
        </w:rPr>
        <w:t xml:space="preserve">integrada a partir </w:t>
      </w:r>
      <w:r w:rsidRPr="00726964">
        <w:rPr>
          <w:rFonts w:ascii="Times New Roman" w:hAnsi="Times New Roman" w:cs="Times New Roman"/>
          <w:bCs/>
          <w:sz w:val="24"/>
          <w:szCs w:val="24"/>
        </w:rPr>
        <w:t>de fluxos no mercado de trabalho com base nos dados da PME revela que todas as posições na ocupação se tornaram estados menos absorventes quando comparadas à opção de ser um trabalhador autônomo formal. Isso inclui tanto a formalização dos trabalhadores que já eram autônomos, quanto efeitos de redução de escala dos empreendimentos. Além disso, observa-se também uma redução na razão de chance de manter um emprego formal</w:t>
      </w:r>
      <w:r w:rsidR="003969E2" w:rsidRPr="00726964">
        <w:rPr>
          <w:rFonts w:ascii="Times New Roman" w:hAnsi="Times New Roman" w:cs="Times New Roman"/>
          <w:bCs/>
          <w:sz w:val="24"/>
          <w:szCs w:val="24"/>
        </w:rPr>
        <w:t xml:space="preserve"> </w:t>
      </w:r>
      <w:proofErr w:type="spellStart"/>
      <w:r w:rsidR="003969E2" w:rsidRPr="00726964">
        <w:rPr>
          <w:rFonts w:ascii="Times New Roman" w:hAnsi="Times New Roman" w:cs="Times New Roman"/>
          <w:bCs/>
          <w:sz w:val="24"/>
          <w:szCs w:val="24"/>
        </w:rPr>
        <w:t>vis-a-vis</w:t>
      </w:r>
      <w:proofErr w:type="spellEnd"/>
      <w:r w:rsidR="003969E2" w:rsidRPr="00726964">
        <w:rPr>
          <w:rFonts w:ascii="Times New Roman" w:hAnsi="Times New Roman" w:cs="Times New Roman"/>
          <w:bCs/>
          <w:sz w:val="24"/>
          <w:szCs w:val="24"/>
        </w:rPr>
        <w:t xml:space="preserve"> ser um MEI (formal)</w:t>
      </w:r>
      <w:r w:rsidRPr="00726964">
        <w:rPr>
          <w:rFonts w:ascii="Times New Roman" w:hAnsi="Times New Roman" w:cs="Times New Roman"/>
          <w:bCs/>
          <w:sz w:val="24"/>
          <w:szCs w:val="24"/>
        </w:rPr>
        <w:t xml:space="preserve">. </w:t>
      </w:r>
      <w:r w:rsidR="00786A33" w:rsidRPr="00726964">
        <w:rPr>
          <w:rFonts w:ascii="Times New Roman" w:hAnsi="Times New Roman" w:cs="Times New Roman"/>
          <w:bCs/>
          <w:sz w:val="24"/>
          <w:szCs w:val="24"/>
        </w:rPr>
        <w:t xml:space="preserve">Essa última evidência estaria mais conectada com a indagação </w:t>
      </w:r>
      <w:r w:rsidR="003969E2" w:rsidRPr="00726964">
        <w:rPr>
          <w:rFonts w:ascii="Times New Roman" w:hAnsi="Times New Roman" w:cs="Times New Roman"/>
          <w:bCs/>
          <w:sz w:val="24"/>
          <w:szCs w:val="24"/>
        </w:rPr>
        <w:t>(</w:t>
      </w:r>
      <w:proofErr w:type="spellStart"/>
      <w:r w:rsidR="00786A33" w:rsidRPr="00726964">
        <w:rPr>
          <w:rFonts w:ascii="Times New Roman" w:hAnsi="Times New Roman" w:cs="Times New Roman"/>
          <w:bCs/>
          <w:sz w:val="24"/>
          <w:szCs w:val="24"/>
        </w:rPr>
        <w:t>iii</w:t>
      </w:r>
      <w:proofErr w:type="spellEnd"/>
      <w:r w:rsidR="00786A33" w:rsidRPr="00726964">
        <w:rPr>
          <w:rFonts w:ascii="Times New Roman" w:hAnsi="Times New Roman" w:cs="Times New Roman"/>
          <w:bCs/>
          <w:sz w:val="24"/>
          <w:szCs w:val="24"/>
        </w:rPr>
        <w:t>), e vai na mesma direção do que foi apontado por Oliveira (2013).</w:t>
      </w:r>
      <w:r w:rsidR="003969E2" w:rsidRPr="00726964">
        <w:rPr>
          <w:rFonts w:ascii="Times New Roman" w:hAnsi="Times New Roman" w:cs="Times New Roman"/>
          <w:bCs/>
          <w:sz w:val="24"/>
          <w:szCs w:val="24"/>
        </w:rPr>
        <w:t xml:space="preserve"> Porém, os dados disponíveis não permitem a separação entre esse potencial efeito de substituição de relações de trabalho formais por prestação de serviços, e uma decisão de empregados formais que desejam tornar-se empreendedores diante dos menores custos de criar uma empresa.</w:t>
      </w:r>
    </w:p>
    <w:p w14:paraId="1CF6EC49" w14:textId="77777777" w:rsidR="007129C3" w:rsidRPr="00726964" w:rsidRDefault="000471AC"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Este artigo está relacionado com </w:t>
      </w:r>
      <w:r w:rsidR="00EB37C2" w:rsidRPr="00726964">
        <w:rPr>
          <w:rFonts w:ascii="Times New Roman" w:hAnsi="Times New Roman" w:cs="Times New Roman"/>
          <w:sz w:val="24"/>
          <w:szCs w:val="24"/>
        </w:rPr>
        <w:t>pelo menos duas vertentes d</w:t>
      </w:r>
      <w:r w:rsidRPr="00726964">
        <w:rPr>
          <w:rFonts w:ascii="Times New Roman" w:hAnsi="Times New Roman" w:cs="Times New Roman"/>
          <w:sz w:val="24"/>
          <w:szCs w:val="24"/>
        </w:rPr>
        <w:t>a literatura</w:t>
      </w:r>
      <w:r w:rsidR="00EB37C2" w:rsidRPr="00726964">
        <w:rPr>
          <w:rFonts w:ascii="Times New Roman" w:hAnsi="Times New Roman" w:cs="Times New Roman"/>
          <w:sz w:val="24"/>
          <w:szCs w:val="24"/>
        </w:rPr>
        <w:t xml:space="preserve">. A primeira delas analisa </w:t>
      </w:r>
      <w:r w:rsidR="00031834" w:rsidRPr="00726964">
        <w:rPr>
          <w:rFonts w:ascii="Times New Roman" w:hAnsi="Times New Roman" w:cs="Times New Roman"/>
          <w:sz w:val="24"/>
          <w:szCs w:val="24"/>
        </w:rPr>
        <w:t>políticas</w:t>
      </w:r>
      <w:r w:rsidR="00EB37C2" w:rsidRPr="00726964">
        <w:rPr>
          <w:rFonts w:ascii="Times New Roman" w:hAnsi="Times New Roman" w:cs="Times New Roman"/>
          <w:sz w:val="24"/>
          <w:szCs w:val="24"/>
        </w:rPr>
        <w:t xml:space="preserve"> que visam incentivar a atividade empreendedora. Cho e </w:t>
      </w:r>
      <w:proofErr w:type="spellStart"/>
      <w:r w:rsidR="00EB37C2" w:rsidRPr="00726964">
        <w:rPr>
          <w:rFonts w:ascii="Times New Roman" w:hAnsi="Times New Roman" w:cs="Times New Roman"/>
          <w:sz w:val="24"/>
          <w:szCs w:val="24"/>
        </w:rPr>
        <w:t>Honorati</w:t>
      </w:r>
      <w:proofErr w:type="spellEnd"/>
      <w:r w:rsidR="00EB37C2" w:rsidRPr="00726964">
        <w:rPr>
          <w:rFonts w:ascii="Times New Roman" w:hAnsi="Times New Roman" w:cs="Times New Roman"/>
          <w:sz w:val="24"/>
          <w:szCs w:val="24"/>
        </w:rPr>
        <w:t xml:space="preserve"> (2013) sintetizam </w:t>
      </w:r>
      <w:r w:rsidR="00031834" w:rsidRPr="00726964">
        <w:rPr>
          <w:rFonts w:ascii="Times New Roman" w:hAnsi="Times New Roman" w:cs="Times New Roman"/>
          <w:sz w:val="24"/>
          <w:szCs w:val="24"/>
        </w:rPr>
        <w:t>um</w:t>
      </w:r>
      <w:r w:rsidR="00EB37C2" w:rsidRPr="00726964">
        <w:rPr>
          <w:rFonts w:ascii="Times New Roman" w:hAnsi="Times New Roman" w:cs="Times New Roman"/>
          <w:sz w:val="24"/>
          <w:szCs w:val="24"/>
        </w:rPr>
        <w:t xml:space="preserve">a literatura </w:t>
      </w:r>
      <w:r w:rsidR="00031834" w:rsidRPr="00726964">
        <w:rPr>
          <w:rFonts w:ascii="Times New Roman" w:hAnsi="Times New Roman" w:cs="Times New Roman"/>
          <w:sz w:val="24"/>
          <w:szCs w:val="24"/>
        </w:rPr>
        <w:t xml:space="preserve">de avaliação de programas com este objetivo </w:t>
      </w:r>
      <w:r w:rsidR="00EB37C2" w:rsidRPr="00726964">
        <w:rPr>
          <w:rFonts w:ascii="Times New Roman" w:hAnsi="Times New Roman" w:cs="Times New Roman"/>
          <w:sz w:val="24"/>
          <w:szCs w:val="24"/>
        </w:rPr>
        <w:t>no contexto de países em desenvolvimento.</w:t>
      </w:r>
      <w:r w:rsidR="00031834" w:rsidRPr="00726964">
        <w:rPr>
          <w:rFonts w:ascii="Times New Roman" w:hAnsi="Times New Roman" w:cs="Times New Roman"/>
          <w:sz w:val="24"/>
          <w:szCs w:val="24"/>
        </w:rPr>
        <w:t xml:space="preserve"> Nogueira e Oliveira (2013) trazem uma análise crítica </w:t>
      </w:r>
      <w:r w:rsidR="007129C3" w:rsidRPr="00726964">
        <w:rPr>
          <w:rFonts w:ascii="Times New Roman" w:hAnsi="Times New Roman" w:cs="Times New Roman"/>
          <w:sz w:val="24"/>
          <w:szCs w:val="24"/>
        </w:rPr>
        <w:t>das iniciativas</w:t>
      </w:r>
      <w:r w:rsidR="00031834" w:rsidRPr="00726964">
        <w:rPr>
          <w:rFonts w:ascii="Times New Roman" w:hAnsi="Times New Roman" w:cs="Times New Roman"/>
          <w:sz w:val="24"/>
          <w:szCs w:val="24"/>
        </w:rPr>
        <w:t xml:space="preserve"> vigente</w:t>
      </w:r>
      <w:r w:rsidR="007129C3" w:rsidRPr="00726964">
        <w:rPr>
          <w:rFonts w:ascii="Times New Roman" w:hAnsi="Times New Roman" w:cs="Times New Roman"/>
          <w:sz w:val="24"/>
          <w:szCs w:val="24"/>
        </w:rPr>
        <w:t>s</w:t>
      </w:r>
      <w:r w:rsidR="00031834" w:rsidRPr="00726964">
        <w:rPr>
          <w:rFonts w:ascii="Times New Roman" w:hAnsi="Times New Roman" w:cs="Times New Roman"/>
          <w:sz w:val="24"/>
          <w:szCs w:val="24"/>
        </w:rPr>
        <w:t xml:space="preserve"> para </w:t>
      </w:r>
      <w:r w:rsidR="007129C3" w:rsidRPr="00726964">
        <w:rPr>
          <w:rFonts w:ascii="Times New Roman" w:hAnsi="Times New Roman" w:cs="Times New Roman"/>
          <w:sz w:val="24"/>
          <w:szCs w:val="24"/>
        </w:rPr>
        <w:t>o desenvolvimento d</w:t>
      </w:r>
      <w:r w:rsidR="00031834" w:rsidRPr="00726964">
        <w:rPr>
          <w:rFonts w:ascii="Times New Roman" w:hAnsi="Times New Roman" w:cs="Times New Roman"/>
          <w:sz w:val="24"/>
          <w:szCs w:val="24"/>
        </w:rPr>
        <w:t>esse segmento no Brasil.</w:t>
      </w:r>
      <w:r w:rsidRPr="00726964">
        <w:rPr>
          <w:rFonts w:ascii="Times New Roman" w:hAnsi="Times New Roman" w:cs="Times New Roman"/>
          <w:sz w:val="24"/>
          <w:szCs w:val="24"/>
        </w:rPr>
        <w:t xml:space="preserve"> </w:t>
      </w:r>
    </w:p>
    <w:p w14:paraId="47D36E28" w14:textId="77777777" w:rsidR="00EB37C2" w:rsidRPr="00726964" w:rsidRDefault="00EB37C2"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A segunda vertente </w:t>
      </w:r>
      <w:r w:rsidR="000471AC" w:rsidRPr="00726964">
        <w:rPr>
          <w:rFonts w:ascii="Times New Roman" w:hAnsi="Times New Roman" w:cs="Times New Roman"/>
          <w:sz w:val="24"/>
          <w:szCs w:val="24"/>
        </w:rPr>
        <w:t xml:space="preserve">analisa os determinantes da informalidade das firmas. </w:t>
      </w:r>
      <w:r w:rsidR="00936310" w:rsidRPr="00726964">
        <w:rPr>
          <w:rFonts w:ascii="Times New Roman" w:hAnsi="Times New Roman" w:cs="Times New Roman"/>
          <w:sz w:val="24"/>
          <w:szCs w:val="24"/>
        </w:rPr>
        <w:t>Em particular, a</w:t>
      </w:r>
      <w:r w:rsidR="00D235F5" w:rsidRPr="00726964">
        <w:rPr>
          <w:rFonts w:ascii="Times New Roman" w:hAnsi="Times New Roman" w:cs="Times New Roman"/>
          <w:sz w:val="24"/>
          <w:szCs w:val="24"/>
        </w:rPr>
        <w:t xml:space="preserve">rtigos mais recentes utilizam </w:t>
      </w:r>
      <w:proofErr w:type="spellStart"/>
      <w:r w:rsidR="00D235F5" w:rsidRPr="00726964">
        <w:rPr>
          <w:rFonts w:ascii="Times New Roman" w:hAnsi="Times New Roman" w:cs="Times New Roman"/>
          <w:sz w:val="24"/>
          <w:szCs w:val="24"/>
        </w:rPr>
        <w:t>microdados</w:t>
      </w:r>
      <w:proofErr w:type="spellEnd"/>
      <w:r w:rsidR="00D235F5" w:rsidRPr="00726964">
        <w:rPr>
          <w:rFonts w:ascii="Times New Roman" w:hAnsi="Times New Roman" w:cs="Times New Roman"/>
          <w:sz w:val="24"/>
          <w:szCs w:val="24"/>
        </w:rPr>
        <w:t xml:space="preserve"> </w:t>
      </w:r>
      <w:r w:rsidR="00936310" w:rsidRPr="00726964">
        <w:rPr>
          <w:rFonts w:ascii="Times New Roman" w:hAnsi="Times New Roman" w:cs="Times New Roman"/>
          <w:sz w:val="24"/>
          <w:szCs w:val="24"/>
        </w:rPr>
        <w:t>e métodos de forma reduzida</w:t>
      </w:r>
      <w:r w:rsidR="00D235F5" w:rsidRPr="00726964">
        <w:rPr>
          <w:rFonts w:ascii="Times New Roman" w:hAnsi="Times New Roman" w:cs="Times New Roman"/>
          <w:sz w:val="24"/>
          <w:szCs w:val="24"/>
        </w:rPr>
        <w:t xml:space="preserve"> para identificar os impactos </w:t>
      </w:r>
      <w:r w:rsidR="00936310" w:rsidRPr="00726964">
        <w:rPr>
          <w:rFonts w:ascii="Times New Roman" w:hAnsi="Times New Roman" w:cs="Times New Roman"/>
          <w:sz w:val="24"/>
          <w:szCs w:val="24"/>
        </w:rPr>
        <w:t>(</w:t>
      </w:r>
      <w:proofErr w:type="spellStart"/>
      <w:r w:rsidR="00936310" w:rsidRPr="00726964">
        <w:rPr>
          <w:rFonts w:ascii="Times New Roman" w:hAnsi="Times New Roman" w:cs="Times New Roman"/>
          <w:i/>
          <w:sz w:val="24"/>
          <w:szCs w:val="24"/>
        </w:rPr>
        <w:t>ex</w:t>
      </w:r>
      <w:proofErr w:type="spellEnd"/>
      <w:r w:rsidR="00936310" w:rsidRPr="00726964">
        <w:rPr>
          <w:rFonts w:ascii="Times New Roman" w:hAnsi="Times New Roman" w:cs="Times New Roman"/>
          <w:i/>
          <w:sz w:val="24"/>
          <w:szCs w:val="24"/>
        </w:rPr>
        <w:t xml:space="preserve"> post</w:t>
      </w:r>
      <w:r w:rsidR="00936310" w:rsidRPr="00726964">
        <w:rPr>
          <w:rFonts w:ascii="Times New Roman" w:hAnsi="Times New Roman" w:cs="Times New Roman"/>
          <w:sz w:val="24"/>
          <w:szCs w:val="24"/>
        </w:rPr>
        <w:t xml:space="preserve">) </w:t>
      </w:r>
      <w:r w:rsidR="00D235F5" w:rsidRPr="00726964">
        <w:rPr>
          <w:rFonts w:ascii="Times New Roman" w:hAnsi="Times New Roman" w:cs="Times New Roman"/>
          <w:sz w:val="24"/>
          <w:szCs w:val="24"/>
        </w:rPr>
        <w:t>de</w:t>
      </w:r>
      <w:r w:rsidR="00936310" w:rsidRPr="00726964">
        <w:rPr>
          <w:rFonts w:ascii="Times New Roman" w:hAnsi="Times New Roman" w:cs="Times New Roman"/>
          <w:sz w:val="24"/>
          <w:szCs w:val="24"/>
        </w:rPr>
        <w:t xml:space="preserve"> políticas que visam reduzir o custo da formalidade </w:t>
      </w:r>
      <w:r w:rsidR="00936310" w:rsidRPr="00726964">
        <w:rPr>
          <w:rFonts w:ascii="Times New Roman" w:hAnsi="Times New Roman" w:cs="Times New Roman"/>
          <w:sz w:val="24"/>
          <w:szCs w:val="24"/>
        </w:rPr>
        <w:lastRenderedPageBreak/>
        <w:t xml:space="preserve">sobre a formalização das empresas. </w:t>
      </w:r>
      <w:r w:rsidR="00D235F5" w:rsidRPr="00726964">
        <w:rPr>
          <w:rFonts w:ascii="Times New Roman" w:hAnsi="Times New Roman" w:cs="Times New Roman"/>
          <w:sz w:val="24"/>
          <w:szCs w:val="24"/>
        </w:rPr>
        <w:t xml:space="preserve"> Kaplan et al. (2011)</w:t>
      </w:r>
      <w:r w:rsidR="00936310" w:rsidRPr="00726964">
        <w:rPr>
          <w:rFonts w:ascii="Times New Roman" w:hAnsi="Times New Roman" w:cs="Times New Roman"/>
          <w:sz w:val="24"/>
          <w:szCs w:val="24"/>
        </w:rPr>
        <w:t xml:space="preserve"> analisam um programa de simplificação burocrática no processo de formalização de firmas no México e encontram efeitos muito reduzidos tanto sobre formalização de empresas quanto geração de empregos formais.</w:t>
      </w:r>
      <w:r w:rsidR="00936310" w:rsidRPr="00726964">
        <w:rPr>
          <w:rStyle w:val="FootnoteReference"/>
          <w:rFonts w:ascii="Times New Roman" w:hAnsi="Times New Roman" w:cs="Times New Roman"/>
          <w:sz w:val="24"/>
          <w:szCs w:val="24"/>
        </w:rPr>
        <w:footnoteReference w:id="6"/>
      </w:r>
      <w:r w:rsidR="00936310" w:rsidRPr="00726964">
        <w:rPr>
          <w:rFonts w:ascii="Times New Roman" w:hAnsi="Times New Roman" w:cs="Times New Roman"/>
          <w:sz w:val="24"/>
          <w:szCs w:val="24"/>
        </w:rPr>
        <w:t xml:space="preserve"> Mais recentemente, </w:t>
      </w:r>
      <w:r w:rsidR="00D235F5" w:rsidRPr="00726964">
        <w:rPr>
          <w:rFonts w:ascii="Times New Roman" w:hAnsi="Times New Roman" w:cs="Times New Roman"/>
          <w:sz w:val="24"/>
          <w:szCs w:val="24"/>
        </w:rPr>
        <w:t>de Mel et al. (2012)]</w:t>
      </w:r>
      <w:r w:rsidR="00936310" w:rsidRPr="00726964">
        <w:rPr>
          <w:rFonts w:ascii="Times New Roman" w:hAnsi="Times New Roman" w:cs="Times New Roman"/>
          <w:sz w:val="24"/>
          <w:szCs w:val="24"/>
        </w:rPr>
        <w:t xml:space="preserve"> realizam um experimento natural no Sri Lanka e também encontram efeitos muito limitados de reduções nos custos burocráticos e monetários de formalização sobre a taxa de formalização das empresas. Para o Brasil, </w:t>
      </w:r>
      <w:proofErr w:type="spellStart"/>
      <w:r w:rsidR="00936310" w:rsidRPr="00726964">
        <w:rPr>
          <w:rFonts w:ascii="Times New Roman" w:hAnsi="Times New Roman" w:cs="Times New Roman"/>
          <w:sz w:val="24"/>
          <w:szCs w:val="24"/>
        </w:rPr>
        <w:t>Fajnzylber</w:t>
      </w:r>
      <w:proofErr w:type="spellEnd"/>
      <w:r w:rsidR="00936310" w:rsidRPr="00726964">
        <w:rPr>
          <w:rFonts w:ascii="Times New Roman" w:hAnsi="Times New Roman" w:cs="Times New Roman"/>
          <w:sz w:val="24"/>
          <w:szCs w:val="24"/>
        </w:rPr>
        <w:t xml:space="preserve"> et al. (2011) e </w:t>
      </w:r>
      <w:r w:rsidRPr="00726964">
        <w:rPr>
          <w:rFonts w:ascii="Times New Roman" w:hAnsi="Times New Roman" w:cs="Times New Roman"/>
          <w:sz w:val="24"/>
          <w:szCs w:val="24"/>
        </w:rPr>
        <w:t xml:space="preserve">Assunção e Monteiro (2012) </w:t>
      </w:r>
      <w:r w:rsidR="00936310" w:rsidRPr="00726964">
        <w:rPr>
          <w:rFonts w:ascii="Times New Roman" w:hAnsi="Times New Roman" w:cs="Times New Roman"/>
          <w:sz w:val="24"/>
          <w:szCs w:val="24"/>
        </w:rPr>
        <w:t xml:space="preserve">analisam os impactos do SIMPLES </w:t>
      </w:r>
      <w:r w:rsidRPr="00726964">
        <w:rPr>
          <w:rFonts w:ascii="Times New Roman" w:hAnsi="Times New Roman" w:cs="Times New Roman"/>
          <w:sz w:val="24"/>
          <w:szCs w:val="24"/>
        </w:rPr>
        <w:t>sobre a decisão das firmas de se formalizarem</w:t>
      </w:r>
      <w:r w:rsidR="00031834" w:rsidRPr="00726964">
        <w:rPr>
          <w:rFonts w:ascii="Times New Roman" w:hAnsi="Times New Roman" w:cs="Times New Roman"/>
          <w:sz w:val="24"/>
          <w:szCs w:val="24"/>
        </w:rPr>
        <w:t xml:space="preserve"> tomando como base os dados da Pesquisa da Economia Informal (ECINF) do IBGE</w:t>
      </w:r>
      <w:r w:rsidRPr="00726964">
        <w:rPr>
          <w:rFonts w:ascii="Times New Roman" w:hAnsi="Times New Roman" w:cs="Times New Roman"/>
          <w:sz w:val="24"/>
          <w:szCs w:val="24"/>
        </w:rPr>
        <w:t>.</w:t>
      </w:r>
      <w:r w:rsidR="00936310" w:rsidRPr="00726964">
        <w:rPr>
          <w:rFonts w:ascii="Times New Roman" w:hAnsi="Times New Roman" w:cs="Times New Roman"/>
          <w:sz w:val="24"/>
          <w:szCs w:val="24"/>
        </w:rPr>
        <w:t xml:space="preserve"> Ambos os estudos encontram efeitos baixos do programa sobre a formalização das empresas.</w:t>
      </w:r>
      <w:r w:rsidR="00936310" w:rsidRPr="00726964">
        <w:rPr>
          <w:rStyle w:val="FootnoteReference"/>
          <w:rFonts w:ascii="Times New Roman" w:hAnsi="Times New Roman" w:cs="Times New Roman"/>
          <w:sz w:val="24"/>
          <w:szCs w:val="24"/>
        </w:rPr>
        <w:footnoteReference w:id="7"/>
      </w:r>
      <w:r w:rsidRPr="00726964">
        <w:rPr>
          <w:rFonts w:ascii="Times New Roman" w:hAnsi="Times New Roman" w:cs="Times New Roman"/>
          <w:sz w:val="24"/>
          <w:szCs w:val="24"/>
        </w:rPr>
        <w:t xml:space="preserve"> </w:t>
      </w:r>
    </w:p>
    <w:p w14:paraId="1535D2DE" w14:textId="77777777" w:rsidR="00AF3C74" w:rsidRPr="00726964" w:rsidRDefault="00686EDC" w:rsidP="00726964">
      <w:pPr>
        <w:spacing w:after="0" w:line="240" w:lineRule="auto"/>
        <w:ind w:firstLine="284"/>
        <w:jc w:val="both"/>
        <w:rPr>
          <w:rFonts w:ascii="Times New Roman" w:hAnsi="Times New Roman" w:cs="Times New Roman"/>
          <w:sz w:val="24"/>
          <w:szCs w:val="24"/>
          <w:u w:val="single"/>
        </w:rPr>
      </w:pPr>
      <w:r w:rsidRPr="00726964">
        <w:rPr>
          <w:rFonts w:ascii="Times New Roman" w:hAnsi="Times New Roman" w:cs="Times New Roman"/>
          <w:sz w:val="24"/>
          <w:szCs w:val="24"/>
        </w:rPr>
        <w:t xml:space="preserve">O restante do artigo está organizado da seguinte forma. A Seção 2 apresenta os </w:t>
      </w:r>
      <w:r w:rsidR="009731BE" w:rsidRPr="00726964">
        <w:rPr>
          <w:rFonts w:ascii="Times New Roman" w:hAnsi="Times New Roman" w:cs="Times New Roman"/>
          <w:sz w:val="24"/>
          <w:szCs w:val="24"/>
        </w:rPr>
        <w:t xml:space="preserve">preliminares empíricos, com uma descrição dos </w:t>
      </w:r>
      <w:r w:rsidRPr="00726964">
        <w:rPr>
          <w:rFonts w:ascii="Times New Roman" w:hAnsi="Times New Roman" w:cs="Times New Roman"/>
          <w:sz w:val="24"/>
          <w:szCs w:val="24"/>
        </w:rPr>
        <w:t>dados utilizad</w:t>
      </w:r>
      <w:r w:rsidR="009731BE" w:rsidRPr="00726964">
        <w:rPr>
          <w:rFonts w:ascii="Times New Roman" w:hAnsi="Times New Roman" w:cs="Times New Roman"/>
          <w:sz w:val="24"/>
          <w:szCs w:val="24"/>
        </w:rPr>
        <w:t>o</w:t>
      </w:r>
      <w:r w:rsidRPr="00726964">
        <w:rPr>
          <w:rFonts w:ascii="Times New Roman" w:hAnsi="Times New Roman" w:cs="Times New Roman"/>
          <w:sz w:val="24"/>
          <w:szCs w:val="24"/>
        </w:rPr>
        <w:t xml:space="preserve">s e </w:t>
      </w:r>
      <w:r w:rsidR="009731BE" w:rsidRPr="00726964">
        <w:rPr>
          <w:rFonts w:ascii="Times New Roman" w:hAnsi="Times New Roman" w:cs="Times New Roman"/>
          <w:sz w:val="24"/>
          <w:szCs w:val="24"/>
        </w:rPr>
        <w:t xml:space="preserve">apresentação de </w:t>
      </w:r>
      <w:r w:rsidRPr="00726964">
        <w:rPr>
          <w:rFonts w:ascii="Times New Roman" w:hAnsi="Times New Roman" w:cs="Times New Roman"/>
          <w:sz w:val="24"/>
          <w:szCs w:val="24"/>
        </w:rPr>
        <w:t xml:space="preserve">alguns fatos estilizados. </w:t>
      </w:r>
      <w:r w:rsidR="009731BE" w:rsidRPr="00726964">
        <w:rPr>
          <w:rFonts w:ascii="Times New Roman" w:hAnsi="Times New Roman" w:cs="Times New Roman"/>
          <w:sz w:val="24"/>
          <w:szCs w:val="24"/>
        </w:rPr>
        <w:t>As Seções 3 e 4 apresentam as análises das associações entre o programa MEI e as escolhas ocupacionais dos indivíduos e as decisões de formalizam dos microempreendedores, respectivamente. A Seção 5 contém uma análise dos fluxos de trabalhadores e como estes podem ter sido influenciados pela política. Finalmente, a Seção 6 conclui.</w:t>
      </w:r>
    </w:p>
    <w:p w14:paraId="4CE75C6C" w14:textId="77777777" w:rsidR="00021085" w:rsidRPr="00726964" w:rsidRDefault="00021085" w:rsidP="00726964">
      <w:pPr>
        <w:pStyle w:val="Heading1"/>
        <w:spacing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t xml:space="preserve">2 </w:t>
      </w:r>
      <w:r w:rsidR="00BB6ACE" w:rsidRPr="00726964">
        <w:rPr>
          <w:rFonts w:ascii="Times New Roman" w:hAnsi="Times New Roman" w:cs="Times New Roman"/>
          <w:color w:val="auto"/>
          <w:sz w:val="24"/>
          <w:szCs w:val="24"/>
        </w:rPr>
        <w:t>Preliminares</w:t>
      </w:r>
      <w:r w:rsidR="004A3BDB" w:rsidRPr="00726964">
        <w:rPr>
          <w:rFonts w:ascii="Times New Roman" w:hAnsi="Times New Roman" w:cs="Times New Roman"/>
          <w:color w:val="auto"/>
          <w:sz w:val="24"/>
          <w:szCs w:val="24"/>
        </w:rPr>
        <w:t xml:space="preserve"> empíricos</w:t>
      </w:r>
    </w:p>
    <w:p w14:paraId="62D189E7" w14:textId="77777777" w:rsidR="00021085" w:rsidRPr="00726964" w:rsidRDefault="00021085" w:rsidP="00726964">
      <w:pPr>
        <w:spacing w:after="0" w:line="240" w:lineRule="auto"/>
        <w:jc w:val="both"/>
        <w:rPr>
          <w:rFonts w:ascii="Times New Roman" w:hAnsi="Times New Roman" w:cs="Times New Roman"/>
          <w:sz w:val="24"/>
          <w:szCs w:val="24"/>
        </w:rPr>
      </w:pPr>
    </w:p>
    <w:p w14:paraId="1BA447A0" w14:textId="77777777" w:rsidR="00A74EFC" w:rsidRPr="00726964" w:rsidRDefault="00A74EFC" w:rsidP="00726964">
      <w:pPr>
        <w:spacing w:after="120" w:line="240" w:lineRule="auto"/>
        <w:jc w:val="both"/>
        <w:rPr>
          <w:rFonts w:ascii="Times New Roman" w:hAnsi="Times New Roman" w:cs="Times New Roman"/>
          <w:b/>
          <w:sz w:val="24"/>
          <w:szCs w:val="24"/>
        </w:rPr>
      </w:pPr>
      <w:r w:rsidRPr="00726964">
        <w:rPr>
          <w:rFonts w:ascii="Times New Roman" w:hAnsi="Times New Roman" w:cs="Times New Roman"/>
          <w:b/>
          <w:sz w:val="24"/>
          <w:szCs w:val="24"/>
        </w:rPr>
        <w:t>2.1 Dados</w:t>
      </w:r>
      <w:r w:rsidR="00BB6ACE" w:rsidRPr="00726964">
        <w:rPr>
          <w:rFonts w:ascii="Times New Roman" w:hAnsi="Times New Roman" w:cs="Times New Roman"/>
          <w:b/>
          <w:sz w:val="24"/>
          <w:szCs w:val="24"/>
        </w:rPr>
        <w:t xml:space="preserve"> e Metodologia</w:t>
      </w:r>
    </w:p>
    <w:p w14:paraId="085C7D66" w14:textId="77777777" w:rsidR="00705161" w:rsidRPr="00726964" w:rsidRDefault="00A74EFC"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Ao longo deste artigo, utilizamos os </w:t>
      </w:r>
      <w:proofErr w:type="spellStart"/>
      <w:r w:rsidRPr="00726964">
        <w:rPr>
          <w:rFonts w:ascii="Times New Roman" w:hAnsi="Times New Roman" w:cs="Times New Roman"/>
          <w:sz w:val="24"/>
          <w:szCs w:val="24"/>
        </w:rPr>
        <w:t>microdados</w:t>
      </w:r>
      <w:proofErr w:type="spellEnd"/>
      <w:r w:rsidRPr="00726964">
        <w:rPr>
          <w:rFonts w:ascii="Times New Roman" w:hAnsi="Times New Roman" w:cs="Times New Roman"/>
          <w:sz w:val="24"/>
          <w:szCs w:val="24"/>
        </w:rPr>
        <w:t xml:space="preserve"> da Pesquisa Nacional por Amostra de Domicílios (PNAD) e a pesquisa Mensal do Emprego (PME), ambas conduzidas pelo Instituto Brasileiro de Geografia e Estatística (IBGE). </w:t>
      </w:r>
      <w:r w:rsidR="00705161" w:rsidRPr="00726964">
        <w:rPr>
          <w:rFonts w:ascii="Times New Roman" w:hAnsi="Times New Roman" w:cs="Times New Roman"/>
          <w:sz w:val="24"/>
          <w:szCs w:val="24"/>
        </w:rPr>
        <w:t>Em ambas as bases</w:t>
      </w:r>
      <w:r w:rsidR="004A3BDB" w:rsidRPr="00726964">
        <w:rPr>
          <w:rFonts w:ascii="Times New Roman" w:hAnsi="Times New Roman" w:cs="Times New Roman"/>
          <w:sz w:val="24"/>
          <w:szCs w:val="24"/>
        </w:rPr>
        <w:t>,</w:t>
      </w:r>
      <w:r w:rsidR="00705161" w:rsidRPr="00726964">
        <w:rPr>
          <w:rFonts w:ascii="Times New Roman" w:hAnsi="Times New Roman" w:cs="Times New Roman"/>
          <w:sz w:val="24"/>
          <w:szCs w:val="24"/>
        </w:rPr>
        <w:t xml:space="preserve"> temos informação para cada indivíduo pesquisado sobre a posição na ocupação (autônomo, empregador, empregado) e sobre seu status de contribuição para a previdência. </w:t>
      </w:r>
      <w:r w:rsidRPr="00726964">
        <w:rPr>
          <w:rFonts w:ascii="Times New Roman" w:hAnsi="Times New Roman" w:cs="Times New Roman"/>
          <w:sz w:val="24"/>
          <w:szCs w:val="24"/>
        </w:rPr>
        <w:t xml:space="preserve">No caso da PNAD </w:t>
      </w:r>
      <w:r w:rsidR="00705161" w:rsidRPr="00726964">
        <w:rPr>
          <w:rFonts w:ascii="Times New Roman" w:hAnsi="Times New Roman" w:cs="Times New Roman"/>
          <w:sz w:val="24"/>
          <w:szCs w:val="24"/>
        </w:rPr>
        <w:t xml:space="preserve">temos, a partir de 2009, informações para autônomos e empregadores sobre o registro do estabelecimento perante o CNPJ. </w:t>
      </w:r>
    </w:p>
    <w:p w14:paraId="5F437557" w14:textId="77777777" w:rsidR="0064150E" w:rsidRPr="00726964" w:rsidRDefault="00705161" w:rsidP="00726964">
      <w:pPr>
        <w:spacing w:after="0" w:line="240" w:lineRule="auto"/>
        <w:jc w:val="both"/>
        <w:rPr>
          <w:rFonts w:ascii="Times New Roman" w:hAnsi="Times New Roman" w:cs="Times New Roman"/>
          <w:sz w:val="24"/>
          <w:szCs w:val="24"/>
        </w:rPr>
      </w:pPr>
      <w:r w:rsidRPr="00726964">
        <w:rPr>
          <w:rFonts w:ascii="Times New Roman" w:hAnsi="Times New Roman" w:cs="Times New Roman"/>
          <w:sz w:val="24"/>
          <w:szCs w:val="24"/>
        </w:rPr>
        <w:t xml:space="preserve">Visando uma melhor adequação dos dados ao objeto de análise, aplicamos alguns filtros na nossa amostra. </w:t>
      </w:r>
      <w:r w:rsidR="0064150E" w:rsidRPr="00726964">
        <w:rPr>
          <w:rFonts w:ascii="Times New Roman" w:hAnsi="Times New Roman" w:cs="Times New Roman"/>
          <w:sz w:val="24"/>
          <w:szCs w:val="24"/>
        </w:rPr>
        <w:t>Em ambas as bases</w:t>
      </w:r>
      <w:r w:rsidRPr="00726964">
        <w:rPr>
          <w:rFonts w:ascii="Times New Roman" w:hAnsi="Times New Roman" w:cs="Times New Roman"/>
          <w:sz w:val="24"/>
          <w:szCs w:val="24"/>
        </w:rPr>
        <w:t xml:space="preserve"> </w:t>
      </w:r>
      <w:r w:rsidR="00A74EFC" w:rsidRPr="00726964">
        <w:rPr>
          <w:rFonts w:ascii="Times New Roman" w:hAnsi="Times New Roman" w:cs="Times New Roman"/>
          <w:sz w:val="24"/>
          <w:szCs w:val="24"/>
        </w:rPr>
        <w:t>foram excluídas as observações do setor agrícola, trabalhadores não remunerados, trabalhadores domésticos, agregados e pensionistas</w:t>
      </w:r>
      <w:r w:rsidR="0073252A" w:rsidRPr="00726964">
        <w:rPr>
          <w:rFonts w:ascii="Times New Roman" w:hAnsi="Times New Roman" w:cs="Times New Roman"/>
          <w:sz w:val="24"/>
          <w:szCs w:val="24"/>
        </w:rPr>
        <w:t xml:space="preserve">, e aqueles com idade inferior a dez anos. </w:t>
      </w:r>
      <w:r w:rsidR="0064150E" w:rsidRPr="00726964">
        <w:rPr>
          <w:rFonts w:ascii="Times New Roman" w:hAnsi="Times New Roman" w:cs="Times New Roman"/>
          <w:sz w:val="24"/>
          <w:szCs w:val="24"/>
        </w:rPr>
        <w:t>No caso da PNAD, excluímos ainda as observações do Distrito Federal.</w:t>
      </w:r>
      <w:r w:rsidR="00CD4CCA" w:rsidRPr="00726964">
        <w:rPr>
          <w:rStyle w:val="FootnoteReference"/>
          <w:rFonts w:ascii="Times New Roman" w:hAnsi="Times New Roman" w:cs="Times New Roman"/>
          <w:sz w:val="24"/>
          <w:szCs w:val="24"/>
        </w:rPr>
        <w:footnoteReference w:id="8"/>
      </w:r>
    </w:p>
    <w:p w14:paraId="39F968CB" w14:textId="77777777" w:rsidR="0073252A" w:rsidRPr="00726964" w:rsidRDefault="00AE0F8F"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Na próxima seção mostraremos a evolução temporal de diversos indicadores potencialmente afetados pela política do MEI. No entanto</w:t>
      </w:r>
      <w:r w:rsidR="004A3BDB" w:rsidRPr="00726964">
        <w:rPr>
          <w:rFonts w:ascii="Times New Roman" w:hAnsi="Times New Roman" w:cs="Times New Roman"/>
          <w:sz w:val="24"/>
          <w:szCs w:val="24"/>
        </w:rPr>
        <w:t>,</w:t>
      </w:r>
      <w:r w:rsidRPr="00726964">
        <w:rPr>
          <w:rFonts w:ascii="Times New Roman" w:hAnsi="Times New Roman" w:cs="Times New Roman"/>
          <w:sz w:val="24"/>
          <w:szCs w:val="24"/>
        </w:rPr>
        <w:t xml:space="preserve"> existe a possibilidade da evolução desses indicadores ter sido </w:t>
      </w:r>
      <w:r w:rsidR="004A3BDB" w:rsidRPr="00726964">
        <w:rPr>
          <w:rFonts w:ascii="Times New Roman" w:hAnsi="Times New Roman" w:cs="Times New Roman"/>
          <w:sz w:val="24"/>
          <w:szCs w:val="24"/>
        </w:rPr>
        <w:t xml:space="preserve">afetada </w:t>
      </w:r>
      <w:r w:rsidRPr="00726964">
        <w:rPr>
          <w:rFonts w:ascii="Times New Roman" w:hAnsi="Times New Roman" w:cs="Times New Roman"/>
          <w:sz w:val="24"/>
          <w:szCs w:val="24"/>
        </w:rPr>
        <w:t>por outros fatores</w:t>
      </w:r>
      <w:r w:rsidR="001C00C7" w:rsidRPr="00726964">
        <w:rPr>
          <w:rFonts w:ascii="Times New Roman" w:hAnsi="Times New Roman" w:cs="Times New Roman"/>
          <w:sz w:val="24"/>
          <w:szCs w:val="24"/>
        </w:rPr>
        <w:t>, tais como composição da força de trabalho</w:t>
      </w:r>
      <w:r w:rsidRPr="00726964">
        <w:rPr>
          <w:rFonts w:ascii="Times New Roman" w:hAnsi="Times New Roman" w:cs="Times New Roman"/>
          <w:sz w:val="24"/>
          <w:szCs w:val="24"/>
        </w:rPr>
        <w:t>. Nesse sentido</w:t>
      </w:r>
      <w:r w:rsidR="004A3BDB" w:rsidRPr="00726964">
        <w:rPr>
          <w:rFonts w:ascii="Times New Roman" w:hAnsi="Times New Roman" w:cs="Times New Roman"/>
          <w:sz w:val="24"/>
          <w:szCs w:val="24"/>
        </w:rPr>
        <w:t>,</w:t>
      </w:r>
      <w:r w:rsidRPr="00726964">
        <w:rPr>
          <w:rFonts w:ascii="Times New Roman" w:hAnsi="Times New Roman" w:cs="Times New Roman"/>
          <w:sz w:val="24"/>
          <w:szCs w:val="24"/>
        </w:rPr>
        <w:t xml:space="preserve"> a partir da seção 3 mostraremos resultados onde tentamos minimizar a influ</w:t>
      </w:r>
      <w:r w:rsidR="004A3BDB" w:rsidRPr="00726964">
        <w:rPr>
          <w:rFonts w:ascii="Times New Roman" w:hAnsi="Times New Roman" w:cs="Times New Roman"/>
          <w:sz w:val="24"/>
          <w:szCs w:val="24"/>
        </w:rPr>
        <w:t>ê</w:t>
      </w:r>
      <w:r w:rsidRPr="00726964">
        <w:rPr>
          <w:rFonts w:ascii="Times New Roman" w:hAnsi="Times New Roman" w:cs="Times New Roman"/>
          <w:sz w:val="24"/>
          <w:szCs w:val="24"/>
        </w:rPr>
        <w:t xml:space="preserve">ncia </w:t>
      </w:r>
      <w:r w:rsidR="001C00C7" w:rsidRPr="00726964">
        <w:rPr>
          <w:rFonts w:ascii="Times New Roman" w:hAnsi="Times New Roman" w:cs="Times New Roman"/>
          <w:sz w:val="24"/>
          <w:szCs w:val="24"/>
        </w:rPr>
        <w:t>destes</w:t>
      </w:r>
      <w:r w:rsidRPr="00726964">
        <w:rPr>
          <w:rFonts w:ascii="Times New Roman" w:hAnsi="Times New Roman" w:cs="Times New Roman"/>
          <w:sz w:val="24"/>
          <w:szCs w:val="24"/>
        </w:rPr>
        <w:t xml:space="preserve"> fatores</w:t>
      </w:r>
      <w:r w:rsidR="0064150E" w:rsidRPr="00726964">
        <w:rPr>
          <w:rFonts w:ascii="Times New Roman" w:hAnsi="Times New Roman" w:cs="Times New Roman"/>
          <w:sz w:val="24"/>
          <w:szCs w:val="24"/>
        </w:rPr>
        <w:t>, controlando por uma série de características observáveis dos indivíduos e contrastando o grupo elegível ao MEI antes e depois da introdução da política</w:t>
      </w:r>
      <w:r w:rsidRPr="00726964">
        <w:rPr>
          <w:rFonts w:ascii="Times New Roman" w:hAnsi="Times New Roman" w:cs="Times New Roman"/>
          <w:sz w:val="24"/>
          <w:szCs w:val="24"/>
        </w:rPr>
        <w:t>.</w:t>
      </w:r>
      <w:r w:rsidR="00E25A25" w:rsidRPr="00726964">
        <w:rPr>
          <w:rFonts w:ascii="Times New Roman" w:hAnsi="Times New Roman" w:cs="Times New Roman"/>
          <w:sz w:val="24"/>
          <w:szCs w:val="24"/>
        </w:rPr>
        <w:t xml:space="preserve"> </w:t>
      </w:r>
      <w:r w:rsidR="0064150E" w:rsidRPr="00726964">
        <w:rPr>
          <w:rFonts w:ascii="Times New Roman" w:hAnsi="Times New Roman" w:cs="Times New Roman"/>
          <w:sz w:val="24"/>
          <w:szCs w:val="24"/>
        </w:rPr>
        <w:t xml:space="preserve">Em alguns casos, também procuramos contrastar </w:t>
      </w:r>
      <w:r w:rsidR="00E25A25" w:rsidRPr="00726964">
        <w:rPr>
          <w:rFonts w:ascii="Times New Roman" w:hAnsi="Times New Roman" w:cs="Times New Roman"/>
          <w:sz w:val="24"/>
          <w:szCs w:val="24"/>
        </w:rPr>
        <w:t xml:space="preserve">a </w:t>
      </w:r>
      <w:r w:rsidR="00E25A25" w:rsidRPr="00726964">
        <w:rPr>
          <w:rFonts w:ascii="Times New Roman" w:hAnsi="Times New Roman" w:cs="Times New Roman"/>
          <w:sz w:val="24"/>
          <w:szCs w:val="24"/>
        </w:rPr>
        <w:lastRenderedPageBreak/>
        <w:t xml:space="preserve">evolução do indicador de interesse antes e depois do programa entre o grupo elegível ao MEI </w:t>
      </w:r>
      <w:r w:rsidR="0064150E" w:rsidRPr="00726964">
        <w:rPr>
          <w:rFonts w:ascii="Times New Roman" w:hAnsi="Times New Roman" w:cs="Times New Roman"/>
          <w:sz w:val="24"/>
          <w:szCs w:val="24"/>
        </w:rPr>
        <w:t>e pequenos empreendedores (com 2 a 5 empregados)</w:t>
      </w:r>
      <w:r w:rsidR="00E25A25" w:rsidRPr="00726964">
        <w:rPr>
          <w:rFonts w:ascii="Times New Roman" w:hAnsi="Times New Roman" w:cs="Times New Roman"/>
          <w:sz w:val="24"/>
          <w:szCs w:val="24"/>
        </w:rPr>
        <w:t xml:space="preserve">. </w:t>
      </w:r>
      <w:r w:rsidR="00C504A9" w:rsidRPr="00726964">
        <w:rPr>
          <w:rFonts w:ascii="Times New Roman" w:hAnsi="Times New Roman" w:cs="Times New Roman"/>
          <w:sz w:val="24"/>
          <w:szCs w:val="24"/>
        </w:rPr>
        <w:t xml:space="preserve">Nesta segunda estratégia, </w:t>
      </w:r>
      <w:r w:rsidR="00E25A25" w:rsidRPr="00726964">
        <w:rPr>
          <w:rFonts w:ascii="Times New Roman" w:hAnsi="Times New Roman" w:cs="Times New Roman"/>
          <w:sz w:val="24"/>
          <w:szCs w:val="24"/>
        </w:rPr>
        <w:t xml:space="preserve">nosso sucesso em minimizar a influência de outros fatores </w:t>
      </w:r>
      <w:r w:rsidR="00C504A9" w:rsidRPr="00726964">
        <w:rPr>
          <w:rFonts w:ascii="Times New Roman" w:hAnsi="Times New Roman" w:cs="Times New Roman"/>
          <w:sz w:val="24"/>
          <w:szCs w:val="24"/>
        </w:rPr>
        <w:t>é tão maior quanto mais similares forem</w:t>
      </w:r>
      <w:r w:rsidR="00E25A25" w:rsidRPr="00726964">
        <w:rPr>
          <w:rFonts w:ascii="Times New Roman" w:hAnsi="Times New Roman" w:cs="Times New Roman"/>
          <w:sz w:val="24"/>
          <w:szCs w:val="24"/>
        </w:rPr>
        <w:t xml:space="preserve"> esses dois grupos</w:t>
      </w:r>
      <w:r w:rsidR="00C504A9" w:rsidRPr="00726964">
        <w:rPr>
          <w:rStyle w:val="FootnoteReference"/>
          <w:rFonts w:ascii="Times New Roman" w:hAnsi="Times New Roman" w:cs="Times New Roman"/>
          <w:sz w:val="24"/>
          <w:szCs w:val="24"/>
        </w:rPr>
        <w:footnoteReference w:id="9"/>
      </w:r>
    </w:p>
    <w:p w14:paraId="3035F396" w14:textId="77777777" w:rsidR="008E5624" w:rsidRPr="00726964" w:rsidRDefault="00C4015C" w:rsidP="00726964">
      <w:pPr>
        <w:spacing w:after="0" w:line="240" w:lineRule="auto"/>
        <w:jc w:val="both"/>
        <w:rPr>
          <w:rFonts w:ascii="Times New Roman" w:hAnsi="Times New Roman" w:cs="Times New Roman"/>
          <w:sz w:val="24"/>
          <w:szCs w:val="24"/>
        </w:rPr>
      </w:pPr>
      <w:r w:rsidRPr="00726964">
        <w:rPr>
          <w:rFonts w:ascii="Times New Roman" w:hAnsi="Times New Roman" w:cs="Times New Roman"/>
          <w:sz w:val="24"/>
          <w:szCs w:val="24"/>
        </w:rPr>
        <w:t xml:space="preserve"> </w:t>
      </w:r>
    </w:p>
    <w:p w14:paraId="20CE920B" w14:textId="77777777" w:rsidR="007E5565" w:rsidRPr="00726964" w:rsidRDefault="007E5565" w:rsidP="00726964">
      <w:pPr>
        <w:spacing w:after="0" w:line="240" w:lineRule="auto"/>
        <w:jc w:val="both"/>
        <w:rPr>
          <w:rFonts w:ascii="Times New Roman" w:hAnsi="Times New Roman" w:cs="Times New Roman"/>
          <w:sz w:val="24"/>
          <w:szCs w:val="24"/>
        </w:rPr>
      </w:pPr>
      <w:r w:rsidRPr="00726964">
        <w:rPr>
          <w:rFonts w:ascii="Times New Roman" w:hAnsi="Times New Roman" w:cs="Times New Roman"/>
          <w:sz w:val="24"/>
          <w:szCs w:val="24"/>
        </w:rPr>
        <w:t>De acordo com a</w:t>
      </w:r>
      <w:r w:rsidR="00FA4BF4" w:rsidRPr="00726964">
        <w:rPr>
          <w:rFonts w:ascii="Times New Roman" w:hAnsi="Times New Roman" w:cs="Times New Roman"/>
          <w:sz w:val="24"/>
          <w:szCs w:val="24"/>
        </w:rPr>
        <w:t>lgumas</w:t>
      </w:r>
      <w:r w:rsidRPr="00726964">
        <w:rPr>
          <w:rFonts w:ascii="Times New Roman" w:hAnsi="Times New Roman" w:cs="Times New Roman"/>
          <w:sz w:val="24"/>
          <w:szCs w:val="24"/>
        </w:rPr>
        <w:t xml:space="preserve"> </w:t>
      </w:r>
      <w:r w:rsidR="00FA4BF4" w:rsidRPr="00726964">
        <w:rPr>
          <w:rFonts w:ascii="Times New Roman" w:hAnsi="Times New Roman" w:cs="Times New Roman"/>
          <w:sz w:val="24"/>
          <w:szCs w:val="24"/>
        </w:rPr>
        <w:t xml:space="preserve">características sócio-demográficas mensuráveis na PNAD e expressas na </w:t>
      </w:r>
      <w:r w:rsidRPr="00726964">
        <w:rPr>
          <w:rFonts w:ascii="Times New Roman" w:hAnsi="Times New Roman" w:cs="Times New Roman"/>
          <w:sz w:val="24"/>
          <w:szCs w:val="24"/>
        </w:rPr>
        <w:t xml:space="preserve">tabela 1 abaixo, o grupo </w:t>
      </w:r>
      <w:r w:rsidR="00FA4BF4" w:rsidRPr="00726964">
        <w:rPr>
          <w:rFonts w:ascii="Times New Roman" w:hAnsi="Times New Roman" w:cs="Times New Roman"/>
          <w:sz w:val="24"/>
          <w:szCs w:val="24"/>
        </w:rPr>
        <w:t>MEI tem traços</w:t>
      </w:r>
      <w:r w:rsidRPr="00726964">
        <w:rPr>
          <w:rFonts w:ascii="Times New Roman" w:hAnsi="Times New Roman" w:cs="Times New Roman"/>
          <w:sz w:val="24"/>
          <w:szCs w:val="24"/>
        </w:rPr>
        <w:t xml:space="preserve"> </w:t>
      </w:r>
      <w:r w:rsidR="00FA4BF4" w:rsidRPr="00726964">
        <w:rPr>
          <w:rFonts w:ascii="Times New Roman" w:hAnsi="Times New Roman" w:cs="Times New Roman"/>
          <w:sz w:val="24"/>
          <w:szCs w:val="24"/>
        </w:rPr>
        <w:t>bem similares</w:t>
      </w:r>
      <w:r w:rsidRPr="00726964">
        <w:rPr>
          <w:rFonts w:ascii="Times New Roman" w:hAnsi="Times New Roman" w:cs="Times New Roman"/>
          <w:sz w:val="24"/>
          <w:szCs w:val="24"/>
        </w:rPr>
        <w:t xml:space="preserve"> </w:t>
      </w:r>
      <w:r w:rsidR="00FA4BF4" w:rsidRPr="00726964">
        <w:rPr>
          <w:rFonts w:ascii="Times New Roman" w:hAnsi="Times New Roman" w:cs="Times New Roman"/>
          <w:sz w:val="24"/>
          <w:szCs w:val="24"/>
        </w:rPr>
        <w:t>a</w:t>
      </w:r>
      <w:r w:rsidRPr="00726964">
        <w:rPr>
          <w:rFonts w:ascii="Times New Roman" w:hAnsi="Times New Roman" w:cs="Times New Roman"/>
          <w:sz w:val="24"/>
          <w:szCs w:val="24"/>
        </w:rPr>
        <w:t>os empresários de 2 a 5 empregados</w:t>
      </w:r>
      <w:r w:rsidR="00FA4BF4" w:rsidRPr="00726964">
        <w:rPr>
          <w:rFonts w:ascii="Times New Roman" w:hAnsi="Times New Roman" w:cs="Times New Roman"/>
          <w:sz w:val="24"/>
          <w:szCs w:val="24"/>
        </w:rPr>
        <w:t>. Por exemplo, a idade média em torno de 43 anos e o percentual de ocupados na indústria por volta dos 12%</w:t>
      </w:r>
      <w:r w:rsidRPr="00726964">
        <w:rPr>
          <w:rFonts w:ascii="Times New Roman" w:hAnsi="Times New Roman" w:cs="Times New Roman"/>
          <w:sz w:val="24"/>
          <w:szCs w:val="24"/>
        </w:rPr>
        <w:t>.</w:t>
      </w:r>
      <w:r w:rsidR="00FA4BF4" w:rsidRPr="00726964">
        <w:rPr>
          <w:rFonts w:ascii="Times New Roman" w:hAnsi="Times New Roman" w:cs="Times New Roman"/>
          <w:sz w:val="24"/>
          <w:szCs w:val="24"/>
        </w:rPr>
        <w:t xml:space="preserve"> No entanto o MEI também guarda alguma semelhança com os empregados, como pode ser atestado pelo percentual de brancos em torno de 50% em ambos os grupos, que aliás é bem inferior ao percentual registrado para os demais empresários.</w:t>
      </w:r>
      <w:r w:rsidRPr="00726964">
        <w:rPr>
          <w:rFonts w:ascii="Times New Roman" w:hAnsi="Times New Roman" w:cs="Times New Roman"/>
          <w:sz w:val="24"/>
          <w:szCs w:val="24"/>
        </w:rPr>
        <w:t xml:space="preserve"> </w:t>
      </w:r>
      <w:r w:rsidR="00FA4BF4" w:rsidRPr="00726964">
        <w:rPr>
          <w:rFonts w:ascii="Times New Roman" w:hAnsi="Times New Roman" w:cs="Times New Roman"/>
          <w:sz w:val="24"/>
          <w:szCs w:val="24"/>
        </w:rPr>
        <w:t>Ou seja, talvez o perfil do MEI seja uma combinação do perfil do pequeno empresário com o do empregado, tal como atestado pelos percentuais de homens e de chefes de família registrados na tabela 1.</w:t>
      </w:r>
      <w:r w:rsidR="00C504A9" w:rsidRPr="00726964">
        <w:rPr>
          <w:rStyle w:val="FootnoteReference"/>
          <w:rFonts w:ascii="Times New Roman" w:hAnsi="Times New Roman" w:cs="Times New Roman"/>
          <w:sz w:val="24"/>
          <w:szCs w:val="24"/>
        </w:rPr>
        <w:t xml:space="preserve"> </w:t>
      </w:r>
      <w:r w:rsidR="00C504A9" w:rsidRPr="00726964">
        <w:rPr>
          <w:rFonts w:ascii="Times New Roman" w:hAnsi="Times New Roman" w:cs="Times New Roman"/>
          <w:sz w:val="24"/>
          <w:szCs w:val="24"/>
        </w:rPr>
        <w:t>Por outro lado, algumas características do MEI destoam dos demais grupos de referência, como é o caso da escolaridade média de 8 anos para esse grupo contra valores entre 9,5 e 12 anos para os demais grupos de referência. O mesmo vale para o percentual de moradores nas regiões Sul e Sudeste que é inferior a 60% no MEI e próximo de 70% nos demais grupos.</w:t>
      </w:r>
    </w:p>
    <w:p w14:paraId="2FC56D97" w14:textId="77777777" w:rsidR="000A3CA9" w:rsidRPr="00726964" w:rsidRDefault="001C00C7" w:rsidP="00726964">
      <w:pPr>
        <w:spacing w:after="0" w:line="240" w:lineRule="auto"/>
        <w:jc w:val="both"/>
        <w:rPr>
          <w:rFonts w:ascii="Times New Roman" w:hAnsi="Times New Roman" w:cs="Times New Roman"/>
          <w:b/>
          <w:sz w:val="24"/>
          <w:szCs w:val="24"/>
        </w:rPr>
      </w:pPr>
      <w:r w:rsidRPr="00726964">
        <w:rPr>
          <w:rFonts w:ascii="Times New Roman" w:hAnsi="Times New Roman" w:cs="Times New Roman"/>
          <w:b/>
          <w:sz w:val="24"/>
          <w:szCs w:val="24"/>
        </w:rPr>
        <w:t xml:space="preserve">Tabela 1: Características sócio-demográficas de empreendedores MEI e outros empreendedores.   </w:t>
      </w:r>
    </w:p>
    <w:p w14:paraId="4409F92C" w14:textId="77777777" w:rsidR="000A3CA9" w:rsidRPr="00726964" w:rsidRDefault="00145EC0" w:rsidP="00726964">
      <w:pPr>
        <w:spacing w:after="0" w:line="240" w:lineRule="auto"/>
        <w:jc w:val="both"/>
        <w:rPr>
          <w:rFonts w:ascii="Times New Roman" w:hAnsi="Times New Roman" w:cs="Times New Roman"/>
          <w:sz w:val="24"/>
          <w:szCs w:val="24"/>
        </w:rPr>
      </w:pPr>
      <w:r w:rsidRPr="00726964">
        <w:rPr>
          <w:rFonts w:ascii="Times New Roman" w:hAnsi="Times New Roman" w:cs="Times New Roman"/>
          <w:noProof/>
          <w:sz w:val="24"/>
          <w:szCs w:val="24"/>
          <w:lang w:val="en-US"/>
        </w:rPr>
        <w:drawing>
          <wp:inline distT="0" distB="0" distL="0" distR="0" wp14:anchorId="71BAF1B5" wp14:editId="2BD7A637">
            <wp:extent cx="5400040" cy="14786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78680"/>
                    </a:xfrm>
                    <a:prstGeom prst="rect">
                      <a:avLst/>
                    </a:prstGeom>
                    <a:noFill/>
                    <a:ln>
                      <a:noFill/>
                    </a:ln>
                  </pic:spPr>
                </pic:pic>
              </a:graphicData>
            </a:graphic>
          </wp:inline>
        </w:drawing>
      </w:r>
    </w:p>
    <w:p w14:paraId="4DA8D31E" w14:textId="77777777" w:rsidR="000A3CA9" w:rsidRPr="00726964" w:rsidRDefault="000B2063"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60B80056" w14:textId="77777777" w:rsidR="000B2063" w:rsidRPr="00726964" w:rsidRDefault="000B2063" w:rsidP="00726964">
      <w:pPr>
        <w:spacing w:after="0" w:line="240" w:lineRule="auto"/>
        <w:jc w:val="both"/>
        <w:rPr>
          <w:rFonts w:ascii="Times New Roman" w:hAnsi="Times New Roman" w:cs="Times New Roman"/>
          <w:sz w:val="24"/>
          <w:szCs w:val="24"/>
        </w:rPr>
      </w:pPr>
    </w:p>
    <w:p w14:paraId="0DF1C64D" w14:textId="77777777" w:rsidR="009F31D5" w:rsidRPr="00726964" w:rsidRDefault="008E5624" w:rsidP="00726964">
      <w:pPr>
        <w:spacing w:after="0" w:line="240" w:lineRule="auto"/>
        <w:jc w:val="both"/>
        <w:rPr>
          <w:rFonts w:ascii="Times New Roman" w:hAnsi="Times New Roman" w:cs="Times New Roman"/>
          <w:sz w:val="24"/>
          <w:szCs w:val="24"/>
        </w:rPr>
      </w:pPr>
      <w:r w:rsidRPr="00726964">
        <w:rPr>
          <w:rFonts w:ascii="Times New Roman" w:hAnsi="Times New Roman" w:cs="Times New Roman"/>
          <w:sz w:val="24"/>
          <w:szCs w:val="24"/>
        </w:rPr>
        <w:t>Outro detalhe importante se refere a</w:t>
      </w:r>
      <w:r w:rsidR="003343FE" w:rsidRPr="00726964">
        <w:rPr>
          <w:rFonts w:ascii="Times New Roman" w:hAnsi="Times New Roman" w:cs="Times New Roman"/>
          <w:sz w:val="24"/>
          <w:szCs w:val="24"/>
        </w:rPr>
        <w:t>o grupo para o qual avaliamos se há indícios de ser afetado pelo MEI</w:t>
      </w:r>
      <w:r w:rsidRPr="00726964">
        <w:rPr>
          <w:rFonts w:ascii="Times New Roman" w:hAnsi="Times New Roman" w:cs="Times New Roman"/>
          <w:sz w:val="24"/>
          <w:szCs w:val="24"/>
        </w:rPr>
        <w:t>. Em todos os exercícios esse grupo</w:t>
      </w:r>
      <w:r w:rsidR="003343FE" w:rsidRPr="00726964">
        <w:rPr>
          <w:rFonts w:ascii="Times New Roman" w:hAnsi="Times New Roman" w:cs="Times New Roman"/>
          <w:sz w:val="24"/>
          <w:szCs w:val="24"/>
        </w:rPr>
        <w:t xml:space="preserve"> não </w:t>
      </w:r>
      <w:r w:rsidRPr="00726964">
        <w:rPr>
          <w:rFonts w:ascii="Times New Roman" w:hAnsi="Times New Roman" w:cs="Times New Roman"/>
          <w:sz w:val="24"/>
          <w:szCs w:val="24"/>
        </w:rPr>
        <w:t>é</w:t>
      </w:r>
      <w:r w:rsidR="003343FE" w:rsidRPr="00726964">
        <w:rPr>
          <w:rFonts w:ascii="Times New Roman" w:hAnsi="Times New Roman" w:cs="Times New Roman"/>
          <w:sz w:val="24"/>
          <w:szCs w:val="24"/>
        </w:rPr>
        <w:t xml:space="preserve"> formado por beneficiários da política, mas sim por indivíduos elegíveis para tal. </w:t>
      </w:r>
      <w:r w:rsidRPr="00726964">
        <w:rPr>
          <w:rFonts w:ascii="Times New Roman" w:hAnsi="Times New Roman" w:cs="Times New Roman"/>
          <w:sz w:val="24"/>
          <w:szCs w:val="24"/>
        </w:rPr>
        <w:t>Isso requer cuidados adicionais na interpretação dos resultados. Por exemplo, no exercício onde analisamos a propensão d</w:t>
      </w:r>
      <w:r w:rsidR="00202DC0" w:rsidRPr="00726964">
        <w:rPr>
          <w:rFonts w:ascii="Times New Roman" w:hAnsi="Times New Roman" w:cs="Times New Roman"/>
          <w:sz w:val="24"/>
          <w:szCs w:val="24"/>
        </w:rPr>
        <w:t>o empreendedor individual</w:t>
      </w:r>
      <w:r w:rsidRPr="00726964">
        <w:rPr>
          <w:rFonts w:ascii="Times New Roman" w:hAnsi="Times New Roman" w:cs="Times New Roman"/>
          <w:sz w:val="24"/>
          <w:szCs w:val="24"/>
        </w:rPr>
        <w:t xml:space="preserve"> </w:t>
      </w:r>
      <w:r w:rsidR="00394A31" w:rsidRPr="00726964">
        <w:rPr>
          <w:rFonts w:ascii="Times New Roman" w:hAnsi="Times New Roman" w:cs="Times New Roman"/>
          <w:sz w:val="24"/>
          <w:szCs w:val="24"/>
        </w:rPr>
        <w:t xml:space="preserve">a </w:t>
      </w:r>
      <w:r w:rsidRPr="00726964">
        <w:rPr>
          <w:rFonts w:ascii="Times New Roman" w:hAnsi="Times New Roman" w:cs="Times New Roman"/>
          <w:sz w:val="24"/>
          <w:szCs w:val="24"/>
        </w:rPr>
        <w:t>ser formal</w:t>
      </w:r>
      <w:r w:rsidR="00202DC0" w:rsidRPr="00726964">
        <w:rPr>
          <w:rFonts w:ascii="Times New Roman" w:hAnsi="Times New Roman" w:cs="Times New Roman"/>
          <w:sz w:val="24"/>
          <w:szCs w:val="24"/>
        </w:rPr>
        <w:t>, estaríamos</w:t>
      </w:r>
      <w:r w:rsidR="000232F0" w:rsidRPr="00726964">
        <w:rPr>
          <w:rFonts w:ascii="Times New Roman" w:hAnsi="Times New Roman" w:cs="Times New Roman"/>
          <w:sz w:val="24"/>
          <w:szCs w:val="24"/>
        </w:rPr>
        <w:t>,</w:t>
      </w:r>
      <w:r w:rsidR="00202DC0" w:rsidRPr="00726964">
        <w:rPr>
          <w:rFonts w:ascii="Times New Roman" w:hAnsi="Times New Roman" w:cs="Times New Roman"/>
          <w:sz w:val="24"/>
          <w:szCs w:val="24"/>
        </w:rPr>
        <w:t xml:space="preserve"> na melhor das hipóteses (se os grupos mencionados acima fossem idênticos nas dimensões relevantes)</w:t>
      </w:r>
      <w:r w:rsidR="000232F0" w:rsidRPr="00726964">
        <w:rPr>
          <w:rFonts w:ascii="Times New Roman" w:hAnsi="Times New Roman" w:cs="Times New Roman"/>
          <w:sz w:val="24"/>
          <w:szCs w:val="24"/>
        </w:rPr>
        <w:t>,</w:t>
      </w:r>
      <w:r w:rsidR="00202DC0" w:rsidRPr="00726964">
        <w:rPr>
          <w:rFonts w:ascii="Times New Roman" w:hAnsi="Times New Roman" w:cs="Times New Roman"/>
          <w:sz w:val="24"/>
          <w:szCs w:val="24"/>
        </w:rPr>
        <w:t xml:space="preserve"> identificando um efeito do MEI</w:t>
      </w:r>
      <w:r w:rsidR="00394A31" w:rsidRPr="00726964">
        <w:rPr>
          <w:rFonts w:ascii="Times New Roman" w:hAnsi="Times New Roman" w:cs="Times New Roman"/>
          <w:sz w:val="24"/>
          <w:szCs w:val="24"/>
        </w:rPr>
        <w:t xml:space="preserve"> sobre </w:t>
      </w:r>
      <w:r w:rsidR="000232F0" w:rsidRPr="00726964">
        <w:rPr>
          <w:rFonts w:ascii="Times New Roman" w:hAnsi="Times New Roman" w:cs="Times New Roman"/>
          <w:sz w:val="24"/>
          <w:szCs w:val="24"/>
        </w:rPr>
        <w:t>os potenciais beneficiários, que é</w:t>
      </w:r>
      <w:r w:rsidR="00394A31" w:rsidRPr="00726964">
        <w:rPr>
          <w:rFonts w:ascii="Times New Roman" w:hAnsi="Times New Roman" w:cs="Times New Roman"/>
          <w:sz w:val="24"/>
          <w:szCs w:val="24"/>
        </w:rPr>
        <w:t xml:space="preserve"> distinto do efeito sobre </w:t>
      </w:r>
      <w:r w:rsidR="000232F0" w:rsidRPr="00726964">
        <w:rPr>
          <w:rFonts w:ascii="Times New Roman" w:hAnsi="Times New Roman" w:cs="Times New Roman"/>
          <w:sz w:val="24"/>
          <w:szCs w:val="24"/>
        </w:rPr>
        <w:t xml:space="preserve">aqueles que </w:t>
      </w:r>
      <w:r w:rsidR="00394A31" w:rsidRPr="00726964">
        <w:rPr>
          <w:rFonts w:ascii="Times New Roman" w:hAnsi="Times New Roman" w:cs="Times New Roman"/>
          <w:sz w:val="24"/>
          <w:szCs w:val="24"/>
        </w:rPr>
        <w:t xml:space="preserve">de fato se </w:t>
      </w:r>
      <w:r w:rsidR="000232F0" w:rsidRPr="00726964">
        <w:rPr>
          <w:rFonts w:ascii="Times New Roman" w:hAnsi="Times New Roman" w:cs="Times New Roman"/>
          <w:sz w:val="24"/>
          <w:szCs w:val="24"/>
        </w:rPr>
        <w:t xml:space="preserve">beneficiaram </w:t>
      </w:r>
      <w:r w:rsidR="00394A31" w:rsidRPr="00726964">
        <w:rPr>
          <w:rFonts w:ascii="Times New Roman" w:hAnsi="Times New Roman" w:cs="Times New Roman"/>
          <w:sz w:val="24"/>
          <w:szCs w:val="24"/>
        </w:rPr>
        <w:t>da política.</w:t>
      </w:r>
    </w:p>
    <w:p w14:paraId="0F513066" w14:textId="77777777" w:rsidR="009F31D5" w:rsidRPr="00726964" w:rsidRDefault="009F31D5" w:rsidP="00726964">
      <w:pPr>
        <w:spacing w:after="0" w:line="240" w:lineRule="auto"/>
        <w:jc w:val="both"/>
        <w:rPr>
          <w:rFonts w:ascii="Times New Roman" w:hAnsi="Times New Roman" w:cs="Times New Roman"/>
          <w:sz w:val="24"/>
          <w:szCs w:val="24"/>
        </w:rPr>
      </w:pPr>
    </w:p>
    <w:p w14:paraId="38BA63EA" w14:textId="77777777" w:rsidR="0073252A" w:rsidRPr="00726964" w:rsidRDefault="0073252A" w:rsidP="00726964">
      <w:pPr>
        <w:spacing w:after="120" w:line="240" w:lineRule="auto"/>
        <w:jc w:val="both"/>
        <w:rPr>
          <w:rFonts w:ascii="Times New Roman" w:hAnsi="Times New Roman" w:cs="Times New Roman"/>
          <w:b/>
          <w:sz w:val="24"/>
          <w:szCs w:val="24"/>
          <w:u w:val="single"/>
        </w:rPr>
      </w:pPr>
      <w:r w:rsidRPr="00726964">
        <w:rPr>
          <w:rFonts w:ascii="Times New Roman" w:hAnsi="Times New Roman" w:cs="Times New Roman"/>
          <w:b/>
          <w:sz w:val="24"/>
          <w:szCs w:val="24"/>
        </w:rPr>
        <w:t xml:space="preserve">2.2 </w:t>
      </w:r>
      <w:r w:rsidR="00BB6ACE" w:rsidRPr="00726964">
        <w:rPr>
          <w:rFonts w:ascii="Times New Roman" w:hAnsi="Times New Roman" w:cs="Times New Roman"/>
          <w:b/>
          <w:sz w:val="24"/>
          <w:szCs w:val="24"/>
        </w:rPr>
        <w:t>Contexto</w:t>
      </w:r>
    </w:p>
    <w:p w14:paraId="6197DDF3" w14:textId="77777777" w:rsidR="00826BC9" w:rsidRPr="00726964" w:rsidRDefault="00A74EFC" w:rsidP="00726964">
      <w:pPr>
        <w:tabs>
          <w:tab w:val="left" w:pos="284"/>
        </w:tabs>
        <w:spacing w:after="0" w:line="240" w:lineRule="auto"/>
        <w:jc w:val="both"/>
        <w:rPr>
          <w:rFonts w:ascii="Times New Roman" w:hAnsi="Times New Roman" w:cs="Times New Roman"/>
          <w:sz w:val="24"/>
          <w:szCs w:val="24"/>
        </w:rPr>
      </w:pPr>
      <w:r w:rsidRPr="00726964">
        <w:rPr>
          <w:rFonts w:ascii="Times New Roman" w:hAnsi="Times New Roman" w:cs="Times New Roman"/>
          <w:sz w:val="24"/>
          <w:szCs w:val="24"/>
        </w:rPr>
        <w:tab/>
      </w:r>
      <w:r w:rsidR="003A3236" w:rsidRPr="00726964">
        <w:rPr>
          <w:rFonts w:ascii="Times New Roman" w:hAnsi="Times New Roman" w:cs="Times New Roman"/>
          <w:sz w:val="24"/>
          <w:szCs w:val="24"/>
        </w:rPr>
        <w:t>A</w:t>
      </w:r>
      <w:r w:rsidR="00826BC9" w:rsidRPr="00726964">
        <w:rPr>
          <w:rFonts w:ascii="Times New Roman" w:hAnsi="Times New Roman" w:cs="Times New Roman"/>
          <w:sz w:val="24"/>
          <w:szCs w:val="24"/>
        </w:rPr>
        <w:t xml:space="preserve">s mudanças introduzidas </w:t>
      </w:r>
      <w:r w:rsidR="00C504A9" w:rsidRPr="00726964">
        <w:rPr>
          <w:rFonts w:ascii="Times New Roman" w:hAnsi="Times New Roman" w:cs="Times New Roman"/>
          <w:sz w:val="24"/>
          <w:szCs w:val="24"/>
        </w:rPr>
        <w:t xml:space="preserve">pela </w:t>
      </w:r>
      <w:r w:rsidR="00826BC9" w:rsidRPr="00726964">
        <w:rPr>
          <w:rFonts w:ascii="Times New Roman" w:hAnsi="Times New Roman" w:cs="Times New Roman"/>
          <w:sz w:val="24"/>
          <w:szCs w:val="24"/>
        </w:rPr>
        <w:t xml:space="preserve">LC128 </w:t>
      </w:r>
      <w:r w:rsidR="00C87A2F" w:rsidRPr="00726964">
        <w:rPr>
          <w:rFonts w:ascii="Times New Roman" w:hAnsi="Times New Roman" w:cs="Times New Roman"/>
          <w:sz w:val="24"/>
          <w:szCs w:val="24"/>
        </w:rPr>
        <w:t>influenciam</w:t>
      </w:r>
      <w:r w:rsidR="00826BC9" w:rsidRPr="00726964">
        <w:rPr>
          <w:rFonts w:ascii="Times New Roman" w:hAnsi="Times New Roman" w:cs="Times New Roman"/>
          <w:sz w:val="24"/>
          <w:szCs w:val="24"/>
        </w:rPr>
        <w:t xml:space="preserve"> </w:t>
      </w:r>
      <w:r w:rsidR="00C87A2F" w:rsidRPr="00726964">
        <w:rPr>
          <w:rFonts w:ascii="Times New Roman" w:hAnsi="Times New Roman" w:cs="Times New Roman"/>
          <w:sz w:val="24"/>
          <w:szCs w:val="24"/>
        </w:rPr>
        <w:t xml:space="preserve">diretamente </w:t>
      </w:r>
      <w:r w:rsidR="00826BC9" w:rsidRPr="00726964">
        <w:rPr>
          <w:rFonts w:ascii="Times New Roman" w:hAnsi="Times New Roman" w:cs="Times New Roman"/>
          <w:sz w:val="24"/>
          <w:szCs w:val="24"/>
        </w:rPr>
        <w:t>a</w:t>
      </w:r>
      <w:r w:rsidR="00C87A2F" w:rsidRPr="00726964">
        <w:rPr>
          <w:rFonts w:ascii="Times New Roman" w:hAnsi="Times New Roman" w:cs="Times New Roman"/>
          <w:sz w:val="24"/>
          <w:szCs w:val="24"/>
        </w:rPr>
        <w:t>s</w:t>
      </w:r>
      <w:r w:rsidR="00826BC9" w:rsidRPr="00726964">
        <w:rPr>
          <w:rFonts w:ascii="Times New Roman" w:hAnsi="Times New Roman" w:cs="Times New Roman"/>
          <w:sz w:val="24"/>
          <w:szCs w:val="24"/>
        </w:rPr>
        <w:t xml:space="preserve"> decis</w:t>
      </w:r>
      <w:r w:rsidR="00C87A2F" w:rsidRPr="00726964">
        <w:rPr>
          <w:rFonts w:ascii="Times New Roman" w:hAnsi="Times New Roman" w:cs="Times New Roman"/>
          <w:sz w:val="24"/>
          <w:szCs w:val="24"/>
        </w:rPr>
        <w:t xml:space="preserve">ões de formalização daqueles que são empreendedores de pequeno porte. </w:t>
      </w:r>
      <w:r w:rsidR="00826BC9" w:rsidRPr="00726964">
        <w:rPr>
          <w:rFonts w:ascii="Times New Roman" w:hAnsi="Times New Roman" w:cs="Times New Roman"/>
          <w:sz w:val="24"/>
          <w:szCs w:val="24"/>
        </w:rPr>
        <w:t xml:space="preserve">Não obstante, é provável que as mudanças introduzidas por essa política também tenham alterado a escolha ocupacional dos indivíduos </w:t>
      </w:r>
      <w:r w:rsidR="00C504A9" w:rsidRPr="00726964">
        <w:rPr>
          <w:rFonts w:ascii="Times New Roman" w:hAnsi="Times New Roman" w:cs="Times New Roman"/>
          <w:sz w:val="24"/>
          <w:szCs w:val="24"/>
        </w:rPr>
        <w:t xml:space="preserve">de forma mais ampla </w:t>
      </w:r>
      <w:r w:rsidR="00826BC9" w:rsidRPr="00726964">
        <w:rPr>
          <w:rFonts w:ascii="Times New Roman" w:hAnsi="Times New Roman" w:cs="Times New Roman"/>
          <w:sz w:val="24"/>
          <w:szCs w:val="24"/>
        </w:rPr>
        <w:t>(entre ser um microempreendedor ou um trabalhador com carteira, por exemplo), uma vez que os custos e benefícios esperados entre as diferentes opções foram alterados com a nova política.</w:t>
      </w:r>
      <w:r w:rsidR="00E00E4C" w:rsidRPr="00726964">
        <w:rPr>
          <w:rFonts w:ascii="Times New Roman" w:hAnsi="Times New Roman" w:cs="Times New Roman"/>
          <w:sz w:val="24"/>
          <w:szCs w:val="24"/>
        </w:rPr>
        <w:t xml:space="preserve"> Além disso, é possível também que a lei tenha induzido alguns </w:t>
      </w:r>
      <w:r w:rsidR="00E00E4C" w:rsidRPr="00726964">
        <w:rPr>
          <w:rFonts w:ascii="Times New Roman" w:hAnsi="Times New Roman" w:cs="Times New Roman"/>
          <w:sz w:val="24"/>
          <w:szCs w:val="24"/>
        </w:rPr>
        <w:lastRenderedPageBreak/>
        <w:t>empreendedores com mais de um empregado a reduzirem sua escala para se enquadrarem na mesma.</w:t>
      </w:r>
    </w:p>
    <w:p w14:paraId="1A2A9A3B" w14:textId="77777777" w:rsidR="006C4A43" w:rsidRPr="00726964" w:rsidRDefault="00EA6F5E" w:rsidP="00726964">
      <w:pPr>
        <w:spacing w:after="24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A</w:t>
      </w:r>
      <w:r w:rsidR="00826BC9" w:rsidRPr="00726964">
        <w:rPr>
          <w:rFonts w:ascii="Times New Roman" w:hAnsi="Times New Roman" w:cs="Times New Roman"/>
          <w:sz w:val="24"/>
          <w:szCs w:val="24"/>
        </w:rPr>
        <w:t xml:space="preserve"> Figura 1 mostra </w:t>
      </w:r>
      <w:r w:rsidRPr="00726964">
        <w:rPr>
          <w:rFonts w:ascii="Times New Roman" w:hAnsi="Times New Roman" w:cs="Times New Roman"/>
          <w:sz w:val="24"/>
          <w:szCs w:val="24"/>
        </w:rPr>
        <w:t>um panorama ambíguo</w:t>
      </w:r>
      <w:r w:rsidR="002C790E" w:rsidRPr="00726964">
        <w:rPr>
          <w:rFonts w:ascii="Times New Roman" w:hAnsi="Times New Roman" w:cs="Times New Roman"/>
          <w:sz w:val="24"/>
          <w:szCs w:val="24"/>
        </w:rPr>
        <w:t xml:space="preserve"> no que diz respeito aos </w:t>
      </w:r>
      <w:r w:rsidR="00E00E4C" w:rsidRPr="00726964">
        <w:rPr>
          <w:rFonts w:ascii="Times New Roman" w:hAnsi="Times New Roman" w:cs="Times New Roman"/>
          <w:sz w:val="24"/>
          <w:szCs w:val="24"/>
        </w:rPr>
        <w:t xml:space="preserve">possíveis </w:t>
      </w:r>
      <w:r w:rsidR="002C790E" w:rsidRPr="00726964">
        <w:rPr>
          <w:rFonts w:ascii="Times New Roman" w:hAnsi="Times New Roman" w:cs="Times New Roman"/>
          <w:sz w:val="24"/>
          <w:szCs w:val="24"/>
        </w:rPr>
        <w:t>efeitos sobre a escolha ocupacional</w:t>
      </w:r>
      <w:r w:rsidRPr="00726964">
        <w:rPr>
          <w:rFonts w:ascii="Times New Roman" w:hAnsi="Times New Roman" w:cs="Times New Roman"/>
          <w:sz w:val="24"/>
          <w:szCs w:val="24"/>
        </w:rPr>
        <w:t>.</w:t>
      </w:r>
      <w:r w:rsidR="002C790E" w:rsidRPr="00726964">
        <w:rPr>
          <w:rStyle w:val="FootnoteReference"/>
          <w:rFonts w:ascii="Times New Roman" w:hAnsi="Times New Roman" w:cs="Times New Roman"/>
          <w:sz w:val="24"/>
          <w:szCs w:val="24"/>
        </w:rPr>
        <w:footnoteReference w:id="10"/>
      </w:r>
      <w:r w:rsidR="00171889" w:rsidRPr="00726964">
        <w:rPr>
          <w:rFonts w:ascii="Times New Roman" w:hAnsi="Times New Roman" w:cs="Times New Roman"/>
          <w:sz w:val="24"/>
          <w:szCs w:val="24"/>
        </w:rPr>
        <w:t xml:space="preserve"> Por um lado, a</w:t>
      </w:r>
      <w:r w:rsidR="00826BC9" w:rsidRPr="00726964">
        <w:rPr>
          <w:rFonts w:ascii="Times New Roman" w:hAnsi="Times New Roman" w:cs="Times New Roman"/>
          <w:sz w:val="24"/>
          <w:szCs w:val="24"/>
        </w:rPr>
        <w:t xml:space="preserve"> proporção de empreendedores elegíveis ao MEI entr</w:t>
      </w:r>
      <w:r w:rsidRPr="00726964">
        <w:rPr>
          <w:rFonts w:ascii="Times New Roman" w:hAnsi="Times New Roman" w:cs="Times New Roman"/>
          <w:sz w:val="24"/>
          <w:szCs w:val="24"/>
        </w:rPr>
        <w:t xml:space="preserve">e os empreendedores com até </w:t>
      </w:r>
      <w:r w:rsidR="00171889" w:rsidRPr="00726964">
        <w:rPr>
          <w:rFonts w:ascii="Times New Roman" w:hAnsi="Times New Roman" w:cs="Times New Roman"/>
          <w:sz w:val="24"/>
          <w:szCs w:val="24"/>
        </w:rPr>
        <w:t>dez</w:t>
      </w:r>
      <w:r w:rsidRPr="00726964">
        <w:rPr>
          <w:rFonts w:ascii="Times New Roman" w:hAnsi="Times New Roman" w:cs="Times New Roman"/>
          <w:sz w:val="24"/>
          <w:szCs w:val="24"/>
        </w:rPr>
        <w:t xml:space="preserve"> empregados apresentou uma tendência de alta</w:t>
      </w:r>
      <w:r w:rsidR="00826BC9" w:rsidRPr="00726964">
        <w:rPr>
          <w:rFonts w:ascii="Times New Roman" w:hAnsi="Times New Roman" w:cs="Times New Roman"/>
          <w:sz w:val="24"/>
          <w:szCs w:val="24"/>
        </w:rPr>
        <w:t xml:space="preserve"> </w:t>
      </w:r>
      <w:r w:rsidRPr="00726964">
        <w:rPr>
          <w:rFonts w:ascii="Times New Roman" w:hAnsi="Times New Roman" w:cs="Times New Roman"/>
          <w:sz w:val="24"/>
          <w:szCs w:val="24"/>
        </w:rPr>
        <w:t xml:space="preserve">entre 2009 e 2011, </w:t>
      </w:r>
      <w:r w:rsidR="00D1591D" w:rsidRPr="00726964">
        <w:rPr>
          <w:rFonts w:ascii="Times New Roman" w:hAnsi="Times New Roman" w:cs="Times New Roman"/>
          <w:sz w:val="24"/>
          <w:szCs w:val="24"/>
        </w:rPr>
        <w:t>ainda que o gráfico indique que essa elevação</w:t>
      </w:r>
      <w:r w:rsidRPr="00726964">
        <w:rPr>
          <w:rFonts w:ascii="Times New Roman" w:hAnsi="Times New Roman" w:cs="Times New Roman"/>
          <w:sz w:val="24"/>
          <w:szCs w:val="24"/>
        </w:rPr>
        <w:t xml:space="preserve"> </w:t>
      </w:r>
      <w:r w:rsidR="00D1591D" w:rsidRPr="00726964">
        <w:rPr>
          <w:rFonts w:ascii="Times New Roman" w:hAnsi="Times New Roman" w:cs="Times New Roman"/>
          <w:sz w:val="24"/>
          <w:szCs w:val="24"/>
        </w:rPr>
        <w:t>teve</w:t>
      </w:r>
      <w:r w:rsidRPr="00726964">
        <w:rPr>
          <w:rFonts w:ascii="Times New Roman" w:hAnsi="Times New Roman" w:cs="Times New Roman"/>
          <w:sz w:val="24"/>
          <w:szCs w:val="24"/>
        </w:rPr>
        <w:t xml:space="preserve"> início já em 2008</w:t>
      </w:r>
      <w:r w:rsidR="00D1591D" w:rsidRPr="00726964">
        <w:rPr>
          <w:rFonts w:ascii="Times New Roman" w:hAnsi="Times New Roman" w:cs="Times New Roman"/>
          <w:sz w:val="24"/>
          <w:szCs w:val="24"/>
        </w:rPr>
        <w:t xml:space="preserve">, mas de forma </w:t>
      </w:r>
      <w:r w:rsidR="00171889" w:rsidRPr="00726964">
        <w:rPr>
          <w:rFonts w:ascii="Times New Roman" w:hAnsi="Times New Roman" w:cs="Times New Roman"/>
          <w:sz w:val="24"/>
          <w:szCs w:val="24"/>
        </w:rPr>
        <w:t xml:space="preserve">ligeiramente </w:t>
      </w:r>
      <w:r w:rsidR="00D1591D" w:rsidRPr="00726964">
        <w:rPr>
          <w:rFonts w:ascii="Times New Roman" w:hAnsi="Times New Roman" w:cs="Times New Roman"/>
          <w:sz w:val="24"/>
          <w:szCs w:val="24"/>
        </w:rPr>
        <w:t>menos acentuada</w:t>
      </w:r>
      <w:r w:rsidRPr="00726964">
        <w:rPr>
          <w:rFonts w:ascii="Times New Roman" w:hAnsi="Times New Roman" w:cs="Times New Roman"/>
          <w:sz w:val="24"/>
          <w:szCs w:val="24"/>
        </w:rPr>
        <w:t xml:space="preserve">. </w:t>
      </w:r>
      <w:r w:rsidR="00171889" w:rsidRPr="00726964">
        <w:rPr>
          <w:rFonts w:ascii="Times New Roman" w:hAnsi="Times New Roman" w:cs="Times New Roman"/>
          <w:sz w:val="24"/>
          <w:szCs w:val="24"/>
        </w:rPr>
        <w:t>Por outro lado</w:t>
      </w:r>
      <w:r w:rsidRPr="00726964">
        <w:rPr>
          <w:rFonts w:ascii="Times New Roman" w:hAnsi="Times New Roman" w:cs="Times New Roman"/>
          <w:sz w:val="24"/>
          <w:szCs w:val="24"/>
        </w:rPr>
        <w:t>, o mesmo não aparece na escolha ocupacional mais ampla dos trabalhadores, uma vez que a proporção do grupo elegível a</w:t>
      </w:r>
      <w:r w:rsidR="00F45A98" w:rsidRPr="00726964">
        <w:rPr>
          <w:rFonts w:ascii="Times New Roman" w:hAnsi="Times New Roman" w:cs="Times New Roman"/>
          <w:sz w:val="24"/>
          <w:szCs w:val="24"/>
        </w:rPr>
        <w:t>o</w:t>
      </w:r>
      <w:r w:rsidRPr="00726964">
        <w:rPr>
          <w:rFonts w:ascii="Times New Roman" w:hAnsi="Times New Roman" w:cs="Times New Roman"/>
          <w:sz w:val="24"/>
          <w:szCs w:val="24"/>
        </w:rPr>
        <w:t xml:space="preserve"> MEI não aumentou como proporção do total de ocupados</w:t>
      </w:r>
      <w:r w:rsidR="00171889" w:rsidRPr="00726964">
        <w:rPr>
          <w:rFonts w:ascii="Times New Roman" w:hAnsi="Times New Roman" w:cs="Times New Roman"/>
          <w:sz w:val="24"/>
          <w:szCs w:val="24"/>
        </w:rPr>
        <w:t>. Ao contrário</w:t>
      </w:r>
      <w:r w:rsidRPr="00726964">
        <w:rPr>
          <w:rFonts w:ascii="Times New Roman" w:hAnsi="Times New Roman" w:cs="Times New Roman"/>
          <w:sz w:val="24"/>
          <w:szCs w:val="24"/>
        </w:rPr>
        <w:t xml:space="preserve">, </w:t>
      </w:r>
      <w:r w:rsidR="00171889" w:rsidRPr="00726964">
        <w:rPr>
          <w:rFonts w:ascii="Times New Roman" w:hAnsi="Times New Roman" w:cs="Times New Roman"/>
          <w:sz w:val="24"/>
          <w:szCs w:val="24"/>
        </w:rPr>
        <w:t>apenas manteve uma leve tendência de queda iniciada em 2003</w:t>
      </w:r>
      <w:r w:rsidRPr="00726964">
        <w:rPr>
          <w:rFonts w:ascii="Times New Roman" w:hAnsi="Times New Roman" w:cs="Times New Roman"/>
          <w:sz w:val="24"/>
          <w:szCs w:val="24"/>
        </w:rPr>
        <w:t xml:space="preserve">. </w:t>
      </w:r>
      <w:r w:rsidR="00BA5C34" w:rsidRPr="00726964">
        <w:rPr>
          <w:rFonts w:ascii="Times New Roman" w:hAnsi="Times New Roman" w:cs="Times New Roman"/>
          <w:sz w:val="24"/>
          <w:szCs w:val="24"/>
        </w:rPr>
        <w:t xml:space="preserve">Note que ao incluirmos os assalariados na base de comparação estamos tornando nossa análise suscetível a fatores que afetam a evolução desse grupo. Por exemplo, o período de 2003 a 2011 foi </w:t>
      </w:r>
      <w:r w:rsidR="005E7744" w:rsidRPr="00726964">
        <w:rPr>
          <w:rFonts w:ascii="Times New Roman" w:hAnsi="Times New Roman" w:cs="Times New Roman"/>
          <w:sz w:val="24"/>
          <w:szCs w:val="24"/>
        </w:rPr>
        <w:t>de aquecimento no mercado de trabalho. Logo</w:t>
      </w:r>
      <w:r w:rsidR="000232F0" w:rsidRPr="00726964">
        <w:rPr>
          <w:rFonts w:ascii="Times New Roman" w:hAnsi="Times New Roman" w:cs="Times New Roman"/>
          <w:sz w:val="24"/>
          <w:szCs w:val="24"/>
        </w:rPr>
        <w:t>,</w:t>
      </w:r>
      <w:r w:rsidR="005E7744" w:rsidRPr="00726964">
        <w:rPr>
          <w:rFonts w:ascii="Times New Roman" w:hAnsi="Times New Roman" w:cs="Times New Roman"/>
          <w:sz w:val="24"/>
          <w:szCs w:val="24"/>
        </w:rPr>
        <w:t xml:space="preserve"> pode ter havido um fluxo para o grupo de assalariados de pessoas que estivessem como autônomas por falta de opção. </w:t>
      </w:r>
    </w:p>
    <w:p w14:paraId="6F6B92F0" w14:textId="77777777" w:rsidR="00FA725B" w:rsidRPr="00726964" w:rsidRDefault="00FA725B" w:rsidP="00726964">
      <w:pPr>
        <w:spacing w:after="120" w:line="240" w:lineRule="auto"/>
        <w:rPr>
          <w:rFonts w:ascii="Times New Roman" w:hAnsi="Times New Roman" w:cs="Times New Roman"/>
          <w:bCs/>
          <w:sz w:val="24"/>
          <w:szCs w:val="24"/>
        </w:rPr>
      </w:pPr>
      <w:r w:rsidRPr="00726964">
        <w:rPr>
          <w:rFonts w:ascii="Times New Roman" w:hAnsi="Times New Roman" w:cs="Times New Roman"/>
          <w:bCs/>
          <w:sz w:val="24"/>
          <w:szCs w:val="24"/>
        </w:rPr>
        <w:t xml:space="preserve">Figura 1: Evolução </w:t>
      </w:r>
      <w:r w:rsidR="009008A1" w:rsidRPr="00726964">
        <w:rPr>
          <w:rFonts w:ascii="Times New Roman" w:hAnsi="Times New Roman" w:cs="Times New Roman"/>
          <w:bCs/>
          <w:sz w:val="24"/>
          <w:szCs w:val="24"/>
        </w:rPr>
        <w:t>da participação dos elegíveis ao programa no total de empreendedores</w:t>
      </w:r>
      <w:r w:rsidRPr="00726964">
        <w:rPr>
          <w:rFonts w:ascii="Times New Roman" w:hAnsi="Times New Roman" w:cs="Times New Roman"/>
          <w:bCs/>
          <w:sz w:val="24"/>
          <w:szCs w:val="24"/>
        </w:rPr>
        <w:t xml:space="preserve"> </w:t>
      </w:r>
    </w:p>
    <w:p w14:paraId="0CF0E24C" w14:textId="77777777" w:rsidR="00FB4489" w:rsidRPr="00726964" w:rsidRDefault="00FB4489" w:rsidP="00726964">
      <w:pPr>
        <w:spacing w:after="120" w:line="240" w:lineRule="auto"/>
        <w:rPr>
          <w:rFonts w:ascii="Times New Roman" w:hAnsi="Times New Roman" w:cs="Times New Roman"/>
          <w:bCs/>
          <w:sz w:val="24"/>
          <w:szCs w:val="24"/>
        </w:rPr>
      </w:pPr>
      <w:r w:rsidRPr="00726964">
        <w:rPr>
          <w:rFonts w:ascii="Times New Roman" w:hAnsi="Times New Roman" w:cs="Times New Roman"/>
          <w:noProof/>
          <w:sz w:val="24"/>
          <w:szCs w:val="24"/>
          <w:lang w:val="en-US"/>
        </w:rPr>
        <w:drawing>
          <wp:inline distT="0" distB="0" distL="0" distR="0" wp14:anchorId="0B105065" wp14:editId="0BE8DFF4">
            <wp:extent cx="5056505" cy="3401695"/>
            <wp:effectExtent l="0" t="0" r="23495" b="2730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2640AC" w14:textId="77777777" w:rsidR="00EA6F5E" w:rsidRPr="00726964" w:rsidRDefault="00EA6F5E"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268BCFC4" w14:textId="77777777" w:rsidR="00FA725B" w:rsidRPr="00726964" w:rsidRDefault="00FA725B" w:rsidP="00726964">
      <w:pPr>
        <w:spacing w:line="240" w:lineRule="auto"/>
        <w:rPr>
          <w:rFonts w:ascii="Times New Roman" w:hAnsi="Times New Roman" w:cs="Times New Roman"/>
          <w:bCs/>
          <w:sz w:val="24"/>
          <w:szCs w:val="24"/>
        </w:rPr>
      </w:pPr>
    </w:p>
    <w:p w14:paraId="5CAE5E67" w14:textId="77777777" w:rsidR="00EA6F5E" w:rsidRPr="00726964" w:rsidRDefault="00281A06"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Os resultados são mais sugestivos em ambas as margens de formalização. A Tabela 1 mostra que o</w:t>
      </w:r>
      <w:r w:rsidR="002830B9" w:rsidRPr="00726964">
        <w:rPr>
          <w:rFonts w:ascii="Times New Roman" w:hAnsi="Times New Roman" w:cs="Times New Roman"/>
          <w:bCs/>
          <w:sz w:val="24"/>
          <w:szCs w:val="24"/>
        </w:rPr>
        <w:t>s</w:t>
      </w:r>
      <w:r w:rsidRPr="00726964">
        <w:rPr>
          <w:rFonts w:ascii="Times New Roman" w:hAnsi="Times New Roman" w:cs="Times New Roman"/>
          <w:bCs/>
          <w:sz w:val="24"/>
          <w:szCs w:val="24"/>
        </w:rPr>
        <w:t xml:space="preserve"> </w:t>
      </w:r>
      <w:r w:rsidR="002830B9" w:rsidRPr="00726964">
        <w:rPr>
          <w:rFonts w:ascii="Times New Roman" w:hAnsi="Times New Roman" w:cs="Times New Roman"/>
          <w:bCs/>
          <w:sz w:val="24"/>
          <w:szCs w:val="24"/>
        </w:rPr>
        <w:t xml:space="preserve">percentuais tanto </w:t>
      </w:r>
      <w:r w:rsidRPr="00726964">
        <w:rPr>
          <w:rFonts w:ascii="Times New Roman" w:hAnsi="Times New Roman" w:cs="Times New Roman"/>
          <w:bCs/>
          <w:sz w:val="24"/>
          <w:szCs w:val="24"/>
        </w:rPr>
        <w:t xml:space="preserve">daqueles empreendedores que não possuem CNPJ </w:t>
      </w:r>
      <w:r w:rsidR="002830B9" w:rsidRPr="00726964">
        <w:rPr>
          <w:rFonts w:ascii="Times New Roman" w:hAnsi="Times New Roman" w:cs="Times New Roman"/>
          <w:bCs/>
          <w:sz w:val="24"/>
          <w:szCs w:val="24"/>
        </w:rPr>
        <w:t xml:space="preserve">como dos </w:t>
      </w:r>
      <w:r w:rsidRPr="00726964">
        <w:rPr>
          <w:rFonts w:ascii="Times New Roman" w:hAnsi="Times New Roman" w:cs="Times New Roman"/>
          <w:bCs/>
          <w:sz w:val="24"/>
          <w:szCs w:val="24"/>
        </w:rPr>
        <w:t xml:space="preserve">que não contribuem para a previdência caiu entre 2009 e 2011 para todas as categorias consideradas. No critério CNPJ, no entanto, não há evidências de que houve uma queda especialmente acentuada para os elegíveis ao MEI, já que os empregadores não elegíveis também apresentaram forte redução no grau de informalidade. Já no critério previdência, os resultados são mais favoráveis à política, uma vez que os </w:t>
      </w:r>
      <w:r w:rsidRPr="00726964">
        <w:rPr>
          <w:rFonts w:ascii="Times New Roman" w:hAnsi="Times New Roman" w:cs="Times New Roman"/>
          <w:bCs/>
          <w:sz w:val="24"/>
          <w:szCs w:val="24"/>
        </w:rPr>
        <w:lastRenderedPageBreak/>
        <w:t>pequenos empregadores</w:t>
      </w:r>
      <w:r w:rsidR="0002179A" w:rsidRPr="00726964">
        <w:rPr>
          <w:rFonts w:ascii="Times New Roman" w:hAnsi="Times New Roman" w:cs="Times New Roman"/>
          <w:bCs/>
          <w:sz w:val="24"/>
          <w:szCs w:val="24"/>
        </w:rPr>
        <w:t xml:space="preserve"> (aqueles com apenas 1 empregado)</w:t>
      </w:r>
      <w:r w:rsidRPr="00726964">
        <w:rPr>
          <w:rFonts w:ascii="Times New Roman" w:hAnsi="Times New Roman" w:cs="Times New Roman"/>
          <w:bCs/>
          <w:sz w:val="24"/>
          <w:szCs w:val="24"/>
        </w:rPr>
        <w:t xml:space="preserve"> são </w:t>
      </w:r>
      <w:r w:rsidR="0002179A" w:rsidRPr="00726964">
        <w:rPr>
          <w:rFonts w:ascii="Times New Roman" w:hAnsi="Times New Roman" w:cs="Times New Roman"/>
          <w:bCs/>
          <w:sz w:val="24"/>
          <w:szCs w:val="24"/>
        </w:rPr>
        <w:t xml:space="preserve">os </w:t>
      </w:r>
      <w:r w:rsidRPr="00726964">
        <w:rPr>
          <w:rFonts w:ascii="Times New Roman" w:hAnsi="Times New Roman" w:cs="Times New Roman"/>
          <w:bCs/>
          <w:sz w:val="24"/>
          <w:szCs w:val="24"/>
        </w:rPr>
        <w:t>que apresentam maior redução</w:t>
      </w:r>
      <w:r w:rsidR="00716876" w:rsidRPr="00726964">
        <w:rPr>
          <w:rFonts w:ascii="Times New Roman" w:hAnsi="Times New Roman" w:cs="Times New Roman"/>
          <w:bCs/>
          <w:sz w:val="24"/>
          <w:szCs w:val="24"/>
        </w:rPr>
        <w:t xml:space="preserve"> no grau de informalidade</w:t>
      </w:r>
      <w:r w:rsidRPr="00726964">
        <w:rPr>
          <w:rFonts w:ascii="Times New Roman" w:hAnsi="Times New Roman" w:cs="Times New Roman"/>
          <w:bCs/>
          <w:sz w:val="24"/>
          <w:szCs w:val="24"/>
        </w:rPr>
        <w:t>.</w:t>
      </w:r>
    </w:p>
    <w:p w14:paraId="28688B35" w14:textId="77777777" w:rsidR="00281A06" w:rsidRPr="00726964" w:rsidRDefault="00281A06" w:rsidP="00726964">
      <w:pPr>
        <w:spacing w:after="0" w:line="240" w:lineRule="auto"/>
        <w:rPr>
          <w:rFonts w:ascii="Times New Roman" w:hAnsi="Times New Roman" w:cs="Times New Roman"/>
          <w:b/>
          <w:bCs/>
          <w:sz w:val="24"/>
          <w:szCs w:val="24"/>
        </w:rPr>
      </w:pPr>
      <w:r w:rsidRPr="00726964">
        <w:rPr>
          <w:rFonts w:ascii="Times New Roman" w:hAnsi="Times New Roman" w:cs="Times New Roman"/>
          <w:b/>
          <w:bCs/>
          <w:sz w:val="24"/>
          <w:szCs w:val="24"/>
        </w:rPr>
        <w:t>Tabela 1: Grau de informalidade pelos critérios de não possuir CNPJ e não contribuir para a previdência.</w:t>
      </w:r>
    </w:p>
    <w:tbl>
      <w:tblPr>
        <w:tblW w:w="6240" w:type="dxa"/>
        <w:tblInd w:w="804" w:type="dxa"/>
        <w:tblCellMar>
          <w:left w:w="70" w:type="dxa"/>
          <w:right w:w="70" w:type="dxa"/>
        </w:tblCellMar>
        <w:tblLook w:val="04A0" w:firstRow="1" w:lastRow="0" w:firstColumn="1" w:lastColumn="0" w:noHBand="0" w:noVBand="1"/>
      </w:tblPr>
      <w:tblGrid>
        <w:gridCol w:w="1940"/>
        <w:gridCol w:w="960"/>
        <w:gridCol w:w="960"/>
        <w:gridCol w:w="460"/>
        <w:gridCol w:w="960"/>
        <w:gridCol w:w="960"/>
      </w:tblGrid>
      <w:tr w:rsidR="003969E2" w:rsidRPr="00FC3E6E" w14:paraId="75ADA022" w14:textId="77777777" w:rsidTr="0038596F">
        <w:trPr>
          <w:trHeight w:val="300"/>
        </w:trPr>
        <w:tc>
          <w:tcPr>
            <w:tcW w:w="1940" w:type="dxa"/>
            <w:tcBorders>
              <w:top w:val="nil"/>
              <w:left w:val="nil"/>
              <w:bottom w:val="double" w:sz="6" w:space="0" w:color="auto"/>
              <w:right w:val="nil"/>
            </w:tcBorders>
            <w:shd w:val="clear" w:color="000000" w:fill="FFFFFF"/>
            <w:noWrap/>
            <w:vAlign w:val="center"/>
            <w:hideMark/>
          </w:tcPr>
          <w:p w14:paraId="4DB13869"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22CDEAEA"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50B9D385"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460" w:type="dxa"/>
            <w:tcBorders>
              <w:top w:val="nil"/>
              <w:left w:val="nil"/>
              <w:bottom w:val="double" w:sz="6" w:space="0" w:color="auto"/>
              <w:right w:val="nil"/>
            </w:tcBorders>
            <w:shd w:val="clear" w:color="000000" w:fill="FFFFFF"/>
            <w:noWrap/>
            <w:vAlign w:val="center"/>
            <w:hideMark/>
          </w:tcPr>
          <w:p w14:paraId="03F47E38"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559AE935"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32F17F4E"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4666DA05" w14:textId="77777777" w:rsidTr="0038596F">
        <w:trPr>
          <w:trHeight w:val="330"/>
        </w:trPr>
        <w:tc>
          <w:tcPr>
            <w:tcW w:w="1940" w:type="dxa"/>
            <w:tcBorders>
              <w:top w:val="nil"/>
              <w:left w:val="nil"/>
              <w:bottom w:val="nil"/>
              <w:right w:val="nil"/>
            </w:tcBorders>
            <w:shd w:val="clear" w:color="000000" w:fill="FFFFFF"/>
            <w:noWrap/>
            <w:vAlign w:val="center"/>
            <w:hideMark/>
          </w:tcPr>
          <w:p w14:paraId="20E53F86"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920" w:type="dxa"/>
            <w:gridSpan w:val="2"/>
            <w:tcBorders>
              <w:top w:val="double" w:sz="6" w:space="0" w:color="auto"/>
              <w:left w:val="nil"/>
              <w:bottom w:val="single" w:sz="8" w:space="0" w:color="auto"/>
              <w:right w:val="nil"/>
            </w:tcBorders>
            <w:shd w:val="clear" w:color="000000" w:fill="FFFFFF"/>
            <w:vAlign w:val="center"/>
            <w:hideMark/>
          </w:tcPr>
          <w:p w14:paraId="15C2C53C"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Critério CNPJ</w:t>
            </w:r>
          </w:p>
        </w:tc>
        <w:tc>
          <w:tcPr>
            <w:tcW w:w="460" w:type="dxa"/>
            <w:tcBorders>
              <w:top w:val="nil"/>
              <w:left w:val="nil"/>
              <w:bottom w:val="nil"/>
              <w:right w:val="nil"/>
            </w:tcBorders>
            <w:shd w:val="clear" w:color="000000" w:fill="FFFFFF"/>
            <w:noWrap/>
            <w:vAlign w:val="center"/>
            <w:hideMark/>
          </w:tcPr>
          <w:p w14:paraId="6C154232" w14:textId="77777777" w:rsidR="0038596F" w:rsidRPr="00726964" w:rsidRDefault="0038596F"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c>
          <w:tcPr>
            <w:tcW w:w="1920" w:type="dxa"/>
            <w:gridSpan w:val="2"/>
            <w:tcBorders>
              <w:top w:val="double" w:sz="6" w:space="0" w:color="auto"/>
              <w:left w:val="nil"/>
              <w:bottom w:val="single" w:sz="8" w:space="0" w:color="auto"/>
              <w:right w:val="nil"/>
            </w:tcBorders>
            <w:shd w:val="clear" w:color="000000" w:fill="FFFFFF"/>
            <w:vAlign w:val="center"/>
            <w:hideMark/>
          </w:tcPr>
          <w:p w14:paraId="0699693C"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Critério Previdência</w:t>
            </w:r>
          </w:p>
        </w:tc>
      </w:tr>
      <w:tr w:rsidR="003969E2" w:rsidRPr="00FC3E6E" w14:paraId="652FF8AC" w14:textId="77777777" w:rsidTr="0038596F">
        <w:trPr>
          <w:trHeight w:val="300"/>
        </w:trPr>
        <w:tc>
          <w:tcPr>
            <w:tcW w:w="1940" w:type="dxa"/>
            <w:tcBorders>
              <w:top w:val="nil"/>
              <w:left w:val="nil"/>
              <w:bottom w:val="nil"/>
              <w:right w:val="nil"/>
            </w:tcBorders>
            <w:shd w:val="clear" w:color="000000" w:fill="FFFFFF"/>
            <w:noWrap/>
            <w:vAlign w:val="center"/>
            <w:hideMark/>
          </w:tcPr>
          <w:p w14:paraId="72C6C6A2"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4EBF265E"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2009</w:t>
            </w:r>
          </w:p>
        </w:tc>
        <w:tc>
          <w:tcPr>
            <w:tcW w:w="960" w:type="dxa"/>
            <w:tcBorders>
              <w:top w:val="nil"/>
              <w:left w:val="nil"/>
              <w:bottom w:val="single" w:sz="8" w:space="0" w:color="auto"/>
              <w:right w:val="nil"/>
            </w:tcBorders>
            <w:shd w:val="clear" w:color="000000" w:fill="FFFFFF"/>
            <w:vAlign w:val="center"/>
            <w:hideMark/>
          </w:tcPr>
          <w:p w14:paraId="162FC52F"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2011</w:t>
            </w:r>
          </w:p>
        </w:tc>
        <w:tc>
          <w:tcPr>
            <w:tcW w:w="460" w:type="dxa"/>
            <w:tcBorders>
              <w:top w:val="nil"/>
              <w:left w:val="nil"/>
              <w:bottom w:val="nil"/>
              <w:right w:val="nil"/>
            </w:tcBorders>
            <w:shd w:val="clear" w:color="000000" w:fill="FFFFFF"/>
            <w:vAlign w:val="center"/>
            <w:hideMark/>
          </w:tcPr>
          <w:p w14:paraId="41AC582B"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0BBF3707"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2009</w:t>
            </w:r>
          </w:p>
        </w:tc>
        <w:tc>
          <w:tcPr>
            <w:tcW w:w="960" w:type="dxa"/>
            <w:tcBorders>
              <w:top w:val="nil"/>
              <w:left w:val="nil"/>
              <w:bottom w:val="single" w:sz="8" w:space="0" w:color="auto"/>
              <w:right w:val="nil"/>
            </w:tcBorders>
            <w:shd w:val="clear" w:color="000000" w:fill="FFFFFF"/>
            <w:vAlign w:val="center"/>
            <w:hideMark/>
          </w:tcPr>
          <w:p w14:paraId="41AEAD02"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2011</w:t>
            </w:r>
          </w:p>
        </w:tc>
      </w:tr>
      <w:tr w:rsidR="003969E2" w:rsidRPr="00FC3E6E" w14:paraId="053F759E" w14:textId="77777777" w:rsidTr="0038596F">
        <w:trPr>
          <w:trHeight w:val="300"/>
        </w:trPr>
        <w:tc>
          <w:tcPr>
            <w:tcW w:w="1940" w:type="dxa"/>
            <w:tcBorders>
              <w:top w:val="single" w:sz="8" w:space="0" w:color="auto"/>
              <w:left w:val="nil"/>
              <w:bottom w:val="nil"/>
              <w:right w:val="nil"/>
            </w:tcBorders>
            <w:shd w:val="clear" w:color="000000" w:fill="FFFFFF"/>
            <w:noWrap/>
            <w:vAlign w:val="center"/>
            <w:hideMark/>
          </w:tcPr>
          <w:p w14:paraId="7C63BB3E"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Conta própria</w:t>
            </w:r>
          </w:p>
        </w:tc>
        <w:tc>
          <w:tcPr>
            <w:tcW w:w="960" w:type="dxa"/>
            <w:tcBorders>
              <w:top w:val="single" w:sz="8" w:space="0" w:color="auto"/>
              <w:left w:val="nil"/>
              <w:bottom w:val="nil"/>
              <w:right w:val="nil"/>
            </w:tcBorders>
            <w:shd w:val="clear" w:color="000000" w:fill="FFFFFF"/>
            <w:noWrap/>
            <w:vAlign w:val="center"/>
            <w:hideMark/>
          </w:tcPr>
          <w:p w14:paraId="191334C8"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83,4</w:t>
            </w:r>
          </w:p>
        </w:tc>
        <w:tc>
          <w:tcPr>
            <w:tcW w:w="960" w:type="dxa"/>
            <w:tcBorders>
              <w:top w:val="nil"/>
              <w:left w:val="nil"/>
              <w:bottom w:val="nil"/>
              <w:right w:val="nil"/>
            </w:tcBorders>
            <w:shd w:val="clear" w:color="000000" w:fill="FFFFFF"/>
            <w:noWrap/>
            <w:vAlign w:val="center"/>
            <w:hideMark/>
          </w:tcPr>
          <w:p w14:paraId="10DCAEDB"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80,7</w:t>
            </w:r>
          </w:p>
        </w:tc>
        <w:tc>
          <w:tcPr>
            <w:tcW w:w="460" w:type="dxa"/>
            <w:tcBorders>
              <w:top w:val="nil"/>
              <w:left w:val="nil"/>
              <w:bottom w:val="nil"/>
              <w:right w:val="nil"/>
            </w:tcBorders>
            <w:shd w:val="clear" w:color="000000" w:fill="FFFFFF"/>
            <w:noWrap/>
            <w:vAlign w:val="center"/>
            <w:hideMark/>
          </w:tcPr>
          <w:p w14:paraId="7D2CC4FF"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single" w:sz="8" w:space="0" w:color="auto"/>
              <w:left w:val="nil"/>
              <w:bottom w:val="nil"/>
              <w:right w:val="nil"/>
            </w:tcBorders>
            <w:shd w:val="clear" w:color="000000" w:fill="FFFFFF"/>
            <w:noWrap/>
            <w:vAlign w:val="center"/>
            <w:hideMark/>
          </w:tcPr>
          <w:p w14:paraId="398E68BE"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82,0</w:t>
            </w:r>
          </w:p>
        </w:tc>
        <w:tc>
          <w:tcPr>
            <w:tcW w:w="960" w:type="dxa"/>
            <w:tcBorders>
              <w:top w:val="nil"/>
              <w:left w:val="nil"/>
              <w:bottom w:val="nil"/>
              <w:right w:val="nil"/>
            </w:tcBorders>
            <w:shd w:val="clear" w:color="000000" w:fill="FFFFFF"/>
            <w:noWrap/>
            <w:vAlign w:val="center"/>
            <w:hideMark/>
          </w:tcPr>
          <w:p w14:paraId="27550F7A"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75,0</w:t>
            </w:r>
          </w:p>
        </w:tc>
      </w:tr>
      <w:tr w:rsidR="003969E2" w:rsidRPr="00FC3E6E" w14:paraId="1BE7B025" w14:textId="77777777" w:rsidTr="0038596F">
        <w:trPr>
          <w:trHeight w:val="300"/>
        </w:trPr>
        <w:tc>
          <w:tcPr>
            <w:tcW w:w="1940" w:type="dxa"/>
            <w:tcBorders>
              <w:top w:val="nil"/>
              <w:left w:val="nil"/>
              <w:bottom w:val="nil"/>
              <w:right w:val="nil"/>
            </w:tcBorders>
            <w:shd w:val="clear" w:color="000000" w:fill="FFFFFF"/>
            <w:noWrap/>
            <w:vAlign w:val="center"/>
            <w:hideMark/>
          </w:tcPr>
          <w:p w14:paraId="6E8FEE03"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pequeno</w:t>
            </w:r>
          </w:p>
        </w:tc>
        <w:tc>
          <w:tcPr>
            <w:tcW w:w="960" w:type="dxa"/>
            <w:tcBorders>
              <w:top w:val="nil"/>
              <w:left w:val="nil"/>
              <w:bottom w:val="nil"/>
              <w:right w:val="nil"/>
            </w:tcBorders>
            <w:shd w:val="clear" w:color="000000" w:fill="FFFFFF"/>
            <w:noWrap/>
            <w:vAlign w:val="center"/>
            <w:hideMark/>
          </w:tcPr>
          <w:p w14:paraId="22AACB19"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43,1</w:t>
            </w:r>
          </w:p>
        </w:tc>
        <w:tc>
          <w:tcPr>
            <w:tcW w:w="960" w:type="dxa"/>
            <w:tcBorders>
              <w:top w:val="nil"/>
              <w:left w:val="nil"/>
              <w:bottom w:val="nil"/>
              <w:right w:val="nil"/>
            </w:tcBorders>
            <w:shd w:val="clear" w:color="000000" w:fill="FFFFFF"/>
            <w:noWrap/>
            <w:vAlign w:val="center"/>
            <w:hideMark/>
          </w:tcPr>
          <w:p w14:paraId="0D3E480A"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34,9</w:t>
            </w:r>
          </w:p>
        </w:tc>
        <w:tc>
          <w:tcPr>
            <w:tcW w:w="460" w:type="dxa"/>
            <w:tcBorders>
              <w:top w:val="nil"/>
              <w:left w:val="nil"/>
              <w:bottom w:val="nil"/>
              <w:right w:val="nil"/>
            </w:tcBorders>
            <w:shd w:val="clear" w:color="000000" w:fill="FFFFFF"/>
            <w:noWrap/>
            <w:vAlign w:val="center"/>
            <w:hideMark/>
          </w:tcPr>
          <w:p w14:paraId="295E65D3"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2575205A"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52,4</w:t>
            </w:r>
          </w:p>
        </w:tc>
        <w:tc>
          <w:tcPr>
            <w:tcW w:w="960" w:type="dxa"/>
            <w:tcBorders>
              <w:top w:val="nil"/>
              <w:left w:val="nil"/>
              <w:bottom w:val="nil"/>
              <w:right w:val="nil"/>
            </w:tcBorders>
            <w:shd w:val="clear" w:color="000000" w:fill="FFFFFF"/>
            <w:noWrap/>
            <w:vAlign w:val="center"/>
            <w:hideMark/>
          </w:tcPr>
          <w:p w14:paraId="1966E83A"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40,3</w:t>
            </w:r>
          </w:p>
        </w:tc>
      </w:tr>
      <w:tr w:rsidR="003969E2" w:rsidRPr="00FC3E6E" w14:paraId="6720F532" w14:textId="77777777" w:rsidTr="0038596F">
        <w:trPr>
          <w:trHeight w:val="315"/>
        </w:trPr>
        <w:tc>
          <w:tcPr>
            <w:tcW w:w="1940" w:type="dxa"/>
            <w:tcBorders>
              <w:top w:val="nil"/>
              <w:left w:val="nil"/>
              <w:bottom w:val="double" w:sz="6" w:space="0" w:color="auto"/>
              <w:right w:val="nil"/>
            </w:tcBorders>
            <w:shd w:val="clear" w:color="000000" w:fill="FFFFFF"/>
            <w:noWrap/>
            <w:vAlign w:val="center"/>
            <w:hideMark/>
          </w:tcPr>
          <w:p w14:paraId="225D4253"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Demais empregadores</w:t>
            </w:r>
          </w:p>
        </w:tc>
        <w:tc>
          <w:tcPr>
            <w:tcW w:w="960" w:type="dxa"/>
            <w:tcBorders>
              <w:top w:val="nil"/>
              <w:left w:val="nil"/>
              <w:bottom w:val="double" w:sz="6" w:space="0" w:color="auto"/>
              <w:right w:val="nil"/>
            </w:tcBorders>
            <w:shd w:val="clear" w:color="000000" w:fill="FFFFFF"/>
            <w:noWrap/>
            <w:vAlign w:val="center"/>
            <w:hideMark/>
          </w:tcPr>
          <w:p w14:paraId="6EC63D8C"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6,3</w:t>
            </w:r>
          </w:p>
        </w:tc>
        <w:tc>
          <w:tcPr>
            <w:tcW w:w="960" w:type="dxa"/>
            <w:tcBorders>
              <w:top w:val="nil"/>
              <w:left w:val="nil"/>
              <w:bottom w:val="double" w:sz="6" w:space="0" w:color="auto"/>
              <w:right w:val="nil"/>
            </w:tcBorders>
            <w:shd w:val="clear" w:color="000000" w:fill="FFFFFF"/>
            <w:noWrap/>
            <w:vAlign w:val="center"/>
            <w:hideMark/>
          </w:tcPr>
          <w:p w14:paraId="46340411"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3,6</w:t>
            </w:r>
          </w:p>
        </w:tc>
        <w:tc>
          <w:tcPr>
            <w:tcW w:w="460" w:type="dxa"/>
            <w:tcBorders>
              <w:top w:val="nil"/>
              <w:left w:val="nil"/>
              <w:bottom w:val="double" w:sz="6" w:space="0" w:color="auto"/>
              <w:right w:val="nil"/>
            </w:tcBorders>
            <w:shd w:val="clear" w:color="000000" w:fill="FFFFFF"/>
            <w:noWrap/>
            <w:vAlign w:val="center"/>
            <w:hideMark/>
          </w:tcPr>
          <w:p w14:paraId="548CE2B5"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3BE20E20"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21,2</w:t>
            </w:r>
          </w:p>
        </w:tc>
        <w:tc>
          <w:tcPr>
            <w:tcW w:w="960" w:type="dxa"/>
            <w:tcBorders>
              <w:top w:val="nil"/>
              <w:left w:val="nil"/>
              <w:bottom w:val="double" w:sz="6" w:space="0" w:color="auto"/>
              <w:right w:val="nil"/>
            </w:tcBorders>
            <w:shd w:val="clear" w:color="000000" w:fill="FFFFFF"/>
            <w:noWrap/>
            <w:vAlign w:val="center"/>
            <w:hideMark/>
          </w:tcPr>
          <w:p w14:paraId="6A44A954" w14:textId="77777777" w:rsidR="0038596F" w:rsidRPr="00726964" w:rsidRDefault="0038596F"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18,3</w:t>
            </w:r>
          </w:p>
        </w:tc>
      </w:tr>
      <w:tr w:rsidR="003969E2" w:rsidRPr="00FC3E6E" w14:paraId="5C4085ED" w14:textId="77777777" w:rsidTr="0038596F">
        <w:trPr>
          <w:trHeight w:val="300"/>
        </w:trPr>
        <w:tc>
          <w:tcPr>
            <w:tcW w:w="1940" w:type="dxa"/>
            <w:tcBorders>
              <w:top w:val="nil"/>
              <w:left w:val="nil"/>
              <w:bottom w:val="nil"/>
              <w:right w:val="nil"/>
            </w:tcBorders>
            <w:shd w:val="clear" w:color="000000" w:fill="FFFFFF"/>
            <w:noWrap/>
            <w:vAlign w:val="center"/>
            <w:hideMark/>
          </w:tcPr>
          <w:p w14:paraId="766B7EC4" w14:textId="77777777" w:rsidR="0038596F" w:rsidRPr="00726964" w:rsidRDefault="0038596F">
            <w:pPr>
              <w:spacing w:after="0" w:line="240" w:lineRule="auto"/>
              <w:rPr>
                <w:rFonts w:ascii="Times New Roman" w:eastAsia="Times New Roman" w:hAnsi="Times New Roman" w:cs="Times New Roman"/>
                <w:sz w:val="24"/>
                <w:szCs w:val="24"/>
                <w:lang w:eastAsia="pt-BR"/>
              </w:rPr>
            </w:pPr>
          </w:p>
        </w:tc>
        <w:tc>
          <w:tcPr>
            <w:tcW w:w="960" w:type="dxa"/>
            <w:tcBorders>
              <w:top w:val="nil"/>
              <w:left w:val="nil"/>
              <w:bottom w:val="nil"/>
              <w:right w:val="nil"/>
            </w:tcBorders>
            <w:shd w:val="clear" w:color="000000" w:fill="FFFFFF"/>
            <w:noWrap/>
            <w:vAlign w:val="center"/>
            <w:hideMark/>
          </w:tcPr>
          <w:p w14:paraId="14EB0BDC"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1832A4B5"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460" w:type="dxa"/>
            <w:tcBorders>
              <w:top w:val="nil"/>
              <w:left w:val="nil"/>
              <w:bottom w:val="nil"/>
              <w:right w:val="nil"/>
            </w:tcBorders>
            <w:shd w:val="clear" w:color="000000" w:fill="FFFFFF"/>
            <w:noWrap/>
            <w:vAlign w:val="center"/>
            <w:hideMark/>
          </w:tcPr>
          <w:p w14:paraId="69E5668E"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209C3546"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23B4702F" w14:textId="77777777" w:rsidR="0038596F" w:rsidRPr="00726964" w:rsidRDefault="0038596F"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325EC08C" w14:textId="77777777" w:rsidR="00716876" w:rsidRPr="00726964" w:rsidRDefault="00716876"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780D8077" w14:textId="77777777" w:rsidR="00D36F30" w:rsidRPr="00726964" w:rsidRDefault="00D36F30" w:rsidP="00726964">
      <w:pPr>
        <w:spacing w:line="240" w:lineRule="auto"/>
        <w:ind w:firstLine="284"/>
        <w:rPr>
          <w:rFonts w:ascii="Times New Roman" w:hAnsi="Times New Roman" w:cs="Times New Roman"/>
          <w:bCs/>
          <w:sz w:val="24"/>
          <w:szCs w:val="24"/>
        </w:rPr>
      </w:pPr>
    </w:p>
    <w:p w14:paraId="39064B9E" w14:textId="77777777" w:rsidR="00716876" w:rsidRPr="00726964" w:rsidRDefault="00716876"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Outra forma de </w:t>
      </w:r>
      <w:r w:rsidR="00F45A98" w:rsidRPr="00726964">
        <w:rPr>
          <w:rFonts w:ascii="Times New Roman" w:hAnsi="Times New Roman" w:cs="Times New Roman"/>
          <w:bCs/>
          <w:sz w:val="24"/>
          <w:szCs w:val="24"/>
        </w:rPr>
        <w:t>analisar</w:t>
      </w:r>
      <w:r w:rsidRPr="00726964">
        <w:rPr>
          <w:rFonts w:ascii="Times New Roman" w:hAnsi="Times New Roman" w:cs="Times New Roman"/>
          <w:bCs/>
          <w:sz w:val="24"/>
          <w:szCs w:val="24"/>
        </w:rPr>
        <w:t xml:space="preserve"> a potencial influência da política do MEI é examinar como evoluiu a correlação ente as duas margens de formalização entre 2009 (antes da política) e 2011 (depois da política). Essa correlação é central no </w:t>
      </w:r>
      <w:r w:rsidR="00F45A98" w:rsidRPr="00726964">
        <w:rPr>
          <w:rFonts w:ascii="Times New Roman" w:hAnsi="Times New Roman" w:cs="Times New Roman"/>
          <w:bCs/>
          <w:sz w:val="24"/>
          <w:szCs w:val="24"/>
        </w:rPr>
        <w:t xml:space="preserve">presente </w:t>
      </w:r>
      <w:r w:rsidRPr="00726964">
        <w:rPr>
          <w:rFonts w:ascii="Times New Roman" w:hAnsi="Times New Roman" w:cs="Times New Roman"/>
          <w:bCs/>
          <w:sz w:val="24"/>
          <w:szCs w:val="24"/>
        </w:rPr>
        <w:t xml:space="preserve">contexto, pois </w:t>
      </w:r>
      <w:r w:rsidR="000D50A3" w:rsidRPr="00726964">
        <w:rPr>
          <w:rFonts w:ascii="Times New Roman" w:hAnsi="Times New Roman" w:cs="Times New Roman"/>
          <w:bCs/>
          <w:sz w:val="24"/>
          <w:szCs w:val="24"/>
        </w:rPr>
        <w:t>a política do MEI</w:t>
      </w:r>
      <w:r w:rsidRPr="00726964">
        <w:rPr>
          <w:rFonts w:ascii="Times New Roman" w:hAnsi="Times New Roman" w:cs="Times New Roman"/>
          <w:bCs/>
          <w:sz w:val="24"/>
          <w:szCs w:val="24"/>
        </w:rPr>
        <w:t xml:space="preserve"> introduz incentivos conjuntos para o aumento da formalização em ambas as margens. Se a política foi de fato efetiva, ela deveria ter aumentado a correlação entre as duas margens de formalização. </w:t>
      </w:r>
      <w:r w:rsidR="00AF3D23" w:rsidRPr="00726964">
        <w:rPr>
          <w:rFonts w:ascii="Times New Roman" w:hAnsi="Times New Roman" w:cs="Times New Roman"/>
          <w:bCs/>
          <w:sz w:val="24"/>
          <w:szCs w:val="24"/>
        </w:rPr>
        <w:t xml:space="preserve">A Tabela 2 mostra que a correlação entre as medidas de grau de formalidade medida por possuir ou não CNPJ e contribuir ou não para a previdência de fato aumentou para todas as categorias de empreendedores, mas de forma mais acentuada para os trabalhadores por conta própria. </w:t>
      </w:r>
      <w:r w:rsidR="000D50A3" w:rsidRPr="00726964">
        <w:rPr>
          <w:rFonts w:ascii="Times New Roman" w:hAnsi="Times New Roman" w:cs="Times New Roman"/>
          <w:bCs/>
          <w:sz w:val="24"/>
          <w:szCs w:val="24"/>
        </w:rPr>
        <w:t>A evidência apresentada na Tabela 2 é</w:t>
      </w:r>
      <w:r w:rsidR="00AF3D23" w:rsidRPr="00726964">
        <w:rPr>
          <w:rFonts w:ascii="Times New Roman" w:hAnsi="Times New Roman" w:cs="Times New Roman"/>
          <w:bCs/>
          <w:sz w:val="24"/>
          <w:szCs w:val="24"/>
        </w:rPr>
        <w:t xml:space="preserve"> sugestiv</w:t>
      </w:r>
      <w:r w:rsidR="000D50A3" w:rsidRPr="00726964">
        <w:rPr>
          <w:rFonts w:ascii="Times New Roman" w:hAnsi="Times New Roman" w:cs="Times New Roman"/>
          <w:bCs/>
          <w:sz w:val="24"/>
          <w:szCs w:val="24"/>
        </w:rPr>
        <w:t>a, portanto,</w:t>
      </w:r>
      <w:r w:rsidR="00AF3D23" w:rsidRPr="00726964">
        <w:rPr>
          <w:rFonts w:ascii="Times New Roman" w:hAnsi="Times New Roman" w:cs="Times New Roman"/>
          <w:bCs/>
          <w:sz w:val="24"/>
          <w:szCs w:val="24"/>
        </w:rPr>
        <w:t xml:space="preserve"> de que a política de fato pode ter tido um efeito sobre as decisões </w:t>
      </w:r>
      <w:r w:rsidR="00AD768E" w:rsidRPr="00726964">
        <w:rPr>
          <w:rFonts w:ascii="Times New Roman" w:hAnsi="Times New Roman" w:cs="Times New Roman"/>
          <w:bCs/>
          <w:sz w:val="24"/>
          <w:szCs w:val="24"/>
        </w:rPr>
        <w:t xml:space="preserve">dos microempreendedores </w:t>
      </w:r>
      <w:r w:rsidR="00AF3D23" w:rsidRPr="00726964">
        <w:rPr>
          <w:rFonts w:ascii="Times New Roman" w:hAnsi="Times New Roman" w:cs="Times New Roman"/>
          <w:bCs/>
          <w:sz w:val="24"/>
          <w:szCs w:val="24"/>
        </w:rPr>
        <w:t xml:space="preserve">de </w:t>
      </w:r>
      <w:r w:rsidR="000232F0" w:rsidRPr="00726964">
        <w:rPr>
          <w:rFonts w:ascii="Times New Roman" w:hAnsi="Times New Roman" w:cs="Times New Roman"/>
          <w:bCs/>
          <w:sz w:val="24"/>
          <w:szCs w:val="24"/>
        </w:rPr>
        <w:t>formalização conjunta</w:t>
      </w:r>
      <w:r w:rsidR="00AD768E" w:rsidRPr="00726964">
        <w:rPr>
          <w:rFonts w:ascii="Times New Roman" w:hAnsi="Times New Roman" w:cs="Times New Roman"/>
          <w:bCs/>
          <w:sz w:val="24"/>
          <w:szCs w:val="24"/>
        </w:rPr>
        <w:t xml:space="preserve"> em ambas as dimensões</w:t>
      </w:r>
      <w:r w:rsidR="00AF3D23" w:rsidRPr="00726964">
        <w:rPr>
          <w:rFonts w:ascii="Times New Roman" w:hAnsi="Times New Roman" w:cs="Times New Roman"/>
          <w:bCs/>
          <w:sz w:val="24"/>
          <w:szCs w:val="24"/>
        </w:rPr>
        <w:t xml:space="preserve">.  </w:t>
      </w:r>
    </w:p>
    <w:p w14:paraId="418FC5F0" w14:textId="77777777" w:rsidR="00AD4F5C" w:rsidRPr="00726964" w:rsidRDefault="007129C3" w:rsidP="00726964">
      <w:pPr>
        <w:spacing w:after="0" w:line="240" w:lineRule="auto"/>
        <w:ind w:firstLine="284"/>
        <w:rPr>
          <w:rFonts w:ascii="Times New Roman" w:hAnsi="Times New Roman" w:cs="Times New Roman"/>
          <w:bCs/>
          <w:sz w:val="24"/>
          <w:szCs w:val="24"/>
        </w:rPr>
      </w:pPr>
      <w:r w:rsidRPr="00726964">
        <w:rPr>
          <w:rFonts w:ascii="Times New Roman" w:hAnsi="Times New Roman" w:cs="Times New Roman"/>
          <w:sz w:val="24"/>
          <w:szCs w:val="24"/>
        </w:rPr>
        <w:t>Em suma, as evidências apresentadas nessa seção indicam que a política do MEI pode ter influenciado na decisão de tamanho da firma, condicional ao indivíduo ser um empreendedor, mas não há evidências de mudanças na evolução do padrão de escolha ocupacional mais ampla dos indivíduos. As evidências sugerem também que a política pode ter tido um impacto na decisão dos indivíduos de formalizarem ou não o seu negócio e contribuírem ou não para a previdência.</w:t>
      </w:r>
      <w:r w:rsidR="00AD4F5C" w:rsidRPr="00726964">
        <w:rPr>
          <w:rFonts w:ascii="Times New Roman" w:hAnsi="Times New Roman" w:cs="Times New Roman"/>
          <w:bCs/>
          <w:sz w:val="24"/>
          <w:szCs w:val="24"/>
        </w:rPr>
        <w:br w:type="page"/>
      </w:r>
    </w:p>
    <w:p w14:paraId="43A96459" w14:textId="77777777" w:rsidR="00AD4F5C" w:rsidRPr="00726964" w:rsidRDefault="00AD4F5C" w:rsidP="00726964">
      <w:pPr>
        <w:spacing w:line="240" w:lineRule="auto"/>
        <w:ind w:firstLine="284"/>
        <w:jc w:val="both"/>
        <w:rPr>
          <w:rFonts w:ascii="Times New Roman" w:hAnsi="Times New Roman" w:cs="Times New Roman"/>
          <w:bCs/>
          <w:sz w:val="24"/>
          <w:szCs w:val="24"/>
        </w:rPr>
      </w:pPr>
    </w:p>
    <w:p w14:paraId="547B9434" w14:textId="77777777" w:rsidR="0038596F" w:rsidRPr="00726964" w:rsidRDefault="00716876"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
          <w:bCs/>
          <w:sz w:val="24"/>
          <w:szCs w:val="24"/>
        </w:rPr>
        <w:t xml:space="preserve">Tabela 2: </w:t>
      </w:r>
      <w:r w:rsidR="00AF3D23" w:rsidRPr="00726964">
        <w:rPr>
          <w:rFonts w:ascii="Times New Roman" w:hAnsi="Times New Roman" w:cs="Times New Roman"/>
          <w:b/>
          <w:bCs/>
          <w:sz w:val="24"/>
          <w:szCs w:val="24"/>
        </w:rPr>
        <w:t>C</w:t>
      </w:r>
      <w:r w:rsidRPr="00726964">
        <w:rPr>
          <w:rFonts w:ascii="Times New Roman" w:hAnsi="Times New Roman" w:cs="Times New Roman"/>
          <w:b/>
          <w:bCs/>
          <w:sz w:val="24"/>
          <w:szCs w:val="24"/>
        </w:rPr>
        <w:t xml:space="preserve">orrelação entre </w:t>
      </w:r>
      <w:r w:rsidR="00AF3D23" w:rsidRPr="00726964">
        <w:rPr>
          <w:rFonts w:ascii="Times New Roman" w:hAnsi="Times New Roman" w:cs="Times New Roman"/>
          <w:b/>
          <w:bCs/>
          <w:sz w:val="24"/>
          <w:szCs w:val="24"/>
        </w:rPr>
        <w:t xml:space="preserve">as medidas de formalidade por </w:t>
      </w:r>
      <w:r w:rsidRPr="00726964">
        <w:rPr>
          <w:rFonts w:ascii="Times New Roman" w:hAnsi="Times New Roman" w:cs="Times New Roman"/>
          <w:b/>
          <w:bCs/>
          <w:sz w:val="24"/>
          <w:szCs w:val="24"/>
        </w:rPr>
        <w:t>CNPJ e previdência</w:t>
      </w:r>
      <w:r w:rsidR="00AF3D23" w:rsidRPr="00726964">
        <w:rPr>
          <w:rFonts w:ascii="Times New Roman" w:hAnsi="Times New Roman" w:cs="Times New Roman"/>
          <w:b/>
          <w:bCs/>
          <w:sz w:val="24"/>
          <w:szCs w:val="24"/>
        </w:rPr>
        <w:t xml:space="preserve"> – 2009 e 2011.</w:t>
      </w:r>
    </w:p>
    <w:tbl>
      <w:tblPr>
        <w:tblpPr w:leftFromText="141" w:rightFromText="141" w:vertAnchor="page" w:horzAnchor="page" w:tblpX="2871" w:tblpY="2425"/>
        <w:tblW w:w="4260" w:type="dxa"/>
        <w:tblCellMar>
          <w:left w:w="70" w:type="dxa"/>
          <w:right w:w="70" w:type="dxa"/>
        </w:tblCellMar>
        <w:tblLook w:val="04A0" w:firstRow="1" w:lastRow="0" w:firstColumn="1" w:lastColumn="0" w:noHBand="0" w:noVBand="1"/>
      </w:tblPr>
      <w:tblGrid>
        <w:gridCol w:w="1940"/>
        <w:gridCol w:w="960"/>
        <w:gridCol w:w="400"/>
        <w:gridCol w:w="960"/>
      </w:tblGrid>
      <w:tr w:rsidR="003969E2" w:rsidRPr="00FC3E6E" w14:paraId="5029A6B8" w14:textId="77777777" w:rsidTr="007129C3">
        <w:trPr>
          <w:trHeight w:val="300"/>
        </w:trPr>
        <w:tc>
          <w:tcPr>
            <w:tcW w:w="1940" w:type="dxa"/>
            <w:tcBorders>
              <w:top w:val="nil"/>
              <w:left w:val="nil"/>
              <w:bottom w:val="double" w:sz="6" w:space="0" w:color="auto"/>
              <w:right w:val="nil"/>
            </w:tcBorders>
            <w:shd w:val="clear" w:color="000000" w:fill="FFFFFF"/>
            <w:noWrap/>
            <w:vAlign w:val="center"/>
            <w:hideMark/>
          </w:tcPr>
          <w:p w14:paraId="23F181FC" w14:textId="77777777" w:rsidR="007129C3" w:rsidRPr="00726964" w:rsidRDefault="007129C3"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03145407"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400" w:type="dxa"/>
            <w:tcBorders>
              <w:top w:val="nil"/>
              <w:left w:val="nil"/>
              <w:bottom w:val="double" w:sz="6" w:space="0" w:color="auto"/>
              <w:right w:val="nil"/>
            </w:tcBorders>
            <w:shd w:val="clear" w:color="000000" w:fill="FFFFFF"/>
            <w:noWrap/>
            <w:vAlign w:val="center"/>
            <w:hideMark/>
          </w:tcPr>
          <w:p w14:paraId="3DE83BDA"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114CF397"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4770E87A" w14:textId="77777777" w:rsidTr="007129C3">
        <w:trPr>
          <w:trHeight w:val="312"/>
        </w:trPr>
        <w:tc>
          <w:tcPr>
            <w:tcW w:w="1940" w:type="dxa"/>
            <w:tcBorders>
              <w:top w:val="nil"/>
              <w:left w:val="nil"/>
              <w:bottom w:val="nil"/>
              <w:right w:val="nil"/>
            </w:tcBorders>
            <w:shd w:val="clear" w:color="000000" w:fill="FFFFFF"/>
            <w:noWrap/>
            <w:vAlign w:val="center"/>
            <w:hideMark/>
          </w:tcPr>
          <w:p w14:paraId="68EDC9E4"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single" w:sz="8" w:space="0" w:color="auto"/>
              <w:right w:val="nil"/>
            </w:tcBorders>
            <w:shd w:val="clear" w:color="000000" w:fill="FFFFFF"/>
            <w:noWrap/>
            <w:vAlign w:val="center"/>
            <w:hideMark/>
          </w:tcPr>
          <w:p w14:paraId="056722FF"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2009</w:t>
            </w:r>
          </w:p>
        </w:tc>
        <w:tc>
          <w:tcPr>
            <w:tcW w:w="400" w:type="dxa"/>
            <w:tcBorders>
              <w:top w:val="nil"/>
              <w:left w:val="nil"/>
              <w:bottom w:val="nil"/>
              <w:right w:val="nil"/>
            </w:tcBorders>
            <w:shd w:val="clear" w:color="000000" w:fill="FFFFFF"/>
            <w:noWrap/>
            <w:vAlign w:val="center"/>
            <w:hideMark/>
          </w:tcPr>
          <w:p w14:paraId="60B64B14"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single" w:sz="8" w:space="0" w:color="auto"/>
              <w:right w:val="nil"/>
            </w:tcBorders>
            <w:shd w:val="clear" w:color="000000" w:fill="FFFFFF"/>
            <w:vAlign w:val="center"/>
            <w:hideMark/>
          </w:tcPr>
          <w:p w14:paraId="4C6B322E"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2011</w:t>
            </w:r>
          </w:p>
        </w:tc>
      </w:tr>
      <w:tr w:rsidR="003969E2" w:rsidRPr="00FC3E6E" w14:paraId="001A88A3" w14:textId="77777777" w:rsidTr="007129C3">
        <w:trPr>
          <w:trHeight w:val="300"/>
        </w:trPr>
        <w:tc>
          <w:tcPr>
            <w:tcW w:w="1940" w:type="dxa"/>
            <w:tcBorders>
              <w:top w:val="nil"/>
              <w:left w:val="nil"/>
              <w:bottom w:val="nil"/>
              <w:right w:val="nil"/>
            </w:tcBorders>
            <w:shd w:val="clear" w:color="000000" w:fill="FFFFFF"/>
            <w:noWrap/>
            <w:vAlign w:val="center"/>
            <w:hideMark/>
          </w:tcPr>
          <w:p w14:paraId="51935B06" w14:textId="77777777" w:rsidR="007129C3" w:rsidRPr="00726964" w:rsidRDefault="007129C3"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Conta própria</w:t>
            </w:r>
          </w:p>
        </w:tc>
        <w:tc>
          <w:tcPr>
            <w:tcW w:w="960" w:type="dxa"/>
            <w:tcBorders>
              <w:top w:val="nil"/>
              <w:left w:val="nil"/>
              <w:bottom w:val="nil"/>
              <w:right w:val="nil"/>
            </w:tcBorders>
            <w:shd w:val="clear" w:color="000000" w:fill="FFFFFF"/>
            <w:noWrap/>
            <w:vAlign w:val="center"/>
            <w:hideMark/>
          </w:tcPr>
          <w:p w14:paraId="1D17D2B1"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0,302</w:t>
            </w:r>
          </w:p>
        </w:tc>
        <w:tc>
          <w:tcPr>
            <w:tcW w:w="400" w:type="dxa"/>
            <w:tcBorders>
              <w:top w:val="nil"/>
              <w:left w:val="nil"/>
              <w:bottom w:val="nil"/>
              <w:right w:val="nil"/>
            </w:tcBorders>
            <w:shd w:val="clear" w:color="000000" w:fill="FFFFFF"/>
            <w:noWrap/>
            <w:vAlign w:val="center"/>
            <w:hideMark/>
          </w:tcPr>
          <w:p w14:paraId="35FA9E27"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6A920D71"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0,420</w:t>
            </w:r>
          </w:p>
        </w:tc>
      </w:tr>
      <w:tr w:rsidR="003969E2" w:rsidRPr="00FC3E6E" w14:paraId="2773B351" w14:textId="77777777" w:rsidTr="007129C3">
        <w:trPr>
          <w:trHeight w:val="300"/>
        </w:trPr>
        <w:tc>
          <w:tcPr>
            <w:tcW w:w="1940" w:type="dxa"/>
            <w:tcBorders>
              <w:top w:val="nil"/>
              <w:left w:val="nil"/>
              <w:bottom w:val="nil"/>
              <w:right w:val="nil"/>
            </w:tcBorders>
            <w:shd w:val="clear" w:color="000000" w:fill="FFFFFF"/>
            <w:noWrap/>
            <w:vAlign w:val="center"/>
            <w:hideMark/>
          </w:tcPr>
          <w:p w14:paraId="14F88DDD" w14:textId="77777777" w:rsidR="007129C3" w:rsidRPr="00726964" w:rsidRDefault="007129C3"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pequeno</w:t>
            </w:r>
          </w:p>
        </w:tc>
        <w:tc>
          <w:tcPr>
            <w:tcW w:w="960" w:type="dxa"/>
            <w:tcBorders>
              <w:top w:val="nil"/>
              <w:left w:val="nil"/>
              <w:bottom w:val="nil"/>
              <w:right w:val="nil"/>
            </w:tcBorders>
            <w:shd w:val="clear" w:color="000000" w:fill="FFFFFF"/>
            <w:noWrap/>
            <w:vAlign w:val="center"/>
            <w:hideMark/>
          </w:tcPr>
          <w:p w14:paraId="1E67170E"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0,394</w:t>
            </w:r>
          </w:p>
        </w:tc>
        <w:tc>
          <w:tcPr>
            <w:tcW w:w="400" w:type="dxa"/>
            <w:tcBorders>
              <w:top w:val="nil"/>
              <w:left w:val="nil"/>
              <w:bottom w:val="nil"/>
              <w:right w:val="nil"/>
            </w:tcBorders>
            <w:shd w:val="clear" w:color="000000" w:fill="FFFFFF"/>
            <w:noWrap/>
            <w:vAlign w:val="center"/>
            <w:hideMark/>
          </w:tcPr>
          <w:p w14:paraId="73EC25AB"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nil"/>
              <w:right w:val="nil"/>
            </w:tcBorders>
            <w:shd w:val="clear" w:color="000000" w:fill="FFFFFF"/>
            <w:noWrap/>
            <w:vAlign w:val="center"/>
            <w:hideMark/>
          </w:tcPr>
          <w:p w14:paraId="456DFC45"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0,484</w:t>
            </w:r>
          </w:p>
        </w:tc>
      </w:tr>
      <w:tr w:rsidR="003969E2" w:rsidRPr="00FC3E6E" w14:paraId="7CCAC3D5" w14:textId="77777777" w:rsidTr="007129C3">
        <w:trPr>
          <w:trHeight w:val="315"/>
        </w:trPr>
        <w:tc>
          <w:tcPr>
            <w:tcW w:w="1940" w:type="dxa"/>
            <w:tcBorders>
              <w:top w:val="nil"/>
              <w:left w:val="nil"/>
              <w:bottom w:val="double" w:sz="6" w:space="0" w:color="auto"/>
              <w:right w:val="nil"/>
            </w:tcBorders>
            <w:shd w:val="clear" w:color="000000" w:fill="FFFFFF"/>
            <w:noWrap/>
            <w:vAlign w:val="center"/>
            <w:hideMark/>
          </w:tcPr>
          <w:p w14:paraId="1CB2F282" w14:textId="77777777" w:rsidR="007129C3" w:rsidRPr="00726964" w:rsidRDefault="007129C3"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Demais empregadores</w:t>
            </w:r>
          </w:p>
        </w:tc>
        <w:tc>
          <w:tcPr>
            <w:tcW w:w="960" w:type="dxa"/>
            <w:tcBorders>
              <w:top w:val="nil"/>
              <w:left w:val="nil"/>
              <w:bottom w:val="double" w:sz="6" w:space="0" w:color="auto"/>
              <w:right w:val="nil"/>
            </w:tcBorders>
            <w:shd w:val="clear" w:color="000000" w:fill="FFFFFF"/>
            <w:noWrap/>
            <w:vAlign w:val="center"/>
            <w:hideMark/>
          </w:tcPr>
          <w:p w14:paraId="180E3507"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0,325</w:t>
            </w:r>
          </w:p>
        </w:tc>
        <w:tc>
          <w:tcPr>
            <w:tcW w:w="400" w:type="dxa"/>
            <w:tcBorders>
              <w:top w:val="nil"/>
              <w:left w:val="nil"/>
              <w:bottom w:val="double" w:sz="6" w:space="0" w:color="auto"/>
              <w:right w:val="nil"/>
            </w:tcBorders>
            <w:shd w:val="clear" w:color="000000" w:fill="FFFFFF"/>
            <w:noWrap/>
            <w:vAlign w:val="center"/>
            <w:hideMark/>
          </w:tcPr>
          <w:p w14:paraId="7415122D"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960" w:type="dxa"/>
            <w:tcBorders>
              <w:top w:val="nil"/>
              <w:left w:val="nil"/>
              <w:bottom w:val="double" w:sz="6" w:space="0" w:color="auto"/>
              <w:right w:val="nil"/>
            </w:tcBorders>
            <w:shd w:val="clear" w:color="000000" w:fill="FFFFFF"/>
            <w:noWrap/>
            <w:vAlign w:val="center"/>
            <w:hideMark/>
          </w:tcPr>
          <w:p w14:paraId="676730DF" w14:textId="77777777" w:rsidR="007129C3" w:rsidRPr="00726964" w:rsidRDefault="007129C3"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0,383</w:t>
            </w:r>
          </w:p>
        </w:tc>
      </w:tr>
    </w:tbl>
    <w:p w14:paraId="09C7C701" w14:textId="77777777" w:rsidR="0038596F" w:rsidRPr="00726964" w:rsidRDefault="0038596F" w:rsidP="00726964">
      <w:pPr>
        <w:spacing w:before="120" w:after="0" w:line="240" w:lineRule="auto"/>
        <w:rPr>
          <w:rFonts w:ascii="Times New Roman" w:hAnsi="Times New Roman" w:cs="Times New Roman"/>
          <w:bCs/>
          <w:sz w:val="24"/>
          <w:szCs w:val="24"/>
        </w:rPr>
      </w:pPr>
    </w:p>
    <w:p w14:paraId="502A3852" w14:textId="77777777" w:rsidR="0038596F" w:rsidRPr="00726964" w:rsidRDefault="0038596F" w:rsidP="00726964">
      <w:pPr>
        <w:spacing w:before="120" w:after="0" w:line="240" w:lineRule="auto"/>
        <w:rPr>
          <w:rFonts w:ascii="Times New Roman" w:hAnsi="Times New Roman" w:cs="Times New Roman"/>
          <w:bCs/>
          <w:sz w:val="24"/>
          <w:szCs w:val="24"/>
        </w:rPr>
      </w:pPr>
    </w:p>
    <w:p w14:paraId="7EBF7C26" w14:textId="77777777" w:rsidR="0038596F" w:rsidRPr="00726964" w:rsidRDefault="0038596F" w:rsidP="00726964">
      <w:pPr>
        <w:spacing w:before="120" w:after="0" w:line="240" w:lineRule="auto"/>
        <w:rPr>
          <w:rFonts w:ascii="Times New Roman" w:hAnsi="Times New Roman" w:cs="Times New Roman"/>
          <w:bCs/>
          <w:sz w:val="24"/>
          <w:szCs w:val="24"/>
        </w:rPr>
      </w:pPr>
    </w:p>
    <w:p w14:paraId="130AC042" w14:textId="77777777" w:rsidR="00597C67" w:rsidRPr="00726964" w:rsidRDefault="00597C67" w:rsidP="00726964">
      <w:pPr>
        <w:spacing w:before="120" w:after="0" w:line="240" w:lineRule="auto"/>
        <w:rPr>
          <w:rFonts w:ascii="Times New Roman" w:hAnsi="Times New Roman" w:cs="Times New Roman"/>
          <w:bCs/>
          <w:sz w:val="24"/>
          <w:szCs w:val="24"/>
        </w:rPr>
      </w:pPr>
    </w:p>
    <w:p w14:paraId="1E7E6099" w14:textId="77777777" w:rsidR="000232F0" w:rsidRPr="00726964" w:rsidRDefault="000232F0" w:rsidP="00726964">
      <w:pPr>
        <w:spacing w:before="120" w:after="0" w:line="240" w:lineRule="auto"/>
        <w:rPr>
          <w:rFonts w:ascii="Times New Roman" w:hAnsi="Times New Roman" w:cs="Times New Roman"/>
          <w:bCs/>
          <w:sz w:val="24"/>
          <w:szCs w:val="24"/>
        </w:rPr>
      </w:pPr>
    </w:p>
    <w:p w14:paraId="714C7F08" w14:textId="77777777" w:rsidR="000232F0" w:rsidRPr="00726964" w:rsidRDefault="000232F0" w:rsidP="00726964">
      <w:pPr>
        <w:spacing w:before="120" w:after="0" w:line="240" w:lineRule="auto"/>
        <w:rPr>
          <w:rFonts w:ascii="Times New Roman" w:hAnsi="Times New Roman" w:cs="Times New Roman"/>
          <w:bCs/>
          <w:sz w:val="24"/>
          <w:szCs w:val="24"/>
        </w:rPr>
      </w:pPr>
    </w:p>
    <w:p w14:paraId="1EB2519D" w14:textId="77777777" w:rsidR="00AF3D23" w:rsidRPr="00726964" w:rsidRDefault="00AF3D23" w:rsidP="00726964">
      <w:pPr>
        <w:spacing w:before="120"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39F1C9AE" w14:textId="77777777" w:rsidR="00716876" w:rsidRPr="00726964" w:rsidRDefault="00716876" w:rsidP="00726964">
      <w:pPr>
        <w:spacing w:line="240" w:lineRule="auto"/>
        <w:jc w:val="both"/>
        <w:rPr>
          <w:rFonts w:ascii="Times New Roman" w:hAnsi="Times New Roman" w:cs="Times New Roman"/>
          <w:bCs/>
          <w:sz w:val="24"/>
          <w:szCs w:val="24"/>
        </w:rPr>
      </w:pPr>
    </w:p>
    <w:p w14:paraId="0BD2E34B" w14:textId="77777777" w:rsidR="00CA0746" w:rsidRPr="00726964" w:rsidRDefault="00CA0746"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Porém, a</w:t>
      </w:r>
      <w:r w:rsidR="008D2883" w:rsidRPr="00726964">
        <w:rPr>
          <w:rFonts w:ascii="Times New Roman" w:hAnsi="Times New Roman" w:cs="Times New Roman"/>
          <w:sz w:val="24"/>
          <w:szCs w:val="24"/>
        </w:rPr>
        <w:t>té aqui a</w:t>
      </w:r>
      <w:r w:rsidRPr="00726964">
        <w:rPr>
          <w:rFonts w:ascii="Times New Roman" w:hAnsi="Times New Roman" w:cs="Times New Roman"/>
          <w:sz w:val="24"/>
          <w:szCs w:val="24"/>
        </w:rPr>
        <w:t xml:space="preserve"> análise concentrou-se apenas em fatos estilizados gerais</w:t>
      </w:r>
      <w:r w:rsidR="00D25893" w:rsidRPr="00726964">
        <w:rPr>
          <w:rFonts w:ascii="Times New Roman" w:hAnsi="Times New Roman" w:cs="Times New Roman"/>
          <w:sz w:val="24"/>
          <w:szCs w:val="24"/>
        </w:rPr>
        <w:t xml:space="preserve"> e indicadores agregados</w:t>
      </w:r>
      <w:r w:rsidRPr="00726964">
        <w:rPr>
          <w:rFonts w:ascii="Times New Roman" w:hAnsi="Times New Roman" w:cs="Times New Roman"/>
          <w:sz w:val="24"/>
          <w:szCs w:val="24"/>
        </w:rPr>
        <w:t xml:space="preserve">, sem qualquer tipo de análise econométrica que permitisse controlar por outros fatores </w:t>
      </w:r>
      <w:r w:rsidR="00D25893" w:rsidRPr="00726964">
        <w:rPr>
          <w:rFonts w:ascii="Times New Roman" w:hAnsi="Times New Roman" w:cs="Times New Roman"/>
          <w:sz w:val="24"/>
          <w:szCs w:val="24"/>
        </w:rPr>
        <w:t xml:space="preserve">que podem estar relacionados com o </w:t>
      </w:r>
      <w:r w:rsidR="00D25893" w:rsidRPr="00726964">
        <w:rPr>
          <w:rFonts w:ascii="Times New Roman" w:hAnsi="Times New Roman" w:cs="Times New Roman"/>
          <w:i/>
          <w:sz w:val="24"/>
          <w:szCs w:val="24"/>
        </w:rPr>
        <w:t>timing</w:t>
      </w:r>
      <w:r w:rsidR="00D25893" w:rsidRPr="00726964">
        <w:rPr>
          <w:rFonts w:ascii="Times New Roman" w:hAnsi="Times New Roman" w:cs="Times New Roman"/>
          <w:sz w:val="24"/>
          <w:szCs w:val="24"/>
        </w:rPr>
        <w:t xml:space="preserve"> da política e que também influenciam os indicadores analisados (composição da força de trabalho, por exemplo). Sendo assim, </w:t>
      </w:r>
      <w:r w:rsidR="008D2883" w:rsidRPr="00726964">
        <w:rPr>
          <w:rFonts w:ascii="Times New Roman" w:hAnsi="Times New Roman" w:cs="Times New Roman"/>
          <w:sz w:val="24"/>
          <w:szCs w:val="24"/>
        </w:rPr>
        <w:t>na próxima</w:t>
      </w:r>
      <w:r w:rsidR="00D25893" w:rsidRPr="00726964">
        <w:rPr>
          <w:rFonts w:ascii="Times New Roman" w:hAnsi="Times New Roman" w:cs="Times New Roman"/>
          <w:sz w:val="24"/>
          <w:szCs w:val="24"/>
        </w:rPr>
        <w:t xml:space="preserve"> seção damos um passo adicional nessa direção e utilizamos métodos econométricos simples para tentar delinear de forma mais precisa os possíveis efeitos do programa</w:t>
      </w:r>
      <w:r w:rsidR="005504D2" w:rsidRPr="00726964">
        <w:rPr>
          <w:rFonts w:ascii="Times New Roman" w:hAnsi="Times New Roman" w:cs="Times New Roman"/>
          <w:sz w:val="24"/>
          <w:szCs w:val="24"/>
        </w:rPr>
        <w:t>, tal como foi discutido na seção 2.1</w:t>
      </w:r>
      <w:r w:rsidR="00D25893" w:rsidRPr="00726964">
        <w:rPr>
          <w:rFonts w:ascii="Times New Roman" w:hAnsi="Times New Roman" w:cs="Times New Roman"/>
          <w:sz w:val="24"/>
          <w:szCs w:val="24"/>
        </w:rPr>
        <w:t xml:space="preserve">. </w:t>
      </w:r>
    </w:p>
    <w:p w14:paraId="346667DF" w14:textId="77777777" w:rsidR="00D25893" w:rsidRPr="00726964" w:rsidRDefault="00D25893"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No que segue, analisaremos primeiro as escolhas ocupacionais dos indivíduos para, em seguida analisar os efeitos sobre as decisões de formalização. Como deixaremos claro ao longo do texto, no entanto, não há pretensão de identificar o efeito causal da política do MEI, mas apenas estabelecer associações entre a política e as </w:t>
      </w:r>
      <w:r w:rsidR="00726FDA" w:rsidRPr="00726964">
        <w:rPr>
          <w:rFonts w:ascii="Times New Roman" w:hAnsi="Times New Roman" w:cs="Times New Roman"/>
          <w:sz w:val="24"/>
          <w:szCs w:val="24"/>
        </w:rPr>
        <w:t>variáveis</w:t>
      </w:r>
      <w:r w:rsidRPr="00726964">
        <w:rPr>
          <w:rFonts w:ascii="Times New Roman" w:hAnsi="Times New Roman" w:cs="Times New Roman"/>
          <w:sz w:val="24"/>
          <w:szCs w:val="24"/>
        </w:rPr>
        <w:t xml:space="preserve"> destacadas. </w:t>
      </w:r>
    </w:p>
    <w:p w14:paraId="57ABB59E" w14:textId="77777777" w:rsidR="00165CAC" w:rsidRPr="00726964" w:rsidRDefault="00165CAC" w:rsidP="00726964">
      <w:pPr>
        <w:pStyle w:val="Heading1"/>
        <w:spacing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t>3 Associações entre o programa EI e as escolhas ocupacionais dos indivíduos</w:t>
      </w:r>
    </w:p>
    <w:p w14:paraId="716365E8" w14:textId="77777777" w:rsidR="005E383E" w:rsidRPr="00726964" w:rsidRDefault="009C1AE2" w:rsidP="00726964">
      <w:pPr>
        <w:spacing w:before="240"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Conforme </w:t>
      </w:r>
      <w:r w:rsidR="00E821FA" w:rsidRPr="00726964">
        <w:rPr>
          <w:rFonts w:ascii="Times New Roman" w:hAnsi="Times New Roman" w:cs="Times New Roman"/>
          <w:bCs/>
          <w:sz w:val="24"/>
          <w:szCs w:val="24"/>
        </w:rPr>
        <w:t>já discutido, a</w:t>
      </w:r>
      <w:r w:rsidR="00A76D98" w:rsidRPr="00726964">
        <w:rPr>
          <w:rFonts w:ascii="Times New Roman" w:hAnsi="Times New Roman" w:cs="Times New Roman"/>
          <w:bCs/>
          <w:sz w:val="24"/>
          <w:szCs w:val="24"/>
        </w:rPr>
        <w:t xml:space="preserve"> associação </w:t>
      </w:r>
      <w:r w:rsidR="00E821FA" w:rsidRPr="00726964">
        <w:rPr>
          <w:rFonts w:ascii="Times New Roman" w:hAnsi="Times New Roman" w:cs="Times New Roman"/>
          <w:bCs/>
          <w:sz w:val="24"/>
          <w:szCs w:val="24"/>
        </w:rPr>
        <w:t xml:space="preserve">entre o programa e os </w:t>
      </w:r>
      <w:r w:rsidR="00A76D98" w:rsidRPr="00726964">
        <w:rPr>
          <w:rFonts w:ascii="Times New Roman" w:hAnsi="Times New Roman" w:cs="Times New Roman"/>
          <w:bCs/>
          <w:sz w:val="24"/>
          <w:szCs w:val="24"/>
        </w:rPr>
        <w:t>movimento</w:t>
      </w:r>
      <w:r w:rsidR="007B11CE" w:rsidRPr="00726964">
        <w:rPr>
          <w:rFonts w:ascii="Times New Roman" w:hAnsi="Times New Roman" w:cs="Times New Roman"/>
          <w:bCs/>
          <w:sz w:val="24"/>
          <w:szCs w:val="24"/>
        </w:rPr>
        <w:t xml:space="preserve">s </w:t>
      </w:r>
      <w:r w:rsidR="00A76D98" w:rsidRPr="00726964">
        <w:rPr>
          <w:rFonts w:ascii="Times New Roman" w:hAnsi="Times New Roman" w:cs="Times New Roman"/>
          <w:bCs/>
          <w:sz w:val="24"/>
          <w:szCs w:val="24"/>
        </w:rPr>
        <w:t xml:space="preserve">reportados </w:t>
      </w:r>
      <w:r w:rsidR="00E821FA" w:rsidRPr="00726964">
        <w:rPr>
          <w:rFonts w:ascii="Times New Roman" w:hAnsi="Times New Roman" w:cs="Times New Roman"/>
          <w:bCs/>
          <w:sz w:val="24"/>
          <w:szCs w:val="24"/>
        </w:rPr>
        <w:t>na Figura 1</w:t>
      </w:r>
      <w:r w:rsidR="00A76D98" w:rsidRPr="00726964">
        <w:rPr>
          <w:rFonts w:ascii="Times New Roman" w:hAnsi="Times New Roman" w:cs="Times New Roman"/>
          <w:bCs/>
          <w:sz w:val="24"/>
          <w:szCs w:val="24"/>
        </w:rPr>
        <w:t xml:space="preserve"> deve ser feita com cautela, visto que as </w:t>
      </w:r>
      <w:r w:rsidR="007B11CE" w:rsidRPr="00726964">
        <w:rPr>
          <w:rFonts w:ascii="Times New Roman" w:hAnsi="Times New Roman" w:cs="Times New Roman"/>
          <w:bCs/>
          <w:sz w:val="24"/>
          <w:szCs w:val="24"/>
        </w:rPr>
        <w:t>trajetórias relativas acima podem ser influenciadas por mudanças na composição da força de trabalho. Ou seja, uma determinada característica mais associada ao grupo de conta-própria p</w:t>
      </w:r>
      <w:r w:rsidR="006C4AF0" w:rsidRPr="00726964">
        <w:rPr>
          <w:rFonts w:ascii="Times New Roman" w:hAnsi="Times New Roman" w:cs="Times New Roman"/>
          <w:bCs/>
          <w:sz w:val="24"/>
          <w:szCs w:val="24"/>
        </w:rPr>
        <w:t xml:space="preserve">ode ter ficado mais frequente e isso ter levado a uma maior participação desse grupo entre os ocupados. </w:t>
      </w:r>
      <w:r w:rsidR="005E383E" w:rsidRPr="00726964">
        <w:rPr>
          <w:rFonts w:ascii="Times New Roman" w:hAnsi="Times New Roman" w:cs="Times New Roman"/>
          <w:bCs/>
          <w:sz w:val="24"/>
          <w:szCs w:val="24"/>
        </w:rPr>
        <w:t xml:space="preserve">Por exemplo, os jovens são menos propensos a trabalhar como autônomos. Logo, uma menor entrada de jovens no mercado de trabalho em um determinado período pode contribuir para aumentar a parcela de </w:t>
      </w:r>
      <w:r w:rsidR="0044137A" w:rsidRPr="00726964">
        <w:rPr>
          <w:rFonts w:ascii="Times New Roman" w:hAnsi="Times New Roman" w:cs="Times New Roman"/>
          <w:bCs/>
          <w:sz w:val="24"/>
          <w:szCs w:val="24"/>
        </w:rPr>
        <w:t xml:space="preserve">trabalhadores por </w:t>
      </w:r>
      <w:r w:rsidR="005E383E" w:rsidRPr="00726964">
        <w:rPr>
          <w:rFonts w:ascii="Times New Roman" w:hAnsi="Times New Roman" w:cs="Times New Roman"/>
          <w:bCs/>
          <w:sz w:val="24"/>
          <w:szCs w:val="24"/>
        </w:rPr>
        <w:t xml:space="preserve">conta-própria nesse período. </w:t>
      </w:r>
    </w:p>
    <w:p w14:paraId="0D496A9F" w14:textId="77777777" w:rsidR="00AF296C" w:rsidRPr="00726964" w:rsidRDefault="00AF296C"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Uma evidência </w:t>
      </w:r>
      <w:r w:rsidR="00221677" w:rsidRPr="00726964">
        <w:rPr>
          <w:rFonts w:ascii="Times New Roman" w:hAnsi="Times New Roman" w:cs="Times New Roman"/>
          <w:bCs/>
          <w:sz w:val="24"/>
          <w:szCs w:val="24"/>
        </w:rPr>
        <w:t>imune</w:t>
      </w:r>
      <w:r w:rsidRPr="00726964">
        <w:rPr>
          <w:rFonts w:ascii="Times New Roman" w:hAnsi="Times New Roman" w:cs="Times New Roman"/>
          <w:bCs/>
          <w:sz w:val="24"/>
          <w:szCs w:val="24"/>
        </w:rPr>
        <w:t xml:space="preserve"> </w:t>
      </w:r>
      <w:r w:rsidR="006C4AF0" w:rsidRPr="00726964">
        <w:rPr>
          <w:rFonts w:ascii="Times New Roman" w:hAnsi="Times New Roman" w:cs="Times New Roman"/>
          <w:bCs/>
          <w:sz w:val="24"/>
          <w:szCs w:val="24"/>
        </w:rPr>
        <w:t xml:space="preserve">a esse tipo de </w:t>
      </w:r>
      <w:r w:rsidR="00221677" w:rsidRPr="00726964">
        <w:rPr>
          <w:rFonts w:ascii="Times New Roman" w:hAnsi="Times New Roman" w:cs="Times New Roman"/>
          <w:bCs/>
          <w:sz w:val="24"/>
          <w:szCs w:val="24"/>
        </w:rPr>
        <w:t>problema</w:t>
      </w:r>
      <w:r w:rsidR="006C4AF0"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 xml:space="preserve">pode ser obtida através do seguinte modelo </w:t>
      </w:r>
      <w:proofErr w:type="spellStart"/>
      <w:r w:rsidR="00595395" w:rsidRPr="00726964">
        <w:rPr>
          <w:rFonts w:ascii="Times New Roman" w:hAnsi="Times New Roman" w:cs="Times New Roman"/>
          <w:bCs/>
          <w:sz w:val="24"/>
          <w:szCs w:val="24"/>
        </w:rPr>
        <w:t>probit</w:t>
      </w:r>
      <w:proofErr w:type="spellEnd"/>
      <w:r w:rsidRPr="00726964">
        <w:rPr>
          <w:rFonts w:ascii="Times New Roman" w:hAnsi="Times New Roman" w:cs="Times New Roman"/>
          <w:bCs/>
          <w:sz w:val="24"/>
          <w:szCs w:val="24"/>
        </w:rPr>
        <w:t>:</w:t>
      </w:r>
    </w:p>
    <w:p w14:paraId="548C1A9F" w14:textId="77777777" w:rsidR="00AF296C" w:rsidRPr="00726964" w:rsidRDefault="00726964" w:rsidP="00726964">
      <w:pPr>
        <w:spacing w:line="240" w:lineRule="auto"/>
        <w:jc w:val="center"/>
        <w:rPr>
          <w:rFonts w:ascii="Times New Roman" w:hAnsi="Times New Roman" w:cs="Times New Roman"/>
          <w:bCs/>
          <w:sz w:val="24"/>
          <w:szCs w:val="24"/>
        </w:rPr>
      </w:pPr>
      <m:oMath>
        <m:func>
          <m:funcPr>
            <m:ctrlPr>
              <w:rPr>
                <w:rFonts w:ascii="Cambria Math" w:hAnsi="Cambria Math" w:cs="Times New Roman"/>
                <w:bCs/>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β+X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γ </m:t>
            </m:r>
          </m:e>
        </m:d>
      </m:oMath>
      <w:r w:rsidR="00D5085A" w:rsidRPr="00726964">
        <w:rPr>
          <w:rFonts w:ascii="Times New Roman" w:hAnsi="Times New Roman" w:cs="Times New Roman"/>
          <w:bCs/>
          <w:sz w:val="24"/>
          <w:szCs w:val="24"/>
        </w:rPr>
        <w:tab/>
      </w:r>
      <w:r w:rsidR="00D5085A" w:rsidRPr="00726964">
        <w:rPr>
          <w:rFonts w:ascii="Times New Roman" w:hAnsi="Times New Roman" w:cs="Times New Roman"/>
          <w:bCs/>
          <w:sz w:val="24"/>
          <w:szCs w:val="24"/>
        </w:rPr>
        <w:tab/>
      </w:r>
      <w:r w:rsidR="00D5085A" w:rsidRPr="00726964">
        <w:rPr>
          <w:rFonts w:ascii="Times New Roman" w:hAnsi="Times New Roman" w:cs="Times New Roman"/>
          <w:bCs/>
          <w:sz w:val="24"/>
          <w:szCs w:val="24"/>
        </w:rPr>
        <w:tab/>
      </w:r>
      <w:r w:rsidR="00D5085A" w:rsidRPr="00726964">
        <w:rPr>
          <w:rFonts w:ascii="Times New Roman" w:hAnsi="Times New Roman" w:cs="Times New Roman"/>
          <w:bCs/>
          <w:sz w:val="24"/>
          <w:szCs w:val="24"/>
        </w:rPr>
        <w:tab/>
        <w:t>(1)</w:t>
      </w:r>
    </w:p>
    <w:p w14:paraId="1DE61CD5" w14:textId="77777777" w:rsidR="00AF296C" w:rsidRPr="00726964" w:rsidRDefault="008D2883"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 xml:space="preserve">onde </w:t>
      </w:r>
      <m:oMath>
        <m:r>
          <m:rPr>
            <m:sty m:val="p"/>
          </m:rPr>
          <w:rPr>
            <w:rFonts w:ascii="Cambria Math" w:hAnsi="Cambria Math" w:cs="Times New Roman"/>
            <w:sz w:val="24"/>
            <w:szCs w:val="24"/>
          </w:rPr>
          <m:t>Φ</m:t>
        </m:r>
      </m:oMath>
      <w:r w:rsidRPr="00726964">
        <w:rPr>
          <w:rFonts w:ascii="Times New Roman" w:hAnsi="Times New Roman" w:cs="Times New Roman"/>
          <w:bCs/>
          <w:sz w:val="24"/>
          <w:szCs w:val="24"/>
        </w:rPr>
        <w:t xml:space="preserve"> denota a c.d.f. da distribuição Normal padrão, </w:t>
      </w:r>
      <w:r w:rsidR="00595395" w:rsidRPr="00726964">
        <w:rPr>
          <w:rFonts w:ascii="Times New Roman" w:hAnsi="Times New Roman" w:cs="Times New Roman"/>
          <w:bCs/>
          <w:sz w:val="24"/>
          <w:szCs w:val="24"/>
        </w:rPr>
        <w:t>Y</w:t>
      </w:r>
      <w:r w:rsidR="00595395" w:rsidRPr="00726964">
        <w:rPr>
          <w:rFonts w:ascii="Times New Roman" w:hAnsi="Times New Roman" w:cs="Times New Roman"/>
          <w:bCs/>
          <w:sz w:val="24"/>
          <w:szCs w:val="24"/>
          <w:vertAlign w:val="subscript"/>
        </w:rPr>
        <w:t>i</w:t>
      </w:r>
      <w:r w:rsidR="00AF296C" w:rsidRPr="00726964">
        <w:rPr>
          <w:rFonts w:ascii="Times New Roman" w:hAnsi="Times New Roman" w:cs="Times New Roman"/>
          <w:bCs/>
          <w:sz w:val="24"/>
          <w:szCs w:val="24"/>
        </w:rPr>
        <w:t xml:space="preserve"> </w:t>
      </w:r>
      <w:r w:rsidR="005E383E" w:rsidRPr="00726964">
        <w:rPr>
          <w:rFonts w:ascii="Times New Roman" w:hAnsi="Times New Roman" w:cs="Times New Roman"/>
          <w:bCs/>
          <w:sz w:val="24"/>
          <w:szCs w:val="24"/>
        </w:rPr>
        <w:t>é binária</w:t>
      </w:r>
      <w:r w:rsidR="00AF296C" w:rsidRPr="00726964">
        <w:rPr>
          <w:rFonts w:ascii="Times New Roman" w:hAnsi="Times New Roman" w:cs="Times New Roman"/>
          <w:bCs/>
          <w:sz w:val="24"/>
          <w:szCs w:val="24"/>
        </w:rPr>
        <w:t xml:space="preserve"> </w:t>
      </w:r>
      <w:r w:rsidR="005E383E" w:rsidRPr="00726964">
        <w:rPr>
          <w:rFonts w:ascii="Times New Roman" w:hAnsi="Times New Roman" w:cs="Times New Roman"/>
          <w:bCs/>
          <w:sz w:val="24"/>
          <w:szCs w:val="24"/>
        </w:rPr>
        <w:t>(</w:t>
      </w:r>
      <w:proofErr w:type="spellStart"/>
      <w:r w:rsidR="00AF296C" w:rsidRPr="00726964">
        <w:rPr>
          <w:rFonts w:ascii="Times New Roman" w:hAnsi="Times New Roman" w:cs="Times New Roman"/>
          <w:bCs/>
          <w:i/>
          <w:iCs/>
          <w:sz w:val="24"/>
          <w:szCs w:val="24"/>
        </w:rPr>
        <w:t>dummy</w:t>
      </w:r>
      <w:proofErr w:type="spellEnd"/>
      <w:r w:rsidR="005E383E" w:rsidRPr="00726964">
        <w:rPr>
          <w:rFonts w:ascii="Times New Roman" w:hAnsi="Times New Roman" w:cs="Times New Roman"/>
          <w:bCs/>
          <w:i/>
          <w:iCs/>
          <w:sz w:val="24"/>
          <w:szCs w:val="24"/>
        </w:rPr>
        <w:t>)</w:t>
      </w:r>
      <w:r w:rsidR="005E383E" w:rsidRPr="00726964">
        <w:rPr>
          <w:rFonts w:ascii="Times New Roman" w:hAnsi="Times New Roman" w:cs="Times New Roman"/>
          <w:bCs/>
          <w:iCs/>
          <w:sz w:val="24"/>
          <w:szCs w:val="24"/>
        </w:rPr>
        <w:t xml:space="preserve"> que vale um se o indivíduo “</w:t>
      </w:r>
      <w:r w:rsidR="005E383E" w:rsidRPr="00726964">
        <w:rPr>
          <w:rFonts w:ascii="Times New Roman" w:hAnsi="Times New Roman" w:cs="Times New Roman"/>
          <w:bCs/>
          <w:i/>
          <w:iCs/>
          <w:sz w:val="24"/>
          <w:szCs w:val="24"/>
        </w:rPr>
        <w:t>i</w:t>
      </w:r>
      <w:r w:rsidR="005E383E" w:rsidRPr="00726964">
        <w:rPr>
          <w:rFonts w:ascii="Times New Roman" w:hAnsi="Times New Roman" w:cs="Times New Roman"/>
          <w:bCs/>
          <w:iCs/>
          <w:sz w:val="24"/>
          <w:szCs w:val="24"/>
        </w:rPr>
        <w:t>”</w:t>
      </w:r>
      <w:r w:rsidR="00AF296C" w:rsidRPr="00726964">
        <w:rPr>
          <w:rFonts w:ascii="Times New Roman" w:hAnsi="Times New Roman" w:cs="Times New Roman"/>
          <w:bCs/>
          <w:sz w:val="24"/>
          <w:szCs w:val="24"/>
        </w:rPr>
        <w:t xml:space="preserve"> </w:t>
      </w:r>
      <w:r w:rsidR="005E383E" w:rsidRPr="00726964">
        <w:rPr>
          <w:rFonts w:ascii="Times New Roman" w:hAnsi="Times New Roman" w:cs="Times New Roman"/>
          <w:bCs/>
          <w:sz w:val="24"/>
          <w:szCs w:val="24"/>
        </w:rPr>
        <w:t>for conta-própria ou empregador com apenas um empregado</w:t>
      </w:r>
      <w:r w:rsidR="00AF296C" w:rsidRPr="00726964">
        <w:rPr>
          <w:rFonts w:ascii="Times New Roman" w:hAnsi="Times New Roman" w:cs="Times New Roman"/>
          <w:bCs/>
          <w:sz w:val="24"/>
          <w:szCs w:val="24"/>
        </w:rPr>
        <w:t xml:space="preserve"> </w:t>
      </w:r>
      <w:r w:rsidR="005E383E" w:rsidRPr="00726964">
        <w:rPr>
          <w:rFonts w:ascii="Times New Roman" w:hAnsi="Times New Roman" w:cs="Times New Roman"/>
          <w:bCs/>
          <w:sz w:val="24"/>
          <w:szCs w:val="24"/>
        </w:rPr>
        <w:t>(</w:t>
      </w:r>
      <w:r w:rsidR="00AF296C" w:rsidRPr="00726964">
        <w:rPr>
          <w:rFonts w:ascii="Times New Roman" w:hAnsi="Times New Roman" w:cs="Times New Roman"/>
          <w:bCs/>
          <w:sz w:val="24"/>
          <w:szCs w:val="24"/>
        </w:rPr>
        <w:t>EI</w:t>
      </w:r>
      <w:r w:rsidR="005E383E" w:rsidRPr="00726964">
        <w:rPr>
          <w:rFonts w:ascii="Times New Roman" w:hAnsi="Times New Roman" w:cs="Times New Roman"/>
          <w:bCs/>
          <w:sz w:val="24"/>
          <w:szCs w:val="24"/>
        </w:rPr>
        <w:t xml:space="preserve">), e vale zero se o indivíduo tiver outro tipo de ocupação. </w:t>
      </w:r>
      <w:r w:rsidR="00AF296C" w:rsidRPr="00726964">
        <w:rPr>
          <w:rFonts w:ascii="Times New Roman" w:hAnsi="Times New Roman" w:cs="Times New Roman"/>
          <w:bCs/>
          <w:sz w:val="24"/>
          <w:szCs w:val="24"/>
        </w:rPr>
        <w:t>T</w:t>
      </w:r>
      <w:r w:rsidR="00AF296C" w:rsidRPr="00726964">
        <w:rPr>
          <w:rFonts w:ascii="Times New Roman" w:hAnsi="Times New Roman" w:cs="Times New Roman"/>
          <w:bCs/>
          <w:sz w:val="24"/>
          <w:szCs w:val="24"/>
          <w:vertAlign w:val="subscript"/>
        </w:rPr>
        <w:t xml:space="preserve">i </w:t>
      </w:r>
      <w:r w:rsidR="00685635" w:rsidRPr="00726964">
        <w:rPr>
          <w:rFonts w:ascii="Times New Roman" w:hAnsi="Times New Roman" w:cs="Times New Roman"/>
          <w:bCs/>
          <w:sz w:val="24"/>
          <w:szCs w:val="24"/>
        </w:rPr>
        <w:t xml:space="preserve">representa um vetor de </w:t>
      </w:r>
      <w:proofErr w:type="spellStart"/>
      <w:r w:rsidR="00685635" w:rsidRPr="00726964">
        <w:rPr>
          <w:rFonts w:ascii="Times New Roman" w:hAnsi="Times New Roman" w:cs="Times New Roman"/>
          <w:bCs/>
          <w:sz w:val="24"/>
          <w:szCs w:val="24"/>
        </w:rPr>
        <w:t>dummies</w:t>
      </w:r>
      <w:proofErr w:type="spellEnd"/>
      <w:r w:rsidR="00685635" w:rsidRPr="00726964">
        <w:rPr>
          <w:rFonts w:ascii="Times New Roman" w:hAnsi="Times New Roman" w:cs="Times New Roman"/>
          <w:bCs/>
          <w:sz w:val="24"/>
          <w:szCs w:val="24"/>
        </w:rPr>
        <w:t xml:space="preserve"> temporais</w:t>
      </w:r>
      <w:r w:rsidR="005E383E" w:rsidRPr="00726964">
        <w:rPr>
          <w:rFonts w:ascii="Times New Roman" w:hAnsi="Times New Roman" w:cs="Times New Roman"/>
          <w:bCs/>
          <w:iCs/>
          <w:sz w:val="24"/>
          <w:szCs w:val="24"/>
        </w:rPr>
        <w:t xml:space="preserve">, indicando </w:t>
      </w:r>
      <w:r w:rsidR="00685635" w:rsidRPr="00726964">
        <w:rPr>
          <w:rFonts w:ascii="Times New Roman" w:hAnsi="Times New Roman" w:cs="Times New Roman"/>
          <w:bCs/>
          <w:iCs/>
          <w:sz w:val="24"/>
          <w:szCs w:val="24"/>
        </w:rPr>
        <w:t xml:space="preserve">o ano em que </w:t>
      </w:r>
      <w:r w:rsidR="005E383E" w:rsidRPr="00726964">
        <w:rPr>
          <w:rFonts w:ascii="Times New Roman" w:hAnsi="Times New Roman" w:cs="Times New Roman"/>
          <w:bCs/>
          <w:iCs/>
          <w:sz w:val="24"/>
          <w:szCs w:val="24"/>
        </w:rPr>
        <w:t>a informação referente ao indivíduo “</w:t>
      </w:r>
      <w:r w:rsidR="005E383E" w:rsidRPr="00726964">
        <w:rPr>
          <w:rFonts w:ascii="Times New Roman" w:hAnsi="Times New Roman" w:cs="Times New Roman"/>
          <w:bCs/>
          <w:i/>
          <w:iCs/>
          <w:sz w:val="24"/>
          <w:szCs w:val="24"/>
        </w:rPr>
        <w:t>i</w:t>
      </w:r>
      <w:r w:rsidR="005E383E" w:rsidRPr="00726964">
        <w:rPr>
          <w:rFonts w:ascii="Times New Roman" w:hAnsi="Times New Roman" w:cs="Times New Roman"/>
          <w:bCs/>
          <w:iCs/>
          <w:sz w:val="24"/>
          <w:szCs w:val="24"/>
        </w:rPr>
        <w:t xml:space="preserve">” foi coletada </w:t>
      </w:r>
      <w:r w:rsidR="00AF296C" w:rsidRPr="00726964">
        <w:rPr>
          <w:rFonts w:ascii="Times New Roman" w:hAnsi="Times New Roman" w:cs="Times New Roman"/>
          <w:bCs/>
          <w:iCs/>
          <w:sz w:val="24"/>
          <w:szCs w:val="24"/>
        </w:rPr>
        <w:t>(</w:t>
      </w:r>
      <w:r w:rsidR="00685635" w:rsidRPr="00726964">
        <w:rPr>
          <w:rFonts w:ascii="Times New Roman" w:hAnsi="Times New Roman" w:cs="Times New Roman"/>
          <w:bCs/>
          <w:iCs/>
          <w:sz w:val="24"/>
          <w:szCs w:val="24"/>
        </w:rPr>
        <w:t xml:space="preserve">2009 é a </w:t>
      </w:r>
      <w:proofErr w:type="spellStart"/>
      <w:r w:rsidR="00685635" w:rsidRPr="00726964">
        <w:rPr>
          <w:rFonts w:ascii="Times New Roman" w:hAnsi="Times New Roman" w:cs="Times New Roman"/>
          <w:bCs/>
          <w:iCs/>
          <w:sz w:val="24"/>
          <w:szCs w:val="24"/>
        </w:rPr>
        <w:t>dummy</w:t>
      </w:r>
      <w:proofErr w:type="spellEnd"/>
      <w:r w:rsidR="00685635" w:rsidRPr="00726964">
        <w:rPr>
          <w:rFonts w:ascii="Times New Roman" w:hAnsi="Times New Roman" w:cs="Times New Roman"/>
          <w:bCs/>
          <w:iCs/>
          <w:sz w:val="24"/>
          <w:szCs w:val="24"/>
        </w:rPr>
        <w:t xml:space="preserve"> omitida</w:t>
      </w:r>
      <w:r w:rsidR="00AF296C" w:rsidRPr="00726964">
        <w:rPr>
          <w:rFonts w:ascii="Times New Roman" w:hAnsi="Times New Roman" w:cs="Times New Roman"/>
          <w:bCs/>
          <w:iCs/>
          <w:sz w:val="24"/>
          <w:szCs w:val="24"/>
        </w:rPr>
        <w:t>)</w:t>
      </w:r>
      <w:r w:rsidR="005E383E" w:rsidRPr="00726964">
        <w:rPr>
          <w:rFonts w:ascii="Times New Roman" w:hAnsi="Times New Roman" w:cs="Times New Roman"/>
          <w:bCs/>
          <w:sz w:val="24"/>
          <w:szCs w:val="24"/>
        </w:rPr>
        <w:t>. Por fim</w:t>
      </w:r>
      <w:r w:rsidR="00AF296C" w:rsidRPr="00726964">
        <w:rPr>
          <w:rFonts w:ascii="Times New Roman" w:hAnsi="Times New Roman" w:cs="Times New Roman"/>
          <w:bCs/>
          <w:sz w:val="24"/>
          <w:szCs w:val="24"/>
        </w:rPr>
        <w:t xml:space="preserve"> X</w:t>
      </w:r>
      <w:r w:rsidR="00AF296C" w:rsidRPr="00726964">
        <w:rPr>
          <w:rFonts w:ascii="Times New Roman" w:hAnsi="Times New Roman" w:cs="Times New Roman"/>
          <w:bCs/>
          <w:sz w:val="24"/>
          <w:szCs w:val="24"/>
          <w:vertAlign w:val="subscript"/>
        </w:rPr>
        <w:t>i</w:t>
      </w:r>
      <w:r w:rsidR="00AF296C" w:rsidRPr="00726964">
        <w:rPr>
          <w:rFonts w:ascii="Times New Roman" w:hAnsi="Times New Roman" w:cs="Times New Roman"/>
          <w:bCs/>
          <w:sz w:val="24"/>
          <w:szCs w:val="24"/>
        </w:rPr>
        <w:t xml:space="preserve"> </w:t>
      </w:r>
      <w:r w:rsidR="005E383E" w:rsidRPr="00726964">
        <w:rPr>
          <w:rFonts w:ascii="Times New Roman" w:hAnsi="Times New Roman" w:cs="Times New Roman"/>
          <w:bCs/>
          <w:sz w:val="24"/>
          <w:szCs w:val="24"/>
        </w:rPr>
        <w:t xml:space="preserve">denota um vetor com uma série de </w:t>
      </w:r>
      <w:r w:rsidR="00AF296C" w:rsidRPr="00726964">
        <w:rPr>
          <w:rFonts w:ascii="Times New Roman" w:hAnsi="Times New Roman" w:cs="Times New Roman"/>
          <w:bCs/>
          <w:sz w:val="24"/>
          <w:szCs w:val="24"/>
        </w:rPr>
        <w:lastRenderedPageBreak/>
        <w:t>controles</w:t>
      </w:r>
      <w:r w:rsidR="005E383E" w:rsidRPr="00726964">
        <w:rPr>
          <w:rFonts w:ascii="Times New Roman" w:hAnsi="Times New Roman" w:cs="Times New Roman"/>
          <w:bCs/>
          <w:sz w:val="24"/>
          <w:szCs w:val="24"/>
        </w:rPr>
        <w:t xml:space="preserve"> indicando </w:t>
      </w:r>
      <w:r w:rsidR="00DB3259" w:rsidRPr="00726964">
        <w:rPr>
          <w:rFonts w:ascii="Times New Roman" w:hAnsi="Times New Roman" w:cs="Times New Roman"/>
          <w:bCs/>
          <w:sz w:val="24"/>
          <w:szCs w:val="24"/>
        </w:rPr>
        <w:t>características individuais e do posto de trabalho</w:t>
      </w:r>
      <w:r w:rsidR="00AF296C" w:rsidRPr="00726964">
        <w:rPr>
          <w:rFonts w:ascii="Times New Roman" w:hAnsi="Times New Roman" w:cs="Times New Roman"/>
          <w:bCs/>
          <w:sz w:val="24"/>
          <w:szCs w:val="24"/>
        </w:rPr>
        <w:t>.</w:t>
      </w:r>
      <w:r w:rsidR="00DB3259" w:rsidRPr="00726964">
        <w:rPr>
          <w:rStyle w:val="FootnoteReference"/>
          <w:rFonts w:ascii="Times New Roman" w:hAnsi="Times New Roman" w:cs="Times New Roman"/>
          <w:bCs/>
          <w:sz w:val="24"/>
          <w:szCs w:val="24"/>
        </w:rPr>
        <w:footnoteReference w:id="11"/>
      </w:r>
      <w:r w:rsidR="009F7E58" w:rsidRPr="00726964">
        <w:rPr>
          <w:rFonts w:ascii="Times New Roman" w:hAnsi="Times New Roman" w:cs="Times New Roman"/>
          <w:bCs/>
          <w:sz w:val="24"/>
          <w:szCs w:val="24"/>
        </w:rPr>
        <w:t xml:space="preserve"> </w:t>
      </w:r>
      <w:r w:rsidR="007B11CE" w:rsidRPr="00726964">
        <w:rPr>
          <w:rFonts w:ascii="Times New Roman" w:hAnsi="Times New Roman" w:cs="Times New Roman"/>
          <w:bCs/>
          <w:sz w:val="24"/>
          <w:szCs w:val="24"/>
        </w:rPr>
        <w:t xml:space="preserve">Ao incorporar as variáveis de controles denotadas por </w:t>
      </w:r>
      <w:r w:rsidR="006C4AF0" w:rsidRPr="00726964">
        <w:rPr>
          <w:rFonts w:ascii="Times New Roman" w:hAnsi="Times New Roman" w:cs="Times New Roman"/>
          <w:bCs/>
          <w:sz w:val="24"/>
          <w:szCs w:val="24"/>
        </w:rPr>
        <w:t>X</w:t>
      </w:r>
      <w:r w:rsidR="006C4AF0" w:rsidRPr="00726964">
        <w:rPr>
          <w:rFonts w:ascii="Times New Roman" w:hAnsi="Times New Roman" w:cs="Times New Roman"/>
          <w:bCs/>
          <w:sz w:val="24"/>
          <w:szCs w:val="24"/>
          <w:vertAlign w:val="subscript"/>
        </w:rPr>
        <w:t>i</w:t>
      </w:r>
      <w:r w:rsidR="007B11CE" w:rsidRPr="00726964">
        <w:rPr>
          <w:rFonts w:ascii="Times New Roman" w:hAnsi="Times New Roman" w:cs="Times New Roman"/>
          <w:bCs/>
          <w:sz w:val="24"/>
          <w:szCs w:val="24"/>
        </w:rPr>
        <w:t xml:space="preserve">, </w:t>
      </w:r>
      <w:r w:rsidR="006C4AF0" w:rsidRPr="00726964">
        <w:rPr>
          <w:rFonts w:ascii="Times New Roman" w:hAnsi="Times New Roman" w:cs="Times New Roman"/>
          <w:bCs/>
          <w:sz w:val="24"/>
          <w:szCs w:val="24"/>
        </w:rPr>
        <w:t>pode</w:t>
      </w:r>
      <w:r w:rsidR="007B11CE" w:rsidRPr="00726964">
        <w:rPr>
          <w:rFonts w:ascii="Times New Roman" w:hAnsi="Times New Roman" w:cs="Times New Roman"/>
          <w:bCs/>
          <w:sz w:val="24"/>
          <w:szCs w:val="24"/>
        </w:rPr>
        <w:t xml:space="preserve">mos </w:t>
      </w:r>
      <w:r w:rsidR="006C4AF0" w:rsidRPr="00726964">
        <w:rPr>
          <w:rFonts w:ascii="Times New Roman" w:hAnsi="Times New Roman" w:cs="Times New Roman"/>
          <w:bCs/>
          <w:sz w:val="24"/>
          <w:szCs w:val="24"/>
        </w:rPr>
        <w:t xml:space="preserve">interpretar </w:t>
      </w:r>
      <w:r w:rsidR="006C4AF0" w:rsidRPr="00726964">
        <w:rPr>
          <w:rFonts w:ascii="Times New Roman" w:hAnsi="Times New Roman" w:cs="Times New Roman"/>
          <w:bCs/>
          <w:sz w:val="24"/>
          <w:szCs w:val="24"/>
          <w:lang w:val="el-GR"/>
        </w:rPr>
        <w:t>β</w:t>
      </w:r>
      <w:r w:rsidR="006C4AF0" w:rsidRPr="00726964">
        <w:rPr>
          <w:rFonts w:ascii="Times New Roman" w:hAnsi="Times New Roman" w:cs="Times New Roman"/>
          <w:bCs/>
          <w:sz w:val="24"/>
          <w:szCs w:val="24"/>
          <w:vertAlign w:val="subscript"/>
        </w:rPr>
        <w:t xml:space="preserve"> </w:t>
      </w:r>
      <w:r w:rsidR="006C4AF0" w:rsidRPr="00726964">
        <w:rPr>
          <w:rFonts w:ascii="Times New Roman" w:hAnsi="Times New Roman" w:cs="Times New Roman"/>
          <w:bCs/>
          <w:sz w:val="24"/>
          <w:szCs w:val="24"/>
        </w:rPr>
        <w:t xml:space="preserve">como a evolução temporal </w:t>
      </w:r>
      <w:r w:rsidR="00A43214" w:rsidRPr="00726964">
        <w:rPr>
          <w:rFonts w:ascii="Times New Roman" w:hAnsi="Times New Roman" w:cs="Times New Roman"/>
          <w:bCs/>
          <w:sz w:val="24"/>
          <w:szCs w:val="24"/>
        </w:rPr>
        <w:t xml:space="preserve">da probabilidade de ser </w:t>
      </w:r>
      <w:r w:rsidR="001B0849" w:rsidRPr="00726964">
        <w:rPr>
          <w:rFonts w:ascii="Times New Roman" w:hAnsi="Times New Roman" w:cs="Times New Roman"/>
          <w:bCs/>
          <w:sz w:val="24"/>
          <w:szCs w:val="24"/>
        </w:rPr>
        <w:t>M</w:t>
      </w:r>
      <w:r w:rsidR="00A43214" w:rsidRPr="00726964">
        <w:rPr>
          <w:rFonts w:ascii="Times New Roman" w:hAnsi="Times New Roman" w:cs="Times New Roman"/>
          <w:bCs/>
          <w:sz w:val="24"/>
          <w:szCs w:val="24"/>
        </w:rPr>
        <w:t>EI</w:t>
      </w:r>
      <w:r w:rsidR="001B0849" w:rsidRPr="00726964">
        <w:rPr>
          <w:rFonts w:ascii="Times New Roman" w:hAnsi="Times New Roman" w:cs="Times New Roman"/>
          <w:bCs/>
          <w:sz w:val="24"/>
          <w:szCs w:val="24"/>
        </w:rPr>
        <w:t>, mantendo</w:t>
      </w:r>
      <w:r w:rsidR="006C4AF0" w:rsidRPr="00726964">
        <w:rPr>
          <w:rFonts w:ascii="Times New Roman" w:hAnsi="Times New Roman" w:cs="Times New Roman"/>
          <w:bCs/>
          <w:sz w:val="24"/>
          <w:szCs w:val="24"/>
        </w:rPr>
        <w:t xml:space="preserve"> as variáveis </w:t>
      </w:r>
      <w:r w:rsidR="00A43214" w:rsidRPr="00726964">
        <w:rPr>
          <w:rFonts w:ascii="Times New Roman" w:hAnsi="Times New Roman" w:cs="Times New Roman"/>
          <w:bCs/>
          <w:sz w:val="24"/>
          <w:szCs w:val="24"/>
        </w:rPr>
        <w:t>X</w:t>
      </w:r>
      <w:r w:rsidR="00A43214" w:rsidRPr="00726964">
        <w:rPr>
          <w:rFonts w:ascii="Times New Roman" w:hAnsi="Times New Roman" w:cs="Times New Roman"/>
          <w:bCs/>
          <w:sz w:val="24"/>
          <w:szCs w:val="24"/>
          <w:vertAlign w:val="subscript"/>
        </w:rPr>
        <w:t>i</w:t>
      </w:r>
      <w:r w:rsidR="00A43214" w:rsidRPr="00726964">
        <w:rPr>
          <w:rFonts w:ascii="Times New Roman" w:hAnsi="Times New Roman" w:cs="Times New Roman"/>
          <w:bCs/>
          <w:sz w:val="24"/>
          <w:szCs w:val="24"/>
        </w:rPr>
        <w:t xml:space="preserve"> </w:t>
      </w:r>
      <w:r w:rsidR="006C4AF0" w:rsidRPr="00726964">
        <w:rPr>
          <w:rFonts w:ascii="Times New Roman" w:hAnsi="Times New Roman" w:cs="Times New Roman"/>
          <w:bCs/>
          <w:sz w:val="24"/>
          <w:szCs w:val="24"/>
        </w:rPr>
        <w:t>constantes.</w:t>
      </w:r>
      <w:r w:rsidR="00A43214" w:rsidRPr="00726964">
        <w:rPr>
          <w:rFonts w:ascii="Times New Roman" w:hAnsi="Times New Roman" w:cs="Times New Roman"/>
          <w:bCs/>
          <w:sz w:val="24"/>
          <w:szCs w:val="24"/>
        </w:rPr>
        <w:t xml:space="preserve"> </w:t>
      </w:r>
    </w:p>
    <w:p w14:paraId="1FECCD68" w14:textId="77777777" w:rsidR="00212515" w:rsidRPr="00726964" w:rsidRDefault="00DB3259"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O modelo (1) acima foi estimado co</w:t>
      </w:r>
      <w:r w:rsidR="001B0849" w:rsidRPr="00726964">
        <w:rPr>
          <w:rFonts w:ascii="Times New Roman" w:hAnsi="Times New Roman" w:cs="Times New Roman"/>
          <w:bCs/>
          <w:sz w:val="24"/>
          <w:szCs w:val="24"/>
        </w:rPr>
        <w:t>m duas amostras distintas: (i) apenas empregadores</w:t>
      </w:r>
      <w:r w:rsidRPr="00726964">
        <w:rPr>
          <w:rFonts w:ascii="Times New Roman" w:hAnsi="Times New Roman" w:cs="Times New Roman"/>
          <w:bCs/>
          <w:sz w:val="24"/>
          <w:szCs w:val="24"/>
        </w:rPr>
        <w:t xml:space="preserve"> e </w:t>
      </w:r>
      <w:r w:rsidR="001B0849" w:rsidRPr="00726964">
        <w:rPr>
          <w:rFonts w:ascii="Times New Roman" w:hAnsi="Times New Roman" w:cs="Times New Roman"/>
          <w:bCs/>
          <w:sz w:val="24"/>
          <w:szCs w:val="24"/>
        </w:rPr>
        <w:t>(</w:t>
      </w:r>
      <w:proofErr w:type="spellStart"/>
      <w:r w:rsidRPr="00726964">
        <w:rPr>
          <w:rFonts w:ascii="Times New Roman" w:hAnsi="Times New Roman" w:cs="Times New Roman"/>
          <w:bCs/>
          <w:sz w:val="24"/>
          <w:szCs w:val="24"/>
        </w:rPr>
        <w:t>ii</w:t>
      </w:r>
      <w:proofErr w:type="spellEnd"/>
      <w:r w:rsidRPr="00726964">
        <w:rPr>
          <w:rFonts w:ascii="Times New Roman" w:hAnsi="Times New Roman" w:cs="Times New Roman"/>
          <w:bCs/>
          <w:sz w:val="24"/>
          <w:szCs w:val="24"/>
        </w:rPr>
        <w:t xml:space="preserve">) todos os tipos de ocupação. </w:t>
      </w:r>
      <w:r w:rsidR="00B47A61" w:rsidRPr="00726964">
        <w:rPr>
          <w:rFonts w:ascii="Times New Roman" w:hAnsi="Times New Roman" w:cs="Times New Roman"/>
          <w:bCs/>
          <w:sz w:val="24"/>
          <w:szCs w:val="24"/>
        </w:rPr>
        <w:t>A primeira coluna da tabela traz os resultados q</w:t>
      </w:r>
      <w:r w:rsidR="00A43214" w:rsidRPr="00726964">
        <w:rPr>
          <w:rFonts w:ascii="Times New Roman" w:hAnsi="Times New Roman" w:cs="Times New Roman"/>
          <w:bCs/>
          <w:sz w:val="24"/>
          <w:szCs w:val="24"/>
        </w:rPr>
        <w:t xml:space="preserve">uando restringimos a amostra para os </w:t>
      </w:r>
      <w:r w:rsidR="001B0849" w:rsidRPr="00726964">
        <w:rPr>
          <w:rFonts w:ascii="Times New Roman" w:hAnsi="Times New Roman" w:cs="Times New Roman"/>
          <w:bCs/>
          <w:sz w:val="24"/>
          <w:szCs w:val="24"/>
        </w:rPr>
        <w:t>empregadores</w:t>
      </w:r>
      <w:r w:rsidR="00B47A61" w:rsidRPr="00726964">
        <w:rPr>
          <w:rFonts w:ascii="Times New Roman" w:hAnsi="Times New Roman" w:cs="Times New Roman"/>
          <w:bCs/>
          <w:sz w:val="24"/>
          <w:szCs w:val="24"/>
        </w:rPr>
        <w:t>. Nesse caso a probabilidade relativa de integrar o grupo MEI oscila bem próximo de zero até 2009, e apresenta um aumento um pouco mais destacado entre 2009 e 2011.</w:t>
      </w:r>
      <w:r w:rsidR="00A43214" w:rsidRPr="00726964">
        <w:rPr>
          <w:rFonts w:ascii="Times New Roman" w:hAnsi="Times New Roman" w:cs="Times New Roman"/>
          <w:bCs/>
          <w:sz w:val="24"/>
          <w:szCs w:val="24"/>
        </w:rPr>
        <w:t xml:space="preserve"> </w:t>
      </w:r>
      <w:r w:rsidR="00B47A61" w:rsidRPr="00726964">
        <w:rPr>
          <w:rFonts w:ascii="Times New Roman" w:hAnsi="Times New Roman" w:cs="Times New Roman"/>
          <w:bCs/>
          <w:sz w:val="24"/>
          <w:szCs w:val="24"/>
        </w:rPr>
        <w:t>Dada a coincidência desse ultimo período com o período de implementação do programa</w:t>
      </w:r>
      <w:r w:rsidR="009F1A44" w:rsidRPr="00726964">
        <w:rPr>
          <w:rFonts w:ascii="Times New Roman" w:hAnsi="Times New Roman" w:cs="Times New Roman"/>
          <w:bCs/>
          <w:sz w:val="24"/>
          <w:szCs w:val="24"/>
        </w:rPr>
        <w:t>,</w:t>
      </w:r>
      <w:r w:rsidR="00B47A61" w:rsidRPr="00726964">
        <w:rPr>
          <w:rFonts w:ascii="Times New Roman" w:hAnsi="Times New Roman" w:cs="Times New Roman"/>
          <w:bCs/>
          <w:sz w:val="24"/>
          <w:szCs w:val="24"/>
        </w:rPr>
        <w:t xml:space="preserve"> interpretamos esse movimento como um indício de que houve</w:t>
      </w:r>
      <w:r w:rsidR="00A43214" w:rsidRPr="00726964">
        <w:rPr>
          <w:rFonts w:ascii="Times New Roman" w:hAnsi="Times New Roman" w:cs="Times New Roman"/>
          <w:bCs/>
          <w:sz w:val="24"/>
          <w:szCs w:val="24"/>
        </w:rPr>
        <w:t xml:space="preserve"> um aumento na probabilidade de um indivíduo ser um </w:t>
      </w:r>
      <w:r w:rsidR="004B2577" w:rsidRPr="00726964">
        <w:rPr>
          <w:rFonts w:ascii="Times New Roman" w:hAnsi="Times New Roman" w:cs="Times New Roman"/>
          <w:bCs/>
          <w:sz w:val="24"/>
          <w:szCs w:val="24"/>
        </w:rPr>
        <w:t>M</w:t>
      </w:r>
      <w:r w:rsidR="00A43214" w:rsidRPr="00726964">
        <w:rPr>
          <w:rFonts w:ascii="Times New Roman" w:hAnsi="Times New Roman" w:cs="Times New Roman"/>
          <w:bCs/>
          <w:sz w:val="24"/>
          <w:szCs w:val="24"/>
        </w:rPr>
        <w:t xml:space="preserve">EI em relação a ser </w:t>
      </w:r>
      <w:r w:rsidR="004B2577" w:rsidRPr="00726964">
        <w:rPr>
          <w:rFonts w:ascii="Times New Roman" w:hAnsi="Times New Roman" w:cs="Times New Roman"/>
          <w:bCs/>
          <w:sz w:val="24"/>
          <w:szCs w:val="24"/>
        </w:rPr>
        <w:t>um empregador de maior porte</w:t>
      </w:r>
      <w:r w:rsidR="00B47A61" w:rsidRPr="00726964">
        <w:rPr>
          <w:rFonts w:ascii="Times New Roman" w:hAnsi="Times New Roman" w:cs="Times New Roman"/>
          <w:bCs/>
          <w:sz w:val="24"/>
          <w:szCs w:val="24"/>
        </w:rPr>
        <w:t xml:space="preserve"> após a implementação do programa</w:t>
      </w:r>
      <w:r w:rsidR="00A43214" w:rsidRPr="00726964">
        <w:rPr>
          <w:rFonts w:ascii="Times New Roman" w:hAnsi="Times New Roman" w:cs="Times New Roman"/>
          <w:bCs/>
          <w:sz w:val="24"/>
          <w:szCs w:val="24"/>
        </w:rPr>
        <w:t xml:space="preserve">. Já </w:t>
      </w:r>
      <w:r w:rsidR="00B47A61" w:rsidRPr="00726964">
        <w:rPr>
          <w:rFonts w:ascii="Times New Roman" w:hAnsi="Times New Roman" w:cs="Times New Roman"/>
          <w:bCs/>
          <w:sz w:val="24"/>
          <w:szCs w:val="24"/>
        </w:rPr>
        <w:t xml:space="preserve">a segunda coluna mostra os resultados </w:t>
      </w:r>
      <w:r w:rsidR="00A43214" w:rsidRPr="00726964">
        <w:rPr>
          <w:rFonts w:ascii="Times New Roman" w:hAnsi="Times New Roman" w:cs="Times New Roman"/>
          <w:bCs/>
          <w:sz w:val="24"/>
          <w:szCs w:val="24"/>
        </w:rPr>
        <w:t>quando incluímos também os empregados na amostra</w:t>
      </w:r>
      <w:r w:rsidR="00B47A61" w:rsidRPr="00726964">
        <w:rPr>
          <w:rFonts w:ascii="Times New Roman" w:hAnsi="Times New Roman" w:cs="Times New Roman"/>
          <w:bCs/>
          <w:sz w:val="24"/>
          <w:szCs w:val="24"/>
        </w:rPr>
        <w:t>.</w:t>
      </w:r>
      <w:r w:rsidR="00A43214" w:rsidRPr="00726964">
        <w:rPr>
          <w:rFonts w:ascii="Times New Roman" w:hAnsi="Times New Roman" w:cs="Times New Roman"/>
          <w:bCs/>
          <w:sz w:val="24"/>
          <w:szCs w:val="24"/>
        </w:rPr>
        <w:t xml:space="preserve"> </w:t>
      </w:r>
      <w:r w:rsidR="00B47A61" w:rsidRPr="00726964">
        <w:rPr>
          <w:rFonts w:ascii="Times New Roman" w:hAnsi="Times New Roman" w:cs="Times New Roman"/>
          <w:bCs/>
          <w:sz w:val="24"/>
          <w:szCs w:val="24"/>
        </w:rPr>
        <w:t xml:space="preserve">Esse contexto mais amplo altera sensivelmente a evolução da probabilidade </w:t>
      </w:r>
      <w:r w:rsidR="00212515" w:rsidRPr="00726964">
        <w:rPr>
          <w:rFonts w:ascii="Times New Roman" w:hAnsi="Times New Roman" w:cs="Times New Roman"/>
          <w:bCs/>
          <w:sz w:val="24"/>
          <w:szCs w:val="24"/>
        </w:rPr>
        <w:t xml:space="preserve">relativa de integrar o grupo MEI. A tabela mostra que entre 2005 e </w:t>
      </w:r>
      <w:r w:rsidR="0044137A" w:rsidRPr="00726964">
        <w:rPr>
          <w:rFonts w:ascii="Times New Roman" w:hAnsi="Times New Roman" w:cs="Times New Roman"/>
          <w:bCs/>
          <w:sz w:val="24"/>
          <w:szCs w:val="24"/>
        </w:rPr>
        <w:t xml:space="preserve">2007 </w:t>
      </w:r>
      <w:r w:rsidR="00212515" w:rsidRPr="00726964">
        <w:rPr>
          <w:rFonts w:ascii="Times New Roman" w:hAnsi="Times New Roman" w:cs="Times New Roman"/>
          <w:bCs/>
          <w:sz w:val="24"/>
          <w:szCs w:val="24"/>
        </w:rPr>
        <w:t xml:space="preserve">o MEI </w:t>
      </w:r>
      <w:r w:rsidR="0044137A" w:rsidRPr="00726964">
        <w:rPr>
          <w:rFonts w:ascii="Times New Roman" w:hAnsi="Times New Roman" w:cs="Times New Roman"/>
          <w:bCs/>
          <w:sz w:val="24"/>
          <w:szCs w:val="24"/>
        </w:rPr>
        <w:t>ganha</w:t>
      </w:r>
      <w:r w:rsidR="00212515" w:rsidRPr="00726964">
        <w:rPr>
          <w:rFonts w:ascii="Times New Roman" w:hAnsi="Times New Roman" w:cs="Times New Roman"/>
          <w:bCs/>
          <w:sz w:val="24"/>
          <w:szCs w:val="24"/>
        </w:rPr>
        <w:t xml:space="preserve"> espaço </w:t>
      </w:r>
      <w:r w:rsidR="0044137A" w:rsidRPr="00726964">
        <w:rPr>
          <w:rFonts w:ascii="Times New Roman" w:hAnsi="Times New Roman" w:cs="Times New Roman"/>
          <w:bCs/>
          <w:sz w:val="24"/>
          <w:szCs w:val="24"/>
        </w:rPr>
        <w:t>relativamente a</w:t>
      </w:r>
      <w:r w:rsidR="00212515" w:rsidRPr="00726964">
        <w:rPr>
          <w:rFonts w:ascii="Times New Roman" w:hAnsi="Times New Roman" w:cs="Times New Roman"/>
          <w:bCs/>
          <w:sz w:val="24"/>
          <w:szCs w:val="24"/>
        </w:rPr>
        <w:t xml:space="preserve">o grupo das demais ocupações que incluem empregados. </w:t>
      </w:r>
      <w:r w:rsidR="0044137A" w:rsidRPr="00726964">
        <w:rPr>
          <w:rFonts w:ascii="Times New Roman" w:hAnsi="Times New Roman" w:cs="Times New Roman"/>
          <w:bCs/>
          <w:sz w:val="24"/>
          <w:szCs w:val="24"/>
        </w:rPr>
        <w:t xml:space="preserve">A partir de 2008, no entanto, </w:t>
      </w:r>
      <w:r w:rsidR="00212515" w:rsidRPr="00726964">
        <w:rPr>
          <w:rFonts w:ascii="Times New Roman" w:hAnsi="Times New Roman" w:cs="Times New Roman"/>
          <w:bCs/>
          <w:sz w:val="24"/>
          <w:szCs w:val="24"/>
        </w:rPr>
        <w:t xml:space="preserve">há </w:t>
      </w:r>
      <w:r w:rsidR="0044137A" w:rsidRPr="00726964">
        <w:rPr>
          <w:rFonts w:ascii="Times New Roman" w:hAnsi="Times New Roman" w:cs="Times New Roman"/>
          <w:bCs/>
          <w:sz w:val="24"/>
          <w:szCs w:val="24"/>
        </w:rPr>
        <w:t>uma redução na</w:t>
      </w:r>
      <w:r w:rsidR="00212515" w:rsidRPr="00726964">
        <w:rPr>
          <w:rFonts w:ascii="Times New Roman" w:hAnsi="Times New Roman" w:cs="Times New Roman"/>
          <w:bCs/>
          <w:sz w:val="24"/>
          <w:szCs w:val="24"/>
        </w:rPr>
        <w:t xml:space="preserve"> probabilidade de ser MEI e </w:t>
      </w:r>
      <w:r w:rsidR="0044137A" w:rsidRPr="00726964">
        <w:rPr>
          <w:rFonts w:ascii="Times New Roman" w:hAnsi="Times New Roman" w:cs="Times New Roman"/>
          <w:bCs/>
          <w:sz w:val="24"/>
          <w:szCs w:val="24"/>
        </w:rPr>
        <w:t>que se intensifica em</w:t>
      </w:r>
      <w:r w:rsidR="00212515" w:rsidRPr="00726964">
        <w:rPr>
          <w:rFonts w:ascii="Times New Roman" w:hAnsi="Times New Roman" w:cs="Times New Roman"/>
          <w:bCs/>
          <w:sz w:val="24"/>
          <w:szCs w:val="24"/>
        </w:rPr>
        <w:t>.</w:t>
      </w:r>
      <w:r w:rsidR="00052F2B" w:rsidRPr="00726964">
        <w:rPr>
          <w:rStyle w:val="FootnoteReference"/>
          <w:rFonts w:ascii="Times New Roman" w:hAnsi="Times New Roman" w:cs="Times New Roman"/>
          <w:bCs/>
          <w:sz w:val="24"/>
          <w:szCs w:val="24"/>
        </w:rPr>
        <w:footnoteReference w:id="12"/>
      </w:r>
      <w:r w:rsidR="00212515" w:rsidRPr="00726964">
        <w:rPr>
          <w:rFonts w:ascii="Times New Roman" w:hAnsi="Times New Roman" w:cs="Times New Roman"/>
          <w:bCs/>
          <w:sz w:val="24"/>
          <w:szCs w:val="24"/>
        </w:rPr>
        <w:t xml:space="preserve"> </w:t>
      </w:r>
    </w:p>
    <w:p w14:paraId="5A90C0D5" w14:textId="77777777" w:rsidR="00A43214" w:rsidRPr="00726964" w:rsidRDefault="00E738C9"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Logo</w:t>
      </w:r>
      <w:r w:rsidR="009F1A44"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podemos dizer que </w:t>
      </w:r>
      <w:r w:rsidR="00A43214" w:rsidRPr="00726964">
        <w:rPr>
          <w:rFonts w:ascii="Times New Roman" w:hAnsi="Times New Roman" w:cs="Times New Roman"/>
          <w:bCs/>
          <w:sz w:val="24"/>
          <w:szCs w:val="24"/>
        </w:rPr>
        <w:t>há uma diminuição</w:t>
      </w:r>
      <w:r w:rsidR="009F1A44"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entre 2009 e 2011</w:t>
      </w:r>
      <w:r w:rsidR="009F1A44" w:rsidRPr="00726964">
        <w:rPr>
          <w:rFonts w:ascii="Times New Roman" w:hAnsi="Times New Roman" w:cs="Times New Roman"/>
          <w:bCs/>
          <w:sz w:val="24"/>
          <w:szCs w:val="24"/>
        </w:rPr>
        <w:t>,</w:t>
      </w:r>
      <w:r w:rsidR="00A43214" w:rsidRPr="00726964">
        <w:rPr>
          <w:rFonts w:ascii="Times New Roman" w:hAnsi="Times New Roman" w:cs="Times New Roman"/>
          <w:bCs/>
          <w:sz w:val="24"/>
          <w:szCs w:val="24"/>
        </w:rPr>
        <w:t xml:space="preserve"> na probabilidade de um indivíduo ser um </w:t>
      </w:r>
      <w:r w:rsidR="004B2577" w:rsidRPr="00726964">
        <w:rPr>
          <w:rFonts w:ascii="Times New Roman" w:hAnsi="Times New Roman" w:cs="Times New Roman"/>
          <w:bCs/>
          <w:sz w:val="24"/>
          <w:szCs w:val="24"/>
        </w:rPr>
        <w:t>M</w:t>
      </w:r>
      <w:r w:rsidR="00A43214" w:rsidRPr="00726964">
        <w:rPr>
          <w:rFonts w:ascii="Times New Roman" w:hAnsi="Times New Roman" w:cs="Times New Roman"/>
          <w:bCs/>
          <w:sz w:val="24"/>
          <w:szCs w:val="24"/>
        </w:rPr>
        <w:t>EI em relação a ter qualquer outro tipo de ocupação</w:t>
      </w:r>
      <w:r w:rsidRPr="00726964">
        <w:rPr>
          <w:rFonts w:ascii="Times New Roman" w:hAnsi="Times New Roman" w:cs="Times New Roman"/>
          <w:bCs/>
          <w:sz w:val="24"/>
          <w:szCs w:val="24"/>
        </w:rPr>
        <w:t>, porém tal diminuição já vinha sendo registrada num período anterior e portanto pode não ser decorrente do programa</w:t>
      </w:r>
      <w:r w:rsidR="00A43214" w:rsidRPr="00726964">
        <w:rPr>
          <w:rFonts w:ascii="Times New Roman" w:hAnsi="Times New Roman" w:cs="Times New Roman"/>
          <w:bCs/>
          <w:sz w:val="24"/>
          <w:szCs w:val="24"/>
        </w:rPr>
        <w:t xml:space="preserve">. </w:t>
      </w:r>
    </w:p>
    <w:p w14:paraId="7E42921A" w14:textId="77777777" w:rsidR="00034007" w:rsidRPr="00726964" w:rsidRDefault="00034007" w:rsidP="00726964">
      <w:pPr>
        <w:spacing w:after="0" w:line="240" w:lineRule="auto"/>
        <w:ind w:firstLine="284"/>
        <w:jc w:val="both"/>
        <w:rPr>
          <w:rFonts w:ascii="Times New Roman" w:hAnsi="Times New Roman" w:cs="Times New Roman"/>
          <w:bCs/>
          <w:sz w:val="24"/>
          <w:szCs w:val="24"/>
        </w:rPr>
      </w:pPr>
    </w:p>
    <w:p w14:paraId="5AEBF0C5" w14:textId="77777777" w:rsidR="006E64B9" w:rsidRPr="00726964" w:rsidRDefault="006E64B9" w:rsidP="00726964">
      <w:pPr>
        <w:spacing w:after="0" w:line="240" w:lineRule="auto"/>
        <w:rPr>
          <w:rFonts w:ascii="Times New Roman" w:hAnsi="Times New Roman" w:cs="Times New Roman"/>
          <w:noProof/>
          <w:sz w:val="24"/>
          <w:szCs w:val="24"/>
          <w:lang w:eastAsia="pt-BR"/>
        </w:rPr>
      </w:pPr>
      <w:r w:rsidRPr="00726964">
        <w:rPr>
          <w:rFonts w:ascii="Times New Roman" w:hAnsi="Times New Roman" w:cs="Times New Roman"/>
          <w:b/>
          <w:bCs/>
          <w:sz w:val="24"/>
          <w:szCs w:val="24"/>
        </w:rPr>
        <w:t>Tabela 3: Evolução na probabilidade de ser MEI versus outras categorias ocupacionais entre 2005 e 2011</w:t>
      </w:r>
    </w:p>
    <w:tbl>
      <w:tblPr>
        <w:tblW w:w="6580" w:type="dxa"/>
        <w:jc w:val="center"/>
        <w:tblInd w:w="55" w:type="dxa"/>
        <w:tblCellMar>
          <w:left w:w="70" w:type="dxa"/>
          <w:right w:w="70" w:type="dxa"/>
        </w:tblCellMar>
        <w:tblLook w:val="04A0" w:firstRow="1" w:lastRow="0" w:firstColumn="1" w:lastColumn="0" w:noHBand="0" w:noVBand="1"/>
      </w:tblPr>
      <w:tblGrid>
        <w:gridCol w:w="2160"/>
        <w:gridCol w:w="2160"/>
        <w:gridCol w:w="2260"/>
      </w:tblGrid>
      <w:tr w:rsidR="003969E2" w:rsidRPr="00FC3E6E" w14:paraId="0A23FE2A" w14:textId="77777777" w:rsidTr="00726964">
        <w:trPr>
          <w:trHeight w:val="72"/>
          <w:jc w:val="center"/>
        </w:trPr>
        <w:tc>
          <w:tcPr>
            <w:tcW w:w="2160" w:type="dxa"/>
            <w:tcBorders>
              <w:top w:val="nil"/>
              <w:left w:val="nil"/>
              <w:bottom w:val="double" w:sz="6" w:space="0" w:color="auto"/>
              <w:right w:val="nil"/>
            </w:tcBorders>
            <w:shd w:val="clear" w:color="000000" w:fill="FFFFFF"/>
            <w:noWrap/>
            <w:vAlign w:val="bottom"/>
            <w:hideMark/>
          </w:tcPr>
          <w:p w14:paraId="2880A330"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double" w:sz="6" w:space="0" w:color="auto"/>
              <w:right w:val="nil"/>
            </w:tcBorders>
            <w:shd w:val="clear" w:color="000000" w:fill="FFFFFF"/>
            <w:noWrap/>
            <w:vAlign w:val="bottom"/>
            <w:hideMark/>
          </w:tcPr>
          <w:p w14:paraId="6A01384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double" w:sz="6" w:space="0" w:color="auto"/>
              <w:right w:val="nil"/>
            </w:tcBorders>
            <w:shd w:val="clear" w:color="000000" w:fill="FFFFFF"/>
            <w:noWrap/>
            <w:vAlign w:val="bottom"/>
            <w:hideMark/>
          </w:tcPr>
          <w:p w14:paraId="4BDA20A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1CE75CA4" w14:textId="77777777" w:rsidTr="00726964">
        <w:trPr>
          <w:trHeight w:val="720"/>
          <w:jc w:val="center"/>
        </w:trPr>
        <w:tc>
          <w:tcPr>
            <w:tcW w:w="2160" w:type="dxa"/>
            <w:tcBorders>
              <w:top w:val="nil"/>
              <w:left w:val="nil"/>
              <w:bottom w:val="single" w:sz="4" w:space="0" w:color="auto"/>
              <w:right w:val="nil"/>
            </w:tcBorders>
            <w:shd w:val="clear" w:color="auto" w:fill="auto"/>
            <w:noWrap/>
            <w:vAlign w:val="center"/>
            <w:hideMark/>
          </w:tcPr>
          <w:p w14:paraId="21DA5405"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single" w:sz="4" w:space="0" w:color="auto"/>
              <w:right w:val="nil"/>
            </w:tcBorders>
            <w:shd w:val="clear" w:color="000000" w:fill="FFFFFF"/>
            <w:vAlign w:val="center"/>
            <w:hideMark/>
          </w:tcPr>
          <w:p w14:paraId="4FD6179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vs. Demais Empreendedores</w:t>
            </w:r>
          </w:p>
        </w:tc>
        <w:tc>
          <w:tcPr>
            <w:tcW w:w="2260" w:type="dxa"/>
            <w:tcBorders>
              <w:top w:val="nil"/>
              <w:left w:val="nil"/>
              <w:bottom w:val="single" w:sz="4" w:space="0" w:color="auto"/>
              <w:right w:val="nil"/>
            </w:tcBorders>
            <w:shd w:val="clear" w:color="000000" w:fill="FFFFFF"/>
            <w:vAlign w:val="center"/>
            <w:hideMark/>
          </w:tcPr>
          <w:p w14:paraId="6353B22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vs. Demais Ocupações</w:t>
            </w:r>
          </w:p>
        </w:tc>
      </w:tr>
      <w:tr w:rsidR="003969E2" w:rsidRPr="00FC3E6E" w14:paraId="469160E2"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72D9AF7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 xml:space="preserve"> ano</w:t>
            </w:r>
          </w:p>
        </w:tc>
        <w:tc>
          <w:tcPr>
            <w:tcW w:w="2160" w:type="dxa"/>
            <w:tcBorders>
              <w:top w:val="nil"/>
              <w:left w:val="nil"/>
              <w:bottom w:val="nil"/>
              <w:right w:val="nil"/>
            </w:tcBorders>
            <w:shd w:val="clear" w:color="000000" w:fill="FFFFFF"/>
            <w:noWrap/>
            <w:vAlign w:val="bottom"/>
            <w:hideMark/>
          </w:tcPr>
          <w:p w14:paraId="242CF7F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6C319E4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3D81E977" w14:textId="77777777" w:rsidTr="00726964">
        <w:trPr>
          <w:trHeight w:val="360"/>
          <w:jc w:val="center"/>
        </w:trPr>
        <w:tc>
          <w:tcPr>
            <w:tcW w:w="2160" w:type="dxa"/>
            <w:tcBorders>
              <w:top w:val="nil"/>
              <w:left w:val="nil"/>
              <w:bottom w:val="nil"/>
              <w:right w:val="nil"/>
            </w:tcBorders>
            <w:shd w:val="clear" w:color="000000" w:fill="FFFFFF"/>
            <w:noWrap/>
            <w:vAlign w:val="bottom"/>
            <w:hideMark/>
          </w:tcPr>
          <w:p w14:paraId="523E9159"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2005</w:t>
            </w:r>
          </w:p>
        </w:tc>
        <w:tc>
          <w:tcPr>
            <w:tcW w:w="2160" w:type="dxa"/>
            <w:tcBorders>
              <w:top w:val="nil"/>
              <w:left w:val="nil"/>
              <w:bottom w:val="nil"/>
              <w:right w:val="nil"/>
            </w:tcBorders>
            <w:shd w:val="clear" w:color="000000" w:fill="FFFFFF"/>
            <w:noWrap/>
            <w:vAlign w:val="bottom"/>
            <w:hideMark/>
          </w:tcPr>
          <w:p w14:paraId="455AD59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0.000356***</w:t>
            </w:r>
          </w:p>
        </w:tc>
        <w:tc>
          <w:tcPr>
            <w:tcW w:w="2260" w:type="dxa"/>
            <w:tcBorders>
              <w:top w:val="nil"/>
              <w:left w:val="nil"/>
              <w:bottom w:val="nil"/>
              <w:right w:val="nil"/>
            </w:tcBorders>
            <w:shd w:val="clear" w:color="000000" w:fill="FFFFFF"/>
            <w:noWrap/>
            <w:vAlign w:val="bottom"/>
            <w:hideMark/>
          </w:tcPr>
          <w:p w14:paraId="48C15FB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0.0236***</w:t>
            </w:r>
          </w:p>
        </w:tc>
      </w:tr>
      <w:tr w:rsidR="003969E2" w:rsidRPr="00FC3E6E" w14:paraId="2E1291F2"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3BE648FB"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nil"/>
              <w:right w:val="nil"/>
            </w:tcBorders>
            <w:shd w:val="clear" w:color="000000" w:fill="FFFFFF"/>
            <w:noWrap/>
            <w:vAlign w:val="bottom"/>
            <w:hideMark/>
          </w:tcPr>
          <w:p w14:paraId="0C8A9B5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(9.56e-05)</w:t>
            </w:r>
          </w:p>
        </w:tc>
        <w:tc>
          <w:tcPr>
            <w:tcW w:w="2260" w:type="dxa"/>
            <w:tcBorders>
              <w:top w:val="nil"/>
              <w:left w:val="nil"/>
              <w:bottom w:val="nil"/>
              <w:right w:val="nil"/>
            </w:tcBorders>
            <w:shd w:val="clear" w:color="000000" w:fill="FFFFFF"/>
            <w:noWrap/>
            <w:vAlign w:val="bottom"/>
            <w:hideMark/>
          </w:tcPr>
          <w:p w14:paraId="3C76A13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(8.56e-05)</w:t>
            </w:r>
          </w:p>
        </w:tc>
      </w:tr>
      <w:tr w:rsidR="003969E2" w:rsidRPr="00FC3E6E" w14:paraId="5DB6A843"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1975ACC9"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2006</w:t>
            </w:r>
          </w:p>
        </w:tc>
        <w:tc>
          <w:tcPr>
            <w:tcW w:w="2160" w:type="dxa"/>
            <w:tcBorders>
              <w:top w:val="nil"/>
              <w:left w:val="nil"/>
              <w:bottom w:val="nil"/>
              <w:right w:val="nil"/>
            </w:tcBorders>
            <w:shd w:val="clear" w:color="000000" w:fill="FFFFFF"/>
            <w:noWrap/>
            <w:vAlign w:val="bottom"/>
            <w:hideMark/>
          </w:tcPr>
          <w:p w14:paraId="5272538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-0.00581***</w:t>
            </w:r>
          </w:p>
        </w:tc>
        <w:tc>
          <w:tcPr>
            <w:tcW w:w="2260" w:type="dxa"/>
            <w:tcBorders>
              <w:top w:val="nil"/>
              <w:left w:val="nil"/>
              <w:bottom w:val="nil"/>
              <w:right w:val="nil"/>
            </w:tcBorders>
            <w:shd w:val="clear" w:color="000000" w:fill="FFFFFF"/>
            <w:noWrap/>
            <w:vAlign w:val="bottom"/>
            <w:hideMark/>
          </w:tcPr>
          <w:p w14:paraId="06FAC72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0.0132***</w:t>
            </w:r>
          </w:p>
        </w:tc>
      </w:tr>
      <w:tr w:rsidR="003969E2" w:rsidRPr="00FC3E6E" w14:paraId="4B2D2CFF"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4361F9AB"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nil"/>
              <w:right w:val="nil"/>
            </w:tcBorders>
            <w:shd w:val="clear" w:color="000000" w:fill="FFFFFF"/>
            <w:noWrap/>
            <w:vAlign w:val="bottom"/>
            <w:hideMark/>
          </w:tcPr>
          <w:p w14:paraId="20B3DB1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(9.69e-05)</w:t>
            </w:r>
          </w:p>
        </w:tc>
        <w:tc>
          <w:tcPr>
            <w:tcW w:w="2260" w:type="dxa"/>
            <w:tcBorders>
              <w:top w:val="nil"/>
              <w:left w:val="nil"/>
              <w:bottom w:val="nil"/>
              <w:right w:val="nil"/>
            </w:tcBorders>
            <w:shd w:val="clear" w:color="000000" w:fill="FFFFFF"/>
            <w:noWrap/>
            <w:vAlign w:val="bottom"/>
            <w:hideMark/>
          </w:tcPr>
          <w:p w14:paraId="2EE9675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(8.35e-05)</w:t>
            </w:r>
          </w:p>
        </w:tc>
      </w:tr>
      <w:tr w:rsidR="003969E2" w:rsidRPr="00FC3E6E" w14:paraId="54E05556"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1F2410AD"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2007</w:t>
            </w:r>
          </w:p>
        </w:tc>
        <w:tc>
          <w:tcPr>
            <w:tcW w:w="2160" w:type="dxa"/>
            <w:tcBorders>
              <w:top w:val="nil"/>
              <w:left w:val="nil"/>
              <w:bottom w:val="nil"/>
              <w:right w:val="nil"/>
            </w:tcBorders>
            <w:shd w:val="clear" w:color="000000" w:fill="FFFFFF"/>
            <w:noWrap/>
            <w:vAlign w:val="bottom"/>
            <w:hideMark/>
          </w:tcPr>
          <w:p w14:paraId="45A06EC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0.00920***</w:t>
            </w:r>
          </w:p>
        </w:tc>
        <w:tc>
          <w:tcPr>
            <w:tcW w:w="2260" w:type="dxa"/>
            <w:tcBorders>
              <w:top w:val="nil"/>
              <w:left w:val="nil"/>
              <w:bottom w:val="nil"/>
              <w:right w:val="nil"/>
            </w:tcBorders>
            <w:shd w:val="clear" w:color="000000" w:fill="FFFFFF"/>
            <w:noWrap/>
            <w:vAlign w:val="bottom"/>
            <w:hideMark/>
          </w:tcPr>
          <w:p w14:paraId="36C5948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0.0123***</w:t>
            </w:r>
          </w:p>
        </w:tc>
      </w:tr>
      <w:tr w:rsidR="003969E2" w:rsidRPr="00FC3E6E" w14:paraId="3A2CAD2F"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3D36B0F7"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nil"/>
              <w:right w:val="nil"/>
            </w:tcBorders>
            <w:shd w:val="clear" w:color="000000" w:fill="FFFFFF"/>
            <w:noWrap/>
            <w:vAlign w:val="bottom"/>
            <w:hideMark/>
          </w:tcPr>
          <w:p w14:paraId="762FBCB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(9.08e-05)</w:t>
            </w:r>
          </w:p>
        </w:tc>
        <w:tc>
          <w:tcPr>
            <w:tcW w:w="2260" w:type="dxa"/>
            <w:tcBorders>
              <w:top w:val="nil"/>
              <w:left w:val="nil"/>
              <w:bottom w:val="nil"/>
              <w:right w:val="nil"/>
            </w:tcBorders>
            <w:shd w:val="clear" w:color="000000" w:fill="FFFFFF"/>
            <w:noWrap/>
            <w:vAlign w:val="bottom"/>
            <w:hideMark/>
          </w:tcPr>
          <w:p w14:paraId="206768D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(8.28e-05)</w:t>
            </w:r>
          </w:p>
        </w:tc>
      </w:tr>
      <w:tr w:rsidR="003969E2" w:rsidRPr="00FC3E6E" w14:paraId="0BC2B01F"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5EFCB1B3"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2008</w:t>
            </w:r>
          </w:p>
        </w:tc>
        <w:tc>
          <w:tcPr>
            <w:tcW w:w="2160" w:type="dxa"/>
            <w:tcBorders>
              <w:top w:val="nil"/>
              <w:left w:val="nil"/>
              <w:bottom w:val="nil"/>
              <w:right w:val="nil"/>
            </w:tcBorders>
            <w:shd w:val="clear" w:color="000000" w:fill="FFFFFF"/>
            <w:noWrap/>
            <w:vAlign w:val="bottom"/>
            <w:hideMark/>
          </w:tcPr>
          <w:p w14:paraId="1F3A00C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-0.00774***</w:t>
            </w:r>
          </w:p>
        </w:tc>
        <w:tc>
          <w:tcPr>
            <w:tcW w:w="2260" w:type="dxa"/>
            <w:tcBorders>
              <w:top w:val="nil"/>
              <w:left w:val="nil"/>
              <w:bottom w:val="nil"/>
              <w:right w:val="nil"/>
            </w:tcBorders>
            <w:shd w:val="clear" w:color="000000" w:fill="FFFFFF"/>
            <w:noWrap/>
            <w:vAlign w:val="bottom"/>
            <w:hideMark/>
          </w:tcPr>
          <w:p w14:paraId="0F3BFF6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-0.00540***</w:t>
            </w:r>
          </w:p>
        </w:tc>
      </w:tr>
      <w:tr w:rsidR="003969E2" w:rsidRPr="00FC3E6E" w14:paraId="474BDD23"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46EB5F97"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nil"/>
              <w:right w:val="nil"/>
            </w:tcBorders>
            <w:shd w:val="clear" w:color="000000" w:fill="FFFFFF"/>
            <w:noWrap/>
            <w:vAlign w:val="bottom"/>
            <w:hideMark/>
          </w:tcPr>
          <w:p w14:paraId="4EBF04E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(9.68e-05)</w:t>
            </w:r>
          </w:p>
        </w:tc>
        <w:tc>
          <w:tcPr>
            <w:tcW w:w="2260" w:type="dxa"/>
            <w:tcBorders>
              <w:top w:val="nil"/>
              <w:left w:val="nil"/>
              <w:bottom w:val="nil"/>
              <w:right w:val="nil"/>
            </w:tcBorders>
            <w:shd w:val="clear" w:color="000000" w:fill="FFFFFF"/>
            <w:noWrap/>
            <w:vAlign w:val="bottom"/>
            <w:hideMark/>
          </w:tcPr>
          <w:p w14:paraId="112B5AE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(7.98e-05)</w:t>
            </w:r>
          </w:p>
        </w:tc>
      </w:tr>
      <w:tr w:rsidR="003969E2" w:rsidRPr="00FC3E6E" w14:paraId="57DC7D9B" w14:textId="77777777" w:rsidTr="00726964">
        <w:trPr>
          <w:trHeight w:val="288"/>
          <w:jc w:val="center"/>
        </w:trPr>
        <w:tc>
          <w:tcPr>
            <w:tcW w:w="2160" w:type="dxa"/>
            <w:tcBorders>
              <w:top w:val="nil"/>
              <w:left w:val="nil"/>
              <w:bottom w:val="nil"/>
              <w:right w:val="nil"/>
            </w:tcBorders>
            <w:shd w:val="clear" w:color="000000" w:fill="FFFFFF"/>
            <w:noWrap/>
            <w:vAlign w:val="bottom"/>
            <w:hideMark/>
          </w:tcPr>
          <w:p w14:paraId="446F538B" w14:textId="77777777" w:rsidR="000E3FED" w:rsidRPr="00726964" w:rsidRDefault="000E3FED" w:rsidP="00726964">
            <w:pPr>
              <w:spacing w:after="0" w:line="240" w:lineRule="auto"/>
              <w:ind w:firstLineChars="100" w:firstLine="240"/>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2011</w:t>
            </w:r>
          </w:p>
        </w:tc>
        <w:tc>
          <w:tcPr>
            <w:tcW w:w="2160" w:type="dxa"/>
            <w:tcBorders>
              <w:top w:val="nil"/>
              <w:left w:val="nil"/>
              <w:bottom w:val="nil"/>
              <w:right w:val="nil"/>
            </w:tcBorders>
            <w:shd w:val="clear" w:color="000000" w:fill="FFFFFF"/>
            <w:noWrap/>
            <w:vAlign w:val="bottom"/>
            <w:hideMark/>
          </w:tcPr>
          <w:p w14:paraId="7DE4CE7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0.0165***</w:t>
            </w:r>
          </w:p>
        </w:tc>
        <w:tc>
          <w:tcPr>
            <w:tcW w:w="2260" w:type="dxa"/>
            <w:tcBorders>
              <w:top w:val="nil"/>
              <w:left w:val="nil"/>
              <w:bottom w:val="nil"/>
              <w:right w:val="nil"/>
            </w:tcBorders>
            <w:shd w:val="clear" w:color="000000" w:fill="FFFFFF"/>
            <w:noWrap/>
            <w:vAlign w:val="bottom"/>
            <w:hideMark/>
          </w:tcPr>
          <w:p w14:paraId="4DD0A1D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-0.0160***</w:t>
            </w:r>
          </w:p>
        </w:tc>
      </w:tr>
      <w:tr w:rsidR="003969E2" w:rsidRPr="00FC3E6E" w14:paraId="13FC5E2D" w14:textId="77777777" w:rsidTr="00726964">
        <w:trPr>
          <w:trHeight w:val="300"/>
          <w:jc w:val="center"/>
        </w:trPr>
        <w:tc>
          <w:tcPr>
            <w:tcW w:w="2160" w:type="dxa"/>
            <w:tcBorders>
              <w:top w:val="nil"/>
              <w:left w:val="nil"/>
              <w:bottom w:val="double" w:sz="6" w:space="0" w:color="auto"/>
              <w:right w:val="nil"/>
            </w:tcBorders>
            <w:shd w:val="clear" w:color="000000" w:fill="FFFFFF"/>
            <w:noWrap/>
            <w:vAlign w:val="bottom"/>
            <w:hideMark/>
          </w:tcPr>
          <w:p w14:paraId="40CB835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double" w:sz="6" w:space="0" w:color="auto"/>
              <w:right w:val="nil"/>
            </w:tcBorders>
            <w:shd w:val="clear" w:color="000000" w:fill="FFFFFF"/>
            <w:noWrap/>
            <w:vAlign w:val="bottom"/>
            <w:hideMark/>
          </w:tcPr>
          <w:p w14:paraId="5A7B81B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(8.67e-05)</w:t>
            </w:r>
          </w:p>
        </w:tc>
        <w:tc>
          <w:tcPr>
            <w:tcW w:w="2260" w:type="dxa"/>
            <w:tcBorders>
              <w:top w:val="nil"/>
              <w:left w:val="nil"/>
              <w:bottom w:val="double" w:sz="6" w:space="0" w:color="auto"/>
              <w:right w:val="nil"/>
            </w:tcBorders>
            <w:shd w:val="clear" w:color="000000" w:fill="FFFFFF"/>
            <w:noWrap/>
            <w:vAlign w:val="bottom"/>
            <w:hideMark/>
          </w:tcPr>
          <w:p w14:paraId="4F2D32A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(7.77e-05)</w:t>
            </w:r>
          </w:p>
        </w:tc>
      </w:tr>
      <w:tr w:rsidR="003969E2" w:rsidRPr="00FC3E6E" w14:paraId="75553C23" w14:textId="77777777" w:rsidTr="00726964">
        <w:trPr>
          <w:trHeight w:val="84"/>
          <w:jc w:val="center"/>
        </w:trPr>
        <w:tc>
          <w:tcPr>
            <w:tcW w:w="2160" w:type="dxa"/>
            <w:tcBorders>
              <w:top w:val="nil"/>
              <w:left w:val="nil"/>
              <w:bottom w:val="nil"/>
              <w:right w:val="nil"/>
            </w:tcBorders>
            <w:shd w:val="clear" w:color="000000" w:fill="FFFFFF"/>
            <w:noWrap/>
            <w:vAlign w:val="bottom"/>
            <w:hideMark/>
          </w:tcPr>
          <w:p w14:paraId="53B59859"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60" w:type="dxa"/>
            <w:tcBorders>
              <w:top w:val="nil"/>
              <w:left w:val="nil"/>
              <w:bottom w:val="nil"/>
              <w:right w:val="nil"/>
            </w:tcBorders>
            <w:shd w:val="clear" w:color="000000" w:fill="FFFFFF"/>
            <w:noWrap/>
            <w:vAlign w:val="bottom"/>
            <w:hideMark/>
          </w:tcPr>
          <w:p w14:paraId="78A26A6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9D96DC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61F10A8A" w14:textId="77777777" w:rsidR="000B2063" w:rsidRPr="00726964" w:rsidRDefault="000B2063">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772E4BD6" w14:textId="77777777" w:rsidR="006E64B9" w:rsidRPr="00726964" w:rsidRDefault="006E64B9">
      <w:pPr>
        <w:spacing w:after="0" w:line="240" w:lineRule="auto"/>
        <w:jc w:val="both"/>
        <w:rPr>
          <w:rFonts w:ascii="Times New Roman" w:hAnsi="Times New Roman" w:cs="Times New Roman"/>
          <w:bCs/>
          <w:sz w:val="24"/>
          <w:szCs w:val="24"/>
        </w:rPr>
      </w:pPr>
      <w:r w:rsidRPr="00726964">
        <w:rPr>
          <w:rFonts w:ascii="Times New Roman" w:eastAsia="Times New Roman" w:hAnsi="Times New Roman" w:cs="Times New Roman"/>
          <w:sz w:val="24"/>
          <w:szCs w:val="24"/>
          <w:lang w:eastAsia="pt-BR"/>
        </w:rPr>
        <w:t xml:space="preserve">Nota: </w:t>
      </w:r>
      <w:r w:rsidRPr="00726964">
        <w:rPr>
          <w:rFonts w:ascii="Times New Roman" w:hAnsi="Times New Roman" w:cs="Times New Roman"/>
          <w:sz w:val="24"/>
          <w:szCs w:val="24"/>
        </w:rPr>
        <w:t xml:space="preserve">As seguintes variáveis foram usadas como controles: </w:t>
      </w:r>
      <w:r w:rsidRPr="00726964">
        <w:rPr>
          <w:rFonts w:ascii="Times New Roman" w:hAnsi="Times New Roman" w:cs="Times New Roman"/>
          <w:bCs/>
          <w:sz w:val="24"/>
          <w:szCs w:val="24"/>
        </w:rPr>
        <w:t>gênero, faixa etária, nível de escolaridade, cor, posição na família, número de crianças e de idosos no domicílio, setor de atividade, e região.</w:t>
      </w:r>
    </w:p>
    <w:p w14:paraId="46204CAC" w14:textId="77777777" w:rsidR="00B47A61" w:rsidRPr="00726964" w:rsidRDefault="00B47A61" w:rsidP="00726964">
      <w:pPr>
        <w:spacing w:after="0" w:line="240" w:lineRule="auto"/>
        <w:ind w:firstLine="284"/>
        <w:jc w:val="both"/>
        <w:rPr>
          <w:rFonts w:ascii="Times New Roman" w:hAnsi="Times New Roman" w:cs="Times New Roman"/>
          <w:bCs/>
          <w:sz w:val="24"/>
          <w:szCs w:val="24"/>
        </w:rPr>
      </w:pPr>
    </w:p>
    <w:p w14:paraId="602A4D1B" w14:textId="77777777" w:rsidR="00AD768E" w:rsidRPr="00726964" w:rsidRDefault="00DF675C"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lastRenderedPageBreak/>
        <w:t xml:space="preserve">Uma </w:t>
      </w:r>
      <w:r w:rsidR="009F1A44" w:rsidRPr="00726964">
        <w:rPr>
          <w:rFonts w:ascii="Times New Roman" w:hAnsi="Times New Roman" w:cs="Times New Roman"/>
          <w:bCs/>
          <w:sz w:val="24"/>
          <w:szCs w:val="24"/>
        </w:rPr>
        <w:t xml:space="preserve">evidência </w:t>
      </w:r>
      <w:r w:rsidRPr="00726964">
        <w:rPr>
          <w:rFonts w:ascii="Times New Roman" w:hAnsi="Times New Roman" w:cs="Times New Roman"/>
          <w:bCs/>
          <w:sz w:val="24"/>
          <w:szCs w:val="24"/>
        </w:rPr>
        <w:t>adicional sobre essa hipótese pode ser obtida por outro modelo de regressão, onde Y passa a ter mais do que duas categorias. Em particular</w:t>
      </w:r>
      <w:r w:rsidR="009F1A44"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especificamos um modelo </w:t>
      </w:r>
      <w:proofErr w:type="spellStart"/>
      <w:r w:rsidR="001800C5" w:rsidRPr="00726964">
        <w:rPr>
          <w:rFonts w:ascii="Times New Roman" w:hAnsi="Times New Roman" w:cs="Times New Roman"/>
          <w:bCs/>
          <w:sz w:val="24"/>
          <w:szCs w:val="24"/>
        </w:rPr>
        <w:t>logit</w:t>
      </w:r>
      <w:proofErr w:type="spellEnd"/>
      <w:r w:rsidR="001800C5" w:rsidRPr="00726964">
        <w:rPr>
          <w:rFonts w:ascii="Times New Roman" w:hAnsi="Times New Roman" w:cs="Times New Roman"/>
          <w:bCs/>
          <w:sz w:val="24"/>
          <w:szCs w:val="24"/>
        </w:rPr>
        <w:t xml:space="preserve"> </w:t>
      </w:r>
      <w:proofErr w:type="spellStart"/>
      <w:r w:rsidR="001800C5" w:rsidRPr="00726964">
        <w:rPr>
          <w:rFonts w:ascii="Times New Roman" w:hAnsi="Times New Roman" w:cs="Times New Roman"/>
          <w:bCs/>
          <w:sz w:val="24"/>
          <w:szCs w:val="24"/>
        </w:rPr>
        <w:t>multinomial</w:t>
      </w:r>
      <w:proofErr w:type="spellEnd"/>
      <w:r w:rsidR="001800C5" w:rsidRPr="00726964">
        <w:rPr>
          <w:rFonts w:ascii="Times New Roman" w:hAnsi="Times New Roman" w:cs="Times New Roman"/>
          <w:bCs/>
          <w:sz w:val="24"/>
          <w:szCs w:val="24"/>
        </w:rPr>
        <w:t xml:space="preserve"> onde Y pode assumir </w:t>
      </w:r>
      <w:r w:rsidR="00C30AD4" w:rsidRPr="00726964">
        <w:rPr>
          <w:rFonts w:ascii="Times New Roman" w:hAnsi="Times New Roman" w:cs="Times New Roman"/>
          <w:bCs/>
          <w:sz w:val="24"/>
          <w:szCs w:val="24"/>
        </w:rPr>
        <w:t>4</w:t>
      </w:r>
      <w:r w:rsidRPr="00726964">
        <w:rPr>
          <w:rFonts w:ascii="Times New Roman" w:hAnsi="Times New Roman" w:cs="Times New Roman"/>
          <w:bCs/>
          <w:sz w:val="24"/>
          <w:szCs w:val="24"/>
        </w:rPr>
        <w:t xml:space="preserve"> </w:t>
      </w:r>
      <w:r w:rsidR="001800C5" w:rsidRPr="00726964">
        <w:rPr>
          <w:rFonts w:ascii="Times New Roman" w:hAnsi="Times New Roman" w:cs="Times New Roman"/>
          <w:bCs/>
          <w:sz w:val="24"/>
          <w:szCs w:val="24"/>
        </w:rPr>
        <w:t xml:space="preserve">valores referentes </w:t>
      </w:r>
      <w:r w:rsidR="009F1A44" w:rsidRPr="00726964">
        <w:rPr>
          <w:rFonts w:ascii="Times New Roman" w:hAnsi="Times New Roman" w:cs="Times New Roman"/>
          <w:bCs/>
          <w:sz w:val="24"/>
          <w:szCs w:val="24"/>
        </w:rPr>
        <w:t xml:space="preserve">às </w:t>
      </w:r>
      <w:r w:rsidR="001800C5" w:rsidRPr="00726964">
        <w:rPr>
          <w:rFonts w:ascii="Times New Roman" w:hAnsi="Times New Roman" w:cs="Times New Roman"/>
          <w:bCs/>
          <w:sz w:val="24"/>
          <w:szCs w:val="24"/>
        </w:rPr>
        <w:t xml:space="preserve">seguintes </w:t>
      </w:r>
      <w:r w:rsidRPr="00726964">
        <w:rPr>
          <w:rFonts w:ascii="Times New Roman" w:hAnsi="Times New Roman" w:cs="Times New Roman"/>
          <w:bCs/>
          <w:sz w:val="24"/>
          <w:szCs w:val="24"/>
        </w:rPr>
        <w:t>ca</w:t>
      </w:r>
      <w:r w:rsidR="00BE4FF4" w:rsidRPr="00726964">
        <w:rPr>
          <w:rFonts w:ascii="Times New Roman" w:hAnsi="Times New Roman" w:cs="Times New Roman"/>
          <w:bCs/>
          <w:sz w:val="24"/>
          <w:szCs w:val="24"/>
        </w:rPr>
        <w:t>t</w:t>
      </w:r>
      <w:r w:rsidRPr="00726964">
        <w:rPr>
          <w:rFonts w:ascii="Times New Roman" w:hAnsi="Times New Roman" w:cs="Times New Roman"/>
          <w:bCs/>
          <w:sz w:val="24"/>
          <w:szCs w:val="24"/>
        </w:rPr>
        <w:t xml:space="preserve">egorias ocupacionais: </w:t>
      </w:r>
      <w:r w:rsidR="00936DC3" w:rsidRPr="00726964">
        <w:rPr>
          <w:rFonts w:ascii="Times New Roman" w:hAnsi="Times New Roman" w:cs="Times New Roman"/>
          <w:bCs/>
          <w:sz w:val="24"/>
          <w:szCs w:val="24"/>
        </w:rPr>
        <w:t>M</w:t>
      </w:r>
      <w:r w:rsidRPr="00726964">
        <w:rPr>
          <w:rFonts w:ascii="Times New Roman" w:hAnsi="Times New Roman" w:cs="Times New Roman"/>
          <w:bCs/>
          <w:sz w:val="24"/>
          <w:szCs w:val="24"/>
        </w:rPr>
        <w:t>EI</w:t>
      </w:r>
      <w:r w:rsidR="0020566D" w:rsidRPr="00726964">
        <w:rPr>
          <w:rFonts w:ascii="Times New Roman" w:hAnsi="Times New Roman" w:cs="Times New Roman"/>
          <w:bCs/>
          <w:sz w:val="24"/>
          <w:szCs w:val="24"/>
        </w:rPr>
        <w:t xml:space="preserve"> (categoria de referência)</w:t>
      </w:r>
      <w:r w:rsidRPr="00726964">
        <w:rPr>
          <w:rFonts w:ascii="Times New Roman" w:hAnsi="Times New Roman" w:cs="Times New Roman"/>
          <w:bCs/>
          <w:sz w:val="24"/>
          <w:szCs w:val="24"/>
        </w:rPr>
        <w:t>, empregador com 2 a 5 empregados, empregador com mais de 5 empregados, ou empregado.</w:t>
      </w:r>
      <w:r w:rsidR="00F25AB4" w:rsidRPr="00726964">
        <w:rPr>
          <w:rFonts w:ascii="Times New Roman" w:hAnsi="Times New Roman" w:cs="Times New Roman"/>
          <w:bCs/>
          <w:sz w:val="24"/>
          <w:szCs w:val="24"/>
        </w:rPr>
        <w:t xml:space="preserve"> </w:t>
      </w:r>
      <w:r w:rsidR="001800C5" w:rsidRPr="00726964">
        <w:rPr>
          <w:rFonts w:ascii="Times New Roman" w:hAnsi="Times New Roman" w:cs="Times New Roman"/>
          <w:bCs/>
          <w:sz w:val="24"/>
          <w:szCs w:val="24"/>
        </w:rPr>
        <w:t xml:space="preserve">Salvo essa adaptação na variável dependente, a especificação desse modelo é análoga ao modelo anterior com exceção da hipótese sobre a distribuição dos resíduos, que passa a ser a </w:t>
      </w:r>
      <w:r w:rsidR="009F3E95" w:rsidRPr="00726964">
        <w:rPr>
          <w:rFonts w:ascii="Times New Roman" w:hAnsi="Times New Roman" w:cs="Times New Roman"/>
          <w:bCs/>
          <w:sz w:val="24"/>
          <w:szCs w:val="24"/>
        </w:rPr>
        <w:t xml:space="preserve">de valor extremo padrão tipo 1 (standard </w:t>
      </w:r>
      <w:proofErr w:type="spellStart"/>
      <w:r w:rsidR="009F3E95" w:rsidRPr="00726964">
        <w:rPr>
          <w:rFonts w:ascii="Times New Roman" w:hAnsi="Times New Roman" w:cs="Times New Roman"/>
          <w:bCs/>
          <w:sz w:val="24"/>
          <w:szCs w:val="24"/>
        </w:rPr>
        <w:t>type</w:t>
      </w:r>
      <w:proofErr w:type="spellEnd"/>
      <w:r w:rsidR="009F3E95" w:rsidRPr="00726964">
        <w:rPr>
          <w:rFonts w:ascii="Times New Roman" w:hAnsi="Times New Roman" w:cs="Times New Roman"/>
          <w:bCs/>
          <w:sz w:val="24"/>
          <w:szCs w:val="24"/>
        </w:rPr>
        <w:t xml:space="preserve"> 1 extreme </w:t>
      </w:r>
      <w:proofErr w:type="spellStart"/>
      <w:r w:rsidR="009F3E95" w:rsidRPr="00726964">
        <w:rPr>
          <w:rFonts w:ascii="Times New Roman" w:hAnsi="Times New Roman" w:cs="Times New Roman"/>
          <w:bCs/>
          <w:sz w:val="24"/>
          <w:szCs w:val="24"/>
        </w:rPr>
        <w:t>value</w:t>
      </w:r>
      <w:proofErr w:type="spellEnd"/>
      <w:r w:rsidR="009F3E95" w:rsidRPr="00726964">
        <w:rPr>
          <w:rFonts w:ascii="Times New Roman" w:hAnsi="Times New Roman" w:cs="Times New Roman"/>
          <w:bCs/>
          <w:sz w:val="24"/>
          <w:szCs w:val="24"/>
        </w:rPr>
        <w:t>)</w:t>
      </w:r>
      <w:r w:rsidR="00E8434B" w:rsidRPr="00726964">
        <w:rPr>
          <w:rFonts w:ascii="Times New Roman" w:hAnsi="Times New Roman" w:cs="Times New Roman"/>
          <w:bCs/>
          <w:sz w:val="24"/>
          <w:szCs w:val="24"/>
        </w:rPr>
        <w:t xml:space="preserve">: </w:t>
      </w:r>
      <w:r w:rsidR="001800C5" w:rsidRPr="00726964">
        <w:rPr>
          <w:rFonts w:ascii="Times New Roman" w:hAnsi="Times New Roman" w:cs="Times New Roman"/>
          <w:bCs/>
          <w:sz w:val="24"/>
          <w:szCs w:val="24"/>
          <w:lang w:val="el-GR"/>
        </w:rPr>
        <w:t>ε</w:t>
      </w:r>
      <w:r w:rsidR="001800C5" w:rsidRPr="00726964">
        <w:rPr>
          <w:rFonts w:ascii="Times New Roman" w:hAnsi="Times New Roman" w:cs="Times New Roman"/>
          <w:bCs/>
          <w:sz w:val="24"/>
          <w:szCs w:val="24"/>
          <w:vertAlign w:val="subscript"/>
        </w:rPr>
        <w:t>i</w:t>
      </w:r>
      <w:r w:rsidR="001800C5" w:rsidRPr="00726964">
        <w:rPr>
          <w:rFonts w:ascii="Times New Roman" w:hAnsi="Times New Roman" w:cs="Times New Roman"/>
          <w:bCs/>
          <w:sz w:val="24"/>
          <w:szCs w:val="24"/>
        </w:rPr>
        <w:t xml:space="preserve"> ~ EV</w:t>
      </w:r>
      <w:r w:rsidR="001800C5" w:rsidRPr="00726964">
        <w:rPr>
          <w:rFonts w:ascii="Times New Roman" w:hAnsi="Times New Roman" w:cs="Times New Roman"/>
          <w:bCs/>
          <w:sz w:val="24"/>
          <w:szCs w:val="24"/>
          <w:vertAlign w:val="subscript"/>
        </w:rPr>
        <w:t>1</w:t>
      </w:r>
      <w:r w:rsidR="001800C5" w:rsidRPr="00726964">
        <w:rPr>
          <w:rFonts w:ascii="Times New Roman" w:hAnsi="Times New Roman" w:cs="Times New Roman"/>
          <w:bCs/>
          <w:sz w:val="24"/>
          <w:szCs w:val="24"/>
        </w:rPr>
        <w:t>(0;1)</w:t>
      </w:r>
      <w:r w:rsidR="004B2577" w:rsidRPr="00726964">
        <w:rPr>
          <w:rFonts w:ascii="Times New Roman" w:hAnsi="Times New Roman" w:cs="Times New Roman"/>
          <w:bCs/>
          <w:sz w:val="24"/>
          <w:szCs w:val="24"/>
        </w:rPr>
        <w:t xml:space="preserve">. </w:t>
      </w:r>
      <w:r w:rsidR="00F25AB4" w:rsidRPr="00726964">
        <w:rPr>
          <w:rFonts w:ascii="Times New Roman" w:hAnsi="Times New Roman" w:cs="Times New Roman"/>
          <w:bCs/>
          <w:sz w:val="24"/>
          <w:szCs w:val="24"/>
        </w:rPr>
        <w:t xml:space="preserve">Os resultados são reportados </w:t>
      </w:r>
      <w:r w:rsidR="0020566D" w:rsidRPr="00726964">
        <w:rPr>
          <w:rFonts w:ascii="Times New Roman" w:hAnsi="Times New Roman" w:cs="Times New Roman"/>
          <w:bCs/>
          <w:sz w:val="24"/>
          <w:szCs w:val="24"/>
        </w:rPr>
        <w:t>n</w:t>
      </w:r>
      <w:r w:rsidR="009559CC" w:rsidRPr="00726964">
        <w:rPr>
          <w:rFonts w:ascii="Times New Roman" w:hAnsi="Times New Roman" w:cs="Times New Roman"/>
          <w:bCs/>
          <w:sz w:val="24"/>
          <w:szCs w:val="24"/>
        </w:rPr>
        <w:t xml:space="preserve">a </w:t>
      </w:r>
      <w:r w:rsidR="00A458A0" w:rsidRPr="00726964">
        <w:rPr>
          <w:rFonts w:ascii="Times New Roman" w:hAnsi="Times New Roman" w:cs="Times New Roman"/>
          <w:bCs/>
          <w:sz w:val="24"/>
          <w:szCs w:val="24"/>
        </w:rPr>
        <w:t>T</w:t>
      </w:r>
      <w:r w:rsidR="009559CC" w:rsidRPr="00726964">
        <w:rPr>
          <w:rFonts w:ascii="Times New Roman" w:hAnsi="Times New Roman" w:cs="Times New Roman"/>
          <w:bCs/>
          <w:sz w:val="24"/>
          <w:szCs w:val="24"/>
        </w:rPr>
        <w:t xml:space="preserve">abela </w:t>
      </w:r>
      <w:r w:rsidR="009F7E58" w:rsidRPr="00726964">
        <w:rPr>
          <w:rFonts w:ascii="Times New Roman" w:hAnsi="Times New Roman" w:cs="Times New Roman"/>
          <w:bCs/>
          <w:sz w:val="24"/>
          <w:szCs w:val="24"/>
        </w:rPr>
        <w:t>3</w:t>
      </w:r>
      <w:r w:rsidR="0020566D" w:rsidRPr="00726964">
        <w:rPr>
          <w:rFonts w:ascii="Times New Roman" w:hAnsi="Times New Roman" w:cs="Times New Roman"/>
          <w:bCs/>
          <w:sz w:val="24"/>
          <w:szCs w:val="24"/>
        </w:rPr>
        <w:t>b</w:t>
      </w:r>
      <w:r w:rsidR="00F25AB4" w:rsidRPr="00726964">
        <w:rPr>
          <w:rFonts w:ascii="Times New Roman" w:hAnsi="Times New Roman" w:cs="Times New Roman"/>
          <w:bCs/>
          <w:sz w:val="24"/>
          <w:szCs w:val="24"/>
        </w:rPr>
        <w:t xml:space="preserve">. </w:t>
      </w:r>
    </w:p>
    <w:p w14:paraId="51DCF0DB" w14:textId="77777777" w:rsidR="00DF675C" w:rsidRPr="00726964" w:rsidRDefault="00801871"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De acordo com a primeira coluna, a</w:t>
      </w:r>
      <w:r w:rsidR="000528AE" w:rsidRPr="00726964">
        <w:rPr>
          <w:rFonts w:ascii="Times New Roman" w:hAnsi="Times New Roman" w:cs="Times New Roman"/>
          <w:bCs/>
          <w:sz w:val="24"/>
          <w:szCs w:val="24"/>
        </w:rPr>
        <w:t xml:space="preserve"> evolução na probabilidade de ser </w:t>
      </w:r>
      <w:r w:rsidRPr="00726964">
        <w:rPr>
          <w:rFonts w:ascii="Times New Roman" w:hAnsi="Times New Roman" w:cs="Times New Roman"/>
          <w:bCs/>
          <w:sz w:val="24"/>
          <w:szCs w:val="24"/>
        </w:rPr>
        <w:t xml:space="preserve">pequeno empresário </w:t>
      </w:r>
      <w:r w:rsidR="000528AE" w:rsidRPr="00726964">
        <w:rPr>
          <w:rFonts w:ascii="Times New Roman" w:hAnsi="Times New Roman" w:cs="Times New Roman"/>
          <w:bCs/>
          <w:sz w:val="24"/>
          <w:szCs w:val="24"/>
        </w:rPr>
        <w:t xml:space="preserve">relativo a ser </w:t>
      </w:r>
      <w:r w:rsidRPr="00726964">
        <w:rPr>
          <w:rFonts w:ascii="Times New Roman" w:hAnsi="Times New Roman" w:cs="Times New Roman"/>
          <w:bCs/>
          <w:sz w:val="24"/>
          <w:szCs w:val="24"/>
        </w:rPr>
        <w:t xml:space="preserve">MEI vinha oscilando até 2009 e a partir de então cai de forma mais intensa. Ou seja, a opção por uma categoria ocupacional elegível ao programa aumentou após o programa relativamente a opção por ser pequeno empresário. Já a evolução na probabilidade de ser um empresário maior em relação a ser MEI vinha apresentando uma tendência de crescimento entre 2005 e </w:t>
      </w:r>
      <w:r w:rsidR="00D35A34" w:rsidRPr="00726964">
        <w:rPr>
          <w:rFonts w:ascii="Times New Roman" w:hAnsi="Times New Roman" w:cs="Times New Roman"/>
          <w:bCs/>
          <w:sz w:val="24"/>
          <w:szCs w:val="24"/>
        </w:rPr>
        <w:t>2007</w:t>
      </w:r>
      <w:r w:rsidRPr="00726964">
        <w:rPr>
          <w:rFonts w:ascii="Times New Roman" w:hAnsi="Times New Roman" w:cs="Times New Roman"/>
          <w:bCs/>
          <w:sz w:val="24"/>
          <w:szCs w:val="24"/>
        </w:rPr>
        <w:t xml:space="preserve">, e </w:t>
      </w:r>
      <w:r w:rsidR="00264087" w:rsidRPr="00726964">
        <w:rPr>
          <w:rFonts w:ascii="Times New Roman" w:hAnsi="Times New Roman" w:cs="Times New Roman"/>
          <w:bCs/>
          <w:sz w:val="24"/>
          <w:szCs w:val="24"/>
        </w:rPr>
        <w:t xml:space="preserve">a partir de 2008 essa tendência se reverte e em 2011 </w:t>
      </w:r>
      <w:r w:rsidRPr="00726964">
        <w:rPr>
          <w:rFonts w:ascii="Times New Roman" w:hAnsi="Times New Roman" w:cs="Times New Roman"/>
          <w:bCs/>
          <w:sz w:val="24"/>
          <w:szCs w:val="24"/>
        </w:rPr>
        <w:t xml:space="preserve">se intensifica </w:t>
      </w:r>
      <w:r w:rsidR="00264087" w:rsidRPr="00726964">
        <w:rPr>
          <w:rFonts w:ascii="Times New Roman" w:hAnsi="Times New Roman" w:cs="Times New Roman"/>
          <w:bCs/>
          <w:sz w:val="24"/>
          <w:szCs w:val="24"/>
        </w:rPr>
        <w:t>(após a</w:t>
      </w:r>
      <w:r w:rsidRPr="00726964">
        <w:rPr>
          <w:rFonts w:ascii="Times New Roman" w:hAnsi="Times New Roman" w:cs="Times New Roman"/>
          <w:bCs/>
          <w:sz w:val="24"/>
          <w:szCs w:val="24"/>
        </w:rPr>
        <w:t xml:space="preserve"> implementação do programa</w:t>
      </w:r>
      <w:r w:rsidR="00264087" w:rsidRPr="00726964">
        <w:rPr>
          <w:rFonts w:ascii="Times New Roman" w:hAnsi="Times New Roman" w:cs="Times New Roman"/>
          <w:bCs/>
          <w:sz w:val="24"/>
          <w:szCs w:val="24"/>
        </w:rPr>
        <w:t>)</w:t>
      </w:r>
      <w:r w:rsidRPr="00726964">
        <w:rPr>
          <w:rFonts w:ascii="Times New Roman" w:hAnsi="Times New Roman" w:cs="Times New Roman"/>
          <w:bCs/>
          <w:sz w:val="24"/>
          <w:szCs w:val="24"/>
        </w:rPr>
        <w:t>. O mesmo ocorre quando analisamos as duas categorias de empregados aqui analisadas. Em resumo</w:t>
      </w:r>
      <w:r w:rsidR="00FD03AD"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podemos dizer que à exceção dos empresários pequenos, as demais categorias ocupacionais passam, depois da implantação do programa, a atrair indivíduos </w:t>
      </w:r>
      <w:r w:rsidR="00264087" w:rsidRPr="00726964">
        <w:rPr>
          <w:rFonts w:ascii="Times New Roman" w:hAnsi="Times New Roman" w:cs="Times New Roman"/>
          <w:bCs/>
          <w:sz w:val="24"/>
          <w:szCs w:val="24"/>
        </w:rPr>
        <w:t>de forma mais intensa relativamente à</w:t>
      </w:r>
      <w:r w:rsidRPr="00726964">
        <w:rPr>
          <w:rFonts w:ascii="Times New Roman" w:hAnsi="Times New Roman" w:cs="Times New Roman"/>
          <w:bCs/>
          <w:sz w:val="24"/>
          <w:szCs w:val="24"/>
        </w:rPr>
        <w:t xml:space="preserve"> categoria </w:t>
      </w:r>
      <w:r w:rsidR="0015292E" w:rsidRPr="00726964">
        <w:rPr>
          <w:rFonts w:ascii="Times New Roman" w:hAnsi="Times New Roman" w:cs="Times New Roman"/>
          <w:bCs/>
          <w:sz w:val="24"/>
          <w:szCs w:val="24"/>
        </w:rPr>
        <w:t>beneficiada pelo programa.</w:t>
      </w:r>
      <w:r w:rsidR="00264087" w:rsidRPr="00726964">
        <w:rPr>
          <w:rFonts w:ascii="Times New Roman" w:hAnsi="Times New Roman" w:cs="Times New Roman"/>
          <w:bCs/>
          <w:sz w:val="24"/>
          <w:szCs w:val="24"/>
        </w:rPr>
        <w:t xml:space="preserve"> No entanto, essa tendência já se iniciara em 2008 e, portanto, não é possível estabelecer uma relação mais imediata entre o timing da introdução do programa e a reversão da tendência.</w:t>
      </w:r>
    </w:p>
    <w:p w14:paraId="2410D88D" w14:textId="77777777" w:rsidR="00A3259F" w:rsidRPr="00726964" w:rsidRDefault="00A3259F" w:rsidP="00726964">
      <w:pPr>
        <w:spacing w:line="240" w:lineRule="auto"/>
        <w:ind w:left="284"/>
        <w:rPr>
          <w:rFonts w:ascii="Times New Roman" w:hAnsi="Times New Roman" w:cs="Times New Roman"/>
          <w:b/>
          <w:bCs/>
          <w:sz w:val="24"/>
          <w:szCs w:val="24"/>
        </w:rPr>
      </w:pPr>
    </w:p>
    <w:p w14:paraId="35506EA4" w14:textId="77777777" w:rsidR="00B47A61" w:rsidRPr="00726964" w:rsidRDefault="00B47A61" w:rsidP="00726964">
      <w:pPr>
        <w:spacing w:line="240" w:lineRule="auto"/>
        <w:rPr>
          <w:rFonts w:ascii="Times New Roman" w:hAnsi="Times New Roman" w:cs="Times New Roman"/>
          <w:b/>
          <w:bCs/>
          <w:sz w:val="24"/>
          <w:szCs w:val="24"/>
        </w:rPr>
      </w:pPr>
      <w:r w:rsidRPr="00726964">
        <w:rPr>
          <w:rFonts w:ascii="Times New Roman" w:hAnsi="Times New Roman" w:cs="Times New Roman"/>
          <w:b/>
          <w:bCs/>
          <w:sz w:val="24"/>
          <w:szCs w:val="24"/>
        </w:rPr>
        <w:t>Tabela 3b: Evolução na probabilidade de ser MEI versus outras categorias ocupacionais entre 2005 e 2011</w:t>
      </w:r>
    </w:p>
    <w:tbl>
      <w:tblPr>
        <w:tblW w:w="8520" w:type="dxa"/>
        <w:tblInd w:w="55" w:type="dxa"/>
        <w:tblCellMar>
          <w:left w:w="70" w:type="dxa"/>
          <w:right w:w="70" w:type="dxa"/>
        </w:tblCellMar>
        <w:tblLook w:val="04A0" w:firstRow="1" w:lastRow="0" w:firstColumn="1" w:lastColumn="0" w:noHBand="0" w:noVBand="1"/>
      </w:tblPr>
      <w:tblGrid>
        <w:gridCol w:w="960"/>
        <w:gridCol w:w="1760"/>
        <w:gridCol w:w="1760"/>
        <w:gridCol w:w="2120"/>
        <w:gridCol w:w="1920"/>
      </w:tblGrid>
      <w:tr w:rsidR="003969E2" w:rsidRPr="00FC3E6E" w14:paraId="67B2FBB1" w14:textId="77777777" w:rsidTr="000E3FED">
        <w:trPr>
          <w:trHeight w:val="72"/>
        </w:trPr>
        <w:tc>
          <w:tcPr>
            <w:tcW w:w="960" w:type="dxa"/>
            <w:tcBorders>
              <w:top w:val="nil"/>
              <w:left w:val="nil"/>
              <w:bottom w:val="double" w:sz="6" w:space="0" w:color="auto"/>
              <w:right w:val="nil"/>
            </w:tcBorders>
            <w:shd w:val="clear" w:color="000000" w:fill="FFFFFF"/>
            <w:noWrap/>
            <w:vAlign w:val="bottom"/>
            <w:hideMark/>
          </w:tcPr>
          <w:p w14:paraId="69B1661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double" w:sz="6" w:space="0" w:color="auto"/>
              <w:right w:val="nil"/>
            </w:tcBorders>
            <w:shd w:val="clear" w:color="000000" w:fill="FFFFFF"/>
            <w:noWrap/>
            <w:vAlign w:val="bottom"/>
            <w:hideMark/>
          </w:tcPr>
          <w:p w14:paraId="55A74CE3"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double" w:sz="6" w:space="0" w:color="auto"/>
              <w:right w:val="nil"/>
            </w:tcBorders>
            <w:shd w:val="clear" w:color="000000" w:fill="FFFFFF"/>
            <w:noWrap/>
            <w:vAlign w:val="bottom"/>
            <w:hideMark/>
          </w:tcPr>
          <w:p w14:paraId="0E3D7EF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20" w:type="dxa"/>
            <w:tcBorders>
              <w:top w:val="nil"/>
              <w:left w:val="nil"/>
              <w:bottom w:val="double" w:sz="6" w:space="0" w:color="auto"/>
              <w:right w:val="nil"/>
            </w:tcBorders>
            <w:shd w:val="clear" w:color="000000" w:fill="FFFFFF"/>
            <w:noWrap/>
            <w:vAlign w:val="bottom"/>
            <w:hideMark/>
          </w:tcPr>
          <w:p w14:paraId="683C0BF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920" w:type="dxa"/>
            <w:tcBorders>
              <w:top w:val="nil"/>
              <w:left w:val="nil"/>
              <w:bottom w:val="double" w:sz="6" w:space="0" w:color="auto"/>
              <w:right w:val="nil"/>
            </w:tcBorders>
            <w:shd w:val="clear" w:color="000000" w:fill="FFFFFF"/>
            <w:noWrap/>
            <w:vAlign w:val="bottom"/>
            <w:hideMark/>
          </w:tcPr>
          <w:p w14:paraId="62A4CF56"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2BD6E23D" w14:textId="77777777" w:rsidTr="000E3FED">
        <w:trPr>
          <w:trHeight w:val="660"/>
        </w:trPr>
        <w:tc>
          <w:tcPr>
            <w:tcW w:w="960" w:type="dxa"/>
            <w:tcBorders>
              <w:top w:val="nil"/>
              <w:left w:val="nil"/>
              <w:bottom w:val="single" w:sz="8" w:space="0" w:color="auto"/>
              <w:right w:val="nil"/>
            </w:tcBorders>
            <w:shd w:val="clear" w:color="000000" w:fill="FFFFFF"/>
            <w:noWrap/>
            <w:vAlign w:val="bottom"/>
            <w:hideMark/>
          </w:tcPr>
          <w:p w14:paraId="586EB341"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single" w:sz="8" w:space="0" w:color="auto"/>
              <w:right w:val="nil"/>
            </w:tcBorders>
            <w:shd w:val="clear" w:color="000000" w:fill="FFFFFF"/>
            <w:vAlign w:val="bottom"/>
            <w:hideMark/>
          </w:tcPr>
          <w:p w14:paraId="29DFAB6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EMPRESÁRIO 2 A 5 vs. MEI </w:t>
            </w:r>
          </w:p>
        </w:tc>
        <w:tc>
          <w:tcPr>
            <w:tcW w:w="1760" w:type="dxa"/>
            <w:tcBorders>
              <w:top w:val="nil"/>
              <w:left w:val="nil"/>
              <w:bottom w:val="single" w:sz="8" w:space="0" w:color="auto"/>
              <w:right w:val="nil"/>
            </w:tcBorders>
            <w:shd w:val="clear" w:color="000000" w:fill="FFFFFF"/>
            <w:vAlign w:val="bottom"/>
            <w:hideMark/>
          </w:tcPr>
          <w:p w14:paraId="04BFE371"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EMPRESÁRIO + 5 vs. MEI</w:t>
            </w:r>
          </w:p>
        </w:tc>
        <w:tc>
          <w:tcPr>
            <w:tcW w:w="2120" w:type="dxa"/>
            <w:tcBorders>
              <w:top w:val="nil"/>
              <w:left w:val="nil"/>
              <w:bottom w:val="single" w:sz="8" w:space="0" w:color="auto"/>
              <w:right w:val="nil"/>
            </w:tcBorders>
            <w:shd w:val="clear" w:color="000000" w:fill="FFFFFF"/>
            <w:vAlign w:val="bottom"/>
            <w:hideMark/>
          </w:tcPr>
          <w:p w14:paraId="5085290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 EMPRESA ATÉ 5 vs. MEI</w:t>
            </w:r>
          </w:p>
        </w:tc>
        <w:tc>
          <w:tcPr>
            <w:tcW w:w="1920" w:type="dxa"/>
            <w:tcBorders>
              <w:top w:val="nil"/>
              <w:left w:val="nil"/>
              <w:bottom w:val="single" w:sz="8" w:space="0" w:color="auto"/>
              <w:right w:val="nil"/>
            </w:tcBorders>
            <w:shd w:val="clear" w:color="000000" w:fill="FFFFFF"/>
            <w:vAlign w:val="bottom"/>
            <w:hideMark/>
          </w:tcPr>
          <w:p w14:paraId="1F8426F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 EMPRESA + 5 vs. MEI</w:t>
            </w:r>
          </w:p>
        </w:tc>
      </w:tr>
      <w:tr w:rsidR="003969E2" w:rsidRPr="00FC3E6E" w14:paraId="51EF2AE2" w14:textId="77777777" w:rsidTr="000E3FED">
        <w:trPr>
          <w:trHeight w:val="408"/>
        </w:trPr>
        <w:tc>
          <w:tcPr>
            <w:tcW w:w="960" w:type="dxa"/>
            <w:tcBorders>
              <w:top w:val="nil"/>
              <w:left w:val="nil"/>
              <w:bottom w:val="nil"/>
              <w:right w:val="nil"/>
            </w:tcBorders>
            <w:shd w:val="clear" w:color="000000" w:fill="FFFFFF"/>
            <w:noWrap/>
            <w:vAlign w:val="bottom"/>
            <w:hideMark/>
          </w:tcPr>
          <w:p w14:paraId="6DB20D35"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2005</w:t>
            </w:r>
          </w:p>
        </w:tc>
        <w:tc>
          <w:tcPr>
            <w:tcW w:w="1760" w:type="dxa"/>
            <w:tcBorders>
              <w:top w:val="nil"/>
              <w:left w:val="nil"/>
              <w:bottom w:val="nil"/>
              <w:right w:val="nil"/>
            </w:tcBorders>
            <w:shd w:val="clear" w:color="000000" w:fill="FFFFFF"/>
            <w:noWrap/>
            <w:vAlign w:val="bottom"/>
            <w:hideMark/>
          </w:tcPr>
          <w:p w14:paraId="62B19C4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-0.000404</w:t>
            </w:r>
          </w:p>
        </w:tc>
        <w:tc>
          <w:tcPr>
            <w:tcW w:w="1760" w:type="dxa"/>
            <w:tcBorders>
              <w:top w:val="nil"/>
              <w:left w:val="nil"/>
              <w:bottom w:val="nil"/>
              <w:right w:val="nil"/>
            </w:tcBorders>
            <w:shd w:val="clear" w:color="000000" w:fill="FFFFFF"/>
            <w:noWrap/>
            <w:vAlign w:val="bottom"/>
            <w:hideMark/>
          </w:tcPr>
          <w:p w14:paraId="52C5D4C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-0.0788***</w:t>
            </w:r>
          </w:p>
        </w:tc>
        <w:tc>
          <w:tcPr>
            <w:tcW w:w="2120" w:type="dxa"/>
            <w:tcBorders>
              <w:top w:val="nil"/>
              <w:left w:val="nil"/>
              <w:bottom w:val="nil"/>
              <w:right w:val="nil"/>
            </w:tcBorders>
            <w:shd w:val="clear" w:color="000000" w:fill="FFFFFF"/>
            <w:noWrap/>
            <w:vAlign w:val="bottom"/>
            <w:hideMark/>
          </w:tcPr>
          <w:p w14:paraId="0A80562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-0.129***</w:t>
            </w:r>
          </w:p>
        </w:tc>
        <w:tc>
          <w:tcPr>
            <w:tcW w:w="1920" w:type="dxa"/>
            <w:tcBorders>
              <w:top w:val="nil"/>
              <w:left w:val="nil"/>
              <w:bottom w:val="nil"/>
              <w:right w:val="nil"/>
            </w:tcBorders>
            <w:shd w:val="clear" w:color="000000" w:fill="FFFFFF"/>
            <w:noWrap/>
            <w:vAlign w:val="bottom"/>
            <w:hideMark/>
          </w:tcPr>
          <w:p w14:paraId="78759557"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-0.156***</w:t>
            </w:r>
          </w:p>
        </w:tc>
      </w:tr>
      <w:tr w:rsidR="003969E2" w:rsidRPr="00FC3E6E" w14:paraId="2B9626B1" w14:textId="77777777" w:rsidTr="000E3FED">
        <w:trPr>
          <w:trHeight w:val="288"/>
        </w:trPr>
        <w:tc>
          <w:tcPr>
            <w:tcW w:w="960" w:type="dxa"/>
            <w:tcBorders>
              <w:top w:val="nil"/>
              <w:left w:val="nil"/>
              <w:bottom w:val="nil"/>
              <w:right w:val="nil"/>
            </w:tcBorders>
            <w:shd w:val="clear" w:color="000000" w:fill="FFFFFF"/>
            <w:noWrap/>
            <w:vAlign w:val="bottom"/>
            <w:hideMark/>
          </w:tcPr>
          <w:p w14:paraId="5F4CF8B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nil"/>
              <w:right w:val="nil"/>
            </w:tcBorders>
            <w:shd w:val="clear" w:color="000000" w:fill="FFFFFF"/>
            <w:noWrap/>
            <w:vAlign w:val="bottom"/>
            <w:hideMark/>
          </w:tcPr>
          <w:p w14:paraId="26EF664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(0.00104)</w:t>
            </w:r>
          </w:p>
        </w:tc>
        <w:tc>
          <w:tcPr>
            <w:tcW w:w="1760" w:type="dxa"/>
            <w:tcBorders>
              <w:top w:val="nil"/>
              <w:left w:val="nil"/>
              <w:bottom w:val="nil"/>
              <w:right w:val="nil"/>
            </w:tcBorders>
            <w:shd w:val="clear" w:color="000000" w:fill="FFFFFF"/>
            <w:noWrap/>
            <w:vAlign w:val="bottom"/>
            <w:hideMark/>
          </w:tcPr>
          <w:p w14:paraId="493419D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(0.00103)</w:t>
            </w:r>
          </w:p>
        </w:tc>
        <w:tc>
          <w:tcPr>
            <w:tcW w:w="2120" w:type="dxa"/>
            <w:tcBorders>
              <w:top w:val="nil"/>
              <w:left w:val="nil"/>
              <w:bottom w:val="nil"/>
              <w:right w:val="nil"/>
            </w:tcBorders>
            <w:shd w:val="clear" w:color="000000" w:fill="FFFFFF"/>
            <w:noWrap/>
            <w:vAlign w:val="bottom"/>
            <w:hideMark/>
          </w:tcPr>
          <w:p w14:paraId="6ED0620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(0.000655)</w:t>
            </w:r>
          </w:p>
        </w:tc>
        <w:tc>
          <w:tcPr>
            <w:tcW w:w="1920" w:type="dxa"/>
            <w:tcBorders>
              <w:top w:val="nil"/>
              <w:left w:val="nil"/>
              <w:bottom w:val="nil"/>
              <w:right w:val="nil"/>
            </w:tcBorders>
            <w:shd w:val="clear" w:color="000000" w:fill="FFFFFF"/>
            <w:noWrap/>
            <w:vAlign w:val="bottom"/>
            <w:hideMark/>
          </w:tcPr>
          <w:p w14:paraId="4B4EDD8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(0.000501)</w:t>
            </w:r>
          </w:p>
        </w:tc>
      </w:tr>
      <w:tr w:rsidR="003969E2" w:rsidRPr="00FC3E6E" w14:paraId="29567143" w14:textId="77777777" w:rsidTr="000E3FED">
        <w:trPr>
          <w:trHeight w:val="288"/>
        </w:trPr>
        <w:tc>
          <w:tcPr>
            <w:tcW w:w="960" w:type="dxa"/>
            <w:tcBorders>
              <w:top w:val="nil"/>
              <w:left w:val="nil"/>
              <w:bottom w:val="nil"/>
              <w:right w:val="nil"/>
            </w:tcBorders>
            <w:shd w:val="clear" w:color="000000" w:fill="FFFFFF"/>
            <w:noWrap/>
            <w:vAlign w:val="bottom"/>
            <w:hideMark/>
          </w:tcPr>
          <w:p w14:paraId="3A571E2E"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2006</w:t>
            </w:r>
          </w:p>
        </w:tc>
        <w:tc>
          <w:tcPr>
            <w:tcW w:w="1760" w:type="dxa"/>
            <w:tcBorders>
              <w:top w:val="nil"/>
              <w:left w:val="nil"/>
              <w:bottom w:val="nil"/>
              <w:right w:val="nil"/>
            </w:tcBorders>
            <w:shd w:val="clear" w:color="000000" w:fill="FFFFFF"/>
            <w:noWrap/>
            <w:vAlign w:val="bottom"/>
            <w:hideMark/>
          </w:tcPr>
          <w:p w14:paraId="3B2DA84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0.0846***</w:t>
            </w:r>
          </w:p>
        </w:tc>
        <w:tc>
          <w:tcPr>
            <w:tcW w:w="1760" w:type="dxa"/>
            <w:tcBorders>
              <w:top w:val="nil"/>
              <w:left w:val="nil"/>
              <w:bottom w:val="nil"/>
              <w:right w:val="nil"/>
            </w:tcBorders>
            <w:shd w:val="clear" w:color="000000" w:fill="FFFFFF"/>
            <w:noWrap/>
            <w:vAlign w:val="bottom"/>
            <w:hideMark/>
          </w:tcPr>
          <w:p w14:paraId="619E406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-0.0449***</w:t>
            </w:r>
          </w:p>
        </w:tc>
        <w:tc>
          <w:tcPr>
            <w:tcW w:w="2120" w:type="dxa"/>
            <w:tcBorders>
              <w:top w:val="nil"/>
              <w:left w:val="nil"/>
              <w:bottom w:val="nil"/>
              <w:right w:val="nil"/>
            </w:tcBorders>
            <w:shd w:val="clear" w:color="000000" w:fill="FFFFFF"/>
            <w:noWrap/>
            <w:vAlign w:val="bottom"/>
            <w:hideMark/>
          </w:tcPr>
          <w:p w14:paraId="0F1A871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-0.0965***</w:t>
            </w:r>
          </w:p>
        </w:tc>
        <w:tc>
          <w:tcPr>
            <w:tcW w:w="1920" w:type="dxa"/>
            <w:tcBorders>
              <w:top w:val="nil"/>
              <w:left w:val="nil"/>
              <w:bottom w:val="nil"/>
              <w:right w:val="nil"/>
            </w:tcBorders>
            <w:shd w:val="clear" w:color="000000" w:fill="FFFFFF"/>
            <w:noWrap/>
            <w:vAlign w:val="bottom"/>
            <w:hideMark/>
          </w:tcPr>
          <w:p w14:paraId="07BE447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-0.0885***</w:t>
            </w:r>
          </w:p>
        </w:tc>
      </w:tr>
      <w:tr w:rsidR="003969E2" w:rsidRPr="00FC3E6E" w14:paraId="0DDFBC13" w14:textId="77777777" w:rsidTr="000E3FED">
        <w:trPr>
          <w:trHeight w:val="288"/>
        </w:trPr>
        <w:tc>
          <w:tcPr>
            <w:tcW w:w="960" w:type="dxa"/>
            <w:tcBorders>
              <w:top w:val="nil"/>
              <w:left w:val="nil"/>
              <w:bottom w:val="nil"/>
              <w:right w:val="nil"/>
            </w:tcBorders>
            <w:shd w:val="clear" w:color="000000" w:fill="FFFFFF"/>
            <w:noWrap/>
            <w:vAlign w:val="bottom"/>
            <w:hideMark/>
          </w:tcPr>
          <w:p w14:paraId="7443E8DC"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nil"/>
              <w:right w:val="nil"/>
            </w:tcBorders>
            <w:shd w:val="clear" w:color="000000" w:fill="FFFFFF"/>
            <w:noWrap/>
            <w:vAlign w:val="bottom"/>
            <w:hideMark/>
          </w:tcPr>
          <w:p w14:paraId="6C4931B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(0.00102)</w:t>
            </w:r>
          </w:p>
        </w:tc>
        <w:tc>
          <w:tcPr>
            <w:tcW w:w="1760" w:type="dxa"/>
            <w:tcBorders>
              <w:top w:val="nil"/>
              <w:left w:val="nil"/>
              <w:bottom w:val="nil"/>
              <w:right w:val="nil"/>
            </w:tcBorders>
            <w:shd w:val="clear" w:color="000000" w:fill="FFFFFF"/>
            <w:noWrap/>
            <w:vAlign w:val="bottom"/>
            <w:hideMark/>
          </w:tcPr>
          <w:p w14:paraId="4F05F63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(0.00102)</w:t>
            </w:r>
          </w:p>
        </w:tc>
        <w:tc>
          <w:tcPr>
            <w:tcW w:w="2120" w:type="dxa"/>
            <w:tcBorders>
              <w:top w:val="nil"/>
              <w:left w:val="nil"/>
              <w:bottom w:val="nil"/>
              <w:right w:val="nil"/>
            </w:tcBorders>
            <w:shd w:val="clear" w:color="000000" w:fill="FFFFFF"/>
            <w:noWrap/>
            <w:vAlign w:val="bottom"/>
            <w:hideMark/>
          </w:tcPr>
          <w:p w14:paraId="32C2FAF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(0.000652)</w:t>
            </w:r>
          </w:p>
        </w:tc>
        <w:tc>
          <w:tcPr>
            <w:tcW w:w="1920" w:type="dxa"/>
            <w:tcBorders>
              <w:top w:val="nil"/>
              <w:left w:val="nil"/>
              <w:bottom w:val="nil"/>
              <w:right w:val="nil"/>
            </w:tcBorders>
            <w:shd w:val="clear" w:color="000000" w:fill="FFFFFF"/>
            <w:noWrap/>
            <w:vAlign w:val="bottom"/>
            <w:hideMark/>
          </w:tcPr>
          <w:p w14:paraId="7D219F0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(0.000497)</w:t>
            </w:r>
          </w:p>
        </w:tc>
      </w:tr>
      <w:tr w:rsidR="003969E2" w:rsidRPr="00FC3E6E" w14:paraId="5FAEEBB4" w14:textId="77777777" w:rsidTr="000E3FED">
        <w:trPr>
          <w:trHeight w:val="288"/>
        </w:trPr>
        <w:tc>
          <w:tcPr>
            <w:tcW w:w="960" w:type="dxa"/>
            <w:tcBorders>
              <w:top w:val="nil"/>
              <w:left w:val="nil"/>
              <w:bottom w:val="nil"/>
              <w:right w:val="nil"/>
            </w:tcBorders>
            <w:shd w:val="clear" w:color="000000" w:fill="FFFFFF"/>
            <w:noWrap/>
            <w:vAlign w:val="bottom"/>
            <w:hideMark/>
          </w:tcPr>
          <w:p w14:paraId="5B3ECC3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2007</w:t>
            </w:r>
          </w:p>
        </w:tc>
        <w:tc>
          <w:tcPr>
            <w:tcW w:w="1760" w:type="dxa"/>
            <w:tcBorders>
              <w:top w:val="nil"/>
              <w:left w:val="nil"/>
              <w:bottom w:val="nil"/>
              <w:right w:val="nil"/>
            </w:tcBorders>
            <w:shd w:val="clear" w:color="000000" w:fill="FFFFFF"/>
            <w:noWrap/>
            <w:vAlign w:val="bottom"/>
            <w:hideMark/>
          </w:tcPr>
          <w:p w14:paraId="132E27D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-0.0947***</w:t>
            </w:r>
          </w:p>
        </w:tc>
        <w:tc>
          <w:tcPr>
            <w:tcW w:w="1760" w:type="dxa"/>
            <w:tcBorders>
              <w:top w:val="nil"/>
              <w:left w:val="nil"/>
              <w:bottom w:val="nil"/>
              <w:right w:val="nil"/>
            </w:tcBorders>
            <w:shd w:val="clear" w:color="000000" w:fill="FFFFFF"/>
            <w:noWrap/>
            <w:vAlign w:val="bottom"/>
            <w:hideMark/>
          </w:tcPr>
          <w:p w14:paraId="6CBC0BB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-0.0338***</w:t>
            </w:r>
          </w:p>
        </w:tc>
        <w:tc>
          <w:tcPr>
            <w:tcW w:w="2120" w:type="dxa"/>
            <w:tcBorders>
              <w:top w:val="nil"/>
              <w:left w:val="nil"/>
              <w:bottom w:val="nil"/>
              <w:right w:val="nil"/>
            </w:tcBorders>
            <w:shd w:val="clear" w:color="000000" w:fill="FFFFFF"/>
            <w:noWrap/>
            <w:vAlign w:val="bottom"/>
            <w:hideMark/>
          </w:tcPr>
          <w:p w14:paraId="051B7CA7"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-0.0779***</w:t>
            </w:r>
          </w:p>
        </w:tc>
        <w:tc>
          <w:tcPr>
            <w:tcW w:w="1920" w:type="dxa"/>
            <w:tcBorders>
              <w:top w:val="nil"/>
              <w:left w:val="nil"/>
              <w:bottom w:val="nil"/>
              <w:right w:val="nil"/>
            </w:tcBorders>
            <w:shd w:val="clear" w:color="000000" w:fill="FFFFFF"/>
            <w:noWrap/>
            <w:vAlign w:val="bottom"/>
            <w:hideMark/>
          </w:tcPr>
          <w:p w14:paraId="0A89B34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-0.0718***</w:t>
            </w:r>
          </w:p>
        </w:tc>
      </w:tr>
      <w:tr w:rsidR="003969E2" w:rsidRPr="00FC3E6E" w14:paraId="45BDEA95" w14:textId="77777777" w:rsidTr="000E3FED">
        <w:trPr>
          <w:trHeight w:val="288"/>
        </w:trPr>
        <w:tc>
          <w:tcPr>
            <w:tcW w:w="960" w:type="dxa"/>
            <w:tcBorders>
              <w:top w:val="nil"/>
              <w:left w:val="nil"/>
              <w:bottom w:val="nil"/>
              <w:right w:val="nil"/>
            </w:tcBorders>
            <w:shd w:val="clear" w:color="000000" w:fill="FFFFFF"/>
            <w:noWrap/>
            <w:vAlign w:val="bottom"/>
            <w:hideMark/>
          </w:tcPr>
          <w:p w14:paraId="5495347A"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nil"/>
              <w:right w:val="nil"/>
            </w:tcBorders>
            <w:shd w:val="clear" w:color="000000" w:fill="FFFFFF"/>
            <w:noWrap/>
            <w:vAlign w:val="bottom"/>
            <w:hideMark/>
          </w:tcPr>
          <w:p w14:paraId="7B0B0F3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(0.00105)</w:t>
            </w:r>
          </w:p>
        </w:tc>
        <w:tc>
          <w:tcPr>
            <w:tcW w:w="1760" w:type="dxa"/>
            <w:tcBorders>
              <w:top w:val="nil"/>
              <w:left w:val="nil"/>
              <w:bottom w:val="nil"/>
              <w:right w:val="nil"/>
            </w:tcBorders>
            <w:shd w:val="clear" w:color="000000" w:fill="FFFFFF"/>
            <w:noWrap/>
            <w:vAlign w:val="bottom"/>
            <w:hideMark/>
          </w:tcPr>
          <w:p w14:paraId="7253F4E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(0.00101)</w:t>
            </w:r>
          </w:p>
        </w:tc>
        <w:tc>
          <w:tcPr>
            <w:tcW w:w="2120" w:type="dxa"/>
            <w:tcBorders>
              <w:top w:val="nil"/>
              <w:left w:val="nil"/>
              <w:bottom w:val="nil"/>
              <w:right w:val="nil"/>
            </w:tcBorders>
            <w:shd w:val="clear" w:color="000000" w:fill="FFFFFF"/>
            <w:noWrap/>
            <w:vAlign w:val="bottom"/>
            <w:hideMark/>
          </w:tcPr>
          <w:p w14:paraId="19E7B4E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(0.000646)</w:t>
            </w:r>
          </w:p>
        </w:tc>
        <w:tc>
          <w:tcPr>
            <w:tcW w:w="1920" w:type="dxa"/>
            <w:tcBorders>
              <w:top w:val="nil"/>
              <w:left w:val="nil"/>
              <w:bottom w:val="nil"/>
              <w:right w:val="nil"/>
            </w:tcBorders>
            <w:shd w:val="clear" w:color="000000" w:fill="FFFFFF"/>
            <w:noWrap/>
            <w:vAlign w:val="bottom"/>
            <w:hideMark/>
          </w:tcPr>
          <w:p w14:paraId="69142AE1"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(0.000493)</w:t>
            </w:r>
          </w:p>
        </w:tc>
      </w:tr>
      <w:tr w:rsidR="003969E2" w:rsidRPr="00FC3E6E" w14:paraId="2D0B6132" w14:textId="77777777" w:rsidTr="000E3FED">
        <w:trPr>
          <w:trHeight w:val="288"/>
        </w:trPr>
        <w:tc>
          <w:tcPr>
            <w:tcW w:w="960" w:type="dxa"/>
            <w:tcBorders>
              <w:top w:val="nil"/>
              <w:left w:val="nil"/>
              <w:bottom w:val="nil"/>
              <w:right w:val="nil"/>
            </w:tcBorders>
            <w:shd w:val="clear" w:color="000000" w:fill="FFFFFF"/>
            <w:noWrap/>
            <w:vAlign w:val="bottom"/>
            <w:hideMark/>
          </w:tcPr>
          <w:p w14:paraId="21DD1EB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2008</w:t>
            </w:r>
          </w:p>
        </w:tc>
        <w:tc>
          <w:tcPr>
            <w:tcW w:w="1760" w:type="dxa"/>
            <w:tcBorders>
              <w:top w:val="nil"/>
              <w:left w:val="nil"/>
              <w:bottom w:val="nil"/>
              <w:right w:val="nil"/>
            </w:tcBorders>
            <w:shd w:val="clear" w:color="000000" w:fill="FFFFFF"/>
            <w:noWrap/>
            <w:vAlign w:val="bottom"/>
            <w:hideMark/>
          </w:tcPr>
          <w:p w14:paraId="3AF0EC8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0.0990***</w:t>
            </w:r>
          </w:p>
        </w:tc>
        <w:tc>
          <w:tcPr>
            <w:tcW w:w="1760" w:type="dxa"/>
            <w:tcBorders>
              <w:top w:val="nil"/>
              <w:left w:val="nil"/>
              <w:bottom w:val="nil"/>
              <w:right w:val="nil"/>
            </w:tcBorders>
            <w:shd w:val="clear" w:color="000000" w:fill="FFFFFF"/>
            <w:noWrap/>
            <w:vAlign w:val="bottom"/>
            <w:hideMark/>
          </w:tcPr>
          <w:p w14:paraId="47AE2BB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0.00249**</w:t>
            </w:r>
          </w:p>
        </w:tc>
        <w:tc>
          <w:tcPr>
            <w:tcW w:w="2120" w:type="dxa"/>
            <w:tcBorders>
              <w:top w:val="nil"/>
              <w:left w:val="nil"/>
              <w:bottom w:val="nil"/>
              <w:right w:val="nil"/>
            </w:tcBorders>
            <w:shd w:val="clear" w:color="000000" w:fill="FFFFFF"/>
            <w:noWrap/>
            <w:vAlign w:val="bottom"/>
            <w:hideMark/>
          </w:tcPr>
          <w:p w14:paraId="7FD0DCC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-0.0196***</w:t>
            </w:r>
          </w:p>
        </w:tc>
        <w:tc>
          <w:tcPr>
            <w:tcW w:w="1920" w:type="dxa"/>
            <w:tcBorders>
              <w:top w:val="nil"/>
              <w:left w:val="nil"/>
              <w:bottom w:val="nil"/>
              <w:right w:val="nil"/>
            </w:tcBorders>
            <w:shd w:val="clear" w:color="000000" w:fill="FFFFFF"/>
            <w:noWrap/>
            <w:vAlign w:val="bottom"/>
            <w:hideMark/>
          </w:tcPr>
          <w:p w14:paraId="0AB3C14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0.0398***</w:t>
            </w:r>
          </w:p>
        </w:tc>
      </w:tr>
      <w:tr w:rsidR="003969E2" w:rsidRPr="00FC3E6E" w14:paraId="3276DB61" w14:textId="77777777" w:rsidTr="000E3FED">
        <w:trPr>
          <w:trHeight w:val="288"/>
        </w:trPr>
        <w:tc>
          <w:tcPr>
            <w:tcW w:w="960" w:type="dxa"/>
            <w:tcBorders>
              <w:top w:val="nil"/>
              <w:left w:val="nil"/>
              <w:bottom w:val="nil"/>
              <w:right w:val="nil"/>
            </w:tcBorders>
            <w:shd w:val="clear" w:color="000000" w:fill="FFFFFF"/>
            <w:noWrap/>
            <w:vAlign w:val="bottom"/>
            <w:hideMark/>
          </w:tcPr>
          <w:p w14:paraId="289C73D0"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nil"/>
              <w:right w:val="nil"/>
            </w:tcBorders>
            <w:shd w:val="clear" w:color="000000" w:fill="FFFFFF"/>
            <w:noWrap/>
            <w:vAlign w:val="bottom"/>
            <w:hideMark/>
          </w:tcPr>
          <w:p w14:paraId="1513B25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(0.00101)</w:t>
            </w:r>
          </w:p>
        </w:tc>
        <w:tc>
          <w:tcPr>
            <w:tcW w:w="1760" w:type="dxa"/>
            <w:tcBorders>
              <w:top w:val="nil"/>
              <w:left w:val="nil"/>
              <w:bottom w:val="nil"/>
              <w:right w:val="nil"/>
            </w:tcBorders>
            <w:shd w:val="clear" w:color="000000" w:fill="FFFFFF"/>
            <w:noWrap/>
            <w:vAlign w:val="bottom"/>
            <w:hideMark/>
          </w:tcPr>
          <w:p w14:paraId="2FAD0A1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(0.00101)</w:t>
            </w:r>
          </w:p>
        </w:tc>
        <w:tc>
          <w:tcPr>
            <w:tcW w:w="2120" w:type="dxa"/>
            <w:tcBorders>
              <w:top w:val="nil"/>
              <w:left w:val="nil"/>
              <w:bottom w:val="nil"/>
              <w:right w:val="nil"/>
            </w:tcBorders>
            <w:shd w:val="clear" w:color="000000" w:fill="FFFFFF"/>
            <w:noWrap/>
            <w:vAlign w:val="bottom"/>
            <w:hideMark/>
          </w:tcPr>
          <w:p w14:paraId="1C6922C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(0.000643)</w:t>
            </w:r>
          </w:p>
        </w:tc>
        <w:tc>
          <w:tcPr>
            <w:tcW w:w="1920" w:type="dxa"/>
            <w:tcBorders>
              <w:top w:val="nil"/>
              <w:left w:val="nil"/>
              <w:bottom w:val="nil"/>
              <w:right w:val="nil"/>
            </w:tcBorders>
            <w:shd w:val="clear" w:color="000000" w:fill="FFFFFF"/>
            <w:noWrap/>
            <w:vAlign w:val="bottom"/>
            <w:hideMark/>
          </w:tcPr>
          <w:p w14:paraId="0868AB0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(0.000490)</w:t>
            </w:r>
          </w:p>
        </w:tc>
      </w:tr>
      <w:tr w:rsidR="003969E2" w:rsidRPr="00FC3E6E" w14:paraId="0122E7F3" w14:textId="77777777" w:rsidTr="000E3FED">
        <w:trPr>
          <w:trHeight w:val="288"/>
        </w:trPr>
        <w:tc>
          <w:tcPr>
            <w:tcW w:w="960" w:type="dxa"/>
            <w:tcBorders>
              <w:top w:val="nil"/>
              <w:left w:val="nil"/>
              <w:bottom w:val="nil"/>
              <w:right w:val="nil"/>
            </w:tcBorders>
            <w:shd w:val="clear" w:color="000000" w:fill="FFFFFF"/>
            <w:noWrap/>
            <w:vAlign w:val="bottom"/>
            <w:hideMark/>
          </w:tcPr>
          <w:p w14:paraId="14CAE0EC"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2011</w:t>
            </w:r>
          </w:p>
        </w:tc>
        <w:tc>
          <w:tcPr>
            <w:tcW w:w="1760" w:type="dxa"/>
            <w:tcBorders>
              <w:top w:val="nil"/>
              <w:left w:val="nil"/>
              <w:bottom w:val="nil"/>
              <w:right w:val="nil"/>
            </w:tcBorders>
            <w:shd w:val="clear" w:color="000000" w:fill="FFFFFF"/>
            <w:noWrap/>
            <w:vAlign w:val="bottom"/>
            <w:hideMark/>
          </w:tcPr>
          <w:p w14:paraId="4623788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-0.169***</w:t>
            </w:r>
          </w:p>
        </w:tc>
        <w:tc>
          <w:tcPr>
            <w:tcW w:w="1760" w:type="dxa"/>
            <w:tcBorders>
              <w:top w:val="nil"/>
              <w:left w:val="nil"/>
              <w:bottom w:val="nil"/>
              <w:right w:val="nil"/>
            </w:tcBorders>
            <w:shd w:val="clear" w:color="000000" w:fill="FFFFFF"/>
            <w:noWrap/>
            <w:vAlign w:val="bottom"/>
            <w:hideMark/>
          </w:tcPr>
          <w:p w14:paraId="59D4A99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0.175***</w:t>
            </w:r>
          </w:p>
        </w:tc>
        <w:tc>
          <w:tcPr>
            <w:tcW w:w="2120" w:type="dxa"/>
            <w:tcBorders>
              <w:top w:val="nil"/>
              <w:left w:val="nil"/>
              <w:bottom w:val="nil"/>
              <w:right w:val="nil"/>
            </w:tcBorders>
            <w:shd w:val="clear" w:color="000000" w:fill="FFFFFF"/>
            <w:noWrap/>
            <w:vAlign w:val="bottom"/>
            <w:hideMark/>
          </w:tcPr>
          <w:p w14:paraId="4E7BD78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0.0763***</w:t>
            </w:r>
          </w:p>
        </w:tc>
        <w:tc>
          <w:tcPr>
            <w:tcW w:w="1920" w:type="dxa"/>
            <w:tcBorders>
              <w:top w:val="nil"/>
              <w:left w:val="nil"/>
              <w:bottom w:val="nil"/>
              <w:right w:val="nil"/>
            </w:tcBorders>
            <w:shd w:val="clear" w:color="000000" w:fill="FFFFFF"/>
            <w:noWrap/>
            <w:vAlign w:val="bottom"/>
            <w:hideMark/>
          </w:tcPr>
          <w:p w14:paraId="0009558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0.119***</w:t>
            </w:r>
          </w:p>
        </w:tc>
      </w:tr>
      <w:tr w:rsidR="003969E2" w:rsidRPr="00FC3E6E" w14:paraId="77ED5E82" w14:textId="77777777" w:rsidTr="000E3FED">
        <w:trPr>
          <w:trHeight w:val="288"/>
        </w:trPr>
        <w:tc>
          <w:tcPr>
            <w:tcW w:w="960" w:type="dxa"/>
            <w:tcBorders>
              <w:top w:val="nil"/>
              <w:left w:val="nil"/>
              <w:bottom w:val="nil"/>
              <w:right w:val="nil"/>
            </w:tcBorders>
            <w:shd w:val="clear" w:color="000000" w:fill="FFFFFF"/>
            <w:noWrap/>
            <w:vAlign w:val="bottom"/>
            <w:hideMark/>
          </w:tcPr>
          <w:p w14:paraId="332908D5"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nil"/>
              <w:left w:val="nil"/>
              <w:bottom w:val="nil"/>
              <w:right w:val="nil"/>
            </w:tcBorders>
            <w:shd w:val="clear" w:color="000000" w:fill="FFFFFF"/>
            <w:noWrap/>
            <w:vAlign w:val="bottom"/>
            <w:hideMark/>
          </w:tcPr>
          <w:p w14:paraId="4844934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(0.00105)</w:t>
            </w:r>
          </w:p>
        </w:tc>
        <w:tc>
          <w:tcPr>
            <w:tcW w:w="1760" w:type="dxa"/>
            <w:tcBorders>
              <w:top w:val="nil"/>
              <w:left w:val="nil"/>
              <w:bottom w:val="nil"/>
              <w:right w:val="nil"/>
            </w:tcBorders>
            <w:shd w:val="clear" w:color="000000" w:fill="FFFFFF"/>
            <w:noWrap/>
            <w:vAlign w:val="bottom"/>
            <w:hideMark/>
          </w:tcPr>
          <w:p w14:paraId="09D4284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(0.000990)</w:t>
            </w:r>
          </w:p>
        </w:tc>
        <w:tc>
          <w:tcPr>
            <w:tcW w:w="2120" w:type="dxa"/>
            <w:tcBorders>
              <w:top w:val="nil"/>
              <w:left w:val="nil"/>
              <w:bottom w:val="nil"/>
              <w:right w:val="nil"/>
            </w:tcBorders>
            <w:shd w:val="clear" w:color="000000" w:fill="FFFFFF"/>
            <w:noWrap/>
            <w:vAlign w:val="bottom"/>
            <w:hideMark/>
          </w:tcPr>
          <w:p w14:paraId="2B18DDF7"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(0.000634)</w:t>
            </w:r>
          </w:p>
        </w:tc>
        <w:tc>
          <w:tcPr>
            <w:tcW w:w="1920" w:type="dxa"/>
            <w:tcBorders>
              <w:top w:val="nil"/>
              <w:left w:val="nil"/>
              <w:bottom w:val="single" w:sz="4" w:space="0" w:color="auto"/>
              <w:right w:val="nil"/>
            </w:tcBorders>
            <w:shd w:val="clear" w:color="000000" w:fill="FFFFFF"/>
            <w:noWrap/>
            <w:vAlign w:val="bottom"/>
            <w:hideMark/>
          </w:tcPr>
          <w:p w14:paraId="740827D7"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(0.000485)</w:t>
            </w:r>
          </w:p>
        </w:tc>
      </w:tr>
      <w:tr w:rsidR="003969E2" w:rsidRPr="00FC3E6E" w14:paraId="5893FB59" w14:textId="77777777" w:rsidTr="000E3FED">
        <w:trPr>
          <w:trHeight w:val="96"/>
        </w:trPr>
        <w:tc>
          <w:tcPr>
            <w:tcW w:w="960" w:type="dxa"/>
            <w:tcBorders>
              <w:top w:val="single" w:sz="4" w:space="0" w:color="auto"/>
              <w:left w:val="nil"/>
              <w:bottom w:val="nil"/>
              <w:right w:val="nil"/>
            </w:tcBorders>
            <w:shd w:val="clear" w:color="000000" w:fill="FFFFFF"/>
            <w:noWrap/>
            <w:vAlign w:val="bottom"/>
            <w:hideMark/>
          </w:tcPr>
          <w:p w14:paraId="684FA7B9"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single" w:sz="4" w:space="0" w:color="auto"/>
              <w:left w:val="nil"/>
              <w:bottom w:val="nil"/>
              <w:right w:val="nil"/>
            </w:tcBorders>
            <w:shd w:val="clear" w:color="000000" w:fill="FFFFFF"/>
            <w:noWrap/>
            <w:vAlign w:val="bottom"/>
            <w:hideMark/>
          </w:tcPr>
          <w:p w14:paraId="52E23FD8"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760" w:type="dxa"/>
            <w:tcBorders>
              <w:top w:val="single" w:sz="4" w:space="0" w:color="auto"/>
              <w:left w:val="nil"/>
              <w:bottom w:val="nil"/>
              <w:right w:val="nil"/>
            </w:tcBorders>
            <w:shd w:val="clear" w:color="000000" w:fill="FFFFFF"/>
            <w:noWrap/>
            <w:vAlign w:val="bottom"/>
            <w:hideMark/>
          </w:tcPr>
          <w:p w14:paraId="4CB820E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120" w:type="dxa"/>
            <w:tcBorders>
              <w:top w:val="single" w:sz="4" w:space="0" w:color="auto"/>
              <w:left w:val="nil"/>
              <w:bottom w:val="nil"/>
              <w:right w:val="nil"/>
            </w:tcBorders>
            <w:shd w:val="clear" w:color="000000" w:fill="FFFFFF"/>
            <w:noWrap/>
            <w:vAlign w:val="bottom"/>
            <w:hideMark/>
          </w:tcPr>
          <w:p w14:paraId="4ED40DAC"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920" w:type="dxa"/>
            <w:tcBorders>
              <w:top w:val="nil"/>
              <w:left w:val="nil"/>
              <w:bottom w:val="nil"/>
              <w:right w:val="nil"/>
            </w:tcBorders>
            <w:shd w:val="clear" w:color="000000" w:fill="FFFFFF"/>
            <w:noWrap/>
            <w:vAlign w:val="bottom"/>
            <w:hideMark/>
          </w:tcPr>
          <w:p w14:paraId="381D56B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401E7BDE" w14:textId="77777777" w:rsidR="00EE6CB1" w:rsidRPr="00726964" w:rsidRDefault="00EE6CB1"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6C82DB1F" w14:textId="77777777" w:rsidR="00A3259F" w:rsidRPr="00726964" w:rsidRDefault="009559CC"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Nota: </w:t>
      </w:r>
      <w:r w:rsidRPr="00726964">
        <w:rPr>
          <w:rFonts w:ascii="Times New Roman" w:hAnsi="Times New Roman" w:cs="Times New Roman"/>
          <w:sz w:val="24"/>
          <w:szCs w:val="24"/>
        </w:rPr>
        <w:t xml:space="preserve">As seguintes variáveis foram usadas como controles: </w:t>
      </w:r>
      <w:r w:rsidRPr="00726964">
        <w:rPr>
          <w:rFonts w:ascii="Times New Roman" w:hAnsi="Times New Roman" w:cs="Times New Roman"/>
          <w:bCs/>
          <w:sz w:val="24"/>
          <w:szCs w:val="24"/>
        </w:rPr>
        <w:t>gênero, faixa etária, nível de escolaridade, cor, posição na família,</w:t>
      </w:r>
      <w:r w:rsidR="00CA7CF8"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número de crianças e de idosos no domicílio, setor de atividade, e região.</w:t>
      </w:r>
    </w:p>
    <w:p w14:paraId="731D2E8B" w14:textId="77777777" w:rsidR="009559CC" w:rsidRPr="00726964" w:rsidRDefault="009559CC" w:rsidP="00726964">
      <w:pPr>
        <w:spacing w:line="240" w:lineRule="auto"/>
        <w:rPr>
          <w:rFonts w:ascii="Times New Roman" w:hAnsi="Times New Roman" w:cs="Times New Roman"/>
          <w:bCs/>
          <w:sz w:val="24"/>
          <w:szCs w:val="24"/>
        </w:rPr>
      </w:pPr>
    </w:p>
    <w:p w14:paraId="418F751F" w14:textId="77777777" w:rsidR="00165CAC" w:rsidRPr="00726964" w:rsidRDefault="00165CAC" w:rsidP="00726964">
      <w:pPr>
        <w:pStyle w:val="Heading1"/>
        <w:spacing w:before="0" w:after="240"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lastRenderedPageBreak/>
        <w:t xml:space="preserve">4 Associações entre </w:t>
      </w:r>
      <w:r w:rsidR="008E113D" w:rsidRPr="00726964">
        <w:rPr>
          <w:rFonts w:ascii="Times New Roman" w:hAnsi="Times New Roman" w:cs="Times New Roman"/>
          <w:color w:val="auto"/>
          <w:sz w:val="24"/>
          <w:szCs w:val="24"/>
        </w:rPr>
        <w:t>a política do</w:t>
      </w:r>
      <w:r w:rsidRPr="00726964">
        <w:rPr>
          <w:rFonts w:ascii="Times New Roman" w:hAnsi="Times New Roman" w:cs="Times New Roman"/>
          <w:color w:val="auto"/>
          <w:sz w:val="24"/>
          <w:szCs w:val="24"/>
        </w:rPr>
        <w:t xml:space="preserve"> </w:t>
      </w:r>
      <w:r w:rsidR="004B2577" w:rsidRPr="00726964">
        <w:rPr>
          <w:rFonts w:ascii="Times New Roman" w:hAnsi="Times New Roman" w:cs="Times New Roman"/>
          <w:color w:val="auto"/>
          <w:sz w:val="24"/>
          <w:szCs w:val="24"/>
        </w:rPr>
        <w:t>M</w:t>
      </w:r>
      <w:r w:rsidR="00585ECF" w:rsidRPr="00726964">
        <w:rPr>
          <w:rFonts w:ascii="Times New Roman" w:hAnsi="Times New Roman" w:cs="Times New Roman"/>
          <w:color w:val="auto"/>
          <w:sz w:val="24"/>
          <w:szCs w:val="24"/>
        </w:rPr>
        <w:t>EI e formalização</w:t>
      </w:r>
    </w:p>
    <w:p w14:paraId="378CEC05" w14:textId="77777777" w:rsidR="0099118D" w:rsidRPr="00726964" w:rsidRDefault="00A548C3"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Nesta seção analisamos</w:t>
      </w:r>
      <w:r w:rsidR="00F42441"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a evolução d</w:t>
      </w:r>
      <w:r w:rsidR="00F42441" w:rsidRPr="00726964">
        <w:rPr>
          <w:rFonts w:ascii="Times New Roman" w:hAnsi="Times New Roman" w:cs="Times New Roman"/>
          <w:bCs/>
          <w:sz w:val="24"/>
          <w:szCs w:val="24"/>
        </w:rPr>
        <w:t xml:space="preserve">a formalização do grupo </w:t>
      </w:r>
      <w:r w:rsidRPr="00726964">
        <w:rPr>
          <w:rFonts w:ascii="Times New Roman" w:hAnsi="Times New Roman" w:cs="Times New Roman"/>
          <w:bCs/>
          <w:sz w:val="24"/>
          <w:szCs w:val="24"/>
        </w:rPr>
        <w:t>M</w:t>
      </w:r>
      <w:r w:rsidR="00F42441" w:rsidRPr="00726964">
        <w:rPr>
          <w:rFonts w:ascii="Times New Roman" w:hAnsi="Times New Roman" w:cs="Times New Roman"/>
          <w:bCs/>
          <w:sz w:val="24"/>
          <w:szCs w:val="24"/>
        </w:rPr>
        <w:t xml:space="preserve">EI </w:t>
      </w:r>
      <w:r w:rsidRPr="00726964">
        <w:rPr>
          <w:rFonts w:ascii="Times New Roman" w:hAnsi="Times New Roman" w:cs="Times New Roman"/>
          <w:bCs/>
          <w:sz w:val="24"/>
          <w:szCs w:val="24"/>
        </w:rPr>
        <w:t xml:space="preserve">comparando o período </w:t>
      </w:r>
      <w:r w:rsidR="0043173D" w:rsidRPr="00726964">
        <w:rPr>
          <w:rFonts w:ascii="Times New Roman" w:hAnsi="Times New Roman" w:cs="Times New Roman"/>
          <w:bCs/>
          <w:sz w:val="24"/>
          <w:szCs w:val="24"/>
        </w:rPr>
        <w:t>antes</w:t>
      </w:r>
      <w:r w:rsidRPr="00726964">
        <w:rPr>
          <w:rFonts w:ascii="Times New Roman" w:hAnsi="Times New Roman" w:cs="Times New Roman"/>
          <w:bCs/>
          <w:sz w:val="24"/>
          <w:szCs w:val="24"/>
        </w:rPr>
        <w:t xml:space="preserve"> e </w:t>
      </w:r>
      <w:r w:rsidR="0043173D" w:rsidRPr="00726964">
        <w:rPr>
          <w:rFonts w:ascii="Times New Roman" w:hAnsi="Times New Roman" w:cs="Times New Roman"/>
          <w:bCs/>
          <w:sz w:val="24"/>
          <w:szCs w:val="24"/>
        </w:rPr>
        <w:t>depois da</w:t>
      </w:r>
      <w:r w:rsidRPr="00726964">
        <w:rPr>
          <w:rFonts w:ascii="Times New Roman" w:hAnsi="Times New Roman" w:cs="Times New Roman"/>
          <w:bCs/>
          <w:sz w:val="24"/>
          <w:szCs w:val="24"/>
        </w:rPr>
        <w:t xml:space="preserve"> introdução da política </w:t>
      </w:r>
      <w:r w:rsidR="0043173D" w:rsidRPr="00726964">
        <w:rPr>
          <w:rFonts w:ascii="Times New Roman" w:hAnsi="Times New Roman" w:cs="Times New Roman"/>
          <w:bCs/>
          <w:sz w:val="24"/>
          <w:szCs w:val="24"/>
        </w:rPr>
        <w:t>(2009 e 2011, respectivamente), utilizando as duas</w:t>
      </w:r>
      <w:r w:rsidR="00F42441" w:rsidRPr="00726964">
        <w:rPr>
          <w:rFonts w:ascii="Times New Roman" w:hAnsi="Times New Roman" w:cs="Times New Roman"/>
          <w:bCs/>
          <w:sz w:val="24"/>
          <w:szCs w:val="24"/>
        </w:rPr>
        <w:t xml:space="preserve"> dimensões relacionadas ao programa: contribuição à previdência e inscrição no CNPJ.</w:t>
      </w:r>
      <w:r w:rsidR="0043173D" w:rsidRPr="00726964">
        <w:rPr>
          <w:rFonts w:ascii="Times New Roman" w:hAnsi="Times New Roman" w:cs="Times New Roman"/>
          <w:bCs/>
          <w:sz w:val="24"/>
          <w:szCs w:val="24"/>
        </w:rPr>
        <w:t xml:space="preserve"> </w:t>
      </w:r>
      <w:r w:rsidR="00D5085A" w:rsidRPr="00726964">
        <w:rPr>
          <w:rFonts w:ascii="Times New Roman" w:hAnsi="Times New Roman" w:cs="Times New Roman"/>
          <w:bCs/>
          <w:sz w:val="24"/>
          <w:szCs w:val="24"/>
        </w:rPr>
        <w:t xml:space="preserve">A tabela </w:t>
      </w:r>
      <w:r w:rsidR="009D2702" w:rsidRPr="00726964">
        <w:rPr>
          <w:rFonts w:ascii="Times New Roman" w:hAnsi="Times New Roman" w:cs="Times New Roman"/>
          <w:bCs/>
          <w:sz w:val="24"/>
          <w:szCs w:val="24"/>
        </w:rPr>
        <w:t>4</w:t>
      </w:r>
      <w:r w:rsidR="00D5085A" w:rsidRPr="00726964">
        <w:rPr>
          <w:rFonts w:ascii="Times New Roman" w:hAnsi="Times New Roman" w:cs="Times New Roman"/>
          <w:bCs/>
          <w:sz w:val="24"/>
          <w:szCs w:val="24"/>
        </w:rPr>
        <w:t xml:space="preserve"> mostra </w:t>
      </w:r>
      <w:r w:rsidR="0015292E" w:rsidRPr="00726964">
        <w:rPr>
          <w:rFonts w:ascii="Times New Roman" w:hAnsi="Times New Roman" w:cs="Times New Roman"/>
          <w:bCs/>
          <w:sz w:val="24"/>
          <w:szCs w:val="24"/>
        </w:rPr>
        <w:t>estimativas de coeficientes de um modelo que explica</w:t>
      </w:r>
      <w:r w:rsidR="00D5085A" w:rsidRPr="00726964">
        <w:rPr>
          <w:rFonts w:ascii="Times New Roman" w:hAnsi="Times New Roman" w:cs="Times New Roman"/>
          <w:bCs/>
          <w:sz w:val="24"/>
          <w:szCs w:val="24"/>
        </w:rPr>
        <w:t xml:space="preserve"> a probabilidade de ser formal, </w:t>
      </w:r>
      <w:r w:rsidR="0043173D" w:rsidRPr="00726964">
        <w:rPr>
          <w:rFonts w:ascii="Times New Roman" w:hAnsi="Times New Roman" w:cs="Times New Roman"/>
          <w:bCs/>
          <w:sz w:val="24"/>
          <w:szCs w:val="24"/>
        </w:rPr>
        <w:t>condicional a</w:t>
      </w:r>
      <w:r w:rsidR="00D5085A" w:rsidRPr="00726964">
        <w:rPr>
          <w:rFonts w:ascii="Times New Roman" w:hAnsi="Times New Roman" w:cs="Times New Roman"/>
          <w:bCs/>
          <w:sz w:val="24"/>
          <w:szCs w:val="24"/>
        </w:rPr>
        <w:t xml:space="preserve"> uma série de controles. </w:t>
      </w:r>
      <w:r w:rsidR="0015292E" w:rsidRPr="00726964">
        <w:rPr>
          <w:rFonts w:ascii="Times New Roman" w:hAnsi="Times New Roman" w:cs="Times New Roman"/>
          <w:bCs/>
          <w:sz w:val="24"/>
          <w:szCs w:val="24"/>
        </w:rPr>
        <w:t>Nesse modelo</w:t>
      </w:r>
      <w:r w:rsidR="00D5085A" w:rsidRPr="00726964">
        <w:rPr>
          <w:rFonts w:ascii="Times New Roman" w:hAnsi="Times New Roman" w:cs="Times New Roman"/>
          <w:bCs/>
          <w:sz w:val="24"/>
          <w:szCs w:val="24"/>
        </w:rPr>
        <w:t xml:space="preserve"> </w:t>
      </w:r>
      <w:r w:rsidR="00B65764" w:rsidRPr="00726964">
        <w:rPr>
          <w:rFonts w:ascii="Times New Roman" w:hAnsi="Times New Roman" w:cs="Times New Roman"/>
          <w:bCs/>
          <w:sz w:val="24"/>
          <w:szCs w:val="24"/>
        </w:rPr>
        <w:t>representado abaixo</w:t>
      </w:r>
      <w:r w:rsidR="00D5085A" w:rsidRPr="00726964">
        <w:rPr>
          <w:rFonts w:ascii="Times New Roman" w:hAnsi="Times New Roman" w:cs="Times New Roman"/>
          <w:bCs/>
          <w:sz w:val="24"/>
          <w:szCs w:val="24"/>
        </w:rPr>
        <w:t>,  Y passa a ser uma variável indicadora da formalidade do empresário de acordo com cada um dos critérios</w:t>
      </w:r>
      <w:r w:rsidR="00F42441" w:rsidRPr="00726964">
        <w:rPr>
          <w:rFonts w:ascii="Times New Roman" w:hAnsi="Times New Roman" w:cs="Times New Roman"/>
          <w:bCs/>
          <w:sz w:val="24"/>
          <w:szCs w:val="24"/>
        </w:rPr>
        <w:t>: contribuição à previdência e inscrição no CNPJ</w:t>
      </w:r>
      <w:r w:rsidR="00D5085A" w:rsidRPr="00726964">
        <w:rPr>
          <w:rFonts w:ascii="Times New Roman" w:hAnsi="Times New Roman" w:cs="Times New Roman"/>
          <w:bCs/>
          <w:sz w:val="24"/>
          <w:szCs w:val="24"/>
        </w:rPr>
        <w:t>.</w:t>
      </w:r>
      <w:r w:rsidR="003E541F" w:rsidRPr="00726964" w:rsidDel="003E541F">
        <w:rPr>
          <w:rFonts w:ascii="Times New Roman" w:hAnsi="Times New Roman" w:cs="Times New Roman"/>
          <w:bCs/>
          <w:sz w:val="24"/>
          <w:szCs w:val="24"/>
        </w:rPr>
        <w:t xml:space="preserve"> </w:t>
      </w:r>
    </w:p>
    <w:p w14:paraId="344759C7" w14:textId="77777777" w:rsidR="00E41A1B" w:rsidRPr="00726964" w:rsidRDefault="00726964" w:rsidP="00726964">
      <w:pPr>
        <w:spacing w:line="240" w:lineRule="auto"/>
        <w:rPr>
          <w:rFonts w:ascii="Times New Roman" w:eastAsiaTheme="minorEastAsia" w:hAnsi="Times New Roman" w:cs="Times New Roman"/>
          <w:bCs/>
          <w:sz w:val="24"/>
          <w:szCs w:val="24"/>
        </w:rPr>
      </w:pPr>
      <m:oMathPara>
        <m:oMath>
          <m:func>
            <m:funcPr>
              <m:ctrlPr>
                <w:rPr>
                  <w:rFonts w:ascii="Cambria Math" w:hAnsi="Cambria Math" w:cs="Times New Roman"/>
                  <w:bCs/>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β+X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γ+ δ</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+θ.</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 xml:space="preserve"> </m:t>
              </m:r>
            </m:e>
          </m:d>
        </m:oMath>
      </m:oMathPara>
    </w:p>
    <w:p w14:paraId="304BF897" w14:textId="77777777" w:rsidR="00E307E2" w:rsidRPr="00726964" w:rsidRDefault="00FD03AD" w:rsidP="00726964">
      <w:pPr>
        <w:spacing w:line="240" w:lineRule="auto"/>
        <w:rPr>
          <w:rFonts w:ascii="Times New Roman" w:hAnsi="Times New Roman" w:cs="Times New Roman"/>
          <w:bCs/>
          <w:sz w:val="24"/>
          <w:szCs w:val="24"/>
        </w:rPr>
      </w:pPr>
      <w:r w:rsidRPr="00726964">
        <w:rPr>
          <w:rFonts w:ascii="Times New Roman" w:hAnsi="Times New Roman" w:cs="Times New Roman"/>
          <w:bCs/>
          <w:sz w:val="24"/>
          <w:szCs w:val="24"/>
        </w:rPr>
        <w:t xml:space="preserve">onde </w:t>
      </w:r>
      <w:r w:rsidR="00E41A1B" w:rsidRPr="00726964">
        <w:rPr>
          <w:rFonts w:ascii="Times New Roman" w:hAnsi="Times New Roman" w:cs="Times New Roman"/>
          <w:bCs/>
          <w:sz w:val="24"/>
          <w:szCs w:val="24"/>
        </w:rPr>
        <w:t>T</w:t>
      </w:r>
      <w:r w:rsidRPr="00726964">
        <w:rPr>
          <w:rFonts w:ascii="Times New Roman" w:hAnsi="Times New Roman" w:cs="Times New Roman"/>
          <w:bCs/>
          <w:sz w:val="24"/>
          <w:szCs w:val="24"/>
        </w:rPr>
        <w:t>i</w:t>
      </w:r>
      <w:r w:rsidR="00E41A1B" w:rsidRPr="00726964">
        <w:rPr>
          <w:rFonts w:ascii="Times New Roman" w:hAnsi="Times New Roman" w:cs="Times New Roman"/>
          <w:bCs/>
          <w:sz w:val="24"/>
          <w:szCs w:val="24"/>
        </w:rPr>
        <w:t xml:space="preserve"> e X</w:t>
      </w:r>
      <w:r w:rsidRPr="00726964">
        <w:rPr>
          <w:rFonts w:ascii="Times New Roman" w:hAnsi="Times New Roman" w:cs="Times New Roman"/>
          <w:bCs/>
          <w:sz w:val="24"/>
          <w:szCs w:val="24"/>
        </w:rPr>
        <w:t>i</w:t>
      </w:r>
      <w:r w:rsidR="00E41A1B"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 xml:space="preserve">têm </w:t>
      </w:r>
      <w:r w:rsidR="00E41A1B" w:rsidRPr="00726964">
        <w:rPr>
          <w:rFonts w:ascii="Times New Roman" w:hAnsi="Times New Roman" w:cs="Times New Roman"/>
          <w:bCs/>
          <w:sz w:val="24"/>
          <w:szCs w:val="24"/>
        </w:rPr>
        <w:t xml:space="preserve">interpretação análoga ao modelo descrito em (1), e “g” representa um indicador para o </w:t>
      </w:r>
      <w:r w:rsidR="00E307E2" w:rsidRPr="00726964">
        <w:rPr>
          <w:rFonts w:ascii="Times New Roman" w:hAnsi="Times New Roman" w:cs="Times New Roman"/>
          <w:bCs/>
          <w:sz w:val="24"/>
          <w:szCs w:val="24"/>
        </w:rPr>
        <w:t xml:space="preserve">grupo de referência para o qual estamos interessados em avaliar a evolução na probabilidade de ser formal entre 2009 e 2011. O parâmetro </w:t>
      </w:r>
      <m:oMath>
        <m:r>
          <w:rPr>
            <w:rFonts w:ascii="Cambria Math" w:hAnsi="Cambria Math" w:cs="Times New Roman"/>
            <w:sz w:val="24"/>
            <w:szCs w:val="24"/>
          </w:rPr>
          <m:t>θ</m:t>
        </m:r>
      </m:oMath>
      <w:r w:rsidR="00E307E2" w:rsidRPr="00726964">
        <w:rPr>
          <w:rFonts w:ascii="Times New Roman" w:hAnsi="Times New Roman" w:cs="Times New Roman"/>
          <w:bCs/>
          <w:sz w:val="24"/>
          <w:szCs w:val="24"/>
        </w:rPr>
        <w:t xml:space="preserve"> no modelo acima representa a diferença entre </w:t>
      </w:r>
      <w:r w:rsidR="00424352" w:rsidRPr="00726964">
        <w:rPr>
          <w:rFonts w:ascii="Times New Roman" w:hAnsi="Times New Roman" w:cs="Times New Roman"/>
          <w:bCs/>
          <w:sz w:val="24"/>
          <w:szCs w:val="24"/>
        </w:rPr>
        <w:t xml:space="preserve">o grupo de </w:t>
      </w:r>
      <w:proofErr w:type="spellStart"/>
      <w:r w:rsidR="00424352" w:rsidRPr="00726964">
        <w:rPr>
          <w:rFonts w:ascii="Times New Roman" w:hAnsi="Times New Roman" w:cs="Times New Roman"/>
          <w:bCs/>
          <w:sz w:val="24"/>
          <w:szCs w:val="24"/>
        </w:rPr>
        <w:t>refência</w:t>
      </w:r>
      <w:proofErr w:type="spellEnd"/>
      <w:r w:rsidR="00424352" w:rsidRPr="00726964">
        <w:rPr>
          <w:rFonts w:ascii="Times New Roman" w:hAnsi="Times New Roman" w:cs="Times New Roman"/>
          <w:bCs/>
          <w:sz w:val="24"/>
          <w:szCs w:val="24"/>
        </w:rPr>
        <w:t xml:space="preserve"> (MEI) e o </w:t>
      </w:r>
      <w:r w:rsidR="00E307E2" w:rsidRPr="00726964">
        <w:rPr>
          <w:rFonts w:ascii="Times New Roman" w:hAnsi="Times New Roman" w:cs="Times New Roman"/>
          <w:bCs/>
          <w:sz w:val="24"/>
          <w:szCs w:val="24"/>
        </w:rPr>
        <w:t xml:space="preserve">grupo </w:t>
      </w:r>
      <w:r w:rsidR="00424352" w:rsidRPr="00726964">
        <w:rPr>
          <w:rFonts w:ascii="Times New Roman" w:hAnsi="Times New Roman" w:cs="Times New Roman"/>
          <w:bCs/>
          <w:sz w:val="24"/>
          <w:szCs w:val="24"/>
        </w:rPr>
        <w:t xml:space="preserve">de comparação (empregadores com 2 a 5 empregados) </w:t>
      </w:r>
      <w:r w:rsidR="00E307E2" w:rsidRPr="00726964">
        <w:rPr>
          <w:rFonts w:ascii="Times New Roman" w:hAnsi="Times New Roman" w:cs="Times New Roman"/>
          <w:bCs/>
          <w:sz w:val="24"/>
          <w:szCs w:val="24"/>
        </w:rPr>
        <w:t>na evolução da probabilidade de ser formal entre 2009 e 2011.</w:t>
      </w:r>
    </w:p>
    <w:p w14:paraId="6D8C95C4" w14:textId="77777777" w:rsidR="002D6F52" w:rsidRPr="00726964" w:rsidRDefault="00E307E2" w:rsidP="00726964">
      <w:pPr>
        <w:spacing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 xml:space="preserve">Na primeira coluna da tabela 4 os resultados se referem a uma </w:t>
      </w:r>
      <w:r w:rsidR="00424352" w:rsidRPr="00726964">
        <w:rPr>
          <w:rFonts w:ascii="Times New Roman" w:hAnsi="Times New Roman" w:cs="Times New Roman"/>
          <w:bCs/>
          <w:sz w:val="24"/>
          <w:szCs w:val="24"/>
        </w:rPr>
        <w:t xml:space="preserve">análise restrita ao grupo elegível ao </w:t>
      </w:r>
      <w:r w:rsidRPr="00726964">
        <w:rPr>
          <w:rFonts w:ascii="Times New Roman" w:hAnsi="Times New Roman" w:cs="Times New Roman"/>
          <w:bCs/>
          <w:sz w:val="24"/>
          <w:szCs w:val="24"/>
        </w:rPr>
        <w:t xml:space="preserve"> MEI. O resultado positivo e significativo </w:t>
      </w:r>
      <w:r w:rsidR="003E41EE" w:rsidRPr="00726964">
        <w:rPr>
          <w:rFonts w:ascii="Times New Roman" w:hAnsi="Times New Roman" w:cs="Times New Roman"/>
          <w:bCs/>
          <w:sz w:val="24"/>
          <w:szCs w:val="24"/>
        </w:rPr>
        <w:t xml:space="preserve">do termo de interação ano e previdência </w:t>
      </w:r>
      <w:r w:rsidRPr="00726964">
        <w:rPr>
          <w:rFonts w:ascii="Times New Roman" w:hAnsi="Times New Roman" w:cs="Times New Roman"/>
          <w:bCs/>
          <w:sz w:val="24"/>
          <w:szCs w:val="24"/>
        </w:rPr>
        <w:t xml:space="preserve">nos informa que a probabilidade de ter CNPJ cresceu relativamente mais para os MEI contribuintes do que para os MEI não contribuintes. Ou seja, há indícios de que o programa pode ter aumentado a </w:t>
      </w:r>
      <w:r w:rsidR="00B97ACA" w:rsidRPr="00726964">
        <w:rPr>
          <w:rFonts w:ascii="Times New Roman" w:hAnsi="Times New Roman" w:cs="Times New Roman"/>
          <w:bCs/>
          <w:sz w:val="24"/>
          <w:szCs w:val="24"/>
        </w:rPr>
        <w:t>associação entre as duas dimensões de formalidade</w:t>
      </w:r>
      <w:r w:rsidRPr="00726964">
        <w:rPr>
          <w:rFonts w:ascii="Times New Roman" w:hAnsi="Times New Roman" w:cs="Times New Roman"/>
          <w:bCs/>
          <w:sz w:val="24"/>
          <w:szCs w:val="24"/>
        </w:rPr>
        <w:t xml:space="preserve">. Os resultados da terceira coluna nos mostram que o mesmo é válido quando trocamos as dimensões de formalização. </w:t>
      </w:r>
    </w:p>
    <w:p w14:paraId="455A6309" w14:textId="77777777" w:rsidR="00034007" w:rsidRPr="00726964" w:rsidRDefault="00034007" w:rsidP="00726964">
      <w:pPr>
        <w:spacing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Na segunda e na quarta coluna temos resultados referentes a uma comparação entre MEI e pequenos empresários (dois a 5 trabalhadores). Nessa comparação é interessante notar que os resultados são sensíveis à dimensão de formalização analisada. Na segunda coluna, mostramos que a probabilidade de ter CNPJ cresceu menos para o MEI do que para os pequenos empresários entre 2009 e 2011. Já na quarta coluna mostramos a probabilidade de contribuir para a previdência cresceu mais para o MEI do que para os pequenos empresários entre 2009 e 2011.</w:t>
      </w:r>
    </w:p>
    <w:p w14:paraId="37961A39" w14:textId="77777777" w:rsidR="00034007" w:rsidRPr="00726964" w:rsidRDefault="00034007" w:rsidP="00726964">
      <w:pPr>
        <w:spacing w:line="240" w:lineRule="auto"/>
        <w:rPr>
          <w:rFonts w:ascii="Times New Roman" w:hAnsi="Times New Roman" w:cs="Times New Roman"/>
          <w:bCs/>
          <w:sz w:val="24"/>
          <w:szCs w:val="24"/>
        </w:rPr>
      </w:pPr>
      <w:r w:rsidRPr="00726964">
        <w:rPr>
          <w:rFonts w:ascii="Times New Roman" w:hAnsi="Times New Roman" w:cs="Times New Roman"/>
          <w:bCs/>
          <w:sz w:val="24"/>
          <w:szCs w:val="24"/>
        </w:rPr>
        <w:br w:type="page"/>
      </w:r>
    </w:p>
    <w:p w14:paraId="1478E144" w14:textId="77777777" w:rsidR="00034007" w:rsidRPr="00726964" w:rsidRDefault="00034007" w:rsidP="00726964">
      <w:pPr>
        <w:spacing w:line="240" w:lineRule="auto"/>
        <w:jc w:val="both"/>
        <w:rPr>
          <w:rFonts w:ascii="Times New Roman" w:hAnsi="Times New Roman" w:cs="Times New Roman"/>
          <w:bCs/>
          <w:sz w:val="24"/>
          <w:szCs w:val="24"/>
        </w:rPr>
      </w:pPr>
    </w:p>
    <w:p w14:paraId="7C669809" w14:textId="77777777" w:rsidR="0099118D" w:rsidRPr="00726964" w:rsidRDefault="0099118D" w:rsidP="00726964">
      <w:pPr>
        <w:spacing w:after="0" w:line="240" w:lineRule="auto"/>
        <w:rPr>
          <w:rFonts w:ascii="Times New Roman" w:hAnsi="Times New Roman" w:cs="Times New Roman"/>
          <w:b/>
          <w:bCs/>
          <w:sz w:val="24"/>
          <w:szCs w:val="24"/>
        </w:rPr>
      </w:pPr>
      <w:r w:rsidRPr="00726964">
        <w:rPr>
          <w:rFonts w:ascii="Times New Roman" w:hAnsi="Times New Roman" w:cs="Times New Roman"/>
          <w:b/>
          <w:bCs/>
          <w:sz w:val="24"/>
          <w:szCs w:val="24"/>
        </w:rPr>
        <w:t>Tabela 4: Evolução na probabilidade de ser formal entre 2009 e 2011.</w:t>
      </w:r>
      <w:r w:rsidR="002D6F52" w:rsidRPr="00726964">
        <w:rPr>
          <w:rFonts w:ascii="Times New Roman" w:hAnsi="Times New Roman" w:cs="Times New Roman"/>
          <w:b/>
          <w:bCs/>
          <w:sz w:val="24"/>
          <w:szCs w:val="24"/>
        </w:rPr>
        <w:t xml:space="preserve"> </w:t>
      </w:r>
    </w:p>
    <w:tbl>
      <w:tblPr>
        <w:tblW w:w="7880" w:type="dxa"/>
        <w:tblInd w:w="55" w:type="dxa"/>
        <w:tblCellMar>
          <w:left w:w="70" w:type="dxa"/>
          <w:right w:w="70" w:type="dxa"/>
        </w:tblCellMar>
        <w:tblLook w:val="04A0" w:firstRow="1" w:lastRow="0" w:firstColumn="1" w:lastColumn="0" w:noHBand="0" w:noVBand="1"/>
      </w:tblPr>
      <w:tblGrid>
        <w:gridCol w:w="2080"/>
        <w:gridCol w:w="1360"/>
        <w:gridCol w:w="1360"/>
        <w:gridCol w:w="280"/>
        <w:gridCol w:w="1400"/>
        <w:gridCol w:w="1400"/>
      </w:tblGrid>
      <w:tr w:rsidR="003969E2" w:rsidRPr="00FC3E6E" w14:paraId="69A02F8F" w14:textId="77777777" w:rsidTr="000E3FED">
        <w:trPr>
          <w:trHeight w:val="99"/>
        </w:trPr>
        <w:tc>
          <w:tcPr>
            <w:tcW w:w="2080" w:type="dxa"/>
            <w:tcBorders>
              <w:top w:val="nil"/>
              <w:left w:val="nil"/>
              <w:bottom w:val="double" w:sz="6" w:space="0" w:color="auto"/>
              <w:right w:val="nil"/>
            </w:tcBorders>
            <w:shd w:val="clear" w:color="000000" w:fill="FFFFFF"/>
            <w:noWrap/>
            <w:vAlign w:val="bottom"/>
            <w:hideMark/>
          </w:tcPr>
          <w:p w14:paraId="06E3832A"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double" w:sz="6" w:space="0" w:color="auto"/>
              <w:right w:val="nil"/>
            </w:tcBorders>
            <w:shd w:val="clear" w:color="000000" w:fill="FFFFFF"/>
            <w:noWrap/>
            <w:vAlign w:val="bottom"/>
            <w:hideMark/>
          </w:tcPr>
          <w:p w14:paraId="612B995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double" w:sz="6" w:space="0" w:color="auto"/>
              <w:right w:val="nil"/>
            </w:tcBorders>
            <w:shd w:val="clear" w:color="000000" w:fill="FFFFFF"/>
            <w:noWrap/>
            <w:vAlign w:val="bottom"/>
            <w:hideMark/>
          </w:tcPr>
          <w:p w14:paraId="60A618C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double" w:sz="6" w:space="0" w:color="auto"/>
              <w:right w:val="nil"/>
            </w:tcBorders>
            <w:shd w:val="clear" w:color="000000" w:fill="FFFFFF"/>
            <w:noWrap/>
            <w:vAlign w:val="bottom"/>
            <w:hideMark/>
          </w:tcPr>
          <w:p w14:paraId="5F10C43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double" w:sz="6" w:space="0" w:color="auto"/>
              <w:right w:val="nil"/>
            </w:tcBorders>
            <w:shd w:val="clear" w:color="000000" w:fill="FFFFFF"/>
            <w:noWrap/>
            <w:vAlign w:val="bottom"/>
            <w:hideMark/>
          </w:tcPr>
          <w:p w14:paraId="2145120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double" w:sz="6" w:space="0" w:color="auto"/>
              <w:right w:val="nil"/>
            </w:tcBorders>
            <w:shd w:val="clear" w:color="000000" w:fill="FFFFFF"/>
            <w:noWrap/>
            <w:vAlign w:val="bottom"/>
            <w:hideMark/>
          </w:tcPr>
          <w:p w14:paraId="71D092E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492787FA" w14:textId="77777777" w:rsidTr="000E3FED">
        <w:trPr>
          <w:trHeight w:val="612"/>
        </w:trPr>
        <w:tc>
          <w:tcPr>
            <w:tcW w:w="2080" w:type="dxa"/>
            <w:tcBorders>
              <w:top w:val="nil"/>
              <w:left w:val="nil"/>
              <w:bottom w:val="single" w:sz="4" w:space="0" w:color="auto"/>
              <w:right w:val="nil"/>
            </w:tcBorders>
            <w:shd w:val="clear" w:color="000000" w:fill="FFFFFF"/>
            <w:noWrap/>
            <w:vAlign w:val="bottom"/>
            <w:hideMark/>
          </w:tcPr>
          <w:p w14:paraId="414D6F2B"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720" w:type="dxa"/>
            <w:gridSpan w:val="2"/>
            <w:tcBorders>
              <w:top w:val="double" w:sz="6" w:space="0" w:color="auto"/>
              <w:left w:val="nil"/>
              <w:bottom w:val="single" w:sz="4" w:space="0" w:color="auto"/>
              <w:right w:val="nil"/>
            </w:tcBorders>
            <w:shd w:val="clear" w:color="000000" w:fill="FFFFFF"/>
            <w:vAlign w:val="center"/>
            <w:hideMark/>
          </w:tcPr>
          <w:p w14:paraId="52AEA5E1"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Probabilidade de ser Formal - Critério CNPJ</w:t>
            </w:r>
          </w:p>
        </w:tc>
        <w:tc>
          <w:tcPr>
            <w:tcW w:w="280" w:type="dxa"/>
            <w:tcBorders>
              <w:top w:val="nil"/>
              <w:left w:val="nil"/>
              <w:bottom w:val="single" w:sz="4" w:space="0" w:color="auto"/>
              <w:right w:val="nil"/>
            </w:tcBorders>
            <w:shd w:val="clear" w:color="000000" w:fill="FFFFFF"/>
            <w:vAlign w:val="bottom"/>
            <w:hideMark/>
          </w:tcPr>
          <w:p w14:paraId="111E79B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0" w:type="dxa"/>
            <w:gridSpan w:val="2"/>
            <w:tcBorders>
              <w:top w:val="double" w:sz="6" w:space="0" w:color="auto"/>
              <w:left w:val="nil"/>
              <w:bottom w:val="single" w:sz="4" w:space="0" w:color="auto"/>
              <w:right w:val="nil"/>
            </w:tcBorders>
            <w:shd w:val="clear" w:color="000000" w:fill="FFFFFF"/>
            <w:vAlign w:val="center"/>
            <w:hideMark/>
          </w:tcPr>
          <w:p w14:paraId="593108B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Probabilidade de ser Formal - Critério Previdência</w:t>
            </w:r>
          </w:p>
        </w:tc>
      </w:tr>
      <w:tr w:rsidR="003969E2" w:rsidRPr="00FC3E6E" w14:paraId="1F97B6D8" w14:textId="77777777" w:rsidTr="000E3FED">
        <w:trPr>
          <w:trHeight w:val="384"/>
        </w:trPr>
        <w:tc>
          <w:tcPr>
            <w:tcW w:w="2080" w:type="dxa"/>
            <w:tcBorders>
              <w:top w:val="nil"/>
              <w:left w:val="nil"/>
              <w:bottom w:val="nil"/>
              <w:right w:val="nil"/>
            </w:tcBorders>
            <w:shd w:val="clear" w:color="000000" w:fill="FFFFFF"/>
            <w:noWrap/>
            <w:vAlign w:val="bottom"/>
            <w:hideMark/>
          </w:tcPr>
          <w:p w14:paraId="0C987091"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2011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1360" w:type="dxa"/>
            <w:tcBorders>
              <w:top w:val="nil"/>
              <w:left w:val="nil"/>
              <w:bottom w:val="nil"/>
              <w:right w:val="nil"/>
            </w:tcBorders>
            <w:shd w:val="clear" w:color="000000" w:fill="FFFFFF"/>
            <w:noWrap/>
            <w:vAlign w:val="bottom"/>
            <w:hideMark/>
          </w:tcPr>
          <w:p w14:paraId="4F232FF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-0.0319***</w:t>
            </w:r>
          </w:p>
        </w:tc>
        <w:tc>
          <w:tcPr>
            <w:tcW w:w="1360" w:type="dxa"/>
            <w:tcBorders>
              <w:top w:val="nil"/>
              <w:left w:val="nil"/>
              <w:bottom w:val="nil"/>
              <w:right w:val="nil"/>
            </w:tcBorders>
            <w:shd w:val="clear" w:color="000000" w:fill="FFFFFF"/>
            <w:noWrap/>
            <w:vAlign w:val="bottom"/>
            <w:hideMark/>
          </w:tcPr>
          <w:p w14:paraId="13F4B11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0.0490***</w:t>
            </w:r>
          </w:p>
        </w:tc>
        <w:tc>
          <w:tcPr>
            <w:tcW w:w="280" w:type="dxa"/>
            <w:tcBorders>
              <w:top w:val="nil"/>
              <w:left w:val="nil"/>
              <w:bottom w:val="nil"/>
              <w:right w:val="nil"/>
            </w:tcBorders>
            <w:shd w:val="clear" w:color="000000" w:fill="FFFFFF"/>
            <w:noWrap/>
            <w:vAlign w:val="bottom"/>
            <w:hideMark/>
          </w:tcPr>
          <w:p w14:paraId="2D39767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082DAA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0.0297***</w:t>
            </w:r>
          </w:p>
        </w:tc>
        <w:tc>
          <w:tcPr>
            <w:tcW w:w="1400" w:type="dxa"/>
            <w:tcBorders>
              <w:top w:val="nil"/>
              <w:left w:val="nil"/>
              <w:bottom w:val="nil"/>
              <w:right w:val="nil"/>
            </w:tcBorders>
            <w:shd w:val="clear" w:color="000000" w:fill="FFFFFF"/>
            <w:noWrap/>
            <w:vAlign w:val="bottom"/>
            <w:hideMark/>
          </w:tcPr>
          <w:p w14:paraId="0709D75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0.0481***</w:t>
            </w:r>
          </w:p>
        </w:tc>
      </w:tr>
      <w:tr w:rsidR="003969E2" w:rsidRPr="00FC3E6E" w14:paraId="1A899684" w14:textId="77777777" w:rsidTr="000E3FED">
        <w:trPr>
          <w:trHeight w:val="288"/>
        </w:trPr>
        <w:tc>
          <w:tcPr>
            <w:tcW w:w="2080" w:type="dxa"/>
            <w:tcBorders>
              <w:top w:val="nil"/>
              <w:left w:val="nil"/>
              <w:bottom w:val="nil"/>
              <w:right w:val="nil"/>
            </w:tcBorders>
            <w:shd w:val="clear" w:color="000000" w:fill="FFFFFF"/>
            <w:noWrap/>
            <w:vAlign w:val="bottom"/>
            <w:hideMark/>
          </w:tcPr>
          <w:p w14:paraId="1A4E4ED1"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4932734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(0.000164)</w:t>
            </w:r>
          </w:p>
        </w:tc>
        <w:tc>
          <w:tcPr>
            <w:tcW w:w="1360" w:type="dxa"/>
            <w:tcBorders>
              <w:top w:val="nil"/>
              <w:left w:val="nil"/>
              <w:bottom w:val="nil"/>
              <w:right w:val="nil"/>
            </w:tcBorders>
            <w:shd w:val="clear" w:color="000000" w:fill="FFFFFF"/>
            <w:noWrap/>
            <w:vAlign w:val="bottom"/>
            <w:hideMark/>
          </w:tcPr>
          <w:p w14:paraId="2F7E46D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(0.000508)</w:t>
            </w:r>
          </w:p>
        </w:tc>
        <w:tc>
          <w:tcPr>
            <w:tcW w:w="280" w:type="dxa"/>
            <w:tcBorders>
              <w:top w:val="nil"/>
              <w:left w:val="nil"/>
              <w:bottom w:val="nil"/>
              <w:right w:val="nil"/>
            </w:tcBorders>
            <w:shd w:val="clear" w:color="000000" w:fill="FFFFFF"/>
            <w:noWrap/>
            <w:vAlign w:val="bottom"/>
            <w:hideMark/>
          </w:tcPr>
          <w:p w14:paraId="1A704ED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18E6D4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(0.000174)</w:t>
            </w:r>
          </w:p>
        </w:tc>
        <w:tc>
          <w:tcPr>
            <w:tcW w:w="1400" w:type="dxa"/>
            <w:tcBorders>
              <w:top w:val="nil"/>
              <w:left w:val="nil"/>
              <w:bottom w:val="nil"/>
              <w:right w:val="nil"/>
            </w:tcBorders>
            <w:shd w:val="clear" w:color="000000" w:fill="FFFFFF"/>
            <w:noWrap/>
            <w:vAlign w:val="bottom"/>
            <w:hideMark/>
          </w:tcPr>
          <w:p w14:paraId="3003BD8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(0.000491)</w:t>
            </w:r>
          </w:p>
        </w:tc>
      </w:tr>
      <w:tr w:rsidR="003969E2" w:rsidRPr="00FC3E6E" w14:paraId="2789C026" w14:textId="77777777" w:rsidTr="000E3FED">
        <w:trPr>
          <w:trHeight w:val="384"/>
        </w:trPr>
        <w:tc>
          <w:tcPr>
            <w:tcW w:w="2080" w:type="dxa"/>
            <w:tcBorders>
              <w:top w:val="nil"/>
              <w:left w:val="nil"/>
              <w:bottom w:val="nil"/>
              <w:right w:val="nil"/>
            </w:tcBorders>
            <w:shd w:val="clear" w:color="000000" w:fill="FFFFFF"/>
            <w:noWrap/>
            <w:vAlign w:val="bottom"/>
            <w:hideMark/>
          </w:tcPr>
          <w:p w14:paraId="2B60169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Previdência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1360" w:type="dxa"/>
            <w:tcBorders>
              <w:top w:val="nil"/>
              <w:left w:val="nil"/>
              <w:bottom w:val="nil"/>
              <w:right w:val="nil"/>
            </w:tcBorders>
            <w:shd w:val="clear" w:color="000000" w:fill="FFFFFF"/>
            <w:noWrap/>
            <w:vAlign w:val="bottom"/>
            <w:hideMark/>
          </w:tcPr>
          <w:p w14:paraId="204EF05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0.215***</w:t>
            </w:r>
          </w:p>
        </w:tc>
        <w:tc>
          <w:tcPr>
            <w:tcW w:w="1360" w:type="dxa"/>
            <w:tcBorders>
              <w:top w:val="nil"/>
              <w:left w:val="nil"/>
              <w:bottom w:val="nil"/>
              <w:right w:val="nil"/>
            </w:tcBorders>
            <w:shd w:val="clear" w:color="000000" w:fill="FFFFFF"/>
            <w:noWrap/>
            <w:vAlign w:val="bottom"/>
            <w:hideMark/>
          </w:tcPr>
          <w:p w14:paraId="0F6681B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6A8AE99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E31760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7A8A5271"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169E53D2" w14:textId="77777777" w:rsidTr="000E3FED">
        <w:trPr>
          <w:trHeight w:val="288"/>
        </w:trPr>
        <w:tc>
          <w:tcPr>
            <w:tcW w:w="2080" w:type="dxa"/>
            <w:tcBorders>
              <w:top w:val="nil"/>
              <w:left w:val="nil"/>
              <w:bottom w:val="nil"/>
              <w:right w:val="nil"/>
            </w:tcBorders>
            <w:shd w:val="clear" w:color="000000" w:fill="FFFFFF"/>
            <w:noWrap/>
            <w:vAlign w:val="bottom"/>
            <w:hideMark/>
          </w:tcPr>
          <w:p w14:paraId="6A9D3876"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2C8BEBB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(0.000293)</w:t>
            </w:r>
          </w:p>
        </w:tc>
        <w:tc>
          <w:tcPr>
            <w:tcW w:w="1360" w:type="dxa"/>
            <w:tcBorders>
              <w:top w:val="nil"/>
              <w:left w:val="nil"/>
              <w:bottom w:val="nil"/>
              <w:right w:val="nil"/>
            </w:tcBorders>
            <w:shd w:val="clear" w:color="000000" w:fill="FFFFFF"/>
            <w:noWrap/>
            <w:vAlign w:val="bottom"/>
            <w:hideMark/>
          </w:tcPr>
          <w:p w14:paraId="0EDEDE6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170769E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27714F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7D6B40B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23C0CDE6" w14:textId="77777777" w:rsidTr="000E3FED">
        <w:trPr>
          <w:trHeight w:val="384"/>
        </w:trPr>
        <w:tc>
          <w:tcPr>
            <w:tcW w:w="2080" w:type="dxa"/>
            <w:tcBorders>
              <w:top w:val="nil"/>
              <w:left w:val="nil"/>
              <w:bottom w:val="nil"/>
              <w:right w:val="nil"/>
            </w:tcBorders>
            <w:shd w:val="clear" w:color="000000" w:fill="FFFFFF"/>
            <w:noWrap/>
            <w:vAlign w:val="bottom"/>
            <w:hideMark/>
          </w:tcPr>
          <w:p w14:paraId="530260B3"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Previdência x Ano</w:t>
            </w:r>
          </w:p>
        </w:tc>
        <w:tc>
          <w:tcPr>
            <w:tcW w:w="1360" w:type="dxa"/>
            <w:tcBorders>
              <w:top w:val="nil"/>
              <w:left w:val="nil"/>
              <w:bottom w:val="nil"/>
              <w:right w:val="nil"/>
            </w:tcBorders>
            <w:shd w:val="clear" w:color="000000" w:fill="FFFFFF"/>
            <w:noWrap/>
            <w:vAlign w:val="bottom"/>
            <w:hideMark/>
          </w:tcPr>
          <w:p w14:paraId="1D44A2D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0.0808***</w:t>
            </w:r>
          </w:p>
        </w:tc>
        <w:tc>
          <w:tcPr>
            <w:tcW w:w="1360" w:type="dxa"/>
            <w:tcBorders>
              <w:top w:val="nil"/>
              <w:left w:val="nil"/>
              <w:bottom w:val="nil"/>
              <w:right w:val="nil"/>
            </w:tcBorders>
            <w:shd w:val="clear" w:color="000000" w:fill="FFFFFF"/>
            <w:noWrap/>
            <w:vAlign w:val="bottom"/>
            <w:hideMark/>
          </w:tcPr>
          <w:p w14:paraId="6D272C6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12E03F2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3FE3377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0AD4E0C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3A0EDF3B" w14:textId="77777777" w:rsidTr="000E3FED">
        <w:trPr>
          <w:trHeight w:val="288"/>
        </w:trPr>
        <w:tc>
          <w:tcPr>
            <w:tcW w:w="2080" w:type="dxa"/>
            <w:tcBorders>
              <w:top w:val="nil"/>
              <w:left w:val="nil"/>
              <w:bottom w:val="nil"/>
              <w:right w:val="nil"/>
            </w:tcBorders>
            <w:shd w:val="clear" w:color="000000" w:fill="FFFFFF"/>
            <w:noWrap/>
            <w:vAlign w:val="bottom"/>
            <w:hideMark/>
          </w:tcPr>
          <w:p w14:paraId="36A7B796"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5B3AD6D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(0.000345)</w:t>
            </w:r>
          </w:p>
        </w:tc>
        <w:tc>
          <w:tcPr>
            <w:tcW w:w="1360" w:type="dxa"/>
            <w:tcBorders>
              <w:top w:val="nil"/>
              <w:left w:val="nil"/>
              <w:bottom w:val="nil"/>
              <w:right w:val="nil"/>
            </w:tcBorders>
            <w:shd w:val="clear" w:color="000000" w:fill="FFFFFF"/>
            <w:noWrap/>
            <w:vAlign w:val="bottom"/>
            <w:hideMark/>
          </w:tcPr>
          <w:p w14:paraId="7B50349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4EFF74A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392C049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8B9C6D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6C9088D8" w14:textId="77777777" w:rsidTr="000E3FED">
        <w:trPr>
          <w:trHeight w:val="384"/>
        </w:trPr>
        <w:tc>
          <w:tcPr>
            <w:tcW w:w="2080" w:type="dxa"/>
            <w:tcBorders>
              <w:top w:val="nil"/>
              <w:left w:val="nil"/>
              <w:bottom w:val="nil"/>
              <w:right w:val="nil"/>
            </w:tcBorders>
            <w:shd w:val="clear" w:color="000000" w:fill="FFFFFF"/>
            <w:noWrap/>
            <w:vAlign w:val="bottom"/>
            <w:hideMark/>
          </w:tcPr>
          <w:p w14:paraId="6796B731"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CNPJ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1360" w:type="dxa"/>
            <w:tcBorders>
              <w:top w:val="nil"/>
              <w:left w:val="nil"/>
              <w:bottom w:val="nil"/>
              <w:right w:val="nil"/>
            </w:tcBorders>
            <w:shd w:val="clear" w:color="000000" w:fill="FFFFFF"/>
            <w:noWrap/>
            <w:vAlign w:val="bottom"/>
            <w:hideMark/>
          </w:tcPr>
          <w:p w14:paraId="1BFECE0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933E79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7747A8D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326753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0.252***</w:t>
            </w:r>
          </w:p>
        </w:tc>
        <w:tc>
          <w:tcPr>
            <w:tcW w:w="1400" w:type="dxa"/>
            <w:tcBorders>
              <w:top w:val="nil"/>
              <w:left w:val="nil"/>
              <w:bottom w:val="nil"/>
              <w:right w:val="nil"/>
            </w:tcBorders>
            <w:shd w:val="clear" w:color="000000" w:fill="FFFFFF"/>
            <w:noWrap/>
            <w:vAlign w:val="bottom"/>
            <w:hideMark/>
          </w:tcPr>
          <w:p w14:paraId="456C734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3FDC951C" w14:textId="77777777" w:rsidTr="000E3FED">
        <w:trPr>
          <w:trHeight w:val="288"/>
        </w:trPr>
        <w:tc>
          <w:tcPr>
            <w:tcW w:w="2080" w:type="dxa"/>
            <w:tcBorders>
              <w:top w:val="nil"/>
              <w:left w:val="nil"/>
              <w:bottom w:val="nil"/>
              <w:right w:val="nil"/>
            </w:tcBorders>
            <w:shd w:val="clear" w:color="000000" w:fill="FFFFFF"/>
            <w:noWrap/>
            <w:vAlign w:val="bottom"/>
            <w:hideMark/>
          </w:tcPr>
          <w:p w14:paraId="7FDEBCED"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F02D70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4B00A014"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720A0C5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0689113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(0.000320)</w:t>
            </w:r>
          </w:p>
        </w:tc>
        <w:tc>
          <w:tcPr>
            <w:tcW w:w="1400" w:type="dxa"/>
            <w:tcBorders>
              <w:top w:val="nil"/>
              <w:left w:val="nil"/>
              <w:bottom w:val="nil"/>
              <w:right w:val="nil"/>
            </w:tcBorders>
            <w:shd w:val="clear" w:color="000000" w:fill="FFFFFF"/>
            <w:noWrap/>
            <w:vAlign w:val="bottom"/>
            <w:hideMark/>
          </w:tcPr>
          <w:p w14:paraId="5367600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1EAD2C12" w14:textId="77777777" w:rsidTr="000E3FED">
        <w:trPr>
          <w:trHeight w:val="384"/>
        </w:trPr>
        <w:tc>
          <w:tcPr>
            <w:tcW w:w="2080" w:type="dxa"/>
            <w:tcBorders>
              <w:top w:val="nil"/>
              <w:left w:val="nil"/>
              <w:bottom w:val="nil"/>
              <w:right w:val="nil"/>
            </w:tcBorders>
            <w:shd w:val="clear" w:color="000000" w:fill="FFFFFF"/>
            <w:noWrap/>
            <w:vAlign w:val="bottom"/>
            <w:hideMark/>
          </w:tcPr>
          <w:p w14:paraId="0C512A78"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CNPJ x Ano</w:t>
            </w:r>
          </w:p>
        </w:tc>
        <w:tc>
          <w:tcPr>
            <w:tcW w:w="1360" w:type="dxa"/>
            <w:tcBorders>
              <w:top w:val="nil"/>
              <w:left w:val="nil"/>
              <w:bottom w:val="nil"/>
              <w:right w:val="nil"/>
            </w:tcBorders>
            <w:shd w:val="clear" w:color="000000" w:fill="FFFFFF"/>
            <w:noWrap/>
            <w:vAlign w:val="bottom"/>
            <w:hideMark/>
          </w:tcPr>
          <w:p w14:paraId="20D6E229"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6EAF0AF2"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4C43CDC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039A8C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0.103***</w:t>
            </w:r>
          </w:p>
        </w:tc>
        <w:tc>
          <w:tcPr>
            <w:tcW w:w="1400" w:type="dxa"/>
            <w:tcBorders>
              <w:top w:val="nil"/>
              <w:left w:val="nil"/>
              <w:bottom w:val="nil"/>
              <w:right w:val="nil"/>
            </w:tcBorders>
            <w:shd w:val="clear" w:color="000000" w:fill="FFFFFF"/>
            <w:noWrap/>
            <w:vAlign w:val="bottom"/>
            <w:hideMark/>
          </w:tcPr>
          <w:p w14:paraId="1F0BB1B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392FE8AB" w14:textId="77777777" w:rsidTr="000E3FED">
        <w:trPr>
          <w:trHeight w:val="288"/>
        </w:trPr>
        <w:tc>
          <w:tcPr>
            <w:tcW w:w="2080" w:type="dxa"/>
            <w:tcBorders>
              <w:top w:val="nil"/>
              <w:left w:val="nil"/>
              <w:bottom w:val="nil"/>
              <w:right w:val="nil"/>
            </w:tcBorders>
            <w:shd w:val="clear" w:color="000000" w:fill="FFFFFF"/>
            <w:noWrap/>
            <w:vAlign w:val="bottom"/>
            <w:hideMark/>
          </w:tcPr>
          <w:p w14:paraId="748074AB"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7F08C4EB"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0E7774DE"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17CB281E"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7CEB49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(0.000400)</w:t>
            </w:r>
          </w:p>
        </w:tc>
        <w:tc>
          <w:tcPr>
            <w:tcW w:w="1400" w:type="dxa"/>
            <w:tcBorders>
              <w:top w:val="nil"/>
              <w:left w:val="nil"/>
              <w:bottom w:val="nil"/>
              <w:right w:val="nil"/>
            </w:tcBorders>
            <w:shd w:val="clear" w:color="000000" w:fill="FFFFFF"/>
            <w:noWrap/>
            <w:vAlign w:val="bottom"/>
            <w:hideMark/>
          </w:tcPr>
          <w:p w14:paraId="7FF37080"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0AFD83B0" w14:textId="77777777" w:rsidTr="000E3FED">
        <w:trPr>
          <w:trHeight w:val="384"/>
        </w:trPr>
        <w:tc>
          <w:tcPr>
            <w:tcW w:w="2080" w:type="dxa"/>
            <w:tcBorders>
              <w:top w:val="nil"/>
              <w:left w:val="nil"/>
              <w:bottom w:val="nil"/>
              <w:right w:val="nil"/>
            </w:tcBorders>
            <w:shd w:val="clear" w:color="000000" w:fill="FFFFFF"/>
            <w:noWrap/>
            <w:vAlign w:val="bottom"/>
            <w:hideMark/>
          </w:tcPr>
          <w:p w14:paraId="7DFDBFDC"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w:t>
            </w:r>
          </w:p>
        </w:tc>
        <w:tc>
          <w:tcPr>
            <w:tcW w:w="1360" w:type="dxa"/>
            <w:tcBorders>
              <w:top w:val="nil"/>
              <w:left w:val="nil"/>
              <w:bottom w:val="nil"/>
              <w:right w:val="nil"/>
            </w:tcBorders>
            <w:shd w:val="clear" w:color="000000" w:fill="FFFFFF"/>
            <w:noWrap/>
            <w:vAlign w:val="bottom"/>
            <w:hideMark/>
          </w:tcPr>
          <w:p w14:paraId="0AB64FA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0F1AE03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-0.480***</w:t>
            </w:r>
          </w:p>
        </w:tc>
        <w:tc>
          <w:tcPr>
            <w:tcW w:w="280" w:type="dxa"/>
            <w:tcBorders>
              <w:top w:val="nil"/>
              <w:left w:val="nil"/>
              <w:bottom w:val="nil"/>
              <w:right w:val="nil"/>
            </w:tcBorders>
            <w:shd w:val="clear" w:color="000000" w:fill="FFFFFF"/>
            <w:noWrap/>
            <w:vAlign w:val="bottom"/>
            <w:hideMark/>
          </w:tcPr>
          <w:p w14:paraId="15192F7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023EE7F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42567CC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-0.346***</w:t>
            </w:r>
          </w:p>
        </w:tc>
      </w:tr>
      <w:tr w:rsidR="003969E2" w:rsidRPr="00FC3E6E" w14:paraId="6A985F70" w14:textId="77777777" w:rsidTr="000E3FED">
        <w:trPr>
          <w:trHeight w:val="288"/>
        </w:trPr>
        <w:tc>
          <w:tcPr>
            <w:tcW w:w="2080" w:type="dxa"/>
            <w:tcBorders>
              <w:top w:val="nil"/>
              <w:left w:val="nil"/>
              <w:bottom w:val="nil"/>
              <w:right w:val="nil"/>
            </w:tcBorders>
            <w:shd w:val="clear" w:color="000000" w:fill="FFFFFF"/>
            <w:noWrap/>
            <w:vAlign w:val="bottom"/>
            <w:hideMark/>
          </w:tcPr>
          <w:p w14:paraId="3AB1B38E"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4E422667"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5AC812C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(0.000458)</w:t>
            </w:r>
          </w:p>
        </w:tc>
        <w:tc>
          <w:tcPr>
            <w:tcW w:w="280" w:type="dxa"/>
            <w:tcBorders>
              <w:top w:val="nil"/>
              <w:left w:val="nil"/>
              <w:bottom w:val="nil"/>
              <w:right w:val="nil"/>
            </w:tcBorders>
            <w:shd w:val="clear" w:color="000000" w:fill="FFFFFF"/>
            <w:noWrap/>
            <w:vAlign w:val="bottom"/>
            <w:hideMark/>
          </w:tcPr>
          <w:p w14:paraId="48849868"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21D7B842"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BC473B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(0.000451)</w:t>
            </w:r>
          </w:p>
        </w:tc>
      </w:tr>
      <w:tr w:rsidR="003969E2" w:rsidRPr="00FC3E6E" w14:paraId="3644A606" w14:textId="77777777" w:rsidTr="000E3FED">
        <w:trPr>
          <w:trHeight w:val="384"/>
        </w:trPr>
        <w:tc>
          <w:tcPr>
            <w:tcW w:w="2080" w:type="dxa"/>
            <w:tcBorders>
              <w:top w:val="nil"/>
              <w:left w:val="nil"/>
              <w:bottom w:val="nil"/>
              <w:right w:val="nil"/>
            </w:tcBorders>
            <w:shd w:val="clear" w:color="000000" w:fill="FFFFFF"/>
            <w:noWrap/>
            <w:vAlign w:val="bottom"/>
            <w:hideMark/>
          </w:tcPr>
          <w:p w14:paraId="729246CB"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x Ano</w:t>
            </w:r>
          </w:p>
        </w:tc>
        <w:tc>
          <w:tcPr>
            <w:tcW w:w="1360" w:type="dxa"/>
            <w:tcBorders>
              <w:top w:val="nil"/>
              <w:left w:val="nil"/>
              <w:bottom w:val="nil"/>
              <w:right w:val="nil"/>
            </w:tcBorders>
            <w:shd w:val="clear" w:color="000000" w:fill="FFFFFF"/>
            <w:noWrap/>
            <w:vAlign w:val="bottom"/>
            <w:hideMark/>
          </w:tcPr>
          <w:p w14:paraId="70B2C44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521567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-0.0359***</w:t>
            </w:r>
          </w:p>
        </w:tc>
        <w:tc>
          <w:tcPr>
            <w:tcW w:w="280" w:type="dxa"/>
            <w:tcBorders>
              <w:top w:val="nil"/>
              <w:left w:val="nil"/>
              <w:bottom w:val="nil"/>
              <w:right w:val="nil"/>
            </w:tcBorders>
            <w:shd w:val="clear" w:color="000000" w:fill="FFFFFF"/>
            <w:noWrap/>
            <w:vAlign w:val="bottom"/>
            <w:hideMark/>
          </w:tcPr>
          <w:p w14:paraId="3AFF491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EA37E6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134EBB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0.0167***</w:t>
            </w:r>
          </w:p>
        </w:tc>
      </w:tr>
      <w:tr w:rsidR="003969E2" w:rsidRPr="00FC3E6E" w14:paraId="74CD6BEE" w14:textId="77777777" w:rsidTr="000E3FED">
        <w:trPr>
          <w:trHeight w:val="288"/>
        </w:trPr>
        <w:tc>
          <w:tcPr>
            <w:tcW w:w="2080" w:type="dxa"/>
            <w:tcBorders>
              <w:top w:val="nil"/>
              <w:left w:val="nil"/>
              <w:bottom w:val="nil"/>
              <w:right w:val="nil"/>
            </w:tcBorders>
            <w:shd w:val="clear" w:color="000000" w:fill="FFFFFF"/>
            <w:noWrap/>
            <w:vAlign w:val="bottom"/>
            <w:hideMark/>
          </w:tcPr>
          <w:p w14:paraId="02A21165"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E8201A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7C86DCE1"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(0.000525)</w:t>
            </w:r>
          </w:p>
        </w:tc>
        <w:tc>
          <w:tcPr>
            <w:tcW w:w="280" w:type="dxa"/>
            <w:tcBorders>
              <w:top w:val="nil"/>
              <w:left w:val="nil"/>
              <w:bottom w:val="nil"/>
              <w:right w:val="nil"/>
            </w:tcBorders>
            <w:shd w:val="clear" w:color="000000" w:fill="FFFFFF"/>
            <w:noWrap/>
            <w:vAlign w:val="bottom"/>
            <w:hideMark/>
          </w:tcPr>
          <w:p w14:paraId="5CD499D3"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31E17A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47F5ADC"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(0.000517)</w:t>
            </w:r>
          </w:p>
        </w:tc>
      </w:tr>
      <w:tr w:rsidR="003969E2" w:rsidRPr="00FC3E6E" w14:paraId="397C5BDB" w14:textId="77777777" w:rsidTr="000E3FED">
        <w:trPr>
          <w:trHeight w:val="780"/>
        </w:trPr>
        <w:tc>
          <w:tcPr>
            <w:tcW w:w="2080" w:type="dxa"/>
            <w:tcBorders>
              <w:top w:val="nil"/>
              <w:left w:val="nil"/>
              <w:bottom w:val="nil"/>
              <w:right w:val="nil"/>
            </w:tcBorders>
            <w:shd w:val="clear" w:color="000000" w:fill="FFFFFF"/>
            <w:noWrap/>
            <w:vAlign w:val="center"/>
            <w:hideMark/>
          </w:tcPr>
          <w:p w14:paraId="07B28AA4"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Amostra</w:t>
            </w:r>
          </w:p>
        </w:tc>
        <w:tc>
          <w:tcPr>
            <w:tcW w:w="1360" w:type="dxa"/>
            <w:tcBorders>
              <w:top w:val="nil"/>
              <w:left w:val="nil"/>
              <w:bottom w:val="nil"/>
              <w:right w:val="nil"/>
            </w:tcBorders>
            <w:shd w:val="clear" w:color="000000" w:fill="FFFFFF"/>
            <w:noWrap/>
            <w:vAlign w:val="center"/>
            <w:hideMark/>
          </w:tcPr>
          <w:p w14:paraId="677D6EB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w:t>
            </w:r>
          </w:p>
        </w:tc>
        <w:tc>
          <w:tcPr>
            <w:tcW w:w="1360" w:type="dxa"/>
            <w:tcBorders>
              <w:top w:val="nil"/>
              <w:left w:val="nil"/>
              <w:bottom w:val="nil"/>
              <w:right w:val="nil"/>
            </w:tcBorders>
            <w:shd w:val="clear" w:color="000000" w:fill="FFFFFF"/>
            <w:vAlign w:val="bottom"/>
            <w:hideMark/>
          </w:tcPr>
          <w:p w14:paraId="520E85EE"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 Emp. 2 a 5</w:t>
            </w:r>
          </w:p>
        </w:tc>
        <w:tc>
          <w:tcPr>
            <w:tcW w:w="280" w:type="dxa"/>
            <w:tcBorders>
              <w:top w:val="nil"/>
              <w:left w:val="nil"/>
              <w:bottom w:val="nil"/>
              <w:right w:val="nil"/>
            </w:tcBorders>
            <w:shd w:val="clear" w:color="000000" w:fill="FFFFFF"/>
            <w:noWrap/>
            <w:vAlign w:val="bottom"/>
            <w:hideMark/>
          </w:tcPr>
          <w:p w14:paraId="1234CE8F"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0EE5084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w:t>
            </w:r>
          </w:p>
        </w:tc>
        <w:tc>
          <w:tcPr>
            <w:tcW w:w="1400" w:type="dxa"/>
            <w:tcBorders>
              <w:top w:val="nil"/>
              <w:left w:val="nil"/>
              <w:bottom w:val="nil"/>
              <w:right w:val="nil"/>
            </w:tcBorders>
            <w:shd w:val="clear" w:color="000000" w:fill="FFFFFF"/>
            <w:vAlign w:val="bottom"/>
            <w:hideMark/>
          </w:tcPr>
          <w:p w14:paraId="037BA52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 Emp. 2 a 5</w:t>
            </w:r>
          </w:p>
        </w:tc>
      </w:tr>
      <w:tr w:rsidR="003969E2" w:rsidRPr="00FC3E6E" w14:paraId="637193DD" w14:textId="77777777" w:rsidTr="000E3FED">
        <w:trPr>
          <w:trHeight w:val="288"/>
        </w:trPr>
        <w:tc>
          <w:tcPr>
            <w:tcW w:w="2080" w:type="dxa"/>
            <w:tcBorders>
              <w:top w:val="nil"/>
              <w:left w:val="nil"/>
              <w:bottom w:val="nil"/>
              <w:right w:val="nil"/>
            </w:tcBorders>
            <w:shd w:val="clear" w:color="000000" w:fill="FFFFFF"/>
            <w:noWrap/>
            <w:vAlign w:val="bottom"/>
            <w:hideMark/>
          </w:tcPr>
          <w:p w14:paraId="72DCB659"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84C73B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47FFDED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3E15A4A5"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5F5A180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1E59507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6E0CC57E" w14:textId="77777777" w:rsidTr="000E3FED">
        <w:trPr>
          <w:trHeight w:val="339"/>
        </w:trPr>
        <w:tc>
          <w:tcPr>
            <w:tcW w:w="2080" w:type="dxa"/>
            <w:tcBorders>
              <w:top w:val="nil"/>
              <w:left w:val="nil"/>
              <w:bottom w:val="nil"/>
              <w:right w:val="nil"/>
            </w:tcBorders>
            <w:shd w:val="clear" w:color="000000" w:fill="FFFFFF"/>
            <w:noWrap/>
            <w:vAlign w:val="bottom"/>
            <w:hideMark/>
          </w:tcPr>
          <w:p w14:paraId="174277EE" w14:textId="77777777" w:rsidR="000E3FED" w:rsidRPr="00726964" w:rsidRDefault="000E3FE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Observações</w:t>
            </w:r>
          </w:p>
        </w:tc>
        <w:tc>
          <w:tcPr>
            <w:tcW w:w="1360" w:type="dxa"/>
            <w:tcBorders>
              <w:top w:val="nil"/>
              <w:left w:val="nil"/>
              <w:bottom w:val="nil"/>
              <w:right w:val="nil"/>
            </w:tcBorders>
            <w:shd w:val="clear" w:color="000000" w:fill="FFFFFF"/>
            <w:noWrap/>
            <w:vAlign w:val="bottom"/>
            <w:hideMark/>
          </w:tcPr>
          <w:p w14:paraId="6BFF957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31.373.836 </w:t>
            </w:r>
          </w:p>
        </w:tc>
        <w:tc>
          <w:tcPr>
            <w:tcW w:w="1360" w:type="dxa"/>
            <w:tcBorders>
              <w:top w:val="nil"/>
              <w:left w:val="nil"/>
              <w:bottom w:val="nil"/>
              <w:right w:val="nil"/>
            </w:tcBorders>
            <w:shd w:val="clear" w:color="000000" w:fill="FFFFFF"/>
            <w:noWrap/>
            <w:vAlign w:val="bottom"/>
            <w:hideMark/>
          </w:tcPr>
          <w:p w14:paraId="4716C6CF"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34.107.651 </w:t>
            </w:r>
          </w:p>
        </w:tc>
        <w:tc>
          <w:tcPr>
            <w:tcW w:w="280" w:type="dxa"/>
            <w:tcBorders>
              <w:top w:val="nil"/>
              <w:left w:val="nil"/>
              <w:bottom w:val="nil"/>
              <w:right w:val="nil"/>
            </w:tcBorders>
            <w:shd w:val="clear" w:color="000000" w:fill="FFFFFF"/>
            <w:noWrap/>
            <w:vAlign w:val="bottom"/>
            <w:hideMark/>
          </w:tcPr>
          <w:p w14:paraId="4FD5CA57"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57C04EF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31.238.469 </w:t>
            </w:r>
          </w:p>
        </w:tc>
        <w:tc>
          <w:tcPr>
            <w:tcW w:w="1400" w:type="dxa"/>
            <w:tcBorders>
              <w:top w:val="nil"/>
              <w:left w:val="nil"/>
              <w:bottom w:val="nil"/>
              <w:right w:val="nil"/>
            </w:tcBorders>
            <w:shd w:val="clear" w:color="000000" w:fill="FFFFFF"/>
            <w:noWrap/>
            <w:vAlign w:val="bottom"/>
            <w:hideMark/>
          </w:tcPr>
          <w:p w14:paraId="07A207A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33.972.284 </w:t>
            </w:r>
          </w:p>
        </w:tc>
      </w:tr>
      <w:tr w:rsidR="003969E2" w:rsidRPr="00FC3E6E" w14:paraId="24C8C144" w14:textId="77777777" w:rsidTr="000E3FED">
        <w:trPr>
          <w:trHeight w:val="339"/>
        </w:trPr>
        <w:tc>
          <w:tcPr>
            <w:tcW w:w="2080" w:type="dxa"/>
            <w:tcBorders>
              <w:top w:val="nil"/>
              <w:left w:val="nil"/>
              <w:bottom w:val="double" w:sz="6" w:space="0" w:color="auto"/>
              <w:right w:val="nil"/>
            </w:tcBorders>
            <w:shd w:val="clear" w:color="000000" w:fill="FFFFFF"/>
            <w:noWrap/>
            <w:vAlign w:val="bottom"/>
            <w:hideMark/>
          </w:tcPr>
          <w:p w14:paraId="7B017093" w14:textId="77777777" w:rsidR="000E3FED" w:rsidRPr="00726964" w:rsidRDefault="000E3FED" w:rsidP="00726964">
            <w:pPr>
              <w:spacing w:after="0" w:line="240" w:lineRule="auto"/>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Pseudo</w:t>
            </w:r>
            <w:proofErr w:type="spellEnd"/>
            <w:r w:rsidRPr="00726964">
              <w:rPr>
                <w:rFonts w:ascii="Times New Roman" w:eastAsia="Times New Roman" w:hAnsi="Times New Roman" w:cs="Times New Roman"/>
                <w:b/>
                <w:bCs/>
                <w:sz w:val="24"/>
                <w:szCs w:val="24"/>
                <w:lang w:eastAsia="pt-BR"/>
              </w:rPr>
              <w:t xml:space="preserve"> R2</w:t>
            </w:r>
          </w:p>
        </w:tc>
        <w:tc>
          <w:tcPr>
            <w:tcW w:w="1360" w:type="dxa"/>
            <w:tcBorders>
              <w:top w:val="nil"/>
              <w:left w:val="nil"/>
              <w:bottom w:val="double" w:sz="6" w:space="0" w:color="auto"/>
              <w:right w:val="nil"/>
            </w:tcBorders>
            <w:shd w:val="clear" w:color="000000" w:fill="FFFFFF"/>
            <w:noWrap/>
            <w:vAlign w:val="bottom"/>
            <w:hideMark/>
          </w:tcPr>
          <w:p w14:paraId="0148B6B6"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0,247</w:t>
            </w:r>
          </w:p>
        </w:tc>
        <w:tc>
          <w:tcPr>
            <w:tcW w:w="1360" w:type="dxa"/>
            <w:tcBorders>
              <w:top w:val="nil"/>
              <w:left w:val="nil"/>
              <w:bottom w:val="double" w:sz="6" w:space="0" w:color="auto"/>
              <w:right w:val="nil"/>
            </w:tcBorders>
            <w:shd w:val="clear" w:color="000000" w:fill="FFFFFF"/>
            <w:noWrap/>
            <w:vAlign w:val="bottom"/>
            <w:hideMark/>
          </w:tcPr>
          <w:p w14:paraId="5D96089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0,252</w:t>
            </w:r>
          </w:p>
        </w:tc>
        <w:tc>
          <w:tcPr>
            <w:tcW w:w="280" w:type="dxa"/>
            <w:tcBorders>
              <w:top w:val="nil"/>
              <w:left w:val="nil"/>
              <w:bottom w:val="double" w:sz="6" w:space="0" w:color="auto"/>
              <w:right w:val="nil"/>
            </w:tcBorders>
            <w:shd w:val="clear" w:color="000000" w:fill="FFFFFF"/>
            <w:noWrap/>
            <w:vAlign w:val="bottom"/>
            <w:hideMark/>
          </w:tcPr>
          <w:p w14:paraId="5FD50DC1" w14:textId="77777777" w:rsidR="000E3FED" w:rsidRPr="00726964" w:rsidRDefault="000E3FED"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double" w:sz="6" w:space="0" w:color="auto"/>
              <w:right w:val="nil"/>
            </w:tcBorders>
            <w:shd w:val="clear" w:color="000000" w:fill="FFFFFF"/>
            <w:noWrap/>
            <w:vAlign w:val="bottom"/>
            <w:hideMark/>
          </w:tcPr>
          <w:p w14:paraId="0B7D9C8D"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0,225</w:t>
            </w:r>
          </w:p>
        </w:tc>
        <w:tc>
          <w:tcPr>
            <w:tcW w:w="1400" w:type="dxa"/>
            <w:tcBorders>
              <w:top w:val="nil"/>
              <w:left w:val="nil"/>
              <w:bottom w:val="double" w:sz="6" w:space="0" w:color="auto"/>
              <w:right w:val="nil"/>
            </w:tcBorders>
            <w:shd w:val="clear" w:color="000000" w:fill="FFFFFF"/>
            <w:noWrap/>
            <w:vAlign w:val="bottom"/>
            <w:hideMark/>
          </w:tcPr>
          <w:p w14:paraId="6CEB953A"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0,1907</w:t>
            </w:r>
          </w:p>
        </w:tc>
      </w:tr>
      <w:tr w:rsidR="003969E2" w:rsidRPr="00FC3E6E" w14:paraId="24B301CF" w14:textId="77777777" w:rsidTr="000E3FED">
        <w:trPr>
          <w:trHeight w:val="108"/>
        </w:trPr>
        <w:tc>
          <w:tcPr>
            <w:tcW w:w="2080" w:type="dxa"/>
            <w:tcBorders>
              <w:top w:val="nil"/>
              <w:left w:val="single" w:sz="4" w:space="0" w:color="auto"/>
              <w:bottom w:val="nil"/>
              <w:right w:val="nil"/>
            </w:tcBorders>
            <w:shd w:val="clear" w:color="000000" w:fill="FFFFFF"/>
            <w:noWrap/>
            <w:vAlign w:val="bottom"/>
            <w:hideMark/>
          </w:tcPr>
          <w:p w14:paraId="44AB1675"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72896EA7"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360" w:type="dxa"/>
            <w:tcBorders>
              <w:top w:val="nil"/>
              <w:left w:val="nil"/>
              <w:bottom w:val="nil"/>
              <w:right w:val="nil"/>
            </w:tcBorders>
            <w:shd w:val="clear" w:color="000000" w:fill="FFFFFF"/>
            <w:noWrap/>
            <w:vAlign w:val="bottom"/>
            <w:hideMark/>
          </w:tcPr>
          <w:p w14:paraId="1D66E8F1"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80" w:type="dxa"/>
            <w:tcBorders>
              <w:top w:val="nil"/>
              <w:left w:val="nil"/>
              <w:bottom w:val="nil"/>
              <w:right w:val="nil"/>
            </w:tcBorders>
            <w:shd w:val="clear" w:color="000000" w:fill="FFFFFF"/>
            <w:noWrap/>
            <w:vAlign w:val="bottom"/>
            <w:hideMark/>
          </w:tcPr>
          <w:p w14:paraId="10032B2A" w14:textId="77777777" w:rsidR="000E3FED" w:rsidRPr="00726964" w:rsidRDefault="000E3FE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649B93EB"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00" w:type="dxa"/>
            <w:tcBorders>
              <w:top w:val="nil"/>
              <w:left w:val="nil"/>
              <w:bottom w:val="nil"/>
              <w:right w:val="nil"/>
            </w:tcBorders>
            <w:shd w:val="clear" w:color="000000" w:fill="FFFFFF"/>
            <w:noWrap/>
            <w:vAlign w:val="bottom"/>
            <w:hideMark/>
          </w:tcPr>
          <w:p w14:paraId="3F8677E9" w14:textId="77777777" w:rsidR="000E3FED" w:rsidRPr="00726964" w:rsidRDefault="000E3FE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025925B7" w14:textId="77777777" w:rsidR="00EE6CB1" w:rsidRPr="00726964" w:rsidRDefault="00EE6CB1"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310883D8" w14:textId="77777777" w:rsidR="006C1A75" w:rsidRPr="00726964" w:rsidRDefault="0099118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Nota: Dados da PNAD 2009 e 2011. Controles utilizados em todas as regressões: setor de atividade, região, escolaridade, idade, condição no domicílio, gênero, raça/cor, número </w:t>
      </w:r>
      <w:r w:rsidR="006C1A75" w:rsidRPr="00726964">
        <w:rPr>
          <w:rFonts w:ascii="Times New Roman" w:eastAsia="Times New Roman" w:hAnsi="Times New Roman" w:cs="Times New Roman"/>
          <w:sz w:val="24"/>
          <w:szCs w:val="24"/>
          <w:lang w:eastAsia="pt-BR"/>
        </w:rPr>
        <w:t>de filhos e idosos no domicílio.</w:t>
      </w:r>
    </w:p>
    <w:p w14:paraId="2EB6CF50" w14:textId="77777777" w:rsidR="00EE6CB1" w:rsidRPr="00726964" w:rsidRDefault="00EE6CB1" w:rsidP="00726964">
      <w:pPr>
        <w:spacing w:after="0" w:line="240" w:lineRule="auto"/>
        <w:ind w:firstLine="284"/>
        <w:jc w:val="both"/>
        <w:rPr>
          <w:rFonts w:ascii="Times New Roman" w:hAnsi="Times New Roman" w:cs="Times New Roman"/>
          <w:bCs/>
          <w:sz w:val="24"/>
          <w:szCs w:val="24"/>
        </w:rPr>
      </w:pPr>
    </w:p>
    <w:p w14:paraId="363BF260" w14:textId="77777777" w:rsidR="006C1A75" w:rsidRPr="00726964" w:rsidRDefault="006C1A75"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Esses resultados são aparentemente contraditórios. Porém, cabe lembrar que a importância do CNPJ é crescente no tamanho da firma (possibilidade de dar notas fiscais, acesso ao mercado de crédito, entre outros), enquanto que provavelmente o inverso é verdade para a dimensão previdenciária. Além disso, a associação entre contribuição à previdência e CNPJ existe apenas no contexto do programa e é relevante apenas para aqueles que são elegíveis. Assim, é possível que fatores externos ao programa tenham incentivado a formalização de empreendedores de maior porte na dimensão CNPJ de forma mais intensa entre 2009 e 2011, relativamente à dimensão previdenciária. O mesmo não acontece para os microempreendedores, já que a política do MEI torna a decisão de formalização em ambas as dimensões uma decisão conjunta e indissociável.</w:t>
      </w:r>
    </w:p>
    <w:p w14:paraId="34CE1D33" w14:textId="77777777" w:rsidR="00B65764" w:rsidRPr="00726964" w:rsidRDefault="00145541"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Os resultados comentados acima </w:t>
      </w:r>
      <w:r w:rsidR="00221677" w:rsidRPr="00726964">
        <w:rPr>
          <w:rFonts w:ascii="Times New Roman" w:hAnsi="Times New Roman" w:cs="Times New Roman"/>
          <w:bCs/>
          <w:sz w:val="24"/>
          <w:szCs w:val="24"/>
        </w:rPr>
        <w:t xml:space="preserve">utilizam informações de apenas dois anos e, portanto, </w:t>
      </w:r>
      <w:r w:rsidRPr="00726964">
        <w:rPr>
          <w:rFonts w:ascii="Times New Roman" w:hAnsi="Times New Roman" w:cs="Times New Roman"/>
          <w:bCs/>
          <w:sz w:val="24"/>
          <w:szCs w:val="24"/>
        </w:rPr>
        <w:t>não nos permite</w:t>
      </w:r>
      <w:r w:rsidR="00221677" w:rsidRPr="00726964">
        <w:rPr>
          <w:rFonts w:ascii="Times New Roman" w:hAnsi="Times New Roman" w:cs="Times New Roman"/>
          <w:bCs/>
          <w:sz w:val="24"/>
          <w:szCs w:val="24"/>
        </w:rPr>
        <w:t>m</w:t>
      </w:r>
      <w:r w:rsidR="0059291F" w:rsidRPr="00726964">
        <w:rPr>
          <w:rFonts w:ascii="Times New Roman" w:hAnsi="Times New Roman" w:cs="Times New Roman"/>
          <w:bCs/>
          <w:sz w:val="24"/>
          <w:szCs w:val="24"/>
        </w:rPr>
        <w:t xml:space="preserve"> distinguir se o efeito encontrado em 2011 reflete apenas </w:t>
      </w:r>
      <w:r w:rsidR="0059291F" w:rsidRPr="00726964">
        <w:rPr>
          <w:rFonts w:ascii="Times New Roman" w:hAnsi="Times New Roman" w:cs="Times New Roman"/>
          <w:bCs/>
          <w:sz w:val="24"/>
          <w:szCs w:val="24"/>
        </w:rPr>
        <w:lastRenderedPageBreak/>
        <w:t>uma tendência pré-existente. Em outras palavras, é</w:t>
      </w:r>
      <w:r w:rsidRPr="00726964">
        <w:rPr>
          <w:rFonts w:ascii="Times New Roman" w:hAnsi="Times New Roman" w:cs="Times New Roman"/>
          <w:bCs/>
          <w:sz w:val="24"/>
          <w:szCs w:val="24"/>
        </w:rPr>
        <w:t xml:space="preserve"> possível que o aumento </w:t>
      </w:r>
      <w:r w:rsidR="00292AF2" w:rsidRPr="00726964">
        <w:rPr>
          <w:rFonts w:ascii="Times New Roman" w:hAnsi="Times New Roman" w:cs="Times New Roman"/>
          <w:bCs/>
          <w:sz w:val="24"/>
          <w:szCs w:val="24"/>
        </w:rPr>
        <w:t xml:space="preserve">na formalização </w:t>
      </w:r>
      <w:r w:rsidRPr="00726964">
        <w:rPr>
          <w:rFonts w:ascii="Times New Roman" w:hAnsi="Times New Roman" w:cs="Times New Roman"/>
          <w:bCs/>
          <w:sz w:val="24"/>
          <w:szCs w:val="24"/>
        </w:rPr>
        <w:t>detectado entre 2009 e 2011 seja apenas parte de uma tendência de mais longo prazo, iniciad</w:t>
      </w:r>
      <w:r w:rsidR="00647F0A" w:rsidRPr="00726964">
        <w:rPr>
          <w:rFonts w:ascii="Times New Roman" w:hAnsi="Times New Roman" w:cs="Times New Roman"/>
          <w:bCs/>
          <w:sz w:val="24"/>
          <w:szCs w:val="24"/>
        </w:rPr>
        <w:t>a</w:t>
      </w:r>
      <w:r w:rsidRPr="00726964">
        <w:rPr>
          <w:rFonts w:ascii="Times New Roman" w:hAnsi="Times New Roman" w:cs="Times New Roman"/>
          <w:bCs/>
          <w:sz w:val="24"/>
          <w:szCs w:val="24"/>
        </w:rPr>
        <w:t xml:space="preserve"> antes </w:t>
      </w:r>
      <w:r w:rsidR="00221677" w:rsidRPr="00726964">
        <w:rPr>
          <w:rFonts w:ascii="Times New Roman" w:hAnsi="Times New Roman" w:cs="Times New Roman"/>
          <w:bCs/>
          <w:sz w:val="24"/>
          <w:szCs w:val="24"/>
        </w:rPr>
        <w:t>da política do</w:t>
      </w:r>
      <w:r w:rsidRPr="00726964">
        <w:rPr>
          <w:rFonts w:ascii="Times New Roman" w:hAnsi="Times New Roman" w:cs="Times New Roman"/>
          <w:bCs/>
          <w:sz w:val="24"/>
          <w:szCs w:val="24"/>
        </w:rPr>
        <w:t xml:space="preserve"> </w:t>
      </w:r>
      <w:r w:rsidR="0059291F" w:rsidRPr="00726964">
        <w:rPr>
          <w:rFonts w:ascii="Times New Roman" w:hAnsi="Times New Roman" w:cs="Times New Roman"/>
          <w:bCs/>
          <w:sz w:val="24"/>
          <w:szCs w:val="24"/>
        </w:rPr>
        <w:t>M</w:t>
      </w:r>
      <w:r w:rsidR="003F3AF0" w:rsidRPr="00726964">
        <w:rPr>
          <w:rFonts w:ascii="Times New Roman" w:hAnsi="Times New Roman" w:cs="Times New Roman"/>
          <w:bCs/>
          <w:sz w:val="24"/>
          <w:szCs w:val="24"/>
        </w:rPr>
        <w:t xml:space="preserve">EI. </w:t>
      </w:r>
      <w:r w:rsidRPr="00726964">
        <w:rPr>
          <w:rFonts w:ascii="Times New Roman" w:hAnsi="Times New Roman" w:cs="Times New Roman"/>
          <w:bCs/>
          <w:sz w:val="24"/>
          <w:szCs w:val="24"/>
        </w:rPr>
        <w:t xml:space="preserve">Para </w:t>
      </w:r>
      <w:r w:rsidR="003F3AF0" w:rsidRPr="00726964">
        <w:rPr>
          <w:rFonts w:ascii="Times New Roman" w:hAnsi="Times New Roman" w:cs="Times New Roman"/>
          <w:bCs/>
          <w:sz w:val="24"/>
          <w:szCs w:val="24"/>
        </w:rPr>
        <w:t>analisar</w:t>
      </w:r>
      <w:r w:rsidRPr="00726964">
        <w:rPr>
          <w:rFonts w:ascii="Times New Roman" w:hAnsi="Times New Roman" w:cs="Times New Roman"/>
          <w:bCs/>
          <w:sz w:val="24"/>
          <w:szCs w:val="24"/>
        </w:rPr>
        <w:t xml:space="preserve"> essa possibilidade, estimamos </w:t>
      </w:r>
      <w:r w:rsidR="00AC2955" w:rsidRPr="00726964">
        <w:rPr>
          <w:rFonts w:ascii="Times New Roman" w:hAnsi="Times New Roman" w:cs="Times New Roman"/>
          <w:bCs/>
          <w:sz w:val="24"/>
          <w:szCs w:val="24"/>
        </w:rPr>
        <w:t xml:space="preserve">o mesmo modelo </w:t>
      </w:r>
      <w:r w:rsidRPr="00726964">
        <w:rPr>
          <w:rFonts w:ascii="Times New Roman" w:hAnsi="Times New Roman" w:cs="Times New Roman"/>
          <w:bCs/>
          <w:sz w:val="24"/>
          <w:szCs w:val="24"/>
        </w:rPr>
        <w:t xml:space="preserve"> com a amostra ampliada para o período entre </w:t>
      </w:r>
      <w:r w:rsidR="00846F9F" w:rsidRPr="00726964">
        <w:rPr>
          <w:rFonts w:ascii="Times New Roman" w:hAnsi="Times New Roman" w:cs="Times New Roman"/>
          <w:bCs/>
          <w:sz w:val="24"/>
          <w:szCs w:val="24"/>
        </w:rPr>
        <w:t xml:space="preserve">2005 </w:t>
      </w:r>
      <w:r w:rsidRPr="00726964">
        <w:rPr>
          <w:rFonts w:ascii="Times New Roman" w:hAnsi="Times New Roman" w:cs="Times New Roman"/>
          <w:bCs/>
          <w:sz w:val="24"/>
          <w:szCs w:val="24"/>
        </w:rPr>
        <w:t>e 201</w:t>
      </w:r>
      <w:r w:rsidR="00AC2955" w:rsidRPr="00726964">
        <w:rPr>
          <w:rFonts w:ascii="Times New Roman" w:hAnsi="Times New Roman" w:cs="Times New Roman"/>
          <w:bCs/>
          <w:sz w:val="24"/>
          <w:szCs w:val="24"/>
        </w:rPr>
        <w:t>1</w:t>
      </w:r>
      <w:r w:rsidRPr="00726964">
        <w:rPr>
          <w:rFonts w:ascii="Times New Roman" w:hAnsi="Times New Roman" w:cs="Times New Roman"/>
          <w:bCs/>
          <w:sz w:val="24"/>
          <w:szCs w:val="24"/>
        </w:rPr>
        <w:t>.</w:t>
      </w:r>
      <w:r w:rsidR="001E47DC" w:rsidRPr="00726964">
        <w:rPr>
          <w:rFonts w:ascii="Times New Roman" w:hAnsi="Times New Roman" w:cs="Times New Roman"/>
          <w:bCs/>
          <w:sz w:val="24"/>
          <w:szCs w:val="24"/>
        </w:rPr>
        <w:t xml:space="preserve"> </w:t>
      </w:r>
      <w:r w:rsidR="00647F0A" w:rsidRPr="00726964">
        <w:rPr>
          <w:rFonts w:ascii="Times New Roman" w:hAnsi="Times New Roman" w:cs="Times New Roman"/>
          <w:bCs/>
          <w:sz w:val="24"/>
          <w:szCs w:val="24"/>
        </w:rPr>
        <w:t>Note que não há informação disponível sobre CNPJ na maior parte desse período</w:t>
      </w:r>
      <w:r w:rsidR="00AC2955" w:rsidRPr="00726964">
        <w:rPr>
          <w:rFonts w:ascii="Times New Roman" w:hAnsi="Times New Roman" w:cs="Times New Roman"/>
          <w:bCs/>
          <w:sz w:val="24"/>
          <w:szCs w:val="24"/>
        </w:rPr>
        <w:t xml:space="preserve"> (apenas a partir de 2009)</w:t>
      </w:r>
      <w:r w:rsidR="003F3AF0" w:rsidRPr="00726964">
        <w:rPr>
          <w:rFonts w:ascii="Times New Roman" w:hAnsi="Times New Roman" w:cs="Times New Roman"/>
          <w:bCs/>
          <w:sz w:val="24"/>
          <w:szCs w:val="24"/>
        </w:rPr>
        <w:t xml:space="preserve"> e, portanto</w:t>
      </w:r>
      <w:r w:rsidR="00AC2955" w:rsidRPr="00726964">
        <w:rPr>
          <w:rFonts w:ascii="Times New Roman" w:hAnsi="Times New Roman" w:cs="Times New Roman"/>
          <w:bCs/>
          <w:sz w:val="24"/>
          <w:szCs w:val="24"/>
        </w:rPr>
        <w:t>,</w:t>
      </w:r>
      <w:r w:rsidR="00647F0A" w:rsidRPr="00726964">
        <w:rPr>
          <w:rFonts w:ascii="Times New Roman" w:hAnsi="Times New Roman" w:cs="Times New Roman"/>
          <w:bCs/>
          <w:sz w:val="24"/>
          <w:szCs w:val="24"/>
        </w:rPr>
        <w:t xml:space="preserve"> nos restringimos ao critério de formalidade baseado na contri</w:t>
      </w:r>
      <w:r w:rsidR="0094034F" w:rsidRPr="00726964">
        <w:rPr>
          <w:rFonts w:ascii="Times New Roman" w:hAnsi="Times New Roman" w:cs="Times New Roman"/>
          <w:bCs/>
          <w:sz w:val="24"/>
          <w:szCs w:val="24"/>
        </w:rPr>
        <w:t>buição à</w:t>
      </w:r>
      <w:r w:rsidR="00647F0A" w:rsidRPr="00726964">
        <w:rPr>
          <w:rFonts w:ascii="Times New Roman" w:hAnsi="Times New Roman" w:cs="Times New Roman"/>
          <w:bCs/>
          <w:sz w:val="24"/>
          <w:szCs w:val="24"/>
        </w:rPr>
        <w:t xml:space="preserve"> previdência.</w:t>
      </w:r>
    </w:p>
    <w:p w14:paraId="6242FC93" w14:textId="77777777" w:rsidR="00145541" w:rsidRPr="00726964" w:rsidRDefault="00647F0A"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 </w:t>
      </w:r>
      <w:r w:rsidR="001E47DC" w:rsidRPr="00726964">
        <w:rPr>
          <w:rFonts w:ascii="Times New Roman" w:hAnsi="Times New Roman" w:cs="Times New Roman"/>
          <w:bCs/>
          <w:sz w:val="24"/>
          <w:szCs w:val="24"/>
        </w:rPr>
        <w:t xml:space="preserve">Na especificação desse modelo incluímos uma </w:t>
      </w:r>
      <w:proofErr w:type="spellStart"/>
      <w:r w:rsidR="001E47DC" w:rsidRPr="00726964">
        <w:rPr>
          <w:rFonts w:ascii="Times New Roman" w:hAnsi="Times New Roman" w:cs="Times New Roman"/>
          <w:bCs/>
          <w:sz w:val="24"/>
          <w:szCs w:val="24"/>
        </w:rPr>
        <w:t>dummy</w:t>
      </w:r>
      <w:proofErr w:type="spellEnd"/>
      <w:r w:rsidR="001E47DC" w:rsidRPr="00726964">
        <w:rPr>
          <w:rFonts w:ascii="Times New Roman" w:hAnsi="Times New Roman" w:cs="Times New Roman"/>
          <w:bCs/>
          <w:sz w:val="24"/>
          <w:szCs w:val="24"/>
        </w:rPr>
        <w:t xml:space="preserve"> para cada ano, num total de </w:t>
      </w:r>
      <w:r w:rsidR="00DD7DFB" w:rsidRPr="00726964">
        <w:rPr>
          <w:rFonts w:ascii="Times New Roman" w:hAnsi="Times New Roman" w:cs="Times New Roman"/>
          <w:bCs/>
          <w:sz w:val="24"/>
          <w:szCs w:val="24"/>
        </w:rPr>
        <w:t>cinco</w:t>
      </w:r>
      <w:r w:rsidR="00B65764" w:rsidRPr="00726964">
        <w:rPr>
          <w:rFonts w:ascii="Times New Roman" w:hAnsi="Times New Roman" w:cs="Times New Roman"/>
          <w:bCs/>
          <w:sz w:val="24"/>
          <w:szCs w:val="24"/>
        </w:rPr>
        <w:t xml:space="preserve"> </w:t>
      </w:r>
      <w:proofErr w:type="spellStart"/>
      <w:r w:rsidR="001E47DC" w:rsidRPr="00726964">
        <w:rPr>
          <w:rFonts w:ascii="Times New Roman" w:hAnsi="Times New Roman" w:cs="Times New Roman"/>
          <w:bCs/>
          <w:sz w:val="24"/>
          <w:szCs w:val="24"/>
        </w:rPr>
        <w:t>dummies</w:t>
      </w:r>
      <w:proofErr w:type="spellEnd"/>
      <w:r w:rsidR="001E47DC" w:rsidRPr="00726964">
        <w:rPr>
          <w:rFonts w:ascii="Times New Roman" w:hAnsi="Times New Roman" w:cs="Times New Roman"/>
          <w:bCs/>
          <w:sz w:val="24"/>
          <w:szCs w:val="24"/>
        </w:rPr>
        <w:t xml:space="preserve"> temporais</w:t>
      </w:r>
      <w:r w:rsidR="00B65764" w:rsidRPr="00726964">
        <w:rPr>
          <w:rFonts w:ascii="Times New Roman" w:hAnsi="Times New Roman" w:cs="Times New Roman"/>
          <w:bCs/>
          <w:sz w:val="24"/>
          <w:szCs w:val="24"/>
        </w:rPr>
        <w:t xml:space="preserve"> (a </w:t>
      </w:r>
      <w:proofErr w:type="spellStart"/>
      <w:r w:rsidR="00B65764" w:rsidRPr="00726964">
        <w:rPr>
          <w:rFonts w:ascii="Times New Roman" w:hAnsi="Times New Roman" w:cs="Times New Roman"/>
          <w:bCs/>
          <w:sz w:val="24"/>
          <w:szCs w:val="24"/>
        </w:rPr>
        <w:t>dummy</w:t>
      </w:r>
      <w:proofErr w:type="spellEnd"/>
      <w:r w:rsidR="00B65764" w:rsidRPr="00726964">
        <w:rPr>
          <w:rFonts w:ascii="Times New Roman" w:hAnsi="Times New Roman" w:cs="Times New Roman"/>
          <w:bCs/>
          <w:sz w:val="24"/>
          <w:szCs w:val="24"/>
        </w:rPr>
        <w:t xml:space="preserve"> de 2009 foi omitida para evitar </w:t>
      </w:r>
      <w:proofErr w:type="spellStart"/>
      <w:r w:rsidR="00B65764" w:rsidRPr="00726964">
        <w:rPr>
          <w:rFonts w:ascii="Times New Roman" w:hAnsi="Times New Roman" w:cs="Times New Roman"/>
          <w:bCs/>
          <w:sz w:val="24"/>
          <w:szCs w:val="24"/>
        </w:rPr>
        <w:t>multicolinearidade</w:t>
      </w:r>
      <w:proofErr w:type="spellEnd"/>
      <w:r w:rsidR="00B65764" w:rsidRPr="00726964">
        <w:rPr>
          <w:rFonts w:ascii="Times New Roman" w:hAnsi="Times New Roman" w:cs="Times New Roman"/>
          <w:bCs/>
          <w:sz w:val="24"/>
          <w:szCs w:val="24"/>
        </w:rPr>
        <w:t xml:space="preserve"> e em 2010 a PNAD não foi a campo)</w:t>
      </w:r>
      <w:r w:rsidR="001E47DC" w:rsidRPr="00726964">
        <w:rPr>
          <w:rFonts w:ascii="Times New Roman" w:hAnsi="Times New Roman" w:cs="Times New Roman"/>
          <w:bCs/>
          <w:sz w:val="24"/>
          <w:szCs w:val="24"/>
        </w:rPr>
        <w:t>. Essa especificação pode ser representada da seguinte forma:</w:t>
      </w:r>
    </w:p>
    <w:p w14:paraId="3EE08572" w14:textId="77777777" w:rsidR="00AC2955" w:rsidRPr="00726964" w:rsidRDefault="00AC2955" w:rsidP="00726964">
      <w:pPr>
        <w:spacing w:after="0" w:line="240" w:lineRule="auto"/>
        <w:ind w:firstLine="284"/>
        <w:jc w:val="both"/>
        <w:rPr>
          <w:rFonts w:ascii="Times New Roman" w:hAnsi="Times New Roman" w:cs="Times New Roman"/>
          <w:bCs/>
          <w:sz w:val="24"/>
          <w:szCs w:val="24"/>
        </w:rPr>
      </w:pPr>
    </w:p>
    <w:p w14:paraId="466C2B6C" w14:textId="77777777" w:rsidR="00AC2955" w:rsidRPr="00726964" w:rsidRDefault="00726964" w:rsidP="00726964">
      <w:pPr>
        <w:spacing w:after="120" w:line="240" w:lineRule="auto"/>
        <w:ind w:firstLine="284"/>
        <w:jc w:val="both"/>
        <w:rPr>
          <w:rFonts w:ascii="Times New Roman" w:hAnsi="Times New Roman" w:cs="Times New Roman"/>
          <w:bCs/>
          <w:sz w:val="24"/>
          <w:szCs w:val="24"/>
        </w:rPr>
      </w:pPr>
      <m:oMath>
        <m:func>
          <m:funcPr>
            <m:ctrlPr>
              <w:rPr>
                <w:rFonts w:ascii="Cambria Math" w:hAnsi="Cambria Math" w:cs="Times New Roman"/>
                <w:bCs/>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func>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nary>
                  <m:naryPr>
                    <m:chr m:val="∑"/>
                    <m:supHide m:val="1"/>
                    <m:ctrlPr>
                      <w:rPr>
                        <w:rFonts w:ascii="Cambria Math" w:hAnsi="Cambria Math" w:cs="Times New Roman"/>
                        <w:bCs/>
                        <w:sz w:val="24"/>
                        <w:szCs w:val="24"/>
                      </w:rPr>
                    </m:ctrlPr>
                  </m:naryPr>
                  <m:sub>
                    <m:r>
                      <m:rPr>
                        <m:sty m:val="p"/>
                      </m:rPr>
                      <w:rPr>
                        <w:rFonts w:ascii="Cambria Math" w:hAnsi="Cambria Math" w:cs="Times New Roman"/>
                        <w:sz w:val="24"/>
                        <w:szCs w:val="24"/>
                      </w:rPr>
                      <m:t>j</m:t>
                    </m:r>
                  </m:sub>
                  <m:sup/>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j,i</m:t>
                        </m:r>
                      </m:sub>
                    </m:sSub>
                  </m:e>
                </m:nary>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γ </m:t>
            </m:r>
          </m:e>
        </m:d>
        <m:r>
          <w:rPr>
            <w:rFonts w:ascii="Cambria Math" w:hAnsi="Cambria Math" w:cs="Times New Roman"/>
            <w:sz w:val="24"/>
            <w:szCs w:val="24"/>
          </w:rPr>
          <m:t>,      j=1,…,5</m:t>
        </m:r>
      </m:oMath>
      <w:r w:rsidR="00F6060E" w:rsidRPr="00726964">
        <w:rPr>
          <w:rFonts w:ascii="Times New Roman" w:eastAsiaTheme="minorEastAsia" w:hAnsi="Times New Roman" w:cs="Times New Roman"/>
          <w:bCs/>
          <w:sz w:val="24"/>
          <w:szCs w:val="24"/>
        </w:rPr>
        <w:t xml:space="preserve">      (2)</w:t>
      </w:r>
    </w:p>
    <w:p w14:paraId="3ECAB33D" w14:textId="77777777" w:rsidR="006C1A75" w:rsidRPr="00726964" w:rsidRDefault="00DD7DFB"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Os resultados estão apresentados na Tabela 5. Eles mostram basicamente os mesmos resultados para 2011 com relação a 2009 já apresentados na Tabela 4, porém com uma intensidade um pouco menor, conforme o esperado. O resultado interessante </w:t>
      </w:r>
      <w:r w:rsidR="00281735" w:rsidRPr="00726964">
        <w:rPr>
          <w:rFonts w:ascii="Times New Roman" w:hAnsi="Times New Roman" w:cs="Times New Roman"/>
          <w:bCs/>
          <w:sz w:val="24"/>
          <w:szCs w:val="24"/>
        </w:rPr>
        <w:t>é que o grupo de empreende</w:t>
      </w:r>
      <w:r w:rsidR="00424352" w:rsidRPr="00726964">
        <w:rPr>
          <w:rFonts w:ascii="Times New Roman" w:hAnsi="Times New Roman" w:cs="Times New Roman"/>
          <w:bCs/>
          <w:sz w:val="24"/>
          <w:szCs w:val="24"/>
        </w:rPr>
        <w:t>dores elegíveis ao MEI já vinha</w:t>
      </w:r>
      <w:r w:rsidR="00281735" w:rsidRPr="00726964">
        <w:rPr>
          <w:rFonts w:ascii="Times New Roman" w:hAnsi="Times New Roman" w:cs="Times New Roman"/>
          <w:bCs/>
          <w:sz w:val="24"/>
          <w:szCs w:val="24"/>
        </w:rPr>
        <w:t xml:space="preserve"> apresentando uma tendência de maior</w:t>
      </w:r>
      <w:r w:rsidR="00424352" w:rsidRPr="00726964">
        <w:rPr>
          <w:rFonts w:ascii="Times New Roman" w:hAnsi="Times New Roman" w:cs="Times New Roman"/>
          <w:bCs/>
          <w:sz w:val="24"/>
          <w:szCs w:val="24"/>
        </w:rPr>
        <w:t xml:space="preserve"> formalização desde 2007 (quando comparado</w:t>
      </w:r>
      <w:r w:rsidR="00281735" w:rsidRPr="00726964">
        <w:rPr>
          <w:rFonts w:ascii="Times New Roman" w:hAnsi="Times New Roman" w:cs="Times New Roman"/>
          <w:bCs/>
          <w:sz w:val="24"/>
          <w:szCs w:val="24"/>
        </w:rPr>
        <w:t xml:space="preserve"> aos empreendedores com 2 a 5 empregados). Assim, esses resultados sugerem cautela na interpretação dos resultados para 2011 como sendo induzidos pelo programa do MEI.</w:t>
      </w:r>
    </w:p>
    <w:p w14:paraId="014AFF4F" w14:textId="77777777" w:rsidR="00B65764" w:rsidRPr="00726964" w:rsidRDefault="00DD7DFB" w:rsidP="00726964">
      <w:pPr>
        <w:spacing w:after="0" w:line="240" w:lineRule="auto"/>
        <w:jc w:val="both"/>
        <w:rPr>
          <w:rFonts w:ascii="Times New Roman" w:hAnsi="Times New Roman" w:cs="Times New Roman"/>
          <w:b/>
          <w:bCs/>
          <w:sz w:val="24"/>
          <w:szCs w:val="24"/>
        </w:rPr>
      </w:pPr>
      <w:r w:rsidRPr="00726964">
        <w:rPr>
          <w:rFonts w:ascii="Times New Roman" w:hAnsi="Times New Roman" w:cs="Times New Roman"/>
          <w:b/>
          <w:bCs/>
          <w:sz w:val="24"/>
          <w:szCs w:val="24"/>
        </w:rPr>
        <w:t>Tabela 5: Evolução na probabilidade de contribuir para a previdência, 2005 a 2011</w:t>
      </w:r>
    </w:p>
    <w:tbl>
      <w:tblPr>
        <w:tblW w:w="6960" w:type="dxa"/>
        <w:jc w:val="center"/>
        <w:tblInd w:w="55" w:type="dxa"/>
        <w:tblCellMar>
          <w:left w:w="70" w:type="dxa"/>
          <w:right w:w="70" w:type="dxa"/>
        </w:tblCellMar>
        <w:tblLook w:val="04A0" w:firstRow="1" w:lastRow="0" w:firstColumn="1" w:lastColumn="0" w:noHBand="0" w:noVBand="1"/>
      </w:tblPr>
      <w:tblGrid>
        <w:gridCol w:w="2440"/>
        <w:gridCol w:w="2260"/>
        <w:gridCol w:w="2260"/>
      </w:tblGrid>
      <w:tr w:rsidR="003969E2" w:rsidRPr="00FC3E6E" w14:paraId="078FAFC5" w14:textId="77777777" w:rsidTr="00AD4F5C">
        <w:trPr>
          <w:trHeight w:val="72"/>
          <w:jc w:val="center"/>
        </w:trPr>
        <w:tc>
          <w:tcPr>
            <w:tcW w:w="2440" w:type="dxa"/>
            <w:tcBorders>
              <w:top w:val="nil"/>
              <w:left w:val="nil"/>
              <w:bottom w:val="nil"/>
              <w:right w:val="nil"/>
            </w:tcBorders>
            <w:shd w:val="clear" w:color="000000" w:fill="FFFFFF"/>
            <w:noWrap/>
            <w:vAlign w:val="bottom"/>
            <w:hideMark/>
          </w:tcPr>
          <w:p w14:paraId="35312C8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3A850A2F"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1CE490B2"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71DD633E" w14:textId="77777777" w:rsidTr="00AD4F5C">
        <w:trPr>
          <w:trHeight w:val="600"/>
          <w:jc w:val="center"/>
        </w:trPr>
        <w:tc>
          <w:tcPr>
            <w:tcW w:w="2440" w:type="dxa"/>
            <w:tcBorders>
              <w:top w:val="double" w:sz="6" w:space="0" w:color="auto"/>
              <w:left w:val="nil"/>
              <w:bottom w:val="single" w:sz="8" w:space="0" w:color="auto"/>
              <w:right w:val="nil"/>
            </w:tcBorders>
            <w:shd w:val="clear" w:color="000000" w:fill="FFFFFF"/>
            <w:noWrap/>
            <w:vAlign w:val="center"/>
            <w:hideMark/>
          </w:tcPr>
          <w:p w14:paraId="2E56C766" w14:textId="77777777" w:rsidR="00DD7DFB" w:rsidRPr="00726964" w:rsidRDefault="00DD7DFB" w:rsidP="00726964">
            <w:pPr>
              <w:spacing w:after="0" w:line="240" w:lineRule="auto"/>
              <w:rPr>
                <w:rFonts w:ascii="Times New Roman" w:eastAsia="Times New Roman" w:hAnsi="Times New Roman" w:cs="Times New Roman"/>
                <w:i/>
                <w:iCs/>
                <w:sz w:val="24"/>
                <w:szCs w:val="24"/>
                <w:lang w:eastAsia="pt-BR"/>
              </w:rPr>
            </w:pPr>
            <w:r w:rsidRPr="00726964">
              <w:rPr>
                <w:rFonts w:ascii="Times New Roman" w:eastAsia="Times New Roman" w:hAnsi="Times New Roman" w:cs="Times New Roman"/>
                <w:i/>
                <w:iCs/>
                <w:sz w:val="24"/>
                <w:szCs w:val="24"/>
                <w:lang w:eastAsia="pt-BR"/>
              </w:rPr>
              <w:t> </w:t>
            </w:r>
          </w:p>
        </w:tc>
        <w:tc>
          <w:tcPr>
            <w:tcW w:w="2260" w:type="dxa"/>
            <w:tcBorders>
              <w:top w:val="double" w:sz="6" w:space="0" w:color="auto"/>
              <w:left w:val="nil"/>
              <w:bottom w:val="single" w:sz="8" w:space="0" w:color="auto"/>
              <w:right w:val="nil"/>
            </w:tcBorders>
            <w:shd w:val="clear" w:color="000000" w:fill="FFFFFF"/>
            <w:noWrap/>
            <w:vAlign w:val="center"/>
            <w:hideMark/>
          </w:tcPr>
          <w:p w14:paraId="522C5BAF"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w:t>
            </w:r>
          </w:p>
        </w:tc>
        <w:tc>
          <w:tcPr>
            <w:tcW w:w="2260" w:type="dxa"/>
            <w:tcBorders>
              <w:top w:val="double" w:sz="6" w:space="0" w:color="auto"/>
              <w:left w:val="nil"/>
              <w:bottom w:val="single" w:sz="8" w:space="0" w:color="auto"/>
              <w:right w:val="nil"/>
            </w:tcBorders>
            <w:shd w:val="clear" w:color="000000" w:fill="FFFFFF"/>
            <w:vAlign w:val="center"/>
            <w:hideMark/>
          </w:tcPr>
          <w:p w14:paraId="0AC63B4B"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MEI e </w:t>
            </w:r>
            <w:proofErr w:type="spellStart"/>
            <w:r w:rsidRPr="00726964">
              <w:rPr>
                <w:rFonts w:ascii="Times New Roman" w:eastAsia="Times New Roman" w:hAnsi="Times New Roman" w:cs="Times New Roman"/>
                <w:sz w:val="24"/>
                <w:szCs w:val="24"/>
                <w:lang w:eastAsia="pt-BR"/>
              </w:rPr>
              <w:t>Empreend</w:t>
            </w:r>
            <w:proofErr w:type="spellEnd"/>
            <w:r w:rsidRPr="00726964">
              <w:rPr>
                <w:rFonts w:ascii="Times New Roman" w:eastAsia="Times New Roman" w:hAnsi="Times New Roman" w:cs="Times New Roman"/>
                <w:sz w:val="24"/>
                <w:szCs w:val="24"/>
                <w:lang w:eastAsia="pt-BR"/>
              </w:rPr>
              <w:t>. 2 a 5</w:t>
            </w:r>
          </w:p>
        </w:tc>
      </w:tr>
      <w:tr w:rsidR="003969E2" w:rsidRPr="00FC3E6E" w14:paraId="7900D7F7"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553527CD"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7344BB1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2EC93B9E"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5208D45B"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306A0815"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2005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6EC4D016"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-0.00583***</w:t>
            </w:r>
          </w:p>
        </w:tc>
        <w:tc>
          <w:tcPr>
            <w:tcW w:w="2260" w:type="dxa"/>
            <w:tcBorders>
              <w:top w:val="nil"/>
              <w:left w:val="nil"/>
              <w:bottom w:val="nil"/>
              <w:right w:val="nil"/>
            </w:tcBorders>
            <w:shd w:val="clear" w:color="000000" w:fill="FFFFFF"/>
            <w:noWrap/>
            <w:vAlign w:val="bottom"/>
            <w:hideMark/>
          </w:tcPr>
          <w:p w14:paraId="0F6FE09E"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0.000127</w:t>
            </w:r>
          </w:p>
        </w:tc>
      </w:tr>
      <w:tr w:rsidR="003969E2" w:rsidRPr="00FC3E6E" w14:paraId="666EA182"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37C7816C"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7BBCE851"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(0.000135)</w:t>
            </w:r>
          </w:p>
        </w:tc>
        <w:tc>
          <w:tcPr>
            <w:tcW w:w="2260" w:type="dxa"/>
            <w:tcBorders>
              <w:top w:val="nil"/>
              <w:left w:val="nil"/>
              <w:bottom w:val="nil"/>
              <w:right w:val="nil"/>
            </w:tcBorders>
            <w:shd w:val="clear" w:color="000000" w:fill="FFFFFF"/>
            <w:noWrap/>
            <w:vAlign w:val="bottom"/>
            <w:hideMark/>
          </w:tcPr>
          <w:p w14:paraId="192974B2"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(0.000429)</w:t>
            </w:r>
          </w:p>
        </w:tc>
      </w:tr>
      <w:tr w:rsidR="003969E2" w:rsidRPr="00FC3E6E" w14:paraId="548274BC"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3D36F80E"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2006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00D7064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-0.00863***</w:t>
            </w:r>
          </w:p>
        </w:tc>
        <w:tc>
          <w:tcPr>
            <w:tcW w:w="2260" w:type="dxa"/>
            <w:tcBorders>
              <w:top w:val="nil"/>
              <w:left w:val="nil"/>
              <w:bottom w:val="nil"/>
              <w:right w:val="nil"/>
            </w:tcBorders>
            <w:shd w:val="clear" w:color="000000" w:fill="FFFFFF"/>
            <w:noWrap/>
            <w:vAlign w:val="bottom"/>
            <w:hideMark/>
          </w:tcPr>
          <w:p w14:paraId="5418BFC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-0.000285</w:t>
            </w:r>
          </w:p>
        </w:tc>
      </w:tr>
      <w:tr w:rsidR="003969E2" w:rsidRPr="00FC3E6E" w14:paraId="2C6A0ED7"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2BC5392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482D388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(0.000133)</w:t>
            </w:r>
          </w:p>
        </w:tc>
        <w:tc>
          <w:tcPr>
            <w:tcW w:w="2260" w:type="dxa"/>
            <w:tcBorders>
              <w:top w:val="nil"/>
              <w:left w:val="nil"/>
              <w:bottom w:val="nil"/>
              <w:right w:val="nil"/>
            </w:tcBorders>
            <w:shd w:val="clear" w:color="000000" w:fill="FFFFFF"/>
            <w:noWrap/>
            <w:vAlign w:val="bottom"/>
            <w:hideMark/>
          </w:tcPr>
          <w:p w14:paraId="09DE337E"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(0.000419)</w:t>
            </w:r>
          </w:p>
        </w:tc>
      </w:tr>
      <w:tr w:rsidR="003969E2" w:rsidRPr="00FC3E6E" w14:paraId="19E247A4"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7BC80C11"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2007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4483F0B2"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-0.00665***</w:t>
            </w:r>
          </w:p>
        </w:tc>
        <w:tc>
          <w:tcPr>
            <w:tcW w:w="2260" w:type="dxa"/>
            <w:tcBorders>
              <w:top w:val="nil"/>
              <w:left w:val="nil"/>
              <w:bottom w:val="nil"/>
              <w:right w:val="nil"/>
            </w:tcBorders>
            <w:shd w:val="clear" w:color="000000" w:fill="FFFFFF"/>
            <w:noWrap/>
            <w:vAlign w:val="bottom"/>
            <w:hideMark/>
          </w:tcPr>
          <w:p w14:paraId="14B5B4B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-0.0190***</w:t>
            </w:r>
          </w:p>
        </w:tc>
      </w:tr>
      <w:tr w:rsidR="003969E2" w:rsidRPr="00FC3E6E" w14:paraId="7EB460AC"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18E327C9"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5D7A0F40"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(0.000133)</w:t>
            </w:r>
          </w:p>
        </w:tc>
        <w:tc>
          <w:tcPr>
            <w:tcW w:w="2260" w:type="dxa"/>
            <w:tcBorders>
              <w:top w:val="nil"/>
              <w:left w:val="nil"/>
              <w:bottom w:val="nil"/>
              <w:right w:val="nil"/>
            </w:tcBorders>
            <w:shd w:val="clear" w:color="000000" w:fill="FFFFFF"/>
            <w:noWrap/>
            <w:vAlign w:val="bottom"/>
            <w:hideMark/>
          </w:tcPr>
          <w:p w14:paraId="2EA8042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(0.000410)</w:t>
            </w:r>
          </w:p>
        </w:tc>
      </w:tr>
      <w:tr w:rsidR="003969E2" w:rsidRPr="00FC3E6E" w14:paraId="322B4826"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68EDA722"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2008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0031BEEA"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-0.0106***</w:t>
            </w:r>
          </w:p>
        </w:tc>
        <w:tc>
          <w:tcPr>
            <w:tcW w:w="2260" w:type="dxa"/>
            <w:tcBorders>
              <w:top w:val="nil"/>
              <w:left w:val="nil"/>
              <w:bottom w:val="nil"/>
              <w:right w:val="nil"/>
            </w:tcBorders>
            <w:shd w:val="clear" w:color="000000" w:fill="FFFFFF"/>
            <w:noWrap/>
            <w:vAlign w:val="bottom"/>
            <w:hideMark/>
          </w:tcPr>
          <w:p w14:paraId="0F75B847"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-0.0298***</w:t>
            </w:r>
          </w:p>
        </w:tc>
      </w:tr>
      <w:tr w:rsidR="003969E2" w:rsidRPr="00FC3E6E" w14:paraId="054CA4E5"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417B9F2B"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3E961DF8"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(0.000131)</w:t>
            </w:r>
          </w:p>
        </w:tc>
        <w:tc>
          <w:tcPr>
            <w:tcW w:w="2260" w:type="dxa"/>
            <w:tcBorders>
              <w:top w:val="nil"/>
              <w:left w:val="nil"/>
              <w:bottom w:val="nil"/>
              <w:right w:val="nil"/>
            </w:tcBorders>
            <w:shd w:val="clear" w:color="000000" w:fill="FFFFFF"/>
            <w:noWrap/>
            <w:vAlign w:val="bottom"/>
            <w:hideMark/>
          </w:tcPr>
          <w:p w14:paraId="20089BC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(0.000384)</w:t>
            </w:r>
          </w:p>
        </w:tc>
      </w:tr>
      <w:tr w:rsidR="003969E2" w:rsidRPr="00FC3E6E" w14:paraId="454FB1BE"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685E8DE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Ano = 2011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0E75BC6B"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0.0568***</w:t>
            </w:r>
          </w:p>
        </w:tc>
        <w:tc>
          <w:tcPr>
            <w:tcW w:w="2260" w:type="dxa"/>
            <w:tcBorders>
              <w:top w:val="nil"/>
              <w:left w:val="nil"/>
              <w:bottom w:val="nil"/>
              <w:right w:val="nil"/>
            </w:tcBorders>
            <w:shd w:val="clear" w:color="000000" w:fill="FFFFFF"/>
            <w:noWrap/>
            <w:vAlign w:val="bottom"/>
            <w:hideMark/>
          </w:tcPr>
          <w:p w14:paraId="55CA19E1"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0.0464***</w:t>
            </w:r>
          </w:p>
        </w:tc>
      </w:tr>
      <w:tr w:rsidR="003969E2" w:rsidRPr="00FC3E6E" w14:paraId="1A7E3382"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1D629A2C"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6AC13CC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(0.000148)</w:t>
            </w:r>
          </w:p>
        </w:tc>
        <w:tc>
          <w:tcPr>
            <w:tcW w:w="2260" w:type="dxa"/>
            <w:tcBorders>
              <w:top w:val="nil"/>
              <w:left w:val="nil"/>
              <w:bottom w:val="nil"/>
              <w:right w:val="nil"/>
            </w:tcBorders>
            <w:shd w:val="clear" w:color="000000" w:fill="FFFFFF"/>
            <w:noWrap/>
            <w:vAlign w:val="bottom"/>
            <w:hideMark/>
          </w:tcPr>
          <w:p w14:paraId="1245CAB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(0.000486)</w:t>
            </w:r>
          </w:p>
        </w:tc>
      </w:tr>
      <w:tr w:rsidR="003969E2" w:rsidRPr="00FC3E6E" w14:paraId="3D3AE71F"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768ACD14"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MEI x 2005 </w:t>
            </w:r>
          </w:p>
        </w:tc>
        <w:tc>
          <w:tcPr>
            <w:tcW w:w="2260" w:type="dxa"/>
            <w:tcBorders>
              <w:top w:val="nil"/>
              <w:left w:val="nil"/>
              <w:bottom w:val="nil"/>
              <w:right w:val="nil"/>
            </w:tcBorders>
            <w:shd w:val="clear" w:color="000000" w:fill="FFFFFF"/>
            <w:noWrap/>
            <w:vAlign w:val="bottom"/>
            <w:hideMark/>
          </w:tcPr>
          <w:p w14:paraId="45EA63B6"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4C00293D"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-0.00698***</w:t>
            </w:r>
          </w:p>
        </w:tc>
      </w:tr>
      <w:tr w:rsidR="003969E2" w:rsidRPr="00FC3E6E" w14:paraId="1B4AE712"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17C1619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70C887DC"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5810E5C0"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(0.000447)</w:t>
            </w:r>
          </w:p>
        </w:tc>
      </w:tr>
      <w:tr w:rsidR="003969E2" w:rsidRPr="00FC3E6E" w14:paraId="4D31BDAC"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238F5BBB"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x 2006</w:t>
            </w:r>
          </w:p>
        </w:tc>
        <w:tc>
          <w:tcPr>
            <w:tcW w:w="2260" w:type="dxa"/>
            <w:tcBorders>
              <w:top w:val="nil"/>
              <w:left w:val="nil"/>
              <w:bottom w:val="nil"/>
              <w:right w:val="nil"/>
            </w:tcBorders>
            <w:shd w:val="clear" w:color="000000" w:fill="FFFFFF"/>
            <w:noWrap/>
            <w:vAlign w:val="bottom"/>
            <w:hideMark/>
          </w:tcPr>
          <w:p w14:paraId="4DBEE5A1"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2F7C4361"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-0.00956***</w:t>
            </w:r>
          </w:p>
        </w:tc>
      </w:tr>
      <w:tr w:rsidR="003969E2" w:rsidRPr="00FC3E6E" w14:paraId="1273A6BE"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08465CBC"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E60455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1E5087BA"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(0.000436)</w:t>
            </w:r>
          </w:p>
        </w:tc>
      </w:tr>
      <w:tr w:rsidR="003969E2" w:rsidRPr="00FC3E6E" w14:paraId="1DB3A12C"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79D07507"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x 2007</w:t>
            </w:r>
          </w:p>
        </w:tc>
        <w:tc>
          <w:tcPr>
            <w:tcW w:w="2260" w:type="dxa"/>
            <w:tcBorders>
              <w:top w:val="nil"/>
              <w:left w:val="nil"/>
              <w:bottom w:val="nil"/>
              <w:right w:val="nil"/>
            </w:tcBorders>
            <w:shd w:val="clear" w:color="000000" w:fill="FFFFFF"/>
            <w:noWrap/>
            <w:vAlign w:val="bottom"/>
            <w:hideMark/>
          </w:tcPr>
          <w:p w14:paraId="4D267B9D"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5861096E"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0.0120***</w:t>
            </w:r>
          </w:p>
        </w:tc>
      </w:tr>
      <w:tr w:rsidR="003969E2" w:rsidRPr="00FC3E6E" w14:paraId="4EC5AD6D"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0F3AD128"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5E76998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6ED0AD8"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(0.000467)</w:t>
            </w:r>
          </w:p>
        </w:tc>
      </w:tr>
      <w:tr w:rsidR="003969E2" w:rsidRPr="00FC3E6E" w14:paraId="61B9642A"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109B07D7"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x 2008</w:t>
            </w:r>
          </w:p>
        </w:tc>
        <w:tc>
          <w:tcPr>
            <w:tcW w:w="2260" w:type="dxa"/>
            <w:tcBorders>
              <w:top w:val="nil"/>
              <w:left w:val="nil"/>
              <w:bottom w:val="nil"/>
              <w:right w:val="nil"/>
            </w:tcBorders>
            <w:shd w:val="clear" w:color="000000" w:fill="FFFFFF"/>
            <w:noWrap/>
            <w:vAlign w:val="bottom"/>
            <w:hideMark/>
          </w:tcPr>
          <w:p w14:paraId="26888365"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5E258DAF"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0.0193***</w:t>
            </w:r>
          </w:p>
        </w:tc>
      </w:tr>
      <w:tr w:rsidR="003969E2" w:rsidRPr="00FC3E6E" w14:paraId="5DC50735"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20448730"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002ED72"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B5BD9F3"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(0.000458)</w:t>
            </w:r>
          </w:p>
        </w:tc>
      </w:tr>
      <w:tr w:rsidR="003969E2" w:rsidRPr="00FC3E6E" w14:paraId="31105B33"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6AB2724F"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x 2011</w:t>
            </w:r>
          </w:p>
        </w:tc>
        <w:tc>
          <w:tcPr>
            <w:tcW w:w="2260" w:type="dxa"/>
            <w:tcBorders>
              <w:top w:val="nil"/>
              <w:left w:val="nil"/>
              <w:bottom w:val="nil"/>
              <w:right w:val="nil"/>
            </w:tcBorders>
            <w:shd w:val="clear" w:color="000000" w:fill="FFFFFF"/>
            <w:noWrap/>
            <w:vAlign w:val="bottom"/>
            <w:hideMark/>
          </w:tcPr>
          <w:p w14:paraId="5AD843AC"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35A90ACE"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0.0154***</w:t>
            </w:r>
          </w:p>
        </w:tc>
      </w:tr>
      <w:tr w:rsidR="003969E2" w:rsidRPr="00FC3E6E" w14:paraId="55AFD498"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5B878F9D"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7A9D5CF0"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2035A67"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(0.000482)</w:t>
            </w:r>
          </w:p>
        </w:tc>
      </w:tr>
      <w:tr w:rsidR="003969E2" w:rsidRPr="00FC3E6E" w14:paraId="7E96DF9C" w14:textId="77777777" w:rsidTr="00AD4F5C">
        <w:trPr>
          <w:trHeight w:val="288"/>
          <w:jc w:val="center"/>
        </w:trPr>
        <w:tc>
          <w:tcPr>
            <w:tcW w:w="2440" w:type="dxa"/>
            <w:tcBorders>
              <w:top w:val="nil"/>
              <w:left w:val="nil"/>
              <w:bottom w:val="nil"/>
              <w:right w:val="nil"/>
            </w:tcBorders>
            <w:shd w:val="clear" w:color="000000" w:fill="FFFFFF"/>
            <w:noWrap/>
            <w:vAlign w:val="bottom"/>
            <w:hideMark/>
          </w:tcPr>
          <w:p w14:paraId="557BA762"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MEI (</w:t>
            </w:r>
            <w:proofErr w:type="spellStart"/>
            <w:r w:rsidRPr="00726964">
              <w:rPr>
                <w:rFonts w:ascii="Times New Roman" w:eastAsia="Times New Roman" w:hAnsi="Times New Roman" w:cs="Times New Roman"/>
                <w:sz w:val="24"/>
                <w:szCs w:val="24"/>
                <w:lang w:eastAsia="pt-BR"/>
              </w:rPr>
              <w:t>dummy</w:t>
            </w:r>
            <w:proofErr w:type="spellEnd"/>
            <w:r w:rsidRPr="00726964">
              <w:rPr>
                <w:rFonts w:ascii="Times New Roman" w:eastAsia="Times New Roman" w:hAnsi="Times New Roman" w:cs="Times New Roman"/>
                <w:sz w:val="24"/>
                <w:szCs w:val="24"/>
                <w:lang w:eastAsia="pt-BR"/>
              </w:rPr>
              <w:t>)</w:t>
            </w:r>
          </w:p>
        </w:tc>
        <w:tc>
          <w:tcPr>
            <w:tcW w:w="2260" w:type="dxa"/>
            <w:tcBorders>
              <w:top w:val="nil"/>
              <w:left w:val="nil"/>
              <w:bottom w:val="nil"/>
              <w:right w:val="nil"/>
            </w:tcBorders>
            <w:shd w:val="clear" w:color="000000" w:fill="FFFFFF"/>
            <w:noWrap/>
            <w:vAlign w:val="bottom"/>
            <w:hideMark/>
          </w:tcPr>
          <w:p w14:paraId="03D1351E"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0BEF8390"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-0.329***</w:t>
            </w:r>
          </w:p>
        </w:tc>
      </w:tr>
      <w:tr w:rsidR="003969E2" w:rsidRPr="00FC3E6E" w14:paraId="1296026F" w14:textId="77777777" w:rsidTr="00AD4F5C">
        <w:trPr>
          <w:trHeight w:val="300"/>
          <w:jc w:val="center"/>
        </w:trPr>
        <w:tc>
          <w:tcPr>
            <w:tcW w:w="2440" w:type="dxa"/>
            <w:tcBorders>
              <w:top w:val="nil"/>
              <w:left w:val="nil"/>
              <w:bottom w:val="double" w:sz="6" w:space="0" w:color="auto"/>
              <w:right w:val="nil"/>
            </w:tcBorders>
            <w:shd w:val="clear" w:color="000000" w:fill="FFFFFF"/>
            <w:noWrap/>
            <w:vAlign w:val="bottom"/>
            <w:hideMark/>
          </w:tcPr>
          <w:p w14:paraId="7D0D5BA1"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double" w:sz="6" w:space="0" w:color="auto"/>
              <w:right w:val="nil"/>
            </w:tcBorders>
            <w:shd w:val="clear" w:color="000000" w:fill="FFFFFF"/>
            <w:noWrap/>
            <w:vAlign w:val="bottom"/>
            <w:hideMark/>
          </w:tcPr>
          <w:p w14:paraId="0481285A"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double" w:sz="6" w:space="0" w:color="auto"/>
              <w:right w:val="nil"/>
            </w:tcBorders>
            <w:shd w:val="clear" w:color="000000" w:fill="FFFFFF"/>
            <w:noWrap/>
            <w:vAlign w:val="bottom"/>
            <w:hideMark/>
          </w:tcPr>
          <w:p w14:paraId="69F5B7B8"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(0.000449)</w:t>
            </w:r>
          </w:p>
        </w:tc>
      </w:tr>
      <w:tr w:rsidR="003969E2" w:rsidRPr="00FC3E6E" w14:paraId="109A344E" w14:textId="77777777" w:rsidTr="00AD4F5C">
        <w:trPr>
          <w:trHeight w:val="108"/>
          <w:jc w:val="center"/>
        </w:trPr>
        <w:tc>
          <w:tcPr>
            <w:tcW w:w="2440" w:type="dxa"/>
            <w:tcBorders>
              <w:top w:val="nil"/>
              <w:left w:val="nil"/>
              <w:bottom w:val="nil"/>
              <w:right w:val="nil"/>
            </w:tcBorders>
            <w:shd w:val="clear" w:color="000000" w:fill="FFFFFF"/>
            <w:noWrap/>
            <w:vAlign w:val="bottom"/>
            <w:hideMark/>
          </w:tcPr>
          <w:p w14:paraId="1FE82814" w14:textId="77777777" w:rsidR="00DD7DFB" w:rsidRPr="00726964" w:rsidRDefault="00DD7DFB"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lastRenderedPageBreak/>
              <w:t> </w:t>
            </w:r>
          </w:p>
        </w:tc>
        <w:tc>
          <w:tcPr>
            <w:tcW w:w="2260" w:type="dxa"/>
            <w:tcBorders>
              <w:top w:val="nil"/>
              <w:left w:val="nil"/>
              <w:bottom w:val="nil"/>
              <w:right w:val="nil"/>
            </w:tcBorders>
            <w:shd w:val="clear" w:color="000000" w:fill="FFFFFF"/>
            <w:noWrap/>
            <w:vAlign w:val="bottom"/>
            <w:hideMark/>
          </w:tcPr>
          <w:p w14:paraId="2856533F"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2260" w:type="dxa"/>
            <w:tcBorders>
              <w:top w:val="nil"/>
              <w:left w:val="nil"/>
              <w:bottom w:val="nil"/>
              <w:right w:val="nil"/>
            </w:tcBorders>
            <w:shd w:val="clear" w:color="000000" w:fill="FFFFFF"/>
            <w:noWrap/>
            <w:vAlign w:val="bottom"/>
            <w:hideMark/>
          </w:tcPr>
          <w:p w14:paraId="12C45269" w14:textId="77777777" w:rsidR="00DD7DFB" w:rsidRPr="00726964" w:rsidRDefault="00DD7DFB"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06D5439F" w14:textId="77777777" w:rsidR="000B2063" w:rsidRPr="00726964" w:rsidRDefault="000B2063">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PNAD.</w:t>
      </w:r>
    </w:p>
    <w:p w14:paraId="3E8FCF7A" w14:textId="77777777" w:rsidR="00DD7DFB" w:rsidRPr="00726964" w:rsidRDefault="000B2063" w:rsidP="00726964">
      <w:pPr>
        <w:spacing w:line="240" w:lineRule="auto"/>
        <w:jc w:val="both"/>
        <w:rPr>
          <w:rFonts w:ascii="Times New Roman" w:hAnsi="Times New Roman" w:cs="Times New Roman"/>
          <w:bCs/>
          <w:sz w:val="24"/>
          <w:szCs w:val="24"/>
        </w:rPr>
      </w:pPr>
      <w:r w:rsidRPr="00726964">
        <w:rPr>
          <w:rFonts w:ascii="Times New Roman" w:eastAsia="Times New Roman" w:hAnsi="Times New Roman" w:cs="Times New Roman"/>
          <w:sz w:val="24"/>
          <w:szCs w:val="24"/>
          <w:lang w:eastAsia="pt-BR"/>
        </w:rPr>
        <w:t xml:space="preserve">Nota: </w:t>
      </w:r>
      <w:r w:rsidRPr="00726964">
        <w:rPr>
          <w:rFonts w:ascii="Times New Roman" w:hAnsi="Times New Roman" w:cs="Times New Roman"/>
          <w:sz w:val="24"/>
          <w:szCs w:val="24"/>
        </w:rPr>
        <w:t xml:space="preserve">As seguintes variáveis foram usadas como controles: </w:t>
      </w:r>
      <w:r w:rsidRPr="00726964">
        <w:rPr>
          <w:rFonts w:ascii="Times New Roman" w:hAnsi="Times New Roman" w:cs="Times New Roman"/>
          <w:bCs/>
          <w:sz w:val="24"/>
          <w:szCs w:val="24"/>
        </w:rPr>
        <w:t>gênero, faixa etária, nível de escolaridade, cor, posição na família, número de crianças e de idosos no domicílio, setor de atividade, e região.</w:t>
      </w:r>
    </w:p>
    <w:p w14:paraId="2E175550" w14:textId="77777777" w:rsidR="00CB65E6" w:rsidRPr="00726964" w:rsidRDefault="00CB65E6"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Ainda que a utilização de um período mais longo da PNAD permita examinar a existência de uma tendência de formalização anterior à introdução do programa, a PNAD não permite captar as variações </w:t>
      </w:r>
      <w:r w:rsidR="0094034F" w:rsidRPr="00726964">
        <w:rPr>
          <w:rFonts w:ascii="Times New Roman" w:hAnsi="Times New Roman" w:cs="Times New Roman"/>
          <w:bCs/>
          <w:sz w:val="24"/>
          <w:szCs w:val="24"/>
        </w:rPr>
        <w:t xml:space="preserve">mensais e tampouco </w:t>
      </w:r>
      <w:r w:rsidR="00817635" w:rsidRPr="00726964">
        <w:rPr>
          <w:rFonts w:ascii="Times New Roman" w:hAnsi="Times New Roman" w:cs="Times New Roman"/>
          <w:bCs/>
          <w:sz w:val="24"/>
          <w:szCs w:val="24"/>
        </w:rPr>
        <w:t xml:space="preserve">estender a análise a um período </w:t>
      </w:r>
      <w:r w:rsidR="0094034F" w:rsidRPr="00726964">
        <w:rPr>
          <w:rFonts w:ascii="Times New Roman" w:hAnsi="Times New Roman" w:cs="Times New Roman"/>
          <w:bCs/>
          <w:sz w:val="24"/>
          <w:szCs w:val="24"/>
        </w:rPr>
        <w:t xml:space="preserve">mais recente. </w:t>
      </w:r>
      <w:r w:rsidR="00F6060E" w:rsidRPr="00726964">
        <w:rPr>
          <w:rFonts w:ascii="Times New Roman" w:hAnsi="Times New Roman" w:cs="Times New Roman"/>
          <w:bCs/>
          <w:sz w:val="24"/>
          <w:szCs w:val="24"/>
        </w:rPr>
        <w:t>Assim, utilizamos aqui os dados da Pesquisa Mensal do Emprego de 200</w:t>
      </w:r>
      <w:r w:rsidR="0094034F" w:rsidRPr="00726964">
        <w:rPr>
          <w:rFonts w:ascii="Times New Roman" w:hAnsi="Times New Roman" w:cs="Times New Roman"/>
          <w:bCs/>
          <w:sz w:val="24"/>
          <w:szCs w:val="24"/>
        </w:rPr>
        <w:t>4</w:t>
      </w:r>
      <w:r w:rsidR="00F6060E" w:rsidRPr="00726964">
        <w:rPr>
          <w:rFonts w:ascii="Times New Roman" w:hAnsi="Times New Roman" w:cs="Times New Roman"/>
          <w:bCs/>
          <w:sz w:val="24"/>
          <w:szCs w:val="24"/>
        </w:rPr>
        <w:t xml:space="preserve"> a 2012 e estimamos um modelo </w:t>
      </w:r>
      <w:proofErr w:type="spellStart"/>
      <w:r w:rsidR="00F6060E" w:rsidRPr="00726964">
        <w:rPr>
          <w:rFonts w:ascii="Times New Roman" w:hAnsi="Times New Roman" w:cs="Times New Roman"/>
          <w:bCs/>
          <w:sz w:val="24"/>
          <w:szCs w:val="24"/>
        </w:rPr>
        <w:t>Probit</w:t>
      </w:r>
      <w:proofErr w:type="spellEnd"/>
      <w:r w:rsidR="00F6060E" w:rsidRPr="00726964">
        <w:rPr>
          <w:rFonts w:ascii="Times New Roman" w:hAnsi="Times New Roman" w:cs="Times New Roman"/>
          <w:bCs/>
          <w:sz w:val="24"/>
          <w:szCs w:val="24"/>
        </w:rPr>
        <w:t xml:space="preserve"> análogo àquele expresso em (2),</w:t>
      </w:r>
      <w:r w:rsidR="004078ED" w:rsidRPr="00726964">
        <w:rPr>
          <w:rStyle w:val="FootnoteReference"/>
          <w:rFonts w:ascii="Times New Roman" w:hAnsi="Times New Roman" w:cs="Times New Roman"/>
          <w:bCs/>
          <w:sz w:val="24"/>
          <w:szCs w:val="24"/>
        </w:rPr>
        <w:t xml:space="preserve"> </w:t>
      </w:r>
      <w:r w:rsidR="004078ED" w:rsidRPr="00726964">
        <w:rPr>
          <w:rStyle w:val="FootnoteReference"/>
          <w:rFonts w:ascii="Times New Roman" w:hAnsi="Times New Roman" w:cs="Times New Roman"/>
          <w:bCs/>
          <w:sz w:val="24"/>
          <w:szCs w:val="24"/>
        </w:rPr>
        <w:footnoteReference w:id="13"/>
      </w:r>
      <w:r w:rsidR="00F6060E" w:rsidRPr="00726964">
        <w:rPr>
          <w:rFonts w:ascii="Times New Roman" w:hAnsi="Times New Roman" w:cs="Times New Roman"/>
          <w:bCs/>
          <w:sz w:val="24"/>
          <w:szCs w:val="24"/>
        </w:rPr>
        <w:t xml:space="preserve"> porém explorando a frequência mensal da PME e criando </w:t>
      </w:r>
      <w:proofErr w:type="spellStart"/>
      <w:r w:rsidR="00F6060E" w:rsidRPr="00726964">
        <w:rPr>
          <w:rFonts w:ascii="Times New Roman" w:hAnsi="Times New Roman" w:cs="Times New Roman"/>
          <w:bCs/>
          <w:sz w:val="24"/>
          <w:szCs w:val="24"/>
        </w:rPr>
        <w:t>dummies</w:t>
      </w:r>
      <w:proofErr w:type="spellEnd"/>
      <w:r w:rsidR="00F6060E" w:rsidRPr="00726964">
        <w:rPr>
          <w:rFonts w:ascii="Times New Roman" w:hAnsi="Times New Roman" w:cs="Times New Roman"/>
          <w:bCs/>
          <w:sz w:val="24"/>
          <w:szCs w:val="24"/>
        </w:rPr>
        <w:t xml:space="preserve"> para os períodos especificados na Tabela </w:t>
      </w:r>
      <w:r w:rsidR="004078ED" w:rsidRPr="00726964">
        <w:rPr>
          <w:rFonts w:ascii="Times New Roman" w:hAnsi="Times New Roman" w:cs="Times New Roman"/>
          <w:bCs/>
          <w:sz w:val="24"/>
          <w:szCs w:val="24"/>
        </w:rPr>
        <w:t>6</w:t>
      </w:r>
      <w:r w:rsidR="00F6060E" w:rsidRPr="00726964">
        <w:rPr>
          <w:rFonts w:ascii="Times New Roman" w:hAnsi="Times New Roman" w:cs="Times New Roman"/>
          <w:bCs/>
          <w:sz w:val="24"/>
          <w:szCs w:val="24"/>
        </w:rPr>
        <w:t>.</w:t>
      </w:r>
      <w:r w:rsidR="00363A79" w:rsidRPr="00726964">
        <w:rPr>
          <w:rFonts w:ascii="Times New Roman" w:hAnsi="Times New Roman" w:cs="Times New Roman"/>
          <w:bCs/>
          <w:sz w:val="24"/>
          <w:szCs w:val="24"/>
        </w:rPr>
        <w:t xml:space="preserve"> À semelhança da PNAD pré-2009, a PME não conta com a informação se o empreendedor possui ou não CNPJ, portanto as regressões consideram apenas a dimensão previdenciária.</w:t>
      </w:r>
      <w:r w:rsidR="00B37340" w:rsidRPr="00726964">
        <w:rPr>
          <w:rStyle w:val="FootnoteReference"/>
          <w:rFonts w:ascii="Times New Roman" w:hAnsi="Times New Roman" w:cs="Times New Roman"/>
          <w:bCs/>
          <w:sz w:val="24"/>
          <w:szCs w:val="24"/>
        </w:rPr>
        <w:footnoteReference w:id="14"/>
      </w:r>
      <w:r w:rsidR="00F6060E" w:rsidRPr="00726964">
        <w:rPr>
          <w:rFonts w:ascii="Times New Roman" w:hAnsi="Times New Roman" w:cs="Times New Roman"/>
          <w:bCs/>
          <w:sz w:val="24"/>
          <w:szCs w:val="24"/>
        </w:rPr>
        <w:t xml:space="preserve"> </w:t>
      </w:r>
      <w:r w:rsidR="00E60908" w:rsidRPr="00726964">
        <w:rPr>
          <w:rFonts w:ascii="Times New Roman" w:hAnsi="Times New Roman" w:cs="Times New Roman"/>
          <w:bCs/>
          <w:sz w:val="24"/>
          <w:szCs w:val="24"/>
        </w:rPr>
        <w:t xml:space="preserve">Os resultados apontam uma clara mudança de tendência </w:t>
      </w:r>
      <w:r w:rsidR="00F6060E" w:rsidRPr="00726964">
        <w:rPr>
          <w:rFonts w:ascii="Times New Roman" w:hAnsi="Times New Roman" w:cs="Times New Roman"/>
          <w:bCs/>
          <w:sz w:val="24"/>
          <w:szCs w:val="24"/>
        </w:rPr>
        <w:t>a partir da introdução do</w:t>
      </w:r>
      <w:r w:rsidR="00E60908" w:rsidRPr="00726964">
        <w:rPr>
          <w:rFonts w:ascii="Times New Roman" w:hAnsi="Times New Roman" w:cs="Times New Roman"/>
          <w:bCs/>
          <w:sz w:val="24"/>
          <w:szCs w:val="24"/>
        </w:rPr>
        <w:t xml:space="preserve"> EI</w:t>
      </w:r>
      <w:r w:rsidR="00F6060E" w:rsidRPr="00726964">
        <w:rPr>
          <w:rFonts w:ascii="Times New Roman" w:hAnsi="Times New Roman" w:cs="Times New Roman"/>
          <w:bCs/>
          <w:sz w:val="24"/>
          <w:szCs w:val="24"/>
        </w:rPr>
        <w:t xml:space="preserve">, em Julho de 2009, com probabilidades de contribuição à previdência crescentemente positivas </w:t>
      </w:r>
      <w:r w:rsidR="00363A79" w:rsidRPr="00726964">
        <w:rPr>
          <w:rFonts w:ascii="Times New Roman" w:hAnsi="Times New Roman" w:cs="Times New Roman"/>
          <w:bCs/>
          <w:sz w:val="24"/>
          <w:szCs w:val="24"/>
        </w:rPr>
        <w:t>entre</w:t>
      </w:r>
      <w:r w:rsidR="00F6060E" w:rsidRPr="00726964">
        <w:rPr>
          <w:rFonts w:ascii="Times New Roman" w:hAnsi="Times New Roman" w:cs="Times New Roman"/>
          <w:bCs/>
          <w:sz w:val="24"/>
          <w:szCs w:val="24"/>
        </w:rPr>
        <w:t xml:space="preserve"> aqueles elegíveis à política</w:t>
      </w:r>
      <w:r w:rsidR="00E60908" w:rsidRPr="00726964">
        <w:rPr>
          <w:rFonts w:ascii="Times New Roman" w:hAnsi="Times New Roman" w:cs="Times New Roman"/>
          <w:bCs/>
          <w:sz w:val="24"/>
          <w:szCs w:val="24"/>
        </w:rPr>
        <w:t>.</w:t>
      </w:r>
    </w:p>
    <w:p w14:paraId="5030974F" w14:textId="77777777" w:rsidR="00972AC0" w:rsidRPr="00726964" w:rsidRDefault="00972AC0" w:rsidP="00726964">
      <w:pPr>
        <w:spacing w:after="0" w:line="240" w:lineRule="auto"/>
        <w:jc w:val="both"/>
        <w:rPr>
          <w:rFonts w:ascii="Times New Roman" w:hAnsi="Times New Roman" w:cs="Times New Roman"/>
          <w:b/>
          <w:bCs/>
          <w:sz w:val="24"/>
          <w:szCs w:val="24"/>
        </w:rPr>
      </w:pPr>
      <w:r w:rsidRPr="00726964">
        <w:rPr>
          <w:rFonts w:ascii="Times New Roman" w:hAnsi="Times New Roman" w:cs="Times New Roman"/>
          <w:b/>
          <w:bCs/>
          <w:sz w:val="24"/>
          <w:szCs w:val="24"/>
        </w:rPr>
        <w:t xml:space="preserve">Tabela </w:t>
      </w:r>
      <w:r w:rsidR="00363A79" w:rsidRPr="00726964">
        <w:rPr>
          <w:rFonts w:ascii="Times New Roman" w:hAnsi="Times New Roman" w:cs="Times New Roman"/>
          <w:b/>
          <w:bCs/>
          <w:sz w:val="24"/>
          <w:szCs w:val="24"/>
        </w:rPr>
        <w:t>6</w:t>
      </w:r>
      <w:r w:rsidRPr="00726964">
        <w:rPr>
          <w:rFonts w:ascii="Times New Roman" w:hAnsi="Times New Roman" w:cs="Times New Roman"/>
          <w:b/>
          <w:bCs/>
          <w:sz w:val="24"/>
          <w:szCs w:val="24"/>
        </w:rPr>
        <w:t xml:space="preserve">: Evolução na probabilidade de ser formal entre 2009 e 2011 para os </w:t>
      </w:r>
      <w:r w:rsidR="00363A79" w:rsidRPr="00726964">
        <w:rPr>
          <w:rFonts w:ascii="Times New Roman" w:hAnsi="Times New Roman" w:cs="Times New Roman"/>
          <w:b/>
          <w:bCs/>
          <w:sz w:val="24"/>
          <w:szCs w:val="24"/>
        </w:rPr>
        <w:t>M</w:t>
      </w:r>
      <w:r w:rsidRPr="00726964">
        <w:rPr>
          <w:rFonts w:ascii="Times New Roman" w:hAnsi="Times New Roman" w:cs="Times New Roman"/>
          <w:b/>
          <w:bCs/>
          <w:sz w:val="24"/>
          <w:szCs w:val="24"/>
        </w:rPr>
        <w:t>EI</w:t>
      </w:r>
    </w:p>
    <w:tbl>
      <w:tblPr>
        <w:tblW w:w="7247" w:type="dxa"/>
        <w:tblInd w:w="55" w:type="dxa"/>
        <w:tblCellMar>
          <w:left w:w="70" w:type="dxa"/>
          <w:right w:w="70" w:type="dxa"/>
        </w:tblCellMar>
        <w:tblLook w:val="04A0" w:firstRow="1" w:lastRow="0" w:firstColumn="1" w:lastColumn="0" w:noHBand="0" w:noVBand="1"/>
      </w:tblPr>
      <w:tblGrid>
        <w:gridCol w:w="3693"/>
        <w:gridCol w:w="1440"/>
        <w:gridCol w:w="418"/>
        <w:gridCol w:w="1696"/>
      </w:tblGrid>
      <w:tr w:rsidR="003969E2" w:rsidRPr="00FC3E6E" w14:paraId="5E4EFD57" w14:textId="77777777" w:rsidTr="00CB1E86">
        <w:trPr>
          <w:trHeight w:val="412"/>
        </w:trPr>
        <w:tc>
          <w:tcPr>
            <w:tcW w:w="3693" w:type="dxa"/>
            <w:tcBorders>
              <w:top w:val="double" w:sz="6" w:space="0" w:color="auto"/>
              <w:left w:val="nil"/>
              <w:bottom w:val="single" w:sz="4" w:space="0" w:color="auto"/>
              <w:right w:val="nil"/>
            </w:tcBorders>
            <w:shd w:val="clear" w:color="000000" w:fill="FFFFFF"/>
            <w:noWrap/>
            <w:vAlign w:val="center"/>
            <w:hideMark/>
          </w:tcPr>
          <w:p w14:paraId="732982D8"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440" w:type="dxa"/>
            <w:tcBorders>
              <w:top w:val="double" w:sz="6" w:space="0" w:color="auto"/>
              <w:left w:val="nil"/>
              <w:bottom w:val="single" w:sz="4" w:space="0" w:color="auto"/>
              <w:right w:val="nil"/>
            </w:tcBorders>
            <w:shd w:val="clear" w:color="000000" w:fill="FFFFFF"/>
            <w:noWrap/>
            <w:vAlign w:val="center"/>
            <w:hideMark/>
          </w:tcPr>
          <w:p w14:paraId="1A8D8DCF"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Coeficiente </w:t>
            </w:r>
          </w:p>
        </w:tc>
        <w:tc>
          <w:tcPr>
            <w:tcW w:w="418" w:type="dxa"/>
            <w:tcBorders>
              <w:top w:val="double" w:sz="6" w:space="0" w:color="auto"/>
              <w:left w:val="nil"/>
              <w:bottom w:val="single" w:sz="4" w:space="0" w:color="auto"/>
              <w:right w:val="nil"/>
            </w:tcBorders>
            <w:shd w:val="clear" w:color="000000" w:fill="FFFFFF"/>
            <w:noWrap/>
            <w:vAlign w:val="center"/>
            <w:hideMark/>
          </w:tcPr>
          <w:p w14:paraId="4386030F"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696" w:type="dxa"/>
            <w:tcBorders>
              <w:top w:val="double" w:sz="6" w:space="0" w:color="auto"/>
              <w:left w:val="nil"/>
              <w:bottom w:val="single" w:sz="4" w:space="0" w:color="auto"/>
              <w:right w:val="nil"/>
            </w:tcBorders>
            <w:shd w:val="clear" w:color="000000" w:fill="FFFFFF"/>
            <w:noWrap/>
            <w:vAlign w:val="center"/>
            <w:hideMark/>
          </w:tcPr>
          <w:p w14:paraId="07302D85"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Desvio-padrão</w:t>
            </w:r>
          </w:p>
        </w:tc>
      </w:tr>
      <w:tr w:rsidR="003969E2" w:rsidRPr="00FC3E6E" w14:paraId="4B3BD980" w14:textId="77777777" w:rsidTr="00CB1E86">
        <w:trPr>
          <w:trHeight w:val="474"/>
        </w:trPr>
        <w:tc>
          <w:tcPr>
            <w:tcW w:w="3693" w:type="dxa"/>
            <w:tcBorders>
              <w:top w:val="nil"/>
              <w:left w:val="nil"/>
              <w:bottom w:val="nil"/>
              <w:right w:val="nil"/>
            </w:tcBorders>
            <w:shd w:val="clear" w:color="000000" w:fill="FFFFFF"/>
            <w:noWrap/>
            <w:vAlign w:val="bottom"/>
            <w:hideMark/>
          </w:tcPr>
          <w:p w14:paraId="1759CB06"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2004 até Junho 2005</w:t>
            </w:r>
          </w:p>
        </w:tc>
        <w:tc>
          <w:tcPr>
            <w:tcW w:w="1440" w:type="dxa"/>
            <w:tcBorders>
              <w:top w:val="nil"/>
              <w:left w:val="nil"/>
              <w:bottom w:val="nil"/>
              <w:right w:val="nil"/>
            </w:tcBorders>
            <w:shd w:val="clear" w:color="000000" w:fill="FFFFFF"/>
            <w:noWrap/>
            <w:vAlign w:val="bottom"/>
            <w:hideMark/>
          </w:tcPr>
          <w:p w14:paraId="6ACE658A"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-0,100</w:t>
            </w:r>
          </w:p>
        </w:tc>
        <w:tc>
          <w:tcPr>
            <w:tcW w:w="418" w:type="dxa"/>
            <w:tcBorders>
              <w:top w:val="nil"/>
              <w:left w:val="nil"/>
              <w:bottom w:val="nil"/>
              <w:right w:val="nil"/>
            </w:tcBorders>
            <w:shd w:val="clear" w:color="000000" w:fill="FFFFFF"/>
            <w:noWrap/>
            <w:vAlign w:val="bottom"/>
            <w:hideMark/>
          </w:tcPr>
          <w:p w14:paraId="0B1A6076"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0DF35621"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0,011</w:t>
            </w:r>
          </w:p>
        </w:tc>
      </w:tr>
      <w:tr w:rsidR="003969E2" w:rsidRPr="00FC3E6E" w14:paraId="339A2BC4" w14:textId="77777777" w:rsidTr="00CB1E86">
        <w:trPr>
          <w:trHeight w:val="361"/>
        </w:trPr>
        <w:tc>
          <w:tcPr>
            <w:tcW w:w="3693" w:type="dxa"/>
            <w:tcBorders>
              <w:top w:val="nil"/>
              <w:left w:val="nil"/>
              <w:bottom w:val="nil"/>
              <w:right w:val="nil"/>
            </w:tcBorders>
            <w:shd w:val="clear" w:color="000000" w:fill="FFFFFF"/>
            <w:noWrap/>
            <w:vAlign w:val="bottom"/>
            <w:hideMark/>
          </w:tcPr>
          <w:p w14:paraId="5213CF1A"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2005 até Junho 2006</w:t>
            </w:r>
          </w:p>
        </w:tc>
        <w:tc>
          <w:tcPr>
            <w:tcW w:w="1440" w:type="dxa"/>
            <w:tcBorders>
              <w:top w:val="nil"/>
              <w:left w:val="nil"/>
              <w:bottom w:val="nil"/>
              <w:right w:val="nil"/>
            </w:tcBorders>
            <w:shd w:val="clear" w:color="000000" w:fill="FFFFFF"/>
            <w:noWrap/>
            <w:vAlign w:val="bottom"/>
            <w:hideMark/>
          </w:tcPr>
          <w:p w14:paraId="5CFCFCD9"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-0,025</w:t>
            </w:r>
          </w:p>
        </w:tc>
        <w:tc>
          <w:tcPr>
            <w:tcW w:w="418" w:type="dxa"/>
            <w:tcBorders>
              <w:top w:val="nil"/>
              <w:left w:val="nil"/>
              <w:bottom w:val="nil"/>
              <w:right w:val="nil"/>
            </w:tcBorders>
            <w:shd w:val="clear" w:color="000000" w:fill="FFFFFF"/>
            <w:noWrap/>
            <w:vAlign w:val="bottom"/>
            <w:hideMark/>
          </w:tcPr>
          <w:p w14:paraId="707CF9F4"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058DFFC7"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63E4D3A4" w14:textId="77777777" w:rsidTr="00CB1E86">
        <w:trPr>
          <w:trHeight w:val="361"/>
        </w:trPr>
        <w:tc>
          <w:tcPr>
            <w:tcW w:w="3693" w:type="dxa"/>
            <w:tcBorders>
              <w:top w:val="nil"/>
              <w:left w:val="nil"/>
              <w:bottom w:val="nil"/>
              <w:right w:val="nil"/>
            </w:tcBorders>
            <w:shd w:val="clear" w:color="000000" w:fill="FFFFFF"/>
            <w:noWrap/>
            <w:vAlign w:val="bottom"/>
            <w:hideMark/>
          </w:tcPr>
          <w:p w14:paraId="3C8DDA11"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2006 até Junho 2007</w:t>
            </w:r>
          </w:p>
        </w:tc>
        <w:tc>
          <w:tcPr>
            <w:tcW w:w="1440" w:type="dxa"/>
            <w:tcBorders>
              <w:top w:val="nil"/>
              <w:left w:val="nil"/>
              <w:bottom w:val="nil"/>
              <w:right w:val="nil"/>
            </w:tcBorders>
            <w:shd w:val="clear" w:color="000000" w:fill="FFFFFF"/>
            <w:noWrap/>
            <w:vAlign w:val="bottom"/>
            <w:hideMark/>
          </w:tcPr>
          <w:p w14:paraId="28F38C2E"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-0,038</w:t>
            </w:r>
          </w:p>
        </w:tc>
        <w:tc>
          <w:tcPr>
            <w:tcW w:w="418" w:type="dxa"/>
            <w:tcBorders>
              <w:top w:val="nil"/>
              <w:left w:val="nil"/>
              <w:bottom w:val="nil"/>
              <w:right w:val="nil"/>
            </w:tcBorders>
            <w:shd w:val="clear" w:color="000000" w:fill="FFFFFF"/>
            <w:noWrap/>
            <w:vAlign w:val="bottom"/>
            <w:hideMark/>
          </w:tcPr>
          <w:p w14:paraId="22557790"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43D8814A"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038EEAE3" w14:textId="77777777" w:rsidTr="00CB1E86">
        <w:trPr>
          <w:trHeight w:val="361"/>
        </w:trPr>
        <w:tc>
          <w:tcPr>
            <w:tcW w:w="3693" w:type="dxa"/>
            <w:tcBorders>
              <w:top w:val="nil"/>
              <w:left w:val="nil"/>
              <w:bottom w:val="nil"/>
              <w:right w:val="nil"/>
            </w:tcBorders>
            <w:shd w:val="clear" w:color="000000" w:fill="FFFFFF"/>
            <w:noWrap/>
            <w:vAlign w:val="bottom"/>
            <w:hideMark/>
          </w:tcPr>
          <w:p w14:paraId="5C9819A9"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2007 até Junho 2008</w:t>
            </w:r>
          </w:p>
        </w:tc>
        <w:tc>
          <w:tcPr>
            <w:tcW w:w="1440" w:type="dxa"/>
            <w:tcBorders>
              <w:top w:val="nil"/>
              <w:left w:val="nil"/>
              <w:bottom w:val="nil"/>
              <w:right w:val="nil"/>
            </w:tcBorders>
            <w:shd w:val="clear" w:color="000000" w:fill="FFFFFF"/>
            <w:noWrap/>
            <w:vAlign w:val="bottom"/>
            <w:hideMark/>
          </w:tcPr>
          <w:p w14:paraId="521D557D"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-0,022</w:t>
            </w:r>
          </w:p>
        </w:tc>
        <w:tc>
          <w:tcPr>
            <w:tcW w:w="418" w:type="dxa"/>
            <w:tcBorders>
              <w:top w:val="nil"/>
              <w:left w:val="nil"/>
              <w:bottom w:val="nil"/>
              <w:right w:val="nil"/>
            </w:tcBorders>
            <w:shd w:val="clear" w:color="000000" w:fill="FFFFFF"/>
            <w:noWrap/>
            <w:vAlign w:val="bottom"/>
            <w:hideMark/>
          </w:tcPr>
          <w:p w14:paraId="4A65883B"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342827E2"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0272BE34" w14:textId="77777777" w:rsidTr="00CB1E86">
        <w:trPr>
          <w:trHeight w:val="361"/>
        </w:trPr>
        <w:tc>
          <w:tcPr>
            <w:tcW w:w="3693" w:type="dxa"/>
            <w:tcBorders>
              <w:top w:val="nil"/>
              <w:left w:val="nil"/>
              <w:bottom w:val="nil"/>
              <w:right w:val="nil"/>
            </w:tcBorders>
            <w:shd w:val="clear" w:color="000000" w:fill="FFFFFF"/>
            <w:noWrap/>
            <w:vAlign w:val="bottom"/>
            <w:hideMark/>
          </w:tcPr>
          <w:p w14:paraId="1CD5BB84"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2009 até Junho 2010</w:t>
            </w:r>
          </w:p>
        </w:tc>
        <w:tc>
          <w:tcPr>
            <w:tcW w:w="1440" w:type="dxa"/>
            <w:tcBorders>
              <w:top w:val="nil"/>
              <w:left w:val="nil"/>
              <w:bottom w:val="nil"/>
              <w:right w:val="nil"/>
            </w:tcBorders>
            <w:shd w:val="clear" w:color="000000" w:fill="FFFFFF"/>
            <w:noWrap/>
            <w:vAlign w:val="bottom"/>
            <w:hideMark/>
          </w:tcPr>
          <w:p w14:paraId="4E878182"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0,070</w:t>
            </w:r>
          </w:p>
        </w:tc>
        <w:tc>
          <w:tcPr>
            <w:tcW w:w="418" w:type="dxa"/>
            <w:tcBorders>
              <w:top w:val="nil"/>
              <w:left w:val="nil"/>
              <w:bottom w:val="nil"/>
              <w:right w:val="nil"/>
            </w:tcBorders>
            <w:shd w:val="clear" w:color="000000" w:fill="FFFFFF"/>
            <w:noWrap/>
            <w:vAlign w:val="bottom"/>
            <w:hideMark/>
          </w:tcPr>
          <w:p w14:paraId="3F8027CD"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3283B991"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65AB1894" w14:textId="77777777" w:rsidTr="00CB1E86">
        <w:trPr>
          <w:trHeight w:val="361"/>
        </w:trPr>
        <w:tc>
          <w:tcPr>
            <w:tcW w:w="3693" w:type="dxa"/>
            <w:tcBorders>
              <w:top w:val="nil"/>
              <w:left w:val="nil"/>
              <w:bottom w:val="nil"/>
              <w:right w:val="nil"/>
            </w:tcBorders>
            <w:shd w:val="clear" w:color="000000" w:fill="FFFFFF"/>
            <w:noWrap/>
            <w:vAlign w:val="bottom"/>
            <w:hideMark/>
          </w:tcPr>
          <w:p w14:paraId="06F79228"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2010 até Junho 2011</w:t>
            </w:r>
          </w:p>
        </w:tc>
        <w:tc>
          <w:tcPr>
            <w:tcW w:w="1440" w:type="dxa"/>
            <w:tcBorders>
              <w:top w:val="nil"/>
              <w:left w:val="nil"/>
              <w:bottom w:val="nil"/>
              <w:right w:val="nil"/>
            </w:tcBorders>
            <w:shd w:val="clear" w:color="000000" w:fill="FFFFFF"/>
            <w:noWrap/>
            <w:vAlign w:val="bottom"/>
            <w:hideMark/>
          </w:tcPr>
          <w:p w14:paraId="62AEC406"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0,175</w:t>
            </w:r>
          </w:p>
        </w:tc>
        <w:tc>
          <w:tcPr>
            <w:tcW w:w="418" w:type="dxa"/>
            <w:tcBorders>
              <w:top w:val="nil"/>
              <w:left w:val="nil"/>
              <w:bottom w:val="nil"/>
              <w:right w:val="nil"/>
            </w:tcBorders>
            <w:shd w:val="clear" w:color="000000" w:fill="FFFFFF"/>
            <w:noWrap/>
            <w:vAlign w:val="bottom"/>
            <w:hideMark/>
          </w:tcPr>
          <w:p w14:paraId="65A3138D"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3C320308"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52595FC5" w14:textId="77777777" w:rsidTr="00CB1E86">
        <w:trPr>
          <w:trHeight w:val="361"/>
        </w:trPr>
        <w:tc>
          <w:tcPr>
            <w:tcW w:w="3693" w:type="dxa"/>
            <w:tcBorders>
              <w:top w:val="nil"/>
              <w:left w:val="nil"/>
              <w:bottom w:val="nil"/>
              <w:right w:val="nil"/>
            </w:tcBorders>
            <w:shd w:val="clear" w:color="000000" w:fill="FFFFFF"/>
            <w:noWrap/>
            <w:vAlign w:val="bottom"/>
            <w:hideMark/>
          </w:tcPr>
          <w:p w14:paraId="6FDADB53"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2011 até Junho 2012</w:t>
            </w:r>
          </w:p>
        </w:tc>
        <w:tc>
          <w:tcPr>
            <w:tcW w:w="1440" w:type="dxa"/>
            <w:tcBorders>
              <w:top w:val="nil"/>
              <w:left w:val="nil"/>
              <w:bottom w:val="nil"/>
              <w:right w:val="nil"/>
            </w:tcBorders>
            <w:shd w:val="clear" w:color="000000" w:fill="FFFFFF"/>
            <w:noWrap/>
            <w:vAlign w:val="bottom"/>
            <w:hideMark/>
          </w:tcPr>
          <w:p w14:paraId="3A1CFF21"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0,373</w:t>
            </w:r>
          </w:p>
        </w:tc>
        <w:tc>
          <w:tcPr>
            <w:tcW w:w="418" w:type="dxa"/>
            <w:tcBorders>
              <w:top w:val="nil"/>
              <w:left w:val="nil"/>
              <w:bottom w:val="nil"/>
              <w:right w:val="nil"/>
            </w:tcBorders>
            <w:shd w:val="clear" w:color="000000" w:fill="FFFFFF"/>
            <w:noWrap/>
            <w:vAlign w:val="bottom"/>
            <w:hideMark/>
          </w:tcPr>
          <w:p w14:paraId="0574781F"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nil"/>
              <w:right w:val="nil"/>
            </w:tcBorders>
            <w:shd w:val="clear" w:color="000000" w:fill="FFFFFF"/>
            <w:noWrap/>
            <w:vAlign w:val="bottom"/>
            <w:hideMark/>
          </w:tcPr>
          <w:p w14:paraId="6030FCA6"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0,010</w:t>
            </w:r>
          </w:p>
        </w:tc>
      </w:tr>
      <w:tr w:rsidR="003969E2" w:rsidRPr="00FC3E6E" w14:paraId="74487342" w14:textId="77777777" w:rsidTr="00CB1E86">
        <w:trPr>
          <w:trHeight w:val="361"/>
        </w:trPr>
        <w:tc>
          <w:tcPr>
            <w:tcW w:w="3693" w:type="dxa"/>
            <w:tcBorders>
              <w:top w:val="nil"/>
              <w:left w:val="nil"/>
              <w:bottom w:val="single" w:sz="4" w:space="0" w:color="auto"/>
              <w:right w:val="nil"/>
            </w:tcBorders>
            <w:shd w:val="clear" w:color="000000" w:fill="FFFFFF"/>
            <w:noWrap/>
            <w:vAlign w:val="bottom"/>
            <w:hideMark/>
          </w:tcPr>
          <w:p w14:paraId="49BBDEE2"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Julho 2012 ou mais</w:t>
            </w:r>
          </w:p>
        </w:tc>
        <w:tc>
          <w:tcPr>
            <w:tcW w:w="1440" w:type="dxa"/>
            <w:tcBorders>
              <w:top w:val="nil"/>
              <w:left w:val="nil"/>
              <w:bottom w:val="single" w:sz="4" w:space="0" w:color="auto"/>
              <w:right w:val="nil"/>
            </w:tcBorders>
            <w:shd w:val="clear" w:color="000000" w:fill="FFFFFF"/>
            <w:noWrap/>
            <w:vAlign w:val="bottom"/>
            <w:hideMark/>
          </w:tcPr>
          <w:p w14:paraId="47626788" w14:textId="77777777" w:rsidR="00CB1E86" w:rsidRPr="00726964" w:rsidRDefault="00CB1E86" w:rsidP="00726964">
            <w:pPr>
              <w:spacing w:after="0" w:line="240" w:lineRule="auto"/>
              <w:jc w:val="right"/>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0,492</w:t>
            </w:r>
          </w:p>
        </w:tc>
        <w:tc>
          <w:tcPr>
            <w:tcW w:w="418" w:type="dxa"/>
            <w:tcBorders>
              <w:top w:val="nil"/>
              <w:left w:val="nil"/>
              <w:bottom w:val="single" w:sz="4" w:space="0" w:color="auto"/>
              <w:right w:val="nil"/>
            </w:tcBorders>
            <w:shd w:val="clear" w:color="000000" w:fill="FFFFFF"/>
            <w:noWrap/>
            <w:vAlign w:val="bottom"/>
            <w:hideMark/>
          </w:tcPr>
          <w:p w14:paraId="252AA7AC" w14:textId="77777777" w:rsidR="00CB1E86" w:rsidRPr="00726964" w:rsidRDefault="00CB1E86"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w:t>
            </w:r>
          </w:p>
        </w:tc>
        <w:tc>
          <w:tcPr>
            <w:tcW w:w="1696" w:type="dxa"/>
            <w:tcBorders>
              <w:top w:val="nil"/>
              <w:left w:val="nil"/>
              <w:bottom w:val="single" w:sz="4" w:space="0" w:color="auto"/>
              <w:right w:val="nil"/>
            </w:tcBorders>
            <w:shd w:val="clear" w:color="000000" w:fill="FFFFFF"/>
            <w:noWrap/>
            <w:vAlign w:val="bottom"/>
            <w:hideMark/>
          </w:tcPr>
          <w:p w14:paraId="706F2E19" w14:textId="77777777" w:rsidR="00CB1E86" w:rsidRPr="00726964" w:rsidRDefault="00CB1E86"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0,014</w:t>
            </w:r>
          </w:p>
        </w:tc>
      </w:tr>
    </w:tbl>
    <w:p w14:paraId="1A7AA6B0" w14:textId="77777777" w:rsidR="0094034F" w:rsidRPr="00726964" w:rsidRDefault="0094034F" w:rsidP="00726964">
      <w:pPr>
        <w:spacing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PME.</w:t>
      </w:r>
    </w:p>
    <w:p w14:paraId="6E595D37" w14:textId="77777777" w:rsidR="00BA68DE" w:rsidRPr="00726964" w:rsidRDefault="00817635"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Em suma, os resultados com dados da PNAD sugerem </w:t>
      </w:r>
      <w:r w:rsidR="00BA68DE" w:rsidRPr="00726964">
        <w:rPr>
          <w:rFonts w:ascii="Times New Roman" w:hAnsi="Times New Roman" w:cs="Times New Roman"/>
          <w:bCs/>
          <w:sz w:val="24"/>
          <w:szCs w:val="24"/>
        </w:rPr>
        <w:t>que</w:t>
      </w:r>
      <w:r w:rsidRPr="00726964">
        <w:rPr>
          <w:rFonts w:ascii="Times New Roman" w:hAnsi="Times New Roman" w:cs="Times New Roman"/>
          <w:bCs/>
          <w:sz w:val="24"/>
          <w:szCs w:val="24"/>
        </w:rPr>
        <w:t>,</w:t>
      </w:r>
      <w:r w:rsidR="00BA68DE" w:rsidRPr="00726964">
        <w:rPr>
          <w:rFonts w:ascii="Times New Roman" w:hAnsi="Times New Roman" w:cs="Times New Roman"/>
          <w:bCs/>
          <w:sz w:val="24"/>
          <w:szCs w:val="24"/>
        </w:rPr>
        <w:t xml:space="preserve"> entre 2009 e 2011</w:t>
      </w:r>
      <w:r w:rsidRPr="00726964">
        <w:rPr>
          <w:rFonts w:ascii="Times New Roman" w:hAnsi="Times New Roman" w:cs="Times New Roman"/>
          <w:bCs/>
          <w:sz w:val="24"/>
          <w:szCs w:val="24"/>
        </w:rPr>
        <w:t>,</w:t>
      </w:r>
      <w:r w:rsidR="00BA68DE" w:rsidRPr="00726964">
        <w:rPr>
          <w:rFonts w:ascii="Times New Roman" w:hAnsi="Times New Roman" w:cs="Times New Roman"/>
          <w:bCs/>
          <w:sz w:val="24"/>
          <w:szCs w:val="24"/>
        </w:rPr>
        <w:t xml:space="preserve"> o</w:t>
      </w:r>
      <w:r w:rsidR="00DD621F" w:rsidRPr="00726964">
        <w:rPr>
          <w:rFonts w:ascii="Times New Roman" w:hAnsi="Times New Roman" w:cs="Times New Roman"/>
          <w:bCs/>
          <w:sz w:val="24"/>
          <w:szCs w:val="24"/>
        </w:rPr>
        <w:t>s</w:t>
      </w:r>
      <w:r w:rsidR="00BA68DE" w:rsidRPr="00726964">
        <w:rPr>
          <w:rFonts w:ascii="Times New Roman" w:hAnsi="Times New Roman" w:cs="Times New Roman"/>
          <w:bCs/>
          <w:sz w:val="24"/>
          <w:szCs w:val="24"/>
        </w:rPr>
        <w:t xml:space="preserve"> </w:t>
      </w:r>
      <w:r w:rsidR="00DD621F" w:rsidRPr="00726964">
        <w:rPr>
          <w:rFonts w:ascii="Times New Roman" w:hAnsi="Times New Roman" w:cs="Times New Roman"/>
          <w:bCs/>
          <w:sz w:val="24"/>
          <w:szCs w:val="24"/>
        </w:rPr>
        <w:t>M</w:t>
      </w:r>
      <w:r w:rsidR="00BA68DE" w:rsidRPr="00726964">
        <w:rPr>
          <w:rFonts w:ascii="Times New Roman" w:hAnsi="Times New Roman" w:cs="Times New Roman"/>
          <w:bCs/>
          <w:sz w:val="24"/>
          <w:szCs w:val="24"/>
        </w:rPr>
        <w:t xml:space="preserve">EI </w:t>
      </w:r>
      <w:r w:rsidR="00DD621F" w:rsidRPr="00726964">
        <w:rPr>
          <w:rFonts w:ascii="Times New Roman" w:hAnsi="Times New Roman" w:cs="Times New Roman"/>
          <w:bCs/>
          <w:sz w:val="24"/>
          <w:szCs w:val="24"/>
        </w:rPr>
        <w:t>observ</w:t>
      </w:r>
      <w:r w:rsidRPr="00726964">
        <w:rPr>
          <w:rFonts w:ascii="Times New Roman" w:hAnsi="Times New Roman" w:cs="Times New Roman"/>
          <w:bCs/>
          <w:sz w:val="24"/>
          <w:szCs w:val="24"/>
        </w:rPr>
        <w:t>aram</w:t>
      </w:r>
      <w:r w:rsidR="00DD621F" w:rsidRPr="00726964">
        <w:rPr>
          <w:rFonts w:ascii="Times New Roman" w:hAnsi="Times New Roman" w:cs="Times New Roman"/>
          <w:bCs/>
          <w:sz w:val="24"/>
          <w:szCs w:val="24"/>
        </w:rPr>
        <w:t xml:space="preserve"> um aumento de suas taxas de formalização, o que também aconteceu entre outros empreendedores de pequeno porte</w:t>
      </w:r>
      <w:r w:rsidRPr="00726964">
        <w:rPr>
          <w:rFonts w:ascii="Times New Roman" w:hAnsi="Times New Roman" w:cs="Times New Roman"/>
          <w:bCs/>
          <w:sz w:val="24"/>
          <w:szCs w:val="24"/>
        </w:rPr>
        <w:t>. Porém,</w:t>
      </w:r>
      <w:r w:rsidR="00DD621F" w:rsidRPr="00726964">
        <w:rPr>
          <w:rFonts w:ascii="Times New Roman" w:hAnsi="Times New Roman" w:cs="Times New Roman"/>
          <w:bCs/>
          <w:sz w:val="24"/>
          <w:szCs w:val="24"/>
        </w:rPr>
        <w:t xml:space="preserve"> os MEI apresentaram um aumento inferior em sua taxa</w:t>
      </w:r>
      <w:r w:rsidR="00BA68DE" w:rsidRPr="00726964">
        <w:rPr>
          <w:rFonts w:ascii="Times New Roman" w:hAnsi="Times New Roman" w:cs="Times New Roman"/>
          <w:bCs/>
          <w:sz w:val="24"/>
          <w:szCs w:val="24"/>
        </w:rPr>
        <w:t xml:space="preserve"> de formalização </w:t>
      </w:r>
      <w:r w:rsidR="00DD621F" w:rsidRPr="00726964">
        <w:rPr>
          <w:rFonts w:ascii="Times New Roman" w:hAnsi="Times New Roman" w:cs="Times New Roman"/>
          <w:bCs/>
          <w:sz w:val="24"/>
          <w:szCs w:val="24"/>
        </w:rPr>
        <w:t>quando comparados</w:t>
      </w:r>
      <w:r w:rsidR="00BA68DE" w:rsidRPr="00726964">
        <w:rPr>
          <w:rFonts w:ascii="Times New Roman" w:hAnsi="Times New Roman" w:cs="Times New Roman"/>
          <w:bCs/>
          <w:sz w:val="24"/>
          <w:szCs w:val="24"/>
        </w:rPr>
        <w:t xml:space="preserve"> </w:t>
      </w:r>
      <w:r w:rsidR="00DD621F" w:rsidRPr="00726964">
        <w:rPr>
          <w:rFonts w:ascii="Times New Roman" w:hAnsi="Times New Roman" w:cs="Times New Roman"/>
          <w:bCs/>
          <w:sz w:val="24"/>
          <w:szCs w:val="24"/>
        </w:rPr>
        <w:t>aos empreendedores de pequeno porte no critério CNPJ</w:t>
      </w:r>
      <w:r w:rsidRPr="00726964">
        <w:rPr>
          <w:rFonts w:ascii="Times New Roman" w:hAnsi="Times New Roman" w:cs="Times New Roman"/>
          <w:bCs/>
          <w:sz w:val="24"/>
          <w:szCs w:val="24"/>
        </w:rPr>
        <w:t>,</w:t>
      </w:r>
      <w:r w:rsidR="00DD621F" w:rsidRPr="00726964">
        <w:rPr>
          <w:rFonts w:ascii="Times New Roman" w:hAnsi="Times New Roman" w:cs="Times New Roman"/>
          <w:bCs/>
          <w:sz w:val="24"/>
          <w:szCs w:val="24"/>
        </w:rPr>
        <w:t xml:space="preserve"> e </w:t>
      </w:r>
      <w:r w:rsidR="00C96D72" w:rsidRPr="00726964">
        <w:rPr>
          <w:rFonts w:ascii="Times New Roman" w:hAnsi="Times New Roman" w:cs="Times New Roman"/>
          <w:bCs/>
          <w:sz w:val="24"/>
          <w:szCs w:val="24"/>
        </w:rPr>
        <w:t>um pouco maior quando</w:t>
      </w:r>
      <w:r w:rsidR="00DD621F" w:rsidRPr="00726964">
        <w:rPr>
          <w:rFonts w:ascii="Times New Roman" w:hAnsi="Times New Roman" w:cs="Times New Roman"/>
          <w:bCs/>
          <w:sz w:val="24"/>
          <w:szCs w:val="24"/>
        </w:rPr>
        <w:t xml:space="preserve"> quando considerado o critério previdência</w:t>
      </w:r>
      <w:r w:rsidR="00BA68DE"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w:t>
      </w:r>
      <w:r w:rsidR="00C96D72" w:rsidRPr="00726964">
        <w:rPr>
          <w:rFonts w:ascii="Times New Roman" w:hAnsi="Times New Roman" w:cs="Times New Roman"/>
          <w:bCs/>
          <w:sz w:val="24"/>
          <w:szCs w:val="24"/>
        </w:rPr>
        <w:t>Porém, esta tendência no critério previdência já vinha sendo observada desde 2007, o que dificulta a interpretação de que este resultado para 2011 esteja sendo induzido pelo programa.</w:t>
      </w:r>
      <w:r w:rsidRPr="00726964">
        <w:rPr>
          <w:rFonts w:ascii="Times New Roman" w:hAnsi="Times New Roman" w:cs="Times New Roman"/>
          <w:bCs/>
          <w:sz w:val="24"/>
          <w:szCs w:val="24"/>
        </w:rPr>
        <w:t xml:space="preserve"> </w:t>
      </w:r>
      <w:r w:rsidR="00C96D72" w:rsidRPr="00726964">
        <w:rPr>
          <w:rFonts w:ascii="Times New Roman" w:hAnsi="Times New Roman" w:cs="Times New Roman"/>
          <w:bCs/>
          <w:sz w:val="24"/>
          <w:szCs w:val="24"/>
        </w:rPr>
        <w:t xml:space="preserve">Não obstante, os </w:t>
      </w:r>
      <w:r w:rsidRPr="00726964">
        <w:rPr>
          <w:rFonts w:ascii="Times New Roman" w:hAnsi="Times New Roman" w:cs="Times New Roman"/>
          <w:bCs/>
          <w:sz w:val="24"/>
          <w:szCs w:val="24"/>
        </w:rPr>
        <w:t xml:space="preserve">dados da PME sugerem que houve uma mudança na evolução da taxa de formalização dos trabalhadores por conta própria imediatamente </w:t>
      </w:r>
      <w:r w:rsidR="00B37340" w:rsidRPr="00726964">
        <w:rPr>
          <w:rFonts w:ascii="Times New Roman" w:hAnsi="Times New Roman" w:cs="Times New Roman"/>
          <w:bCs/>
          <w:sz w:val="24"/>
          <w:szCs w:val="24"/>
        </w:rPr>
        <w:t xml:space="preserve">após </w:t>
      </w:r>
      <w:r w:rsidRPr="00726964">
        <w:rPr>
          <w:rFonts w:ascii="Times New Roman" w:hAnsi="Times New Roman" w:cs="Times New Roman"/>
          <w:bCs/>
          <w:sz w:val="24"/>
          <w:szCs w:val="24"/>
        </w:rPr>
        <w:t>a introdução da política, que se tornou crescentemente positiva após julho de 2009 (Tabela 6).</w:t>
      </w:r>
    </w:p>
    <w:p w14:paraId="7559F86B" w14:textId="77777777" w:rsidR="00034007" w:rsidRPr="00726964" w:rsidRDefault="00034007" w:rsidP="00726964">
      <w:pPr>
        <w:spacing w:line="240" w:lineRule="auto"/>
        <w:rPr>
          <w:rFonts w:ascii="Times New Roman" w:eastAsiaTheme="majorEastAsia" w:hAnsi="Times New Roman" w:cs="Times New Roman"/>
          <w:b/>
          <w:bCs/>
          <w:sz w:val="24"/>
          <w:szCs w:val="24"/>
        </w:rPr>
      </w:pPr>
      <w:r w:rsidRPr="00726964">
        <w:rPr>
          <w:rFonts w:ascii="Times New Roman" w:hAnsi="Times New Roman" w:cs="Times New Roman"/>
          <w:sz w:val="24"/>
          <w:szCs w:val="24"/>
        </w:rPr>
        <w:br w:type="page"/>
      </w:r>
    </w:p>
    <w:p w14:paraId="179C2160" w14:textId="77777777" w:rsidR="00AA1178" w:rsidRPr="00726964" w:rsidRDefault="005D7F68" w:rsidP="00726964">
      <w:pPr>
        <w:pStyle w:val="Heading1"/>
        <w:spacing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lastRenderedPageBreak/>
        <w:t xml:space="preserve">5 </w:t>
      </w:r>
      <w:r w:rsidR="00201CB6" w:rsidRPr="00726964">
        <w:rPr>
          <w:rFonts w:ascii="Times New Roman" w:hAnsi="Times New Roman" w:cs="Times New Roman"/>
          <w:color w:val="auto"/>
          <w:sz w:val="24"/>
          <w:szCs w:val="24"/>
        </w:rPr>
        <w:t xml:space="preserve">Análise de Fluxos </w:t>
      </w:r>
    </w:p>
    <w:p w14:paraId="5BB92721" w14:textId="77777777" w:rsidR="00AA1178" w:rsidRPr="00726964" w:rsidRDefault="00AA1178" w:rsidP="00726964">
      <w:pPr>
        <w:spacing w:line="240" w:lineRule="auto"/>
        <w:rPr>
          <w:rFonts w:ascii="Times New Roman" w:hAnsi="Times New Roman" w:cs="Times New Roman"/>
          <w:bCs/>
          <w:sz w:val="24"/>
          <w:szCs w:val="24"/>
        </w:rPr>
      </w:pPr>
    </w:p>
    <w:p w14:paraId="691F1339" w14:textId="77777777" w:rsidR="00141565" w:rsidRPr="00726964" w:rsidRDefault="00141565"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Até aqui a análise concentrou-se em analisar o comportamento dos estoques. Outra dimensão importante é a dos fluxos, ou seja, analisar em que medida a política modificou as transições no mercado de trabalho. </w:t>
      </w:r>
      <w:r w:rsidR="00817635" w:rsidRPr="00726964">
        <w:rPr>
          <w:rFonts w:ascii="Times New Roman" w:hAnsi="Times New Roman" w:cs="Times New Roman"/>
          <w:bCs/>
          <w:sz w:val="24"/>
          <w:szCs w:val="24"/>
        </w:rPr>
        <w:t>O cará</w:t>
      </w:r>
      <w:r w:rsidR="004E5824" w:rsidRPr="00726964">
        <w:rPr>
          <w:rFonts w:ascii="Times New Roman" w:hAnsi="Times New Roman" w:cs="Times New Roman"/>
          <w:bCs/>
          <w:sz w:val="24"/>
          <w:szCs w:val="24"/>
        </w:rPr>
        <w:t xml:space="preserve">ter longitudinal da PME nos permite identificar movimentos de trabalhadores entre as diferentes modalidades de ocupação aqui consideradas. </w:t>
      </w:r>
    </w:p>
    <w:p w14:paraId="683163AC" w14:textId="77777777" w:rsidR="00201CB6" w:rsidRPr="00726964" w:rsidRDefault="002155CE"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Novamente, d</w:t>
      </w:r>
      <w:r w:rsidR="004E5824" w:rsidRPr="00726964">
        <w:rPr>
          <w:rFonts w:ascii="Times New Roman" w:hAnsi="Times New Roman" w:cs="Times New Roman"/>
          <w:bCs/>
          <w:sz w:val="24"/>
          <w:szCs w:val="24"/>
        </w:rPr>
        <w:t xml:space="preserve">ada a limitação da PME </w:t>
      </w:r>
      <w:r w:rsidRPr="00726964">
        <w:rPr>
          <w:rFonts w:ascii="Times New Roman" w:hAnsi="Times New Roman" w:cs="Times New Roman"/>
          <w:bCs/>
          <w:sz w:val="24"/>
          <w:szCs w:val="24"/>
        </w:rPr>
        <w:t xml:space="preserve">de não incluir a pergunta se o </w:t>
      </w:r>
      <w:r w:rsidR="00201CB6" w:rsidRPr="00726964">
        <w:rPr>
          <w:rFonts w:ascii="Times New Roman" w:hAnsi="Times New Roman" w:cs="Times New Roman"/>
          <w:bCs/>
          <w:sz w:val="24"/>
          <w:szCs w:val="24"/>
        </w:rPr>
        <w:t>empregador</w:t>
      </w:r>
      <w:r w:rsidRPr="00726964">
        <w:rPr>
          <w:rFonts w:ascii="Times New Roman" w:hAnsi="Times New Roman" w:cs="Times New Roman"/>
          <w:bCs/>
          <w:sz w:val="24"/>
          <w:szCs w:val="24"/>
        </w:rPr>
        <w:t xml:space="preserve"> possui CNPJ ou não</w:t>
      </w:r>
      <w:r w:rsidR="004E5824" w:rsidRPr="00726964">
        <w:rPr>
          <w:rFonts w:ascii="Times New Roman" w:hAnsi="Times New Roman" w:cs="Times New Roman"/>
          <w:bCs/>
          <w:sz w:val="24"/>
          <w:szCs w:val="24"/>
        </w:rPr>
        <w:t>, c</w:t>
      </w:r>
      <w:r w:rsidRPr="00726964">
        <w:rPr>
          <w:rFonts w:ascii="Times New Roman" w:hAnsi="Times New Roman" w:cs="Times New Roman"/>
          <w:bCs/>
          <w:sz w:val="24"/>
          <w:szCs w:val="24"/>
        </w:rPr>
        <w:t>onc</w:t>
      </w:r>
      <w:r w:rsidR="004E5824" w:rsidRPr="00726964">
        <w:rPr>
          <w:rFonts w:ascii="Times New Roman" w:hAnsi="Times New Roman" w:cs="Times New Roman"/>
          <w:bCs/>
          <w:sz w:val="24"/>
          <w:szCs w:val="24"/>
        </w:rPr>
        <w:t xml:space="preserve">entraremos a análise </w:t>
      </w:r>
      <w:r w:rsidR="00201CB6" w:rsidRPr="00726964">
        <w:rPr>
          <w:rFonts w:ascii="Times New Roman" w:hAnsi="Times New Roman" w:cs="Times New Roman"/>
          <w:bCs/>
          <w:sz w:val="24"/>
          <w:szCs w:val="24"/>
        </w:rPr>
        <w:t>n</w:t>
      </w:r>
      <w:r w:rsidRPr="00726964">
        <w:rPr>
          <w:rFonts w:ascii="Times New Roman" w:hAnsi="Times New Roman" w:cs="Times New Roman"/>
          <w:bCs/>
          <w:sz w:val="24"/>
          <w:szCs w:val="24"/>
        </w:rPr>
        <w:t>a dimensão previdenciária</w:t>
      </w:r>
      <w:r w:rsidR="004E5824" w:rsidRPr="00726964">
        <w:rPr>
          <w:rFonts w:ascii="Times New Roman" w:hAnsi="Times New Roman" w:cs="Times New Roman"/>
          <w:bCs/>
          <w:sz w:val="24"/>
          <w:szCs w:val="24"/>
        </w:rPr>
        <w:t>.</w:t>
      </w:r>
      <w:r w:rsidR="000536C4"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 xml:space="preserve">Além disso, a PME não permite separar aqueles empreendedores que possuem apenas um empregado daqueles que possuem </w:t>
      </w:r>
      <w:r w:rsidR="003345EB" w:rsidRPr="00726964">
        <w:rPr>
          <w:rFonts w:ascii="Times New Roman" w:hAnsi="Times New Roman" w:cs="Times New Roman"/>
          <w:bCs/>
          <w:sz w:val="24"/>
          <w:szCs w:val="24"/>
        </w:rPr>
        <w:t>dois a cinco e, portanto, restringimos o grupo de referência aos trabalhadores por conta própria.</w:t>
      </w:r>
      <w:r w:rsidRPr="00726964">
        <w:rPr>
          <w:rFonts w:ascii="Times New Roman" w:hAnsi="Times New Roman" w:cs="Times New Roman"/>
          <w:bCs/>
          <w:sz w:val="24"/>
          <w:szCs w:val="24"/>
        </w:rPr>
        <w:t xml:space="preserve"> </w:t>
      </w:r>
      <w:r w:rsidR="00201CB6" w:rsidRPr="00726964">
        <w:rPr>
          <w:rFonts w:ascii="Times New Roman" w:hAnsi="Times New Roman" w:cs="Times New Roman"/>
          <w:bCs/>
          <w:sz w:val="24"/>
          <w:szCs w:val="24"/>
        </w:rPr>
        <w:t xml:space="preserve">Iniciamos a análise de fluxo apresentando matrizes de transição simples entre os diferentes tipos de </w:t>
      </w:r>
      <w:r w:rsidR="008F551B" w:rsidRPr="00726964">
        <w:rPr>
          <w:rFonts w:ascii="Times New Roman" w:hAnsi="Times New Roman" w:cs="Times New Roman"/>
          <w:bCs/>
          <w:sz w:val="24"/>
          <w:szCs w:val="24"/>
        </w:rPr>
        <w:t xml:space="preserve">posição na ocupação e desempregados. Em seguida, </w:t>
      </w:r>
      <w:r w:rsidR="000536C4" w:rsidRPr="00726964">
        <w:rPr>
          <w:rFonts w:ascii="Times New Roman" w:hAnsi="Times New Roman" w:cs="Times New Roman"/>
          <w:bCs/>
          <w:sz w:val="24"/>
          <w:szCs w:val="24"/>
        </w:rPr>
        <w:t>analisa</w:t>
      </w:r>
      <w:r w:rsidR="003345EB" w:rsidRPr="00726964">
        <w:rPr>
          <w:rFonts w:ascii="Times New Roman" w:hAnsi="Times New Roman" w:cs="Times New Roman"/>
          <w:bCs/>
          <w:sz w:val="24"/>
          <w:szCs w:val="24"/>
        </w:rPr>
        <w:t>mos</w:t>
      </w:r>
      <w:r w:rsidR="000536C4" w:rsidRPr="00726964">
        <w:rPr>
          <w:rFonts w:ascii="Times New Roman" w:hAnsi="Times New Roman" w:cs="Times New Roman"/>
          <w:bCs/>
          <w:sz w:val="24"/>
          <w:szCs w:val="24"/>
        </w:rPr>
        <w:t xml:space="preserve"> a evolução do fluxo de indivíduos para o nosso grupo de referência</w:t>
      </w:r>
      <w:r w:rsidRPr="00726964">
        <w:rPr>
          <w:rFonts w:ascii="Times New Roman" w:hAnsi="Times New Roman" w:cs="Times New Roman"/>
          <w:bCs/>
          <w:sz w:val="24"/>
          <w:szCs w:val="24"/>
        </w:rPr>
        <w:t xml:space="preserve">, </w:t>
      </w:r>
      <w:r w:rsidR="000536C4" w:rsidRPr="00726964">
        <w:rPr>
          <w:rFonts w:ascii="Times New Roman" w:hAnsi="Times New Roman" w:cs="Times New Roman"/>
          <w:bCs/>
          <w:sz w:val="24"/>
          <w:szCs w:val="24"/>
        </w:rPr>
        <w:t>tentando identificar alguma mudança no padrão desse flu</w:t>
      </w:r>
      <w:r w:rsidRPr="00726964">
        <w:rPr>
          <w:rFonts w:ascii="Times New Roman" w:hAnsi="Times New Roman" w:cs="Times New Roman"/>
          <w:bCs/>
          <w:sz w:val="24"/>
          <w:szCs w:val="24"/>
        </w:rPr>
        <w:t>xo após a introdução da política</w:t>
      </w:r>
      <w:r w:rsidR="000536C4"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w:t>
      </w:r>
      <w:r w:rsidR="008F551B" w:rsidRPr="00726964">
        <w:rPr>
          <w:rFonts w:ascii="Times New Roman" w:hAnsi="Times New Roman" w:cs="Times New Roman"/>
          <w:bCs/>
          <w:sz w:val="24"/>
          <w:szCs w:val="24"/>
        </w:rPr>
        <w:t>Finalmente</w:t>
      </w:r>
      <w:r w:rsidR="003345EB" w:rsidRPr="00726964">
        <w:rPr>
          <w:rFonts w:ascii="Times New Roman" w:hAnsi="Times New Roman" w:cs="Times New Roman"/>
          <w:bCs/>
          <w:sz w:val="24"/>
          <w:szCs w:val="24"/>
        </w:rPr>
        <w:t>,</w:t>
      </w:r>
      <w:r w:rsidRPr="00726964">
        <w:rPr>
          <w:rFonts w:ascii="Times New Roman" w:hAnsi="Times New Roman" w:cs="Times New Roman"/>
          <w:bCs/>
          <w:sz w:val="24"/>
          <w:szCs w:val="24"/>
        </w:rPr>
        <w:t xml:space="preserve"> </w:t>
      </w:r>
      <w:r w:rsidR="003345EB" w:rsidRPr="00726964">
        <w:rPr>
          <w:rFonts w:ascii="Times New Roman" w:hAnsi="Times New Roman" w:cs="Times New Roman"/>
          <w:bCs/>
          <w:sz w:val="24"/>
          <w:szCs w:val="24"/>
        </w:rPr>
        <w:t xml:space="preserve">nos </w:t>
      </w:r>
      <w:r w:rsidRPr="00726964">
        <w:rPr>
          <w:rFonts w:ascii="Times New Roman" w:hAnsi="Times New Roman" w:cs="Times New Roman"/>
          <w:bCs/>
          <w:sz w:val="24"/>
          <w:szCs w:val="24"/>
        </w:rPr>
        <w:t>concentra</w:t>
      </w:r>
      <w:r w:rsidR="003345EB" w:rsidRPr="00726964">
        <w:rPr>
          <w:rFonts w:ascii="Times New Roman" w:hAnsi="Times New Roman" w:cs="Times New Roman"/>
          <w:bCs/>
          <w:sz w:val="24"/>
          <w:szCs w:val="24"/>
        </w:rPr>
        <w:t>mos</w:t>
      </w:r>
      <w:r w:rsidRPr="00726964">
        <w:rPr>
          <w:rFonts w:ascii="Times New Roman" w:hAnsi="Times New Roman" w:cs="Times New Roman"/>
          <w:bCs/>
          <w:sz w:val="24"/>
          <w:szCs w:val="24"/>
        </w:rPr>
        <w:t xml:space="preserve"> no destino daqueles que pertencem ao grupo de referência, mas eram informais (i.e. não contribuem para a previdência).</w:t>
      </w:r>
    </w:p>
    <w:p w14:paraId="49C9A1E3" w14:textId="77777777" w:rsidR="00201CB6" w:rsidRPr="00726964" w:rsidRDefault="00201CB6" w:rsidP="00726964">
      <w:pPr>
        <w:pStyle w:val="Heading3"/>
        <w:spacing w:after="240"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t>5.1 Matrizes de Transição</w:t>
      </w:r>
    </w:p>
    <w:p w14:paraId="57546A97" w14:textId="77777777" w:rsidR="00201CB6" w:rsidRPr="00726964" w:rsidRDefault="00E1335A"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Nesta seção apresentamos </w:t>
      </w:r>
      <w:r w:rsidR="00201CB6" w:rsidRPr="00726964">
        <w:rPr>
          <w:rFonts w:ascii="Times New Roman" w:hAnsi="Times New Roman" w:cs="Times New Roman"/>
          <w:bCs/>
          <w:sz w:val="24"/>
          <w:szCs w:val="24"/>
        </w:rPr>
        <w:t xml:space="preserve">duas matrizes de transição </w:t>
      </w:r>
      <w:r w:rsidRPr="00726964">
        <w:rPr>
          <w:rFonts w:ascii="Times New Roman" w:hAnsi="Times New Roman" w:cs="Times New Roman"/>
          <w:bCs/>
          <w:sz w:val="24"/>
          <w:szCs w:val="24"/>
        </w:rPr>
        <w:t>referentes a</w:t>
      </w:r>
      <w:r w:rsidR="00201CB6" w:rsidRPr="00726964">
        <w:rPr>
          <w:rFonts w:ascii="Times New Roman" w:hAnsi="Times New Roman" w:cs="Times New Roman"/>
          <w:bCs/>
          <w:sz w:val="24"/>
          <w:szCs w:val="24"/>
        </w:rPr>
        <w:t>os períodos antes e depois da implantação do MEI</w:t>
      </w:r>
      <w:r w:rsidRPr="00726964">
        <w:rPr>
          <w:rFonts w:ascii="Times New Roman" w:hAnsi="Times New Roman" w:cs="Times New Roman"/>
          <w:bCs/>
          <w:sz w:val="24"/>
          <w:szCs w:val="24"/>
        </w:rPr>
        <w:t>.</w:t>
      </w:r>
      <w:r w:rsidR="00201CB6" w:rsidRPr="00726964">
        <w:rPr>
          <w:rStyle w:val="FootnoteReference"/>
          <w:rFonts w:ascii="Times New Roman" w:hAnsi="Times New Roman" w:cs="Times New Roman"/>
          <w:bCs/>
          <w:sz w:val="24"/>
          <w:szCs w:val="24"/>
        </w:rPr>
        <w:footnoteReference w:id="15"/>
      </w:r>
      <w:r w:rsidR="00201CB6"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Estas matrizes</w:t>
      </w:r>
      <w:r w:rsidR="00201CB6" w:rsidRPr="00726964">
        <w:rPr>
          <w:rFonts w:ascii="Times New Roman" w:hAnsi="Times New Roman" w:cs="Times New Roman"/>
          <w:bCs/>
          <w:sz w:val="24"/>
          <w:szCs w:val="24"/>
        </w:rPr>
        <w:t xml:space="preserve"> apresentam os destinos desagregados</w:t>
      </w:r>
      <w:r w:rsidRPr="00726964">
        <w:rPr>
          <w:rFonts w:ascii="Times New Roman" w:hAnsi="Times New Roman" w:cs="Times New Roman"/>
          <w:bCs/>
          <w:sz w:val="24"/>
          <w:szCs w:val="24"/>
        </w:rPr>
        <w:t xml:space="preserve"> pelas categorias de </w:t>
      </w:r>
      <w:r w:rsidR="00201CB6" w:rsidRPr="00726964">
        <w:rPr>
          <w:rFonts w:ascii="Times New Roman" w:hAnsi="Times New Roman" w:cs="Times New Roman"/>
          <w:bCs/>
          <w:sz w:val="24"/>
          <w:szCs w:val="24"/>
        </w:rPr>
        <w:t>tamanho d</w:t>
      </w:r>
      <w:r w:rsidRPr="00726964">
        <w:rPr>
          <w:rFonts w:ascii="Times New Roman" w:hAnsi="Times New Roman" w:cs="Times New Roman"/>
          <w:bCs/>
          <w:sz w:val="24"/>
          <w:szCs w:val="24"/>
        </w:rPr>
        <w:t>a</w:t>
      </w:r>
      <w:r w:rsidR="00201CB6" w:rsidRPr="00726964">
        <w:rPr>
          <w:rFonts w:ascii="Times New Roman" w:hAnsi="Times New Roman" w:cs="Times New Roman"/>
          <w:bCs/>
          <w:sz w:val="24"/>
          <w:szCs w:val="24"/>
        </w:rPr>
        <w:t xml:space="preserve"> </w:t>
      </w:r>
      <w:r w:rsidRPr="00726964">
        <w:rPr>
          <w:rFonts w:ascii="Times New Roman" w:hAnsi="Times New Roman" w:cs="Times New Roman"/>
          <w:bCs/>
          <w:sz w:val="24"/>
          <w:szCs w:val="24"/>
        </w:rPr>
        <w:t>firma onde está o empregador e o trabalhador</w:t>
      </w:r>
      <w:r w:rsidR="00201CB6" w:rsidRPr="00726964">
        <w:rPr>
          <w:rFonts w:ascii="Times New Roman" w:hAnsi="Times New Roman" w:cs="Times New Roman"/>
          <w:bCs/>
          <w:sz w:val="24"/>
          <w:szCs w:val="24"/>
        </w:rPr>
        <w:t xml:space="preserve"> e </w:t>
      </w:r>
      <w:r w:rsidRPr="00726964">
        <w:rPr>
          <w:rFonts w:ascii="Times New Roman" w:hAnsi="Times New Roman" w:cs="Times New Roman"/>
          <w:bCs/>
          <w:sz w:val="24"/>
          <w:szCs w:val="24"/>
        </w:rPr>
        <w:t xml:space="preserve">pela inserção </w:t>
      </w:r>
      <w:r w:rsidR="00201CB6" w:rsidRPr="00726964">
        <w:rPr>
          <w:rFonts w:ascii="Times New Roman" w:hAnsi="Times New Roman" w:cs="Times New Roman"/>
          <w:bCs/>
          <w:sz w:val="24"/>
          <w:szCs w:val="24"/>
        </w:rPr>
        <w:t xml:space="preserve">formal/informal. Por exemplo, a primeira célula da primeira matriz referente ao período depois do MEI indica que a probabilidade de trabalhadores por conta-própria que contribuem para previdência manterem a mesma posição 12 meses </w:t>
      </w:r>
      <w:r w:rsidRPr="00726964">
        <w:rPr>
          <w:rFonts w:ascii="Times New Roman" w:hAnsi="Times New Roman" w:cs="Times New Roman"/>
          <w:bCs/>
          <w:sz w:val="24"/>
          <w:szCs w:val="24"/>
        </w:rPr>
        <w:t xml:space="preserve">após </w:t>
      </w:r>
      <w:r w:rsidR="00201CB6" w:rsidRPr="00726964">
        <w:rPr>
          <w:rFonts w:ascii="Times New Roman" w:hAnsi="Times New Roman" w:cs="Times New Roman"/>
          <w:bCs/>
          <w:sz w:val="24"/>
          <w:szCs w:val="24"/>
        </w:rPr>
        <w:t>era</w:t>
      </w:r>
      <w:r w:rsidRPr="00726964">
        <w:rPr>
          <w:rFonts w:ascii="Times New Roman" w:hAnsi="Times New Roman" w:cs="Times New Roman"/>
          <w:bCs/>
          <w:sz w:val="24"/>
          <w:szCs w:val="24"/>
        </w:rPr>
        <w:t xml:space="preserve"> de</w:t>
      </w:r>
      <w:r w:rsidR="00201CB6" w:rsidRPr="00726964">
        <w:rPr>
          <w:rFonts w:ascii="Times New Roman" w:hAnsi="Times New Roman" w:cs="Times New Roman"/>
          <w:bCs/>
          <w:sz w:val="24"/>
          <w:szCs w:val="24"/>
        </w:rPr>
        <w:t xml:space="preserve"> 51,</w:t>
      </w:r>
      <w:r w:rsidRPr="00726964">
        <w:rPr>
          <w:rFonts w:ascii="Times New Roman" w:hAnsi="Times New Roman" w:cs="Times New Roman"/>
          <w:bCs/>
          <w:sz w:val="24"/>
          <w:szCs w:val="24"/>
        </w:rPr>
        <w:t>9</w:t>
      </w:r>
      <w:r w:rsidR="00201CB6" w:rsidRPr="00726964">
        <w:rPr>
          <w:rFonts w:ascii="Times New Roman" w:hAnsi="Times New Roman" w:cs="Times New Roman"/>
          <w:bCs/>
          <w:sz w:val="24"/>
          <w:szCs w:val="24"/>
        </w:rPr>
        <w:t>%. Coincidentemente, o mesmo número é encontrado para a mesma célula da segunda matriz referente ao período antes da implementação do MEI, o que sugere que a mudança na legislação não afetou as mudanças de quem já era trabalhador por conta própria formal.</w:t>
      </w:r>
    </w:p>
    <w:p w14:paraId="5C89F6A0" w14:textId="77777777" w:rsidR="000B10EF" w:rsidRPr="00726964" w:rsidRDefault="00E1335A" w:rsidP="00726964">
      <w:pPr>
        <w:spacing w:after="0" w:line="240" w:lineRule="auto"/>
        <w:ind w:firstLine="284"/>
        <w:jc w:val="both"/>
        <w:rPr>
          <w:rFonts w:ascii="Times New Roman" w:hAnsi="Times New Roman" w:cs="Times New Roman"/>
          <w:bCs/>
          <w:sz w:val="24"/>
          <w:szCs w:val="24"/>
          <w:u w:val="single"/>
        </w:rPr>
      </w:pPr>
      <w:r w:rsidRPr="00726964">
        <w:rPr>
          <w:rFonts w:ascii="Times New Roman" w:hAnsi="Times New Roman" w:cs="Times New Roman"/>
          <w:bCs/>
          <w:sz w:val="24"/>
          <w:szCs w:val="24"/>
        </w:rPr>
        <w:t xml:space="preserve">Por outro lado, o </w:t>
      </w:r>
      <w:r w:rsidR="008B7642" w:rsidRPr="00726964">
        <w:rPr>
          <w:rFonts w:ascii="Times New Roman" w:hAnsi="Times New Roman" w:cs="Times New Roman"/>
          <w:bCs/>
          <w:sz w:val="24"/>
          <w:szCs w:val="24"/>
        </w:rPr>
        <w:t xml:space="preserve">trabalhador por </w:t>
      </w:r>
      <w:r w:rsidRPr="00726964">
        <w:rPr>
          <w:rFonts w:ascii="Times New Roman" w:hAnsi="Times New Roman" w:cs="Times New Roman"/>
          <w:bCs/>
          <w:sz w:val="24"/>
          <w:szCs w:val="24"/>
        </w:rPr>
        <w:t>conta própria informal passa a apresentar uma maior probabilidade de transição para a formalização (de 5,6% para 8,2%). O mesmo é observado entre os empregadores de pequeno porte (até 5 empregados)</w:t>
      </w:r>
      <w:r w:rsidR="005D4C53" w:rsidRPr="00726964">
        <w:rPr>
          <w:rFonts w:ascii="Times New Roman" w:hAnsi="Times New Roman" w:cs="Times New Roman"/>
          <w:bCs/>
          <w:sz w:val="24"/>
          <w:szCs w:val="24"/>
        </w:rPr>
        <w:t xml:space="preserve">, tanto formais quanto informais, ainda que em menor magnitude. Sendo assim, essas matrizes de transição sugerem que a política do MEI pode ter tido um impacto de redução de escala, embora essa análise não controle por nenhuma característica observável dos indivíduos e tampouco permita realizar inferência estatística. Em relação ao padrão de transição dos empregados (formais ou informais), não parece haver diferenças substancias entre os períodos </w:t>
      </w:r>
      <w:proofErr w:type="spellStart"/>
      <w:r w:rsidR="005D4C53" w:rsidRPr="00726964">
        <w:rPr>
          <w:rFonts w:ascii="Times New Roman" w:hAnsi="Times New Roman" w:cs="Times New Roman"/>
          <w:bCs/>
          <w:sz w:val="24"/>
          <w:szCs w:val="24"/>
        </w:rPr>
        <w:t>pré</w:t>
      </w:r>
      <w:proofErr w:type="spellEnd"/>
      <w:r w:rsidR="005D4C53" w:rsidRPr="00726964">
        <w:rPr>
          <w:rFonts w:ascii="Times New Roman" w:hAnsi="Times New Roman" w:cs="Times New Roman"/>
          <w:bCs/>
          <w:sz w:val="24"/>
          <w:szCs w:val="24"/>
        </w:rPr>
        <w:t xml:space="preserve"> e pós introdução da política do MEI.</w:t>
      </w:r>
    </w:p>
    <w:p w14:paraId="33C734D0" w14:textId="77777777" w:rsidR="00000000" w:rsidRPr="00726964" w:rsidRDefault="00726964" w:rsidP="00726964">
      <w:pPr>
        <w:spacing w:line="240" w:lineRule="auto"/>
        <w:rPr>
          <w:rFonts w:ascii="Times New Roman" w:hAnsi="Times New Roman" w:cs="Times New Roman"/>
          <w:bCs/>
          <w:sz w:val="24"/>
          <w:szCs w:val="24"/>
        </w:rPr>
        <w:sectPr w:rsidR="00000000" w:rsidRPr="00726964" w:rsidSect="00726964">
          <w:footerReference w:type="even" r:id="rId10"/>
          <w:footerReference w:type="default" r:id="rId11"/>
          <w:pgSz w:w="11906" w:h="16838"/>
          <w:pgMar w:top="1417" w:right="1701" w:bottom="1417" w:left="1701" w:header="708" w:footer="708" w:gutter="0"/>
          <w:pgNumType w:start="1"/>
          <w:cols w:space="708"/>
          <w:titlePg/>
          <w:docGrid w:linePitch="360"/>
        </w:sectPr>
      </w:pPr>
    </w:p>
    <w:p w14:paraId="7C41DD7C" w14:textId="77777777" w:rsidR="000B10EF" w:rsidRPr="00726964" w:rsidRDefault="000B10EF"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lastRenderedPageBreak/>
        <w:t xml:space="preserve">Tabela 7: Matrizes de Transição </w:t>
      </w:r>
      <w:proofErr w:type="spellStart"/>
      <w:r w:rsidRPr="00726964">
        <w:rPr>
          <w:rFonts w:ascii="Times New Roman" w:hAnsi="Times New Roman" w:cs="Times New Roman"/>
          <w:bCs/>
          <w:sz w:val="24"/>
          <w:szCs w:val="24"/>
        </w:rPr>
        <w:t>Pré</w:t>
      </w:r>
      <w:proofErr w:type="spellEnd"/>
      <w:r w:rsidRPr="00726964">
        <w:rPr>
          <w:rFonts w:ascii="Times New Roman" w:hAnsi="Times New Roman" w:cs="Times New Roman"/>
          <w:bCs/>
          <w:sz w:val="24"/>
          <w:szCs w:val="24"/>
        </w:rPr>
        <w:t xml:space="preserve"> e Pós Política do MEI</w:t>
      </w:r>
    </w:p>
    <w:tbl>
      <w:tblPr>
        <w:tblW w:w="13906" w:type="dxa"/>
        <w:tblInd w:w="55" w:type="dxa"/>
        <w:tblCellMar>
          <w:left w:w="70" w:type="dxa"/>
          <w:right w:w="70" w:type="dxa"/>
        </w:tblCellMar>
        <w:tblLook w:val="04A0" w:firstRow="1" w:lastRow="0" w:firstColumn="1" w:lastColumn="0" w:noHBand="0" w:noVBand="1"/>
      </w:tblPr>
      <w:tblGrid>
        <w:gridCol w:w="3014"/>
        <w:gridCol w:w="1091"/>
        <w:gridCol w:w="1091"/>
        <w:gridCol w:w="1091"/>
        <w:gridCol w:w="1091"/>
        <w:gridCol w:w="1071"/>
        <w:gridCol w:w="1091"/>
        <w:gridCol w:w="1091"/>
        <w:gridCol w:w="1091"/>
        <w:gridCol w:w="1091"/>
        <w:gridCol w:w="1093"/>
      </w:tblGrid>
      <w:tr w:rsidR="003969E2" w:rsidRPr="00FC3E6E" w14:paraId="6951523E" w14:textId="77777777" w:rsidTr="00034007">
        <w:trPr>
          <w:trHeight w:val="86"/>
        </w:trPr>
        <w:tc>
          <w:tcPr>
            <w:tcW w:w="3014" w:type="dxa"/>
            <w:tcBorders>
              <w:top w:val="nil"/>
              <w:left w:val="nil"/>
              <w:bottom w:val="double" w:sz="6" w:space="0" w:color="auto"/>
              <w:right w:val="nil"/>
            </w:tcBorders>
            <w:shd w:val="clear" w:color="000000" w:fill="FFFFFF"/>
            <w:noWrap/>
            <w:vAlign w:val="bottom"/>
            <w:hideMark/>
          </w:tcPr>
          <w:p w14:paraId="05DADAA8"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c>
          <w:tcPr>
            <w:tcW w:w="10889" w:type="dxa"/>
            <w:gridSpan w:val="10"/>
            <w:tcBorders>
              <w:top w:val="nil"/>
              <w:left w:val="nil"/>
              <w:bottom w:val="double" w:sz="6" w:space="0" w:color="auto"/>
              <w:right w:val="nil"/>
            </w:tcBorders>
            <w:shd w:val="clear" w:color="000000" w:fill="FFFFFF"/>
            <w:hideMark/>
          </w:tcPr>
          <w:p w14:paraId="38031535"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r>
      <w:tr w:rsidR="003969E2" w:rsidRPr="00FC3E6E" w14:paraId="57378F76" w14:textId="77777777" w:rsidTr="00034007">
        <w:trPr>
          <w:trHeight w:val="764"/>
        </w:trPr>
        <w:tc>
          <w:tcPr>
            <w:tcW w:w="3014" w:type="dxa"/>
            <w:tcBorders>
              <w:top w:val="nil"/>
              <w:left w:val="nil"/>
              <w:bottom w:val="single" w:sz="4" w:space="0" w:color="auto"/>
              <w:right w:val="nil"/>
            </w:tcBorders>
            <w:shd w:val="clear" w:color="000000" w:fill="FFFFFF"/>
            <w:noWrap/>
            <w:vAlign w:val="center"/>
            <w:hideMark/>
          </w:tcPr>
          <w:p w14:paraId="6FCCF301"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c>
          <w:tcPr>
            <w:tcW w:w="1091" w:type="dxa"/>
            <w:tcBorders>
              <w:top w:val="nil"/>
              <w:left w:val="nil"/>
              <w:bottom w:val="single" w:sz="4" w:space="0" w:color="auto"/>
              <w:right w:val="nil"/>
            </w:tcBorders>
            <w:shd w:val="clear" w:color="000000" w:fill="FFFFFF"/>
            <w:vAlign w:val="center"/>
            <w:hideMark/>
          </w:tcPr>
          <w:p w14:paraId="24936F71"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Formal</w:t>
            </w:r>
          </w:p>
        </w:tc>
        <w:tc>
          <w:tcPr>
            <w:tcW w:w="1091" w:type="dxa"/>
            <w:tcBorders>
              <w:top w:val="nil"/>
              <w:left w:val="nil"/>
              <w:bottom w:val="single" w:sz="4" w:space="0" w:color="auto"/>
              <w:right w:val="nil"/>
            </w:tcBorders>
            <w:shd w:val="clear" w:color="000000" w:fill="FFFFFF"/>
            <w:vAlign w:val="center"/>
            <w:hideMark/>
          </w:tcPr>
          <w:p w14:paraId="4727021D"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Informal</w:t>
            </w:r>
          </w:p>
        </w:tc>
        <w:tc>
          <w:tcPr>
            <w:tcW w:w="1091" w:type="dxa"/>
            <w:tcBorders>
              <w:top w:val="nil"/>
              <w:left w:val="nil"/>
              <w:bottom w:val="single" w:sz="4" w:space="0" w:color="auto"/>
              <w:right w:val="nil"/>
            </w:tcBorders>
            <w:shd w:val="clear" w:color="000000" w:fill="FFFFFF"/>
            <w:vAlign w:val="center"/>
            <w:hideMark/>
          </w:tcPr>
          <w:p w14:paraId="3E88F7FD"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Empreg</w:t>
            </w:r>
            <w:proofErr w:type="spellEnd"/>
            <w:r w:rsidRPr="00726964">
              <w:rPr>
                <w:rFonts w:ascii="Times New Roman" w:eastAsia="Times New Roman" w:hAnsi="Times New Roman" w:cs="Times New Roman"/>
                <w:b/>
                <w:bCs/>
                <w:sz w:val="24"/>
                <w:szCs w:val="24"/>
                <w:lang w:eastAsia="pt-BR"/>
              </w:rPr>
              <w:t>.  Formal (&lt; 5 trab.)</w:t>
            </w:r>
          </w:p>
        </w:tc>
        <w:tc>
          <w:tcPr>
            <w:tcW w:w="1091" w:type="dxa"/>
            <w:tcBorders>
              <w:top w:val="nil"/>
              <w:left w:val="nil"/>
              <w:bottom w:val="single" w:sz="4" w:space="0" w:color="auto"/>
              <w:right w:val="nil"/>
            </w:tcBorders>
            <w:shd w:val="clear" w:color="000000" w:fill="FFFFFF"/>
            <w:vAlign w:val="center"/>
            <w:hideMark/>
          </w:tcPr>
          <w:p w14:paraId="279E7C81"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Empreg</w:t>
            </w:r>
            <w:proofErr w:type="spellEnd"/>
            <w:r w:rsidRPr="00726964">
              <w:rPr>
                <w:rFonts w:ascii="Times New Roman" w:eastAsia="Times New Roman" w:hAnsi="Times New Roman" w:cs="Times New Roman"/>
                <w:b/>
                <w:bCs/>
                <w:sz w:val="24"/>
                <w:szCs w:val="24"/>
                <w:lang w:eastAsia="pt-BR"/>
              </w:rPr>
              <w:t>.  Informal (&lt; 5 trab.)</w:t>
            </w:r>
          </w:p>
        </w:tc>
        <w:tc>
          <w:tcPr>
            <w:tcW w:w="1071" w:type="dxa"/>
            <w:tcBorders>
              <w:top w:val="nil"/>
              <w:left w:val="nil"/>
              <w:bottom w:val="single" w:sz="4" w:space="0" w:color="auto"/>
              <w:right w:val="nil"/>
            </w:tcBorders>
            <w:shd w:val="clear" w:color="000000" w:fill="FFFFFF"/>
            <w:vAlign w:val="center"/>
            <w:hideMark/>
          </w:tcPr>
          <w:p w14:paraId="061B214E"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Empreg</w:t>
            </w:r>
            <w:proofErr w:type="spellEnd"/>
            <w:r w:rsidRPr="00726964">
              <w:rPr>
                <w:rFonts w:ascii="Times New Roman" w:eastAsia="Times New Roman" w:hAnsi="Times New Roman" w:cs="Times New Roman"/>
                <w:b/>
                <w:bCs/>
                <w:sz w:val="24"/>
                <w:szCs w:val="24"/>
                <w:lang w:eastAsia="pt-BR"/>
              </w:rPr>
              <w:t>.  Formal (&gt; 5 trab.)</w:t>
            </w:r>
          </w:p>
        </w:tc>
        <w:tc>
          <w:tcPr>
            <w:tcW w:w="1091" w:type="dxa"/>
            <w:tcBorders>
              <w:top w:val="nil"/>
              <w:left w:val="nil"/>
              <w:bottom w:val="single" w:sz="4" w:space="0" w:color="auto"/>
              <w:right w:val="nil"/>
            </w:tcBorders>
            <w:shd w:val="clear" w:color="000000" w:fill="FFFFFF"/>
            <w:vAlign w:val="center"/>
            <w:hideMark/>
          </w:tcPr>
          <w:p w14:paraId="59D968E7"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Empreg</w:t>
            </w:r>
            <w:proofErr w:type="spellEnd"/>
            <w:r w:rsidRPr="00726964">
              <w:rPr>
                <w:rFonts w:ascii="Times New Roman" w:eastAsia="Times New Roman" w:hAnsi="Times New Roman" w:cs="Times New Roman"/>
                <w:b/>
                <w:bCs/>
                <w:sz w:val="24"/>
                <w:szCs w:val="24"/>
                <w:lang w:eastAsia="pt-BR"/>
              </w:rPr>
              <w:t>.  Informal (&gt; 5 trab.)</w:t>
            </w:r>
          </w:p>
        </w:tc>
        <w:tc>
          <w:tcPr>
            <w:tcW w:w="1091" w:type="dxa"/>
            <w:tcBorders>
              <w:top w:val="nil"/>
              <w:left w:val="nil"/>
              <w:bottom w:val="single" w:sz="4" w:space="0" w:color="auto"/>
              <w:right w:val="nil"/>
            </w:tcBorders>
            <w:shd w:val="clear" w:color="000000" w:fill="FFFFFF"/>
            <w:vAlign w:val="center"/>
            <w:hideMark/>
          </w:tcPr>
          <w:p w14:paraId="049A4F45"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 Formal (firma peq.)</w:t>
            </w:r>
          </w:p>
        </w:tc>
        <w:tc>
          <w:tcPr>
            <w:tcW w:w="1091" w:type="dxa"/>
            <w:tcBorders>
              <w:top w:val="nil"/>
              <w:left w:val="nil"/>
              <w:bottom w:val="single" w:sz="4" w:space="0" w:color="auto"/>
              <w:right w:val="nil"/>
            </w:tcBorders>
            <w:shd w:val="clear" w:color="000000" w:fill="FFFFFF"/>
            <w:vAlign w:val="center"/>
            <w:hideMark/>
          </w:tcPr>
          <w:p w14:paraId="2EDFCC61"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 informal (firma peq.)</w:t>
            </w:r>
          </w:p>
        </w:tc>
        <w:tc>
          <w:tcPr>
            <w:tcW w:w="1091" w:type="dxa"/>
            <w:tcBorders>
              <w:top w:val="nil"/>
              <w:left w:val="nil"/>
              <w:bottom w:val="single" w:sz="4" w:space="0" w:color="auto"/>
              <w:right w:val="nil"/>
            </w:tcBorders>
            <w:shd w:val="clear" w:color="000000" w:fill="FFFFFF"/>
            <w:vAlign w:val="center"/>
            <w:hideMark/>
          </w:tcPr>
          <w:p w14:paraId="5AB0758F"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 Formal (demais firmas)</w:t>
            </w:r>
          </w:p>
        </w:tc>
        <w:tc>
          <w:tcPr>
            <w:tcW w:w="1093" w:type="dxa"/>
            <w:tcBorders>
              <w:top w:val="nil"/>
              <w:left w:val="nil"/>
              <w:bottom w:val="single" w:sz="4" w:space="0" w:color="auto"/>
              <w:right w:val="nil"/>
            </w:tcBorders>
            <w:shd w:val="clear" w:color="000000" w:fill="FFFFFF"/>
            <w:vAlign w:val="center"/>
            <w:hideMark/>
          </w:tcPr>
          <w:p w14:paraId="3E9AE45D"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 informal (demais firmas)</w:t>
            </w:r>
          </w:p>
        </w:tc>
      </w:tr>
      <w:tr w:rsidR="003969E2" w:rsidRPr="00FC3E6E" w14:paraId="78F11966" w14:textId="77777777" w:rsidTr="00034007">
        <w:trPr>
          <w:trHeight w:val="359"/>
        </w:trPr>
        <w:tc>
          <w:tcPr>
            <w:tcW w:w="3014" w:type="dxa"/>
            <w:tcBorders>
              <w:top w:val="nil"/>
              <w:left w:val="nil"/>
              <w:bottom w:val="nil"/>
              <w:right w:val="nil"/>
            </w:tcBorders>
            <w:shd w:val="clear" w:color="000000" w:fill="FFFFFF"/>
            <w:noWrap/>
            <w:vAlign w:val="bottom"/>
            <w:hideMark/>
          </w:tcPr>
          <w:p w14:paraId="09878D3E"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c>
          <w:tcPr>
            <w:tcW w:w="10889" w:type="dxa"/>
            <w:gridSpan w:val="10"/>
            <w:tcBorders>
              <w:top w:val="single" w:sz="4" w:space="0" w:color="auto"/>
              <w:left w:val="nil"/>
              <w:bottom w:val="single" w:sz="4" w:space="0" w:color="auto"/>
              <w:right w:val="nil"/>
            </w:tcBorders>
            <w:shd w:val="clear" w:color="000000" w:fill="FFFFFF"/>
            <w:vAlign w:val="bottom"/>
            <w:hideMark/>
          </w:tcPr>
          <w:p w14:paraId="3042422A"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Pós-Mei</w:t>
            </w:r>
            <w:proofErr w:type="spellEnd"/>
            <w:r w:rsidRPr="00726964">
              <w:rPr>
                <w:rFonts w:ascii="Times New Roman" w:eastAsia="Times New Roman" w:hAnsi="Times New Roman" w:cs="Times New Roman"/>
                <w:b/>
                <w:bCs/>
                <w:sz w:val="24"/>
                <w:szCs w:val="24"/>
                <w:lang w:eastAsia="pt-BR"/>
              </w:rPr>
              <w:t xml:space="preserve"> - Set/2009 a Out/2012</w:t>
            </w:r>
          </w:p>
        </w:tc>
      </w:tr>
      <w:tr w:rsidR="003969E2" w:rsidRPr="00FC3E6E" w14:paraId="1CF07547" w14:textId="77777777" w:rsidTr="00034007">
        <w:trPr>
          <w:trHeight w:val="329"/>
        </w:trPr>
        <w:tc>
          <w:tcPr>
            <w:tcW w:w="3014" w:type="dxa"/>
            <w:tcBorders>
              <w:top w:val="nil"/>
              <w:left w:val="nil"/>
              <w:bottom w:val="nil"/>
              <w:right w:val="nil"/>
            </w:tcBorders>
            <w:shd w:val="clear" w:color="000000" w:fill="FFFFFF"/>
            <w:noWrap/>
            <w:vAlign w:val="bottom"/>
            <w:hideMark/>
          </w:tcPr>
          <w:p w14:paraId="54685D95"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Formal</w:t>
            </w:r>
          </w:p>
        </w:tc>
        <w:tc>
          <w:tcPr>
            <w:tcW w:w="1091" w:type="dxa"/>
            <w:tcBorders>
              <w:top w:val="nil"/>
              <w:left w:val="nil"/>
              <w:bottom w:val="nil"/>
              <w:right w:val="nil"/>
            </w:tcBorders>
            <w:shd w:val="clear" w:color="000000" w:fill="FFFFFF"/>
            <w:noWrap/>
            <w:vAlign w:val="bottom"/>
            <w:hideMark/>
          </w:tcPr>
          <w:p w14:paraId="42DAFCF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51,88</w:t>
            </w:r>
          </w:p>
        </w:tc>
        <w:tc>
          <w:tcPr>
            <w:tcW w:w="1091" w:type="dxa"/>
            <w:tcBorders>
              <w:top w:val="nil"/>
              <w:left w:val="nil"/>
              <w:bottom w:val="nil"/>
              <w:right w:val="nil"/>
            </w:tcBorders>
            <w:shd w:val="clear" w:color="000000" w:fill="FFFFFF"/>
            <w:noWrap/>
            <w:vAlign w:val="bottom"/>
            <w:hideMark/>
          </w:tcPr>
          <w:p w14:paraId="66274F6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18,79</w:t>
            </w:r>
          </w:p>
        </w:tc>
        <w:tc>
          <w:tcPr>
            <w:tcW w:w="1091" w:type="dxa"/>
            <w:tcBorders>
              <w:top w:val="nil"/>
              <w:left w:val="nil"/>
              <w:bottom w:val="nil"/>
              <w:right w:val="nil"/>
            </w:tcBorders>
            <w:shd w:val="clear" w:color="000000" w:fill="FFFFFF"/>
            <w:noWrap/>
            <w:vAlign w:val="bottom"/>
            <w:hideMark/>
          </w:tcPr>
          <w:p w14:paraId="0D1EA4D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5,68</w:t>
            </w:r>
          </w:p>
        </w:tc>
        <w:tc>
          <w:tcPr>
            <w:tcW w:w="1091" w:type="dxa"/>
            <w:tcBorders>
              <w:top w:val="nil"/>
              <w:left w:val="nil"/>
              <w:bottom w:val="nil"/>
              <w:right w:val="nil"/>
            </w:tcBorders>
            <w:shd w:val="clear" w:color="000000" w:fill="FFFFFF"/>
            <w:noWrap/>
            <w:vAlign w:val="bottom"/>
            <w:hideMark/>
          </w:tcPr>
          <w:p w14:paraId="6BA6DEA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1,18</w:t>
            </w:r>
          </w:p>
        </w:tc>
        <w:tc>
          <w:tcPr>
            <w:tcW w:w="1071" w:type="dxa"/>
            <w:tcBorders>
              <w:top w:val="nil"/>
              <w:left w:val="nil"/>
              <w:bottom w:val="nil"/>
              <w:right w:val="nil"/>
            </w:tcBorders>
            <w:shd w:val="clear" w:color="000000" w:fill="FFFFFF"/>
            <w:noWrap/>
            <w:vAlign w:val="bottom"/>
            <w:hideMark/>
          </w:tcPr>
          <w:p w14:paraId="7BB904A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1,48</w:t>
            </w:r>
          </w:p>
        </w:tc>
        <w:tc>
          <w:tcPr>
            <w:tcW w:w="1091" w:type="dxa"/>
            <w:tcBorders>
              <w:top w:val="nil"/>
              <w:left w:val="nil"/>
              <w:bottom w:val="nil"/>
              <w:right w:val="nil"/>
            </w:tcBorders>
            <w:shd w:val="clear" w:color="000000" w:fill="FFFFFF"/>
            <w:noWrap/>
            <w:vAlign w:val="bottom"/>
            <w:hideMark/>
          </w:tcPr>
          <w:p w14:paraId="03F5A13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0,28</w:t>
            </w:r>
          </w:p>
        </w:tc>
        <w:tc>
          <w:tcPr>
            <w:tcW w:w="1091" w:type="dxa"/>
            <w:tcBorders>
              <w:top w:val="nil"/>
              <w:left w:val="nil"/>
              <w:bottom w:val="nil"/>
              <w:right w:val="nil"/>
            </w:tcBorders>
            <w:shd w:val="clear" w:color="000000" w:fill="FFFFFF"/>
            <w:noWrap/>
            <w:vAlign w:val="bottom"/>
            <w:hideMark/>
          </w:tcPr>
          <w:p w14:paraId="013592C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9,60</w:t>
            </w:r>
          </w:p>
        </w:tc>
        <w:tc>
          <w:tcPr>
            <w:tcW w:w="1091" w:type="dxa"/>
            <w:tcBorders>
              <w:top w:val="nil"/>
              <w:left w:val="nil"/>
              <w:bottom w:val="nil"/>
              <w:right w:val="nil"/>
            </w:tcBorders>
            <w:shd w:val="clear" w:color="000000" w:fill="FFFFFF"/>
            <w:noWrap/>
            <w:vAlign w:val="bottom"/>
            <w:hideMark/>
          </w:tcPr>
          <w:p w14:paraId="7F4C4B5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2,71</w:t>
            </w:r>
          </w:p>
        </w:tc>
        <w:tc>
          <w:tcPr>
            <w:tcW w:w="1091" w:type="dxa"/>
            <w:tcBorders>
              <w:top w:val="nil"/>
              <w:left w:val="nil"/>
              <w:bottom w:val="nil"/>
              <w:right w:val="nil"/>
            </w:tcBorders>
            <w:shd w:val="clear" w:color="000000" w:fill="FFFFFF"/>
            <w:noWrap/>
            <w:vAlign w:val="bottom"/>
            <w:hideMark/>
          </w:tcPr>
          <w:p w14:paraId="2CF3E05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1,36</w:t>
            </w:r>
          </w:p>
        </w:tc>
        <w:tc>
          <w:tcPr>
            <w:tcW w:w="1093" w:type="dxa"/>
            <w:tcBorders>
              <w:top w:val="nil"/>
              <w:left w:val="nil"/>
              <w:bottom w:val="nil"/>
              <w:right w:val="nil"/>
            </w:tcBorders>
            <w:shd w:val="clear" w:color="000000" w:fill="FFFFFF"/>
            <w:noWrap/>
            <w:vAlign w:val="bottom"/>
            <w:hideMark/>
          </w:tcPr>
          <w:p w14:paraId="22F144F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0,18</w:t>
            </w:r>
          </w:p>
        </w:tc>
      </w:tr>
      <w:tr w:rsidR="003969E2" w:rsidRPr="00FC3E6E" w14:paraId="2BF5A11D" w14:textId="77777777" w:rsidTr="00034007">
        <w:trPr>
          <w:trHeight w:val="235"/>
        </w:trPr>
        <w:tc>
          <w:tcPr>
            <w:tcW w:w="3014" w:type="dxa"/>
            <w:tcBorders>
              <w:top w:val="nil"/>
              <w:left w:val="nil"/>
              <w:bottom w:val="nil"/>
              <w:right w:val="nil"/>
            </w:tcBorders>
            <w:shd w:val="clear" w:color="000000" w:fill="FFFFFF"/>
            <w:noWrap/>
            <w:vAlign w:val="bottom"/>
            <w:hideMark/>
          </w:tcPr>
          <w:p w14:paraId="4FCFF6B0"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Informal</w:t>
            </w:r>
          </w:p>
        </w:tc>
        <w:tc>
          <w:tcPr>
            <w:tcW w:w="1091" w:type="dxa"/>
            <w:tcBorders>
              <w:top w:val="nil"/>
              <w:left w:val="nil"/>
              <w:bottom w:val="nil"/>
              <w:right w:val="nil"/>
            </w:tcBorders>
            <w:shd w:val="clear" w:color="000000" w:fill="FFFFFF"/>
            <w:noWrap/>
            <w:vAlign w:val="bottom"/>
            <w:hideMark/>
          </w:tcPr>
          <w:p w14:paraId="7837AC3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8,23</w:t>
            </w:r>
          </w:p>
        </w:tc>
        <w:tc>
          <w:tcPr>
            <w:tcW w:w="1091" w:type="dxa"/>
            <w:tcBorders>
              <w:top w:val="nil"/>
              <w:left w:val="nil"/>
              <w:bottom w:val="nil"/>
              <w:right w:val="nil"/>
            </w:tcBorders>
            <w:shd w:val="clear" w:color="000000" w:fill="FFFFFF"/>
            <w:noWrap/>
            <w:vAlign w:val="bottom"/>
            <w:hideMark/>
          </w:tcPr>
          <w:p w14:paraId="0AD73BA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58,52</w:t>
            </w:r>
          </w:p>
        </w:tc>
        <w:tc>
          <w:tcPr>
            <w:tcW w:w="1091" w:type="dxa"/>
            <w:tcBorders>
              <w:top w:val="nil"/>
              <w:left w:val="nil"/>
              <w:bottom w:val="nil"/>
              <w:right w:val="nil"/>
            </w:tcBorders>
            <w:shd w:val="clear" w:color="000000" w:fill="FFFFFF"/>
            <w:noWrap/>
            <w:vAlign w:val="bottom"/>
            <w:hideMark/>
          </w:tcPr>
          <w:p w14:paraId="7E188F5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1,02</w:t>
            </w:r>
          </w:p>
        </w:tc>
        <w:tc>
          <w:tcPr>
            <w:tcW w:w="1091" w:type="dxa"/>
            <w:tcBorders>
              <w:top w:val="nil"/>
              <w:left w:val="nil"/>
              <w:bottom w:val="nil"/>
              <w:right w:val="nil"/>
            </w:tcBorders>
            <w:shd w:val="clear" w:color="000000" w:fill="FFFFFF"/>
            <w:noWrap/>
            <w:vAlign w:val="bottom"/>
            <w:hideMark/>
          </w:tcPr>
          <w:p w14:paraId="0F4011B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2,37</w:t>
            </w:r>
          </w:p>
        </w:tc>
        <w:tc>
          <w:tcPr>
            <w:tcW w:w="1071" w:type="dxa"/>
            <w:tcBorders>
              <w:top w:val="nil"/>
              <w:left w:val="nil"/>
              <w:bottom w:val="nil"/>
              <w:right w:val="nil"/>
            </w:tcBorders>
            <w:shd w:val="clear" w:color="000000" w:fill="FFFFFF"/>
            <w:noWrap/>
            <w:vAlign w:val="bottom"/>
            <w:hideMark/>
          </w:tcPr>
          <w:p w14:paraId="27F45EF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0,23</w:t>
            </w:r>
          </w:p>
        </w:tc>
        <w:tc>
          <w:tcPr>
            <w:tcW w:w="1091" w:type="dxa"/>
            <w:tcBorders>
              <w:top w:val="nil"/>
              <w:left w:val="nil"/>
              <w:bottom w:val="nil"/>
              <w:right w:val="nil"/>
            </w:tcBorders>
            <w:shd w:val="clear" w:color="000000" w:fill="FFFFFF"/>
            <w:noWrap/>
            <w:vAlign w:val="bottom"/>
            <w:hideMark/>
          </w:tcPr>
          <w:p w14:paraId="64EB05A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0,18</w:t>
            </w:r>
          </w:p>
        </w:tc>
        <w:tc>
          <w:tcPr>
            <w:tcW w:w="1091" w:type="dxa"/>
            <w:tcBorders>
              <w:top w:val="nil"/>
              <w:left w:val="nil"/>
              <w:bottom w:val="nil"/>
              <w:right w:val="nil"/>
            </w:tcBorders>
            <w:shd w:val="clear" w:color="000000" w:fill="FFFFFF"/>
            <w:noWrap/>
            <w:vAlign w:val="bottom"/>
            <w:hideMark/>
          </w:tcPr>
          <w:p w14:paraId="2744200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7,09</w:t>
            </w:r>
          </w:p>
        </w:tc>
        <w:tc>
          <w:tcPr>
            <w:tcW w:w="1091" w:type="dxa"/>
            <w:tcBorders>
              <w:top w:val="nil"/>
              <w:left w:val="nil"/>
              <w:bottom w:val="nil"/>
              <w:right w:val="nil"/>
            </w:tcBorders>
            <w:shd w:val="clear" w:color="000000" w:fill="FFFFFF"/>
            <w:noWrap/>
            <w:vAlign w:val="bottom"/>
            <w:hideMark/>
          </w:tcPr>
          <w:p w14:paraId="7B8C550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6,57</w:t>
            </w:r>
          </w:p>
        </w:tc>
        <w:tc>
          <w:tcPr>
            <w:tcW w:w="1091" w:type="dxa"/>
            <w:tcBorders>
              <w:top w:val="nil"/>
              <w:left w:val="nil"/>
              <w:bottom w:val="nil"/>
              <w:right w:val="nil"/>
            </w:tcBorders>
            <w:shd w:val="clear" w:color="000000" w:fill="FFFFFF"/>
            <w:noWrap/>
            <w:vAlign w:val="bottom"/>
            <w:hideMark/>
          </w:tcPr>
          <w:p w14:paraId="51A79E4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0,31</w:t>
            </w:r>
          </w:p>
        </w:tc>
        <w:tc>
          <w:tcPr>
            <w:tcW w:w="1093" w:type="dxa"/>
            <w:tcBorders>
              <w:top w:val="nil"/>
              <w:left w:val="nil"/>
              <w:bottom w:val="nil"/>
              <w:right w:val="nil"/>
            </w:tcBorders>
            <w:shd w:val="clear" w:color="000000" w:fill="FFFFFF"/>
            <w:noWrap/>
            <w:vAlign w:val="bottom"/>
            <w:hideMark/>
          </w:tcPr>
          <w:p w14:paraId="266FD97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0,29</w:t>
            </w:r>
          </w:p>
        </w:tc>
      </w:tr>
      <w:tr w:rsidR="003969E2" w:rsidRPr="00FC3E6E" w14:paraId="74ECFFA5" w14:textId="77777777" w:rsidTr="00034007">
        <w:trPr>
          <w:trHeight w:val="235"/>
        </w:trPr>
        <w:tc>
          <w:tcPr>
            <w:tcW w:w="3014" w:type="dxa"/>
            <w:tcBorders>
              <w:top w:val="nil"/>
              <w:left w:val="nil"/>
              <w:bottom w:val="nil"/>
              <w:right w:val="nil"/>
            </w:tcBorders>
            <w:shd w:val="clear" w:color="000000" w:fill="FFFFFF"/>
            <w:noWrap/>
            <w:vAlign w:val="bottom"/>
            <w:hideMark/>
          </w:tcPr>
          <w:p w14:paraId="09329FF1"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&lt; 5 trab. Formal</w:t>
            </w:r>
          </w:p>
        </w:tc>
        <w:tc>
          <w:tcPr>
            <w:tcW w:w="1091" w:type="dxa"/>
            <w:tcBorders>
              <w:top w:val="nil"/>
              <w:left w:val="nil"/>
              <w:bottom w:val="nil"/>
              <w:right w:val="nil"/>
            </w:tcBorders>
            <w:shd w:val="clear" w:color="000000" w:fill="FFFFFF"/>
            <w:noWrap/>
            <w:vAlign w:val="bottom"/>
            <w:hideMark/>
          </w:tcPr>
          <w:p w14:paraId="762EA22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16,00</w:t>
            </w:r>
          </w:p>
        </w:tc>
        <w:tc>
          <w:tcPr>
            <w:tcW w:w="1091" w:type="dxa"/>
            <w:tcBorders>
              <w:top w:val="nil"/>
              <w:left w:val="nil"/>
              <w:bottom w:val="nil"/>
              <w:right w:val="nil"/>
            </w:tcBorders>
            <w:shd w:val="clear" w:color="000000" w:fill="FFFFFF"/>
            <w:noWrap/>
            <w:vAlign w:val="bottom"/>
            <w:hideMark/>
          </w:tcPr>
          <w:p w14:paraId="7610E9C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6,45</w:t>
            </w:r>
          </w:p>
        </w:tc>
        <w:tc>
          <w:tcPr>
            <w:tcW w:w="1091" w:type="dxa"/>
            <w:tcBorders>
              <w:top w:val="nil"/>
              <w:left w:val="nil"/>
              <w:bottom w:val="nil"/>
              <w:right w:val="nil"/>
            </w:tcBorders>
            <w:shd w:val="clear" w:color="000000" w:fill="FFFFFF"/>
            <w:noWrap/>
            <w:vAlign w:val="bottom"/>
            <w:hideMark/>
          </w:tcPr>
          <w:p w14:paraId="01E51EC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46,47</w:t>
            </w:r>
          </w:p>
        </w:tc>
        <w:tc>
          <w:tcPr>
            <w:tcW w:w="1091" w:type="dxa"/>
            <w:tcBorders>
              <w:top w:val="nil"/>
              <w:left w:val="nil"/>
              <w:bottom w:val="nil"/>
              <w:right w:val="nil"/>
            </w:tcBorders>
            <w:shd w:val="clear" w:color="000000" w:fill="FFFFFF"/>
            <w:noWrap/>
            <w:vAlign w:val="bottom"/>
            <w:hideMark/>
          </w:tcPr>
          <w:p w14:paraId="4DDAAE0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6,67</w:t>
            </w:r>
          </w:p>
        </w:tc>
        <w:tc>
          <w:tcPr>
            <w:tcW w:w="1071" w:type="dxa"/>
            <w:tcBorders>
              <w:top w:val="nil"/>
              <w:left w:val="nil"/>
              <w:bottom w:val="nil"/>
              <w:right w:val="nil"/>
            </w:tcBorders>
            <w:shd w:val="clear" w:color="000000" w:fill="FFFFFF"/>
            <w:noWrap/>
            <w:vAlign w:val="bottom"/>
            <w:hideMark/>
          </w:tcPr>
          <w:p w14:paraId="595243E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7,29</w:t>
            </w:r>
          </w:p>
        </w:tc>
        <w:tc>
          <w:tcPr>
            <w:tcW w:w="1091" w:type="dxa"/>
            <w:tcBorders>
              <w:top w:val="nil"/>
              <w:left w:val="nil"/>
              <w:bottom w:val="nil"/>
              <w:right w:val="nil"/>
            </w:tcBorders>
            <w:shd w:val="clear" w:color="000000" w:fill="FFFFFF"/>
            <w:noWrap/>
            <w:vAlign w:val="bottom"/>
            <w:hideMark/>
          </w:tcPr>
          <w:p w14:paraId="440459E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1,52</w:t>
            </w:r>
          </w:p>
        </w:tc>
        <w:tc>
          <w:tcPr>
            <w:tcW w:w="1091" w:type="dxa"/>
            <w:tcBorders>
              <w:top w:val="nil"/>
              <w:left w:val="nil"/>
              <w:bottom w:val="nil"/>
              <w:right w:val="nil"/>
            </w:tcBorders>
            <w:shd w:val="clear" w:color="000000" w:fill="FFFFFF"/>
            <w:noWrap/>
            <w:vAlign w:val="bottom"/>
            <w:hideMark/>
          </w:tcPr>
          <w:p w14:paraId="75F9A9F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8,87</w:t>
            </w:r>
          </w:p>
        </w:tc>
        <w:tc>
          <w:tcPr>
            <w:tcW w:w="1091" w:type="dxa"/>
            <w:tcBorders>
              <w:top w:val="nil"/>
              <w:left w:val="nil"/>
              <w:bottom w:val="nil"/>
              <w:right w:val="nil"/>
            </w:tcBorders>
            <w:shd w:val="clear" w:color="000000" w:fill="FFFFFF"/>
            <w:noWrap/>
            <w:vAlign w:val="bottom"/>
            <w:hideMark/>
          </w:tcPr>
          <w:p w14:paraId="05FB3C2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2,10</w:t>
            </w:r>
          </w:p>
        </w:tc>
        <w:tc>
          <w:tcPr>
            <w:tcW w:w="1091" w:type="dxa"/>
            <w:tcBorders>
              <w:top w:val="nil"/>
              <w:left w:val="nil"/>
              <w:bottom w:val="nil"/>
              <w:right w:val="nil"/>
            </w:tcBorders>
            <w:shd w:val="clear" w:color="000000" w:fill="FFFFFF"/>
            <w:noWrap/>
            <w:vAlign w:val="bottom"/>
            <w:hideMark/>
          </w:tcPr>
          <w:p w14:paraId="123F9E1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2DA02D0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224AF5B6" w14:textId="77777777" w:rsidTr="00034007">
        <w:trPr>
          <w:trHeight w:val="235"/>
        </w:trPr>
        <w:tc>
          <w:tcPr>
            <w:tcW w:w="3014" w:type="dxa"/>
            <w:tcBorders>
              <w:top w:val="nil"/>
              <w:left w:val="nil"/>
              <w:bottom w:val="nil"/>
              <w:right w:val="nil"/>
            </w:tcBorders>
            <w:shd w:val="clear" w:color="000000" w:fill="FFFFFF"/>
            <w:noWrap/>
            <w:vAlign w:val="bottom"/>
            <w:hideMark/>
          </w:tcPr>
          <w:p w14:paraId="4318586C"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&lt; 5 trab. Informal</w:t>
            </w:r>
          </w:p>
        </w:tc>
        <w:tc>
          <w:tcPr>
            <w:tcW w:w="1091" w:type="dxa"/>
            <w:tcBorders>
              <w:top w:val="nil"/>
              <w:left w:val="nil"/>
              <w:bottom w:val="nil"/>
              <w:right w:val="nil"/>
            </w:tcBorders>
            <w:shd w:val="clear" w:color="000000" w:fill="FFFFFF"/>
            <w:noWrap/>
            <w:vAlign w:val="bottom"/>
            <w:hideMark/>
          </w:tcPr>
          <w:p w14:paraId="18050E4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6,51</w:t>
            </w:r>
          </w:p>
        </w:tc>
        <w:tc>
          <w:tcPr>
            <w:tcW w:w="1091" w:type="dxa"/>
            <w:tcBorders>
              <w:top w:val="nil"/>
              <w:left w:val="nil"/>
              <w:bottom w:val="nil"/>
              <w:right w:val="nil"/>
            </w:tcBorders>
            <w:shd w:val="clear" w:color="000000" w:fill="FFFFFF"/>
            <w:noWrap/>
            <w:vAlign w:val="bottom"/>
            <w:hideMark/>
          </w:tcPr>
          <w:p w14:paraId="1500F0D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26,11</w:t>
            </w:r>
          </w:p>
        </w:tc>
        <w:tc>
          <w:tcPr>
            <w:tcW w:w="1091" w:type="dxa"/>
            <w:tcBorders>
              <w:top w:val="nil"/>
              <w:left w:val="nil"/>
              <w:bottom w:val="nil"/>
              <w:right w:val="nil"/>
            </w:tcBorders>
            <w:shd w:val="clear" w:color="000000" w:fill="FFFFFF"/>
            <w:noWrap/>
            <w:vAlign w:val="bottom"/>
            <w:hideMark/>
          </w:tcPr>
          <w:p w14:paraId="6023388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14,92</w:t>
            </w:r>
          </w:p>
        </w:tc>
        <w:tc>
          <w:tcPr>
            <w:tcW w:w="1091" w:type="dxa"/>
            <w:tcBorders>
              <w:top w:val="nil"/>
              <w:left w:val="nil"/>
              <w:bottom w:val="nil"/>
              <w:right w:val="nil"/>
            </w:tcBorders>
            <w:shd w:val="clear" w:color="000000" w:fill="FFFFFF"/>
            <w:noWrap/>
            <w:vAlign w:val="bottom"/>
            <w:hideMark/>
          </w:tcPr>
          <w:p w14:paraId="423D3CA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27,13</w:t>
            </w:r>
          </w:p>
        </w:tc>
        <w:tc>
          <w:tcPr>
            <w:tcW w:w="1071" w:type="dxa"/>
            <w:tcBorders>
              <w:top w:val="nil"/>
              <w:left w:val="nil"/>
              <w:bottom w:val="nil"/>
              <w:right w:val="nil"/>
            </w:tcBorders>
            <w:shd w:val="clear" w:color="000000" w:fill="FFFFFF"/>
            <w:noWrap/>
            <w:vAlign w:val="bottom"/>
            <w:hideMark/>
          </w:tcPr>
          <w:p w14:paraId="424CE52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2,78</w:t>
            </w:r>
          </w:p>
        </w:tc>
        <w:tc>
          <w:tcPr>
            <w:tcW w:w="1091" w:type="dxa"/>
            <w:tcBorders>
              <w:top w:val="nil"/>
              <w:left w:val="nil"/>
              <w:bottom w:val="nil"/>
              <w:right w:val="nil"/>
            </w:tcBorders>
            <w:shd w:val="clear" w:color="000000" w:fill="FFFFFF"/>
            <w:noWrap/>
            <w:vAlign w:val="bottom"/>
            <w:hideMark/>
          </w:tcPr>
          <w:p w14:paraId="1AFFE72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1,62</w:t>
            </w:r>
          </w:p>
        </w:tc>
        <w:tc>
          <w:tcPr>
            <w:tcW w:w="1091" w:type="dxa"/>
            <w:tcBorders>
              <w:top w:val="nil"/>
              <w:left w:val="nil"/>
              <w:bottom w:val="nil"/>
              <w:right w:val="nil"/>
            </w:tcBorders>
            <w:shd w:val="clear" w:color="000000" w:fill="FFFFFF"/>
            <w:noWrap/>
            <w:vAlign w:val="bottom"/>
            <w:hideMark/>
          </w:tcPr>
          <w:p w14:paraId="6652AE4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6,85</w:t>
            </w:r>
          </w:p>
        </w:tc>
        <w:tc>
          <w:tcPr>
            <w:tcW w:w="1091" w:type="dxa"/>
            <w:tcBorders>
              <w:top w:val="nil"/>
              <w:left w:val="nil"/>
              <w:bottom w:val="nil"/>
              <w:right w:val="nil"/>
            </w:tcBorders>
            <w:shd w:val="clear" w:color="000000" w:fill="FFFFFF"/>
            <w:noWrap/>
            <w:vAlign w:val="bottom"/>
            <w:hideMark/>
          </w:tcPr>
          <w:p w14:paraId="0CF5036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4,55</w:t>
            </w:r>
          </w:p>
        </w:tc>
        <w:tc>
          <w:tcPr>
            <w:tcW w:w="1091" w:type="dxa"/>
            <w:tcBorders>
              <w:top w:val="nil"/>
              <w:left w:val="nil"/>
              <w:bottom w:val="nil"/>
              <w:right w:val="nil"/>
            </w:tcBorders>
            <w:shd w:val="clear" w:color="000000" w:fill="FFFFFF"/>
            <w:noWrap/>
            <w:vAlign w:val="bottom"/>
            <w:hideMark/>
          </w:tcPr>
          <w:p w14:paraId="2E9175C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1D60B6A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66B46634" w14:textId="77777777" w:rsidTr="00034007">
        <w:trPr>
          <w:trHeight w:val="235"/>
        </w:trPr>
        <w:tc>
          <w:tcPr>
            <w:tcW w:w="3014" w:type="dxa"/>
            <w:tcBorders>
              <w:top w:val="nil"/>
              <w:left w:val="nil"/>
              <w:bottom w:val="nil"/>
              <w:right w:val="nil"/>
            </w:tcBorders>
            <w:shd w:val="clear" w:color="000000" w:fill="FFFFFF"/>
            <w:noWrap/>
            <w:vAlign w:val="bottom"/>
            <w:hideMark/>
          </w:tcPr>
          <w:p w14:paraId="30C11BF0"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&gt; 5 trab. Formal</w:t>
            </w:r>
          </w:p>
        </w:tc>
        <w:tc>
          <w:tcPr>
            <w:tcW w:w="1091" w:type="dxa"/>
            <w:tcBorders>
              <w:top w:val="nil"/>
              <w:left w:val="nil"/>
              <w:bottom w:val="nil"/>
              <w:right w:val="nil"/>
            </w:tcBorders>
            <w:shd w:val="clear" w:color="000000" w:fill="FFFFFF"/>
            <w:noWrap/>
            <w:vAlign w:val="bottom"/>
            <w:hideMark/>
          </w:tcPr>
          <w:p w14:paraId="7B59915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4,55</w:t>
            </w:r>
          </w:p>
        </w:tc>
        <w:tc>
          <w:tcPr>
            <w:tcW w:w="1091" w:type="dxa"/>
            <w:tcBorders>
              <w:top w:val="nil"/>
              <w:left w:val="nil"/>
              <w:bottom w:val="nil"/>
              <w:right w:val="nil"/>
            </w:tcBorders>
            <w:shd w:val="clear" w:color="000000" w:fill="FFFFFF"/>
            <w:noWrap/>
            <w:vAlign w:val="bottom"/>
            <w:hideMark/>
          </w:tcPr>
          <w:p w14:paraId="3629979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2,56</w:t>
            </w:r>
          </w:p>
        </w:tc>
        <w:tc>
          <w:tcPr>
            <w:tcW w:w="1091" w:type="dxa"/>
            <w:tcBorders>
              <w:top w:val="nil"/>
              <w:left w:val="nil"/>
              <w:bottom w:val="nil"/>
              <w:right w:val="nil"/>
            </w:tcBorders>
            <w:shd w:val="clear" w:color="000000" w:fill="FFFFFF"/>
            <w:noWrap/>
            <w:vAlign w:val="bottom"/>
            <w:hideMark/>
          </w:tcPr>
          <w:p w14:paraId="74A84AF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7,37</w:t>
            </w:r>
          </w:p>
        </w:tc>
        <w:tc>
          <w:tcPr>
            <w:tcW w:w="1091" w:type="dxa"/>
            <w:tcBorders>
              <w:top w:val="nil"/>
              <w:left w:val="nil"/>
              <w:bottom w:val="nil"/>
              <w:right w:val="nil"/>
            </w:tcBorders>
            <w:shd w:val="clear" w:color="000000" w:fill="FFFFFF"/>
            <w:noWrap/>
            <w:vAlign w:val="bottom"/>
            <w:hideMark/>
          </w:tcPr>
          <w:p w14:paraId="77502BB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1,55</w:t>
            </w:r>
          </w:p>
        </w:tc>
        <w:tc>
          <w:tcPr>
            <w:tcW w:w="1071" w:type="dxa"/>
            <w:tcBorders>
              <w:top w:val="nil"/>
              <w:left w:val="nil"/>
              <w:bottom w:val="nil"/>
              <w:right w:val="nil"/>
            </w:tcBorders>
            <w:shd w:val="clear" w:color="000000" w:fill="FFFFFF"/>
            <w:noWrap/>
            <w:vAlign w:val="bottom"/>
            <w:hideMark/>
          </w:tcPr>
          <w:p w14:paraId="59AAB50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60,89</w:t>
            </w:r>
          </w:p>
        </w:tc>
        <w:tc>
          <w:tcPr>
            <w:tcW w:w="1091" w:type="dxa"/>
            <w:tcBorders>
              <w:top w:val="nil"/>
              <w:left w:val="nil"/>
              <w:bottom w:val="nil"/>
              <w:right w:val="nil"/>
            </w:tcBorders>
            <w:shd w:val="clear" w:color="000000" w:fill="FFFFFF"/>
            <w:noWrap/>
            <w:vAlign w:val="bottom"/>
            <w:hideMark/>
          </w:tcPr>
          <w:p w14:paraId="04EF660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5,94</w:t>
            </w:r>
          </w:p>
        </w:tc>
        <w:tc>
          <w:tcPr>
            <w:tcW w:w="1091" w:type="dxa"/>
            <w:tcBorders>
              <w:top w:val="nil"/>
              <w:left w:val="nil"/>
              <w:bottom w:val="nil"/>
              <w:right w:val="nil"/>
            </w:tcBorders>
            <w:shd w:val="clear" w:color="000000" w:fill="FFFFFF"/>
            <w:noWrap/>
            <w:vAlign w:val="bottom"/>
            <w:hideMark/>
          </w:tcPr>
          <w:p w14:paraId="6F2A9D0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50D7A22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7B74DFC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10,41</w:t>
            </w:r>
          </w:p>
        </w:tc>
        <w:tc>
          <w:tcPr>
            <w:tcW w:w="1093" w:type="dxa"/>
            <w:tcBorders>
              <w:top w:val="nil"/>
              <w:left w:val="nil"/>
              <w:bottom w:val="nil"/>
              <w:right w:val="nil"/>
            </w:tcBorders>
            <w:shd w:val="clear" w:color="000000" w:fill="FFFFFF"/>
            <w:noWrap/>
            <w:vAlign w:val="bottom"/>
            <w:hideMark/>
          </w:tcPr>
          <w:p w14:paraId="4DB9A9D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1,83</w:t>
            </w:r>
          </w:p>
        </w:tc>
      </w:tr>
      <w:tr w:rsidR="003969E2" w:rsidRPr="00FC3E6E" w14:paraId="0239A852" w14:textId="77777777" w:rsidTr="00034007">
        <w:trPr>
          <w:trHeight w:val="235"/>
        </w:trPr>
        <w:tc>
          <w:tcPr>
            <w:tcW w:w="3014" w:type="dxa"/>
            <w:tcBorders>
              <w:top w:val="nil"/>
              <w:left w:val="nil"/>
              <w:bottom w:val="nil"/>
              <w:right w:val="nil"/>
            </w:tcBorders>
            <w:shd w:val="clear" w:color="000000" w:fill="FFFFFF"/>
            <w:noWrap/>
            <w:vAlign w:val="bottom"/>
            <w:hideMark/>
          </w:tcPr>
          <w:p w14:paraId="31C1CA55"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&gt; 5 trab. Informal</w:t>
            </w:r>
          </w:p>
        </w:tc>
        <w:tc>
          <w:tcPr>
            <w:tcW w:w="1091" w:type="dxa"/>
            <w:tcBorders>
              <w:top w:val="nil"/>
              <w:left w:val="nil"/>
              <w:bottom w:val="nil"/>
              <w:right w:val="nil"/>
            </w:tcBorders>
            <w:shd w:val="clear" w:color="000000" w:fill="FFFFFF"/>
            <w:noWrap/>
            <w:vAlign w:val="bottom"/>
            <w:hideMark/>
          </w:tcPr>
          <w:p w14:paraId="727BF8D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3,67</w:t>
            </w:r>
          </w:p>
        </w:tc>
        <w:tc>
          <w:tcPr>
            <w:tcW w:w="1091" w:type="dxa"/>
            <w:tcBorders>
              <w:top w:val="nil"/>
              <w:left w:val="nil"/>
              <w:bottom w:val="nil"/>
              <w:right w:val="nil"/>
            </w:tcBorders>
            <w:shd w:val="clear" w:color="000000" w:fill="FFFFFF"/>
            <w:noWrap/>
            <w:vAlign w:val="bottom"/>
            <w:hideMark/>
          </w:tcPr>
          <w:p w14:paraId="19073C4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8,75</w:t>
            </w:r>
          </w:p>
        </w:tc>
        <w:tc>
          <w:tcPr>
            <w:tcW w:w="1091" w:type="dxa"/>
            <w:tcBorders>
              <w:top w:val="nil"/>
              <w:left w:val="nil"/>
              <w:bottom w:val="nil"/>
              <w:right w:val="nil"/>
            </w:tcBorders>
            <w:shd w:val="clear" w:color="000000" w:fill="FFFFFF"/>
            <w:noWrap/>
            <w:vAlign w:val="bottom"/>
            <w:hideMark/>
          </w:tcPr>
          <w:p w14:paraId="459F812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6,20</w:t>
            </w:r>
          </w:p>
        </w:tc>
        <w:tc>
          <w:tcPr>
            <w:tcW w:w="1091" w:type="dxa"/>
            <w:tcBorders>
              <w:top w:val="nil"/>
              <w:left w:val="nil"/>
              <w:bottom w:val="nil"/>
              <w:right w:val="nil"/>
            </w:tcBorders>
            <w:shd w:val="clear" w:color="000000" w:fill="FFFFFF"/>
            <w:noWrap/>
            <w:vAlign w:val="bottom"/>
            <w:hideMark/>
          </w:tcPr>
          <w:p w14:paraId="1329779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4,15</w:t>
            </w:r>
          </w:p>
        </w:tc>
        <w:tc>
          <w:tcPr>
            <w:tcW w:w="1071" w:type="dxa"/>
            <w:tcBorders>
              <w:top w:val="nil"/>
              <w:left w:val="nil"/>
              <w:bottom w:val="nil"/>
              <w:right w:val="nil"/>
            </w:tcBorders>
            <w:shd w:val="clear" w:color="000000" w:fill="FFFFFF"/>
            <w:noWrap/>
            <w:vAlign w:val="bottom"/>
            <w:hideMark/>
          </w:tcPr>
          <w:p w14:paraId="38DE13A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27,46</w:t>
            </w:r>
          </w:p>
        </w:tc>
        <w:tc>
          <w:tcPr>
            <w:tcW w:w="1091" w:type="dxa"/>
            <w:tcBorders>
              <w:top w:val="nil"/>
              <w:left w:val="nil"/>
              <w:bottom w:val="nil"/>
              <w:right w:val="nil"/>
            </w:tcBorders>
            <w:shd w:val="clear" w:color="000000" w:fill="FFFFFF"/>
            <w:noWrap/>
            <w:vAlign w:val="bottom"/>
            <w:hideMark/>
          </w:tcPr>
          <w:p w14:paraId="3AA4DD2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27,43</w:t>
            </w:r>
          </w:p>
        </w:tc>
        <w:tc>
          <w:tcPr>
            <w:tcW w:w="1091" w:type="dxa"/>
            <w:tcBorders>
              <w:top w:val="nil"/>
              <w:left w:val="nil"/>
              <w:bottom w:val="nil"/>
              <w:right w:val="nil"/>
            </w:tcBorders>
            <w:shd w:val="clear" w:color="000000" w:fill="FFFFFF"/>
            <w:noWrap/>
            <w:vAlign w:val="bottom"/>
            <w:hideMark/>
          </w:tcPr>
          <w:p w14:paraId="61C5528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69FBB65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788F3BB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7,68</w:t>
            </w:r>
          </w:p>
        </w:tc>
        <w:tc>
          <w:tcPr>
            <w:tcW w:w="1093" w:type="dxa"/>
            <w:tcBorders>
              <w:top w:val="nil"/>
              <w:left w:val="nil"/>
              <w:bottom w:val="nil"/>
              <w:right w:val="nil"/>
            </w:tcBorders>
            <w:shd w:val="clear" w:color="000000" w:fill="FFFFFF"/>
            <w:noWrap/>
            <w:vAlign w:val="bottom"/>
            <w:hideMark/>
          </w:tcPr>
          <w:p w14:paraId="29F39F7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5,29</w:t>
            </w:r>
          </w:p>
        </w:tc>
      </w:tr>
      <w:tr w:rsidR="003969E2" w:rsidRPr="00FC3E6E" w14:paraId="0B80A8E3" w14:textId="77777777" w:rsidTr="00034007">
        <w:trPr>
          <w:trHeight w:val="235"/>
        </w:trPr>
        <w:tc>
          <w:tcPr>
            <w:tcW w:w="3014" w:type="dxa"/>
            <w:tcBorders>
              <w:top w:val="nil"/>
              <w:left w:val="nil"/>
              <w:bottom w:val="nil"/>
              <w:right w:val="nil"/>
            </w:tcBorders>
            <w:shd w:val="clear" w:color="000000" w:fill="FFFFFF"/>
            <w:noWrap/>
            <w:vAlign w:val="bottom"/>
            <w:hideMark/>
          </w:tcPr>
          <w:p w14:paraId="78FB1093"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Formal (firma peq.)</w:t>
            </w:r>
          </w:p>
        </w:tc>
        <w:tc>
          <w:tcPr>
            <w:tcW w:w="1091" w:type="dxa"/>
            <w:tcBorders>
              <w:top w:val="nil"/>
              <w:left w:val="nil"/>
              <w:bottom w:val="nil"/>
              <w:right w:val="nil"/>
            </w:tcBorders>
            <w:shd w:val="clear" w:color="000000" w:fill="FFFFFF"/>
            <w:noWrap/>
            <w:vAlign w:val="bottom"/>
            <w:hideMark/>
          </w:tcPr>
          <w:p w14:paraId="52B7DFD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3,76</w:t>
            </w:r>
          </w:p>
        </w:tc>
        <w:tc>
          <w:tcPr>
            <w:tcW w:w="1091" w:type="dxa"/>
            <w:tcBorders>
              <w:top w:val="nil"/>
              <w:left w:val="nil"/>
              <w:bottom w:val="nil"/>
              <w:right w:val="nil"/>
            </w:tcBorders>
            <w:shd w:val="clear" w:color="000000" w:fill="FFFFFF"/>
            <w:noWrap/>
            <w:vAlign w:val="bottom"/>
            <w:hideMark/>
          </w:tcPr>
          <w:p w14:paraId="73136FC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3,73</w:t>
            </w:r>
          </w:p>
        </w:tc>
        <w:tc>
          <w:tcPr>
            <w:tcW w:w="1091" w:type="dxa"/>
            <w:tcBorders>
              <w:top w:val="nil"/>
              <w:left w:val="nil"/>
              <w:bottom w:val="nil"/>
              <w:right w:val="nil"/>
            </w:tcBorders>
            <w:shd w:val="clear" w:color="000000" w:fill="FFFFFF"/>
            <w:noWrap/>
            <w:vAlign w:val="bottom"/>
            <w:hideMark/>
          </w:tcPr>
          <w:p w14:paraId="4BB33CD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1,56</w:t>
            </w:r>
          </w:p>
        </w:tc>
        <w:tc>
          <w:tcPr>
            <w:tcW w:w="1091" w:type="dxa"/>
            <w:tcBorders>
              <w:top w:val="nil"/>
              <w:left w:val="nil"/>
              <w:bottom w:val="nil"/>
              <w:right w:val="nil"/>
            </w:tcBorders>
            <w:shd w:val="clear" w:color="000000" w:fill="FFFFFF"/>
            <w:noWrap/>
            <w:vAlign w:val="bottom"/>
            <w:hideMark/>
          </w:tcPr>
          <w:p w14:paraId="3631FC8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0,38</w:t>
            </w:r>
          </w:p>
        </w:tc>
        <w:tc>
          <w:tcPr>
            <w:tcW w:w="1071" w:type="dxa"/>
            <w:tcBorders>
              <w:top w:val="nil"/>
              <w:left w:val="nil"/>
              <w:bottom w:val="nil"/>
              <w:right w:val="nil"/>
            </w:tcBorders>
            <w:shd w:val="clear" w:color="000000" w:fill="FFFFFF"/>
            <w:noWrap/>
            <w:vAlign w:val="bottom"/>
            <w:hideMark/>
          </w:tcPr>
          <w:p w14:paraId="36B129D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0,54</w:t>
            </w:r>
          </w:p>
        </w:tc>
        <w:tc>
          <w:tcPr>
            <w:tcW w:w="1091" w:type="dxa"/>
            <w:tcBorders>
              <w:top w:val="nil"/>
              <w:left w:val="nil"/>
              <w:bottom w:val="nil"/>
              <w:right w:val="nil"/>
            </w:tcBorders>
            <w:shd w:val="clear" w:color="000000" w:fill="FFFFFF"/>
            <w:noWrap/>
            <w:vAlign w:val="bottom"/>
            <w:hideMark/>
          </w:tcPr>
          <w:p w14:paraId="459E3D4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0,11</w:t>
            </w:r>
          </w:p>
        </w:tc>
        <w:tc>
          <w:tcPr>
            <w:tcW w:w="1091" w:type="dxa"/>
            <w:tcBorders>
              <w:top w:val="nil"/>
              <w:left w:val="nil"/>
              <w:bottom w:val="nil"/>
              <w:right w:val="nil"/>
            </w:tcBorders>
            <w:shd w:val="clear" w:color="000000" w:fill="FFFFFF"/>
            <w:noWrap/>
            <w:vAlign w:val="bottom"/>
            <w:hideMark/>
          </w:tcPr>
          <w:p w14:paraId="62A1740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72,62</w:t>
            </w:r>
          </w:p>
        </w:tc>
        <w:tc>
          <w:tcPr>
            <w:tcW w:w="1091" w:type="dxa"/>
            <w:tcBorders>
              <w:top w:val="nil"/>
              <w:left w:val="nil"/>
              <w:bottom w:val="nil"/>
              <w:right w:val="nil"/>
            </w:tcBorders>
            <w:shd w:val="clear" w:color="000000" w:fill="FFFFFF"/>
            <w:noWrap/>
            <w:vAlign w:val="bottom"/>
            <w:hideMark/>
          </w:tcPr>
          <w:p w14:paraId="66EE1DD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7,42</w:t>
            </w:r>
          </w:p>
        </w:tc>
        <w:tc>
          <w:tcPr>
            <w:tcW w:w="1091" w:type="dxa"/>
            <w:tcBorders>
              <w:top w:val="nil"/>
              <w:left w:val="nil"/>
              <w:bottom w:val="nil"/>
              <w:right w:val="nil"/>
            </w:tcBorders>
            <w:shd w:val="clear" w:color="000000" w:fill="FFFFFF"/>
            <w:noWrap/>
            <w:vAlign w:val="bottom"/>
            <w:hideMark/>
          </w:tcPr>
          <w:p w14:paraId="57FAC7D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4AD293E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16F26875" w14:textId="77777777" w:rsidTr="00034007">
        <w:trPr>
          <w:trHeight w:val="235"/>
        </w:trPr>
        <w:tc>
          <w:tcPr>
            <w:tcW w:w="3014" w:type="dxa"/>
            <w:tcBorders>
              <w:top w:val="nil"/>
              <w:left w:val="nil"/>
              <w:bottom w:val="nil"/>
              <w:right w:val="nil"/>
            </w:tcBorders>
            <w:shd w:val="clear" w:color="000000" w:fill="FFFFFF"/>
            <w:noWrap/>
            <w:vAlign w:val="bottom"/>
            <w:hideMark/>
          </w:tcPr>
          <w:p w14:paraId="61DBC722"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informal (firma peq.)</w:t>
            </w:r>
          </w:p>
        </w:tc>
        <w:tc>
          <w:tcPr>
            <w:tcW w:w="1091" w:type="dxa"/>
            <w:tcBorders>
              <w:top w:val="nil"/>
              <w:left w:val="nil"/>
              <w:bottom w:val="nil"/>
              <w:right w:val="nil"/>
            </w:tcBorders>
            <w:shd w:val="clear" w:color="000000" w:fill="FFFFFF"/>
            <w:noWrap/>
            <w:vAlign w:val="bottom"/>
            <w:hideMark/>
          </w:tcPr>
          <w:p w14:paraId="477345C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1,86</w:t>
            </w:r>
          </w:p>
        </w:tc>
        <w:tc>
          <w:tcPr>
            <w:tcW w:w="1091" w:type="dxa"/>
            <w:tcBorders>
              <w:top w:val="nil"/>
              <w:left w:val="nil"/>
              <w:bottom w:val="nil"/>
              <w:right w:val="nil"/>
            </w:tcBorders>
            <w:shd w:val="clear" w:color="000000" w:fill="FFFFFF"/>
            <w:noWrap/>
            <w:vAlign w:val="bottom"/>
            <w:hideMark/>
          </w:tcPr>
          <w:p w14:paraId="2C49E39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12,36</w:t>
            </w:r>
          </w:p>
        </w:tc>
        <w:tc>
          <w:tcPr>
            <w:tcW w:w="1091" w:type="dxa"/>
            <w:tcBorders>
              <w:top w:val="nil"/>
              <w:left w:val="nil"/>
              <w:bottom w:val="nil"/>
              <w:right w:val="nil"/>
            </w:tcBorders>
            <w:shd w:val="clear" w:color="000000" w:fill="FFFFFF"/>
            <w:noWrap/>
            <w:vAlign w:val="bottom"/>
            <w:hideMark/>
          </w:tcPr>
          <w:p w14:paraId="29AD56C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0,64</w:t>
            </w:r>
          </w:p>
        </w:tc>
        <w:tc>
          <w:tcPr>
            <w:tcW w:w="1091" w:type="dxa"/>
            <w:tcBorders>
              <w:top w:val="nil"/>
              <w:left w:val="nil"/>
              <w:bottom w:val="nil"/>
              <w:right w:val="nil"/>
            </w:tcBorders>
            <w:shd w:val="clear" w:color="000000" w:fill="FFFFFF"/>
            <w:noWrap/>
            <w:vAlign w:val="bottom"/>
            <w:hideMark/>
          </w:tcPr>
          <w:p w14:paraId="79E6BCD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1,30</w:t>
            </w:r>
          </w:p>
        </w:tc>
        <w:tc>
          <w:tcPr>
            <w:tcW w:w="1071" w:type="dxa"/>
            <w:tcBorders>
              <w:top w:val="nil"/>
              <w:left w:val="nil"/>
              <w:bottom w:val="nil"/>
              <w:right w:val="nil"/>
            </w:tcBorders>
            <w:shd w:val="clear" w:color="000000" w:fill="FFFFFF"/>
            <w:noWrap/>
            <w:vAlign w:val="bottom"/>
            <w:hideMark/>
          </w:tcPr>
          <w:p w14:paraId="23E8BA2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0,20</w:t>
            </w:r>
          </w:p>
        </w:tc>
        <w:tc>
          <w:tcPr>
            <w:tcW w:w="1091" w:type="dxa"/>
            <w:tcBorders>
              <w:top w:val="nil"/>
              <w:left w:val="nil"/>
              <w:bottom w:val="nil"/>
              <w:right w:val="nil"/>
            </w:tcBorders>
            <w:shd w:val="clear" w:color="000000" w:fill="FFFFFF"/>
            <w:noWrap/>
            <w:vAlign w:val="bottom"/>
            <w:hideMark/>
          </w:tcPr>
          <w:p w14:paraId="3239A5C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0,11</w:t>
            </w:r>
          </w:p>
        </w:tc>
        <w:tc>
          <w:tcPr>
            <w:tcW w:w="1091" w:type="dxa"/>
            <w:tcBorders>
              <w:top w:val="nil"/>
              <w:left w:val="nil"/>
              <w:bottom w:val="nil"/>
              <w:right w:val="nil"/>
            </w:tcBorders>
            <w:shd w:val="clear" w:color="000000" w:fill="FFFFFF"/>
            <w:noWrap/>
            <w:vAlign w:val="bottom"/>
            <w:hideMark/>
          </w:tcPr>
          <w:p w14:paraId="6898E38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20,39</w:t>
            </w:r>
          </w:p>
        </w:tc>
        <w:tc>
          <w:tcPr>
            <w:tcW w:w="1091" w:type="dxa"/>
            <w:tcBorders>
              <w:top w:val="nil"/>
              <w:left w:val="nil"/>
              <w:bottom w:val="nil"/>
              <w:right w:val="nil"/>
            </w:tcBorders>
            <w:shd w:val="clear" w:color="000000" w:fill="FFFFFF"/>
            <w:noWrap/>
            <w:vAlign w:val="bottom"/>
            <w:hideMark/>
          </w:tcPr>
          <w:p w14:paraId="4C5DD35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43,84</w:t>
            </w:r>
          </w:p>
        </w:tc>
        <w:tc>
          <w:tcPr>
            <w:tcW w:w="1091" w:type="dxa"/>
            <w:tcBorders>
              <w:top w:val="nil"/>
              <w:left w:val="nil"/>
              <w:bottom w:val="nil"/>
              <w:right w:val="nil"/>
            </w:tcBorders>
            <w:shd w:val="clear" w:color="000000" w:fill="FFFFFF"/>
            <w:noWrap/>
            <w:vAlign w:val="bottom"/>
            <w:hideMark/>
          </w:tcPr>
          <w:p w14:paraId="4682736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1591D70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384CD772" w14:textId="77777777" w:rsidTr="00034007">
        <w:trPr>
          <w:trHeight w:val="235"/>
        </w:trPr>
        <w:tc>
          <w:tcPr>
            <w:tcW w:w="3014" w:type="dxa"/>
            <w:tcBorders>
              <w:top w:val="nil"/>
              <w:left w:val="nil"/>
              <w:bottom w:val="nil"/>
              <w:right w:val="nil"/>
            </w:tcBorders>
            <w:shd w:val="clear" w:color="000000" w:fill="FFFFFF"/>
            <w:noWrap/>
            <w:vAlign w:val="bottom"/>
            <w:hideMark/>
          </w:tcPr>
          <w:p w14:paraId="6C9E063A"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Formal (demais firmas)</w:t>
            </w:r>
          </w:p>
        </w:tc>
        <w:tc>
          <w:tcPr>
            <w:tcW w:w="1091" w:type="dxa"/>
            <w:tcBorders>
              <w:top w:val="nil"/>
              <w:left w:val="nil"/>
              <w:bottom w:val="nil"/>
              <w:right w:val="nil"/>
            </w:tcBorders>
            <w:shd w:val="clear" w:color="000000" w:fill="FFFFFF"/>
            <w:noWrap/>
            <w:vAlign w:val="bottom"/>
            <w:hideMark/>
          </w:tcPr>
          <w:p w14:paraId="0561C1F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1,05</w:t>
            </w:r>
          </w:p>
        </w:tc>
        <w:tc>
          <w:tcPr>
            <w:tcW w:w="1091" w:type="dxa"/>
            <w:tcBorders>
              <w:top w:val="nil"/>
              <w:left w:val="nil"/>
              <w:bottom w:val="nil"/>
              <w:right w:val="nil"/>
            </w:tcBorders>
            <w:shd w:val="clear" w:color="000000" w:fill="FFFFFF"/>
            <w:noWrap/>
            <w:vAlign w:val="bottom"/>
            <w:hideMark/>
          </w:tcPr>
          <w:p w14:paraId="125B64A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1,80</w:t>
            </w:r>
          </w:p>
        </w:tc>
        <w:tc>
          <w:tcPr>
            <w:tcW w:w="1091" w:type="dxa"/>
            <w:tcBorders>
              <w:top w:val="nil"/>
              <w:left w:val="nil"/>
              <w:bottom w:val="nil"/>
              <w:right w:val="nil"/>
            </w:tcBorders>
            <w:shd w:val="clear" w:color="000000" w:fill="FFFFFF"/>
            <w:noWrap/>
            <w:vAlign w:val="bottom"/>
            <w:hideMark/>
          </w:tcPr>
          <w:p w14:paraId="5731CD9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0,22</w:t>
            </w:r>
          </w:p>
        </w:tc>
        <w:tc>
          <w:tcPr>
            <w:tcW w:w="1091" w:type="dxa"/>
            <w:tcBorders>
              <w:top w:val="nil"/>
              <w:left w:val="nil"/>
              <w:bottom w:val="nil"/>
              <w:right w:val="nil"/>
            </w:tcBorders>
            <w:shd w:val="clear" w:color="000000" w:fill="FFFFFF"/>
            <w:noWrap/>
            <w:vAlign w:val="bottom"/>
            <w:hideMark/>
          </w:tcPr>
          <w:p w14:paraId="2CA8C8B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0,14</w:t>
            </w:r>
          </w:p>
        </w:tc>
        <w:tc>
          <w:tcPr>
            <w:tcW w:w="1071" w:type="dxa"/>
            <w:tcBorders>
              <w:top w:val="nil"/>
              <w:left w:val="nil"/>
              <w:bottom w:val="nil"/>
              <w:right w:val="nil"/>
            </w:tcBorders>
            <w:shd w:val="clear" w:color="000000" w:fill="FFFFFF"/>
            <w:noWrap/>
            <w:vAlign w:val="bottom"/>
            <w:hideMark/>
          </w:tcPr>
          <w:p w14:paraId="6227CF9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0,29</w:t>
            </w:r>
          </w:p>
        </w:tc>
        <w:tc>
          <w:tcPr>
            <w:tcW w:w="1091" w:type="dxa"/>
            <w:tcBorders>
              <w:top w:val="nil"/>
              <w:left w:val="nil"/>
              <w:bottom w:val="nil"/>
              <w:right w:val="nil"/>
            </w:tcBorders>
            <w:shd w:val="clear" w:color="000000" w:fill="FFFFFF"/>
            <w:noWrap/>
            <w:vAlign w:val="bottom"/>
            <w:hideMark/>
          </w:tcPr>
          <w:p w14:paraId="2C52E06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w:t>
            </w:r>
          </w:p>
        </w:tc>
        <w:tc>
          <w:tcPr>
            <w:tcW w:w="1091" w:type="dxa"/>
            <w:tcBorders>
              <w:top w:val="nil"/>
              <w:left w:val="nil"/>
              <w:bottom w:val="nil"/>
              <w:right w:val="nil"/>
            </w:tcBorders>
            <w:shd w:val="clear" w:color="000000" w:fill="FFFFFF"/>
            <w:noWrap/>
            <w:vAlign w:val="bottom"/>
            <w:hideMark/>
          </w:tcPr>
          <w:p w14:paraId="027739B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32ECFB3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486E448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84,35</w:t>
            </w:r>
          </w:p>
        </w:tc>
        <w:tc>
          <w:tcPr>
            <w:tcW w:w="1093" w:type="dxa"/>
            <w:tcBorders>
              <w:top w:val="nil"/>
              <w:left w:val="nil"/>
              <w:bottom w:val="nil"/>
              <w:right w:val="nil"/>
            </w:tcBorders>
            <w:shd w:val="clear" w:color="000000" w:fill="FFFFFF"/>
            <w:noWrap/>
            <w:vAlign w:val="bottom"/>
            <w:hideMark/>
          </w:tcPr>
          <w:p w14:paraId="4946B2F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3,49</w:t>
            </w:r>
          </w:p>
        </w:tc>
      </w:tr>
      <w:tr w:rsidR="003969E2" w:rsidRPr="00FC3E6E" w14:paraId="29236E32" w14:textId="77777777" w:rsidTr="00034007">
        <w:trPr>
          <w:trHeight w:val="235"/>
        </w:trPr>
        <w:tc>
          <w:tcPr>
            <w:tcW w:w="3014" w:type="dxa"/>
            <w:tcBorders>
              <w:top w:val="nil"/>
              <w:left w:val="nil"/>
              <w:bottom w:val="nil"/>
              <w:right w:val="nil"/>
            </w:tcBorders>
            <w:shd w:val="clear" w:color="000000" w:fill="FFFFFF"/>
            <w:noWrap/>
            <w:vAlign w:val="bottom"/>
            <w:hideMark/>
          </w:tcPr>
          <w:p w14:paraId="76F1F3D9"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informal (demais firmas)</w:t>
            </w:r>
          </w:p>
        </w:tc>
        <w:tc>
          <w:tcPr>
            <w:tcW w:w="1091" w:type="dxa"/>
            <w:tcBorders>
              <w:top w:val="nil"/>
              <w:left w:val="nil"/>
              <w:bottom w:val="nil"/>
              <w:right w:val="nil"/>
            </w:tcBorders>
            <w:shd w:val="clear" w:color="000000" w:fill="FFFFFF"/>
            <w:noWrap/>
            <w:vAlign w:val="bottom"/>
            <w:hideMark/>
          </w:tcPr>
          <w:p w14:paraId="3B24B7F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1,89</w:t>
            </w:r>
          </w:p>
        </w:tc>
        <w:tc>
          <w:tcPr>
            <w:tcW w:w="1091" w:type="dxa"/>
            <w:tcBorders>
              <w:top w:val="nil"/>
              <w:left w:val="nil"/>
              <w:bottom w:val="nil"/>
              <w:right w:val="nil"/>
            </w:tcBorders>
            <w:shd w:val="clear" w:color="000000" w:fill="FFFFFF"/>
            <w:noWrap/>
            <w:vAlign w:val="bottom"/>
            <w:hideMark/>
          </w:tcPr>
          <w:p w14:paraId="0AB1E9A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7,82</w:t>
            </w:r>
          </w:p>
        </w:tc>
        <w:tc>
          <w:tcPr>
            <w:tcW w:w="1091" w:type="dxa"/>
            <w:tcBorders>
              <w:top w:val="nil"/>
              <w:left w:val="nil"/>
              <w:bottom w:val="nil"/>
              <w:right w:val="nil"/>
            </w:tcBorders>
            <w:shd w:val="clear" w:color="000000" w:fill="FFFFFF"/>
            <w:noWrap/>
            <w:vAlign w:val="bottom"/>
            <w:hideMark/>
          </w:tcPr>
          <w:p w14:paraId="665E6A1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0,48</w:t>
            </w:r>
          </w:p>
        </w:tc>
        <w:tc>
          <w:tcPr>
            <w:tcW w:w="1091" w:type="dxa"/>
            <w:tcBorders>
              <w:top w:val="nil"/>
              <w:left w:val="nil"/>
              <w:bottom w:val="nil"/>
              <w:right w:val="nil"/>
            </w:tcBorders>
            <w:shd w:val="clear" w:color="000000" w:fill="FFFFFF"/>
            <w:noWrap/>
            <w:vAlign w:val="bottom"/>
            <w:hideMark/>
          </w:tcPr>
          <w:p w14:paraId="4F19B35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0,52</w:t>
            </w:r>
          </w:p>
        </w:tc>
        <w:tc>
          <w:tcPr>
            <w:tcW w:w="1071" w:type="dxa"/>
            <w:tcBorders>
              <w:top w:val="nil"/>
              <w:left w:val="nil"/>
              <w:bottom w:val="nil"/>
              <w:right w:val="nil"/>
            </w:tcBorders>
            <w:shd w:val="clear" w:color="000000" w:fill="FFFFFF"/>
            <w:noWrap/>
            <w:vAlign w:val="bottom"/>
            <w:hideMark/>
          </w:tcPr>
          <w:p w14:paraId="28015A5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0,37</w:t>
            </w:r>
          </w:p>
        </w:tc>
        <w:tc>
          <w:tcPr>
            <w:tcW w:w="1091" w:type="dxa"/>
            <w:tcBorders>
              <w:top w:val="nil"/>
              <w:left w:val="nil"/>
              <w:bottom w:val="nil"/>
              <w:right w:val="nil"/>
            </w:tcBorders>
            <w:shd w:val="clear" w:color="000000" w:fill="FFFFFF"/>
            <w:noWrap/>
            <w:vAlign w:val="bottom"/>
            <w:hideMark/>
          </w:tcPr>
          <w:p w14:paraId="56F441C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0,21</w:t>
            </w:r>
          </w:p>
        </w:tc>
        <w:tc>
          <w:tcPr>
            <w:tcW w:w="1091" w:type="dxa"/>
            <w:tcBorders>
              <w:top w:val="nil"/>
              <w:left w:val="nil"/>
              <w:bottom w:val="nil"/>
              <w:right w:val="nil"/>
            </w:tcBorders>
            <w:shd w:val="clear" w:color="000000" w:fill="FFFFFF"/>
            <w:noWrap/>
            <w:vAlign w:val="bottom"/>
            <w:hideMark/>
          </w:tcPr>
          <w:p w14:paraId="738C5EA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6B1769E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7C46C94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34,93</w:t>
            </w:r>
          </w:p>
        </w:tc>
        <w:tc>
          <w:tcPr>
            <w:tcW w:w="1093" w:type="dxa"/>
            <w:tcBorders>
              <w:top w:val="nil"/>
              <w:left w:val="nil"/>
              <w:bottom w:val="nil"/>
              <w:right w:val="nil"/>
            </w:tcBorders>
            <w:shd w:val="clear" w:color="000000" w:fill="FFFFFF"/>
            <w:noWrap/>
            <w:vAlign w:val="bottom"/>
            <w:hideMark/>
          </w:tcPr>
          <w:p w14:paraId="42A4036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36,49</w:t>
            </w:r>
          </w:p>
        </w:tc>
      </w:tr>
      <w:tr w:rsidR="003969E2" w:rsidRPr="00FC3E6E" w14:paraId="2C93979C" w14:textId="77777777" w:rsidTr="00034007">
        <w:trPr>
          <w:trHeight w:val="112"/>
        </w:trPr>
        <w:tc>
          <w:tcPr>
            <w:tcW w:w="3014" w:type="dxa"/>
            <w:tcBorders>
              <w:top w:val="nil"/>
              <w:left w:val="nil"/>
              <w:bottom w:val="single" w:sz="4" w:space="0" w:color="auto"/>
              <w:right w:val="nil"/>
            </w:tcBorders>
            <w:shd w:val="clear" w:color="000000" w:fill="FFFFFF"/>
            <w:noWrap/>
            <w:vAlign w:val="bottom"/>
            <w:hideMark/>
          </w:tcPr>
          <w:p w14:paraId="4F473D98"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7B12CA5B"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1AE9F29B"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1C0CED5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36FAE67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71" w:type="dxa"/>
            <w:tcBorders>
              <w:top w:val="nil"/>
              <w:left w:val="nil"/>
              <w:bottom w:val="single" w:sz="4" w:space="0" w:color="auto"/>
              <w:right w:val="nil"/>
            </w:tcBorders>
            <w:shd w:val="clear" w:color="000000" w:fill="FFFFFF"/>
            <w:noWrap/>
            <w:vAlign w:val="bottom"/>
            <w:hideMark/>
          </w:tcPr>
          <w:p w14:paraId="52677F3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6787B4E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5C34A31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6A609B2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single" w:sz="4" w:space="0" w:color="auto"/>
              <w:right w:val="nil"/>
            </w:tcBorders>
            <w:shd w:val="clear" w:color="000000" w:fill="FFFFFF"/>
            <w:noWrap/>
            <w:vAlign w:val="bottom"/>
            <w:hideMark/>
          </w:tcPr>
          <w:p w14:paraId="172C975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3" w:type="dxa"/>
            <w:tcBorders>
              <w:top w:val="nil"/>
              <w:left w:val="nil"/>
              <w:bottom w:val="single" w:sz="4" w:space="0" w:color="auto"/>
              <w:right w:val="nil"/>
            </w:tcBorders>
            <w:shd w:val="clear" w:color="000000" w:fill="FFFFFF"/>
            <w:noWrap/>
            <w:vAlign w:val="bottom"/>
            <w:hideMark/>
          </w:tcPr>
          <w:p w14:paraId="24B771C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4CE2D9C6" w14:textId="77777777" w:rsidTr="00034007">
        <w:trPr>
          <w:trHeight w:val="338"/>
        </w:trPr>
        <w:tc>
          <w:tcPr>
            <w:tcW w:w="3014" w:type="dxa"/>
            <w:tcBorders>
              <w:top w:val="nil"/>
              <w:left w:val="nil"/>
              <w:bottom w:val="nil"/>
              <w:right w:val="nil"/>
            </w:tcBorders>
            <w:shd w:val="clear" w:color="000000" w:fill="FFFFFF"/>
            <w:noWrap/>
            <w:vAlign w:val="bottom"/>
            <w:hideMark/>
          </w:tcPr>
          <w:p w14:paraId="352C12BD"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889" w:type="dxa"/>
            <w:gridSpan w:val="10"/>
            <w:tcBorders>
              <w:top w:val="single" w:sz="4" w:space="0" w:color="auto"/>
              <w:left w:val="nil"/>
              <w:bottom w:val="single" w:sz="4" w:space="0" w:color="auto"/>
              <w:right w:val="nil"/>
            </w:tcBorders>
            <w:shd w:val="clear" w:color="000000" w:fill="FFFFFF"/>
            <w:vAlign w:val="bottom"/>
            <w:hideMark/>
          </w:tcPr>
          <w:p w14:paraId="76D7B90B" w14:textId="77777777" w:rsidR="00B8203D" w:rsidRPr="00726964" w:rsidRDefault="00B8203D" w:rsidP="00726964">
            <w:pPr>
              <w:spacing w:after="0" w:line="240" w:lineRule="auto"/>
              <w:jc w:val="center"/>
              <w:rPr>
                <w:rFonts w:ascii="Times New Roman" w:eastAsia="Times New Roman" w:hAnsi="Times New Roman" w:cs="Times New Roman"/>
                <w:b/>
                <w:bCs/>
                <w:sz w:val="24"/>
                <w:szCs w:val="24"/>
                <w:lang w:eastAsia="pt-BR"/>
              </w:rPr>
            </w:pPr>
            <w:proofErr w:type="spellStart"/>
            <w:r w:rsidRPr="00726964">
              <w:rPr>
                <w:rFonts w:ascii="Times New Roman" w:eastAsia="Times New Roman" w:hAnsi="Times New Roman" w:cs="Times New Roman"/>
                <w:b/>
                <w:bCs/>
                <w:sz w:val="24"/>
                <w:szCs w:val="24"/>
                <w:lang w:eastAsia="pt-BR"/>
              </w:rPr>
              <w:t>Pré-Mei</w:t>
            </w:r>
            <w:proofErr w:type="spellEnd"/>
            <w:r w:rsidRPr="00726964">
              <w:rPr>
                <w:rFonts w:ascii="Times New Roman" w:eastAsia="Times New Roman" w:hAnsi="Times New Roman" w:cs="Times New Roman"/>
                <w:b/>
                <w:bCs/>
                <w:sz w:val="24"/>
                <w:szCs w:val="24"/>
                <w:lang w:eastAsia="pt-BR"/>
              </w:rPr>
              <w:t xml:space="preserve"> - Set/2005 a </w:t>
            </w:r>
            <w:proofErr w:type="spellStart"/>
            <w:r w:rsidRPr="00726964">
              <w:rPr>
                <w:rFonts w:ascii="Times New Roman" w:eastAsia="Times New Roman" w:hAnsi="Times New Roman" w:cs="Times New Roman"/>
                <w:b/>
                <w:bCs/>
                <w:sz w:val="24"/>
                <w:szCs w:val="24"/>
                <w:lang w:eastAsia="pt-BR"/>
              </w:rPr>
              <w:t>Ago</w:t>
            </w:r>
            <w:proofErr w:type="spellEnd"/>
            <w:r w:rsidRPr="00726964">
              <w:rPr>
                <w:rFonts w:ascii="Times New Roman" w:eastAsia="Times New Roman" w:hAnsi="Times New Roman" w:cs="Times New Roman"/>
                <w:b/>
                <w:bCs/>
                <w:sz w:val="24"/>
                <w:szCs w:val="24"/>
                <w:lang w:eastAsia="pt-BR"/>
              </w:rPr>
              <w:t>/2009</w:t>
            </w:r>
          </w:p>
        </w:tc>
      </w:tr>
      <w:tr w:rsidR="003969E2" w:rsidRPr="00FC3E6E" w14:paraId="1C94837F" w14:textId="77777777" w:rsidTr="00034007">
        <w:trPr>
          <w:trHeight w:val="329"/>
        </w:trPr>
        <w:tc>
          <w:tcPr>
            <w:tcW w:w="3014" w:type="dxa"/>
            <w:tcBorders>
              <w:top w:val="nil"/>
              <w:left w:val="nil"/>
              <w:bottom w:val="nil"/>
              <w:right w:val="nil"/>
            </w:tcBorders>
            <w:shd w:val="clear" w:color="000000" w:fill="FFFFFF"/>
            <w:noWrap/>
            <w:vAlign w:val="bottom"/>
            <w:hideMark/>
          </w:tcPr>
          <w:p w14:paraId="35C967A8"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Formal</w:t>
            </w:r>
          </w:p>
        </w:tc>
        <w:tc>
          <w:tcPr>
            <w:tcW w:w="1091" w:type="dxa"/>
            <w:tcBorders>
              <w:top w:val="nil"/>
              <w:left w:val="nil"/>
              <w:bottom w:val="nil"/>
              <w:right w:val="nil"/>
            </w:tcBorders>
            <w:shd w:val="clear" w:color="000000" w:fill="FFFFFF"/>
            <w:noWrap/>
            <w:vAlign w:val="bottom"/>
            <w:hideMark/>
          </w:tcPr>
          <w:p w14:paraId="0A9A72F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51,88</w:t>
            </w:r>
          </w:p>
        </w:tc>
        <w:tc>
          <w:tcPr>
            <w:tcW w:w="1091" w:type="dxa"/>
            <w:tcBorders>
              <w:top w:val="nil"/>
              <w:left w:val="nil"/>
              <w:bottom w:val="nil"/>
              <w:right w:val="nil"/>
            </w:tcBorders>
            <w:shd w:val="clear" w:color="000000" w:fill="FFFFFF"/>
            <w:noWrap/>
            <w:vAlign w:val="bottom"/>
            <w:hideMark/>
          </w:tcPr>
          <w:p w14:paraId="623A67B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19,09</w:t>
            </w:r>
          </w:p>
        </w:tc>
        <w:tc>
          <w:tcPr>
            <w:tcW w:w="1091" w:type="dxa"/>
            <w:tcBorders>
              <w:top w:val="nil"/>
              <w:left w:val="nil"/>
              <w:bottom w:val="nil"/>
              <w:right w:val="nil"/>
            </w:tcBorders>
            <w:shd w:val="clear" w:color="000000" w:fill="FFFFFF"/>
            <w:noWrap/>
            <w:vAlign w:val="bottom"/>
            <w:hideMark/>
          </w:tcPr>
          <w:p w14:paraId="75AACC5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5,67</w:t>
            </w:r>
          </w:p>
        </w:tc>
        <w:tc>
          <w:tcPr>
            <w:tcW w:w="1091" w:type="dxa"/>
            <w:tcBorders>
              <w:top w:val="nil"/>
              <w:left w:val="nil"/>
              <w:bottom w:val="nil"/>
              <w:right w:val="nil"/>
            </w:tcBorders>
            <w:shd w:val="clear" w:color="000000" w:fill="FFFFFF"/>
            <w:noWrap/>
            <w:vAlign w:val="bottom"/>
            <w:hideMark/>
          </w:tcPr>
          <w:p w14:paraId="346D600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1,55</w:t>
            </w:r>
          </w:p>
        </w:tc>
        <w:tc>
          <w:tcPr>
            <w:tcW w:w="1071" w:type="dxa"/>
            <w:tcBorders>
              <w:top w:val="nil"/>
              <w:left w:val="nil"/>
              <w:bottom w:val="nil"/>
              <w:right w:val="nil"/>
            </w:tcBorders>
            <w:shd w:val="clear" w:color="000000" w:fill="FFFFFF"/>
            <w:noWrap/>
            <w:vAlign w:val="bottom"/>
            <w:hideMark/>
          </w:tcPr>
          <w:p w14:paraId="63089D5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1,37</w:t>
            </w:r>
          </w:p>
        </w:tc>
        <w:tc>
          <w:tcPr>
            <w:tcW w:w="1091" w:type="dxa"/>
            <w:tcBorders>
              <w:top w:val="nil"/>
              <w:left w:val="nil"/>
              <w:bottom w:val="nil"/>
              <w:right w:val="nil"/>
            </w:tcBorders>
            <w:shd w:val="clear" w:color="000000" w:fill="FFFFFF"/>
            <w:noWrap/>
            <w:vAlign w:val="bottom"/>
            <w:hideMark/>
          </w:tcPr>
          <w:p w14:paraId="5C89EFE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0,22</w:t>
            </w:r>
          </w:p>
        </w:tc>
        <w:tc>
          <w:tcPr>
            <w:tcW w:w="1091" w:type="dxa"/>
            <w:tcBorders>
              <w:top w:val="nil"/>
              <w:left w:val="nil"/>
              <w:bottom w:val="nil"/>
              <w:right w:val="nil"/>
            </w:tcBorders>
            <w:shd w:val="clear" w:color="000000" w:fill="FFFFFF"/>
            <w:noWrap/>
            <w:vAlign w:val="bottom"/>
            <w:hideMark/>
          </w:tcPr>
          <w:p w14:paraId="32C6033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9,99</w:t>
            </w:r>
          </w:p>
        </w:tc>
        <w:tc>
          <w:tcPr>
            <w:tcW w:w="1091" w:type="dxa"/>
            <w:tcBorders>
              <w:top w:val="nil"/>
              <w:left w:val="nil"/>
              <w:bottom w:val="nil"/>
              <w:right w:val="nil"/>
            </w:tcBorders>
            <w:shd w:val="clear" w:color="000000" w:fill="FFFFFF"/>
            <w:noWrap/>
            <w:vAlign w:val="bottom"/>
            <w:hideMark/>
          </w:tcPr>
          <w:p w14:paraId="7176C7B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2,49</w:t>
            </w:r>
          </w:p>
        </w:tc>
        <w:tc>
          <w:tcPr>
            <w:tcW w:w="1091" w:type="dxa"/>
            <w:tcBorders>
              <w:top w:val="nil"/>
              <w:left w:val="nil"/>
              <w:bottom w:val="nil"/>
              <w:right w:val="nil"/>
            </w:tcBorders>
            <w:shd w:val="clear" w:color="000000" w:fill="FFFFFF"/>
            <w:noWrap/>
            <w:vAlign w:val="bottom"/>
            <w:hideMark/>
          </w:tcPr>
          <w:p w14:paraId="74D9D80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1,06</w:t>
            </w:r>
          </w:p>
        </w:tc>
        <w:tc>
          <w:tcPr>
            <w:tcW w:w="1093" w:type="dxa"/>
            <w:tcBorders>
              <w:top w:val="nil"/>
              <w:left w:val="nil"/>
              <w:bottom w:val="nil"/>
              <w:right w:val="nil"/>
            </w:tcBorders>
            <w:shd w:val="clear" w:color="000000" w:fill="FFFFFF"/>
            <w:noWrap/>
            <w:vAlign w:val="bottom"/>
            <w:hideMark/>
          </w:tcPr>
          <w:p w14:paraId="644094A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0,25</w:t>
            </w:r>
          </w:p>
        </w:tc>
      </w:tr>
      <w:tr w:rsidR="003969E2" w:rsidRPr="00FC3E6E" w14:paraId="208A713D" w14:textId="77777777" w:rsidTr="00034007">
        <w:trPr>
          <w:trHeight w:val="235"/>
        </w:trPr>
        <w:tc>
          <w:tcPr>
            <w:tcW w:w="3014" w:type="dxa"/>
            <w:tcBorders>
              <w:top w:val="nil"/>
              <w:left w:val="nil"/>
              <w:bottom w:val="nil"/>
              <w:right w:val="nil"/>
            </w:tcBorders>
            <w:shd w:val="clear" w:color="000000" w:fill="FFFFFF"/>
            <w:noWrap/>
            <w:vAlign w:val="bottom"/>
            <w:hideMark/>
          </w:tcPr>
          <w:p w14:paraId="08856007"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Conta Própria Informal</w:t>
            </w:r>
          </w:p>
        </w:tc>
        <w:tc>
          <w:tcPr>
            <w:tcW w:w="1091" w:type="dxa"/>
            <w:tcBorders>
              <w:top w:val="nil"/>
              <w:left w:val="nil"/>
              <w:bottom w:val="nil"/>
              <w:right w:val="nil"/>
            </w:tcBorders>
            <w:shd w:val="clear" w:color="000000" w:fill="FFFFFF"/>
            <w:noWrap/>
            <w:vAlign w:val="bottom"/>
            <w:hideMark/>
          </w:tcPr>
          <w:p w14:paraId="7FC1AB8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5,63</w:t>
            </w:r>
          </w:p>
        </w:tc>
        <w:tc>
          <w:tcPr>
            <w:tcW w:w="1091" w:type="dxa"/>
            <w:tcBorders>
              <w:top w:val="nil"/>
              <w:left w:val="nil"/>
              <w:bottom w:val="nil"/>
              <w:right w:val="nil"/>
            </w:tcBorders>
            <w:shd w:val="clear" w:color="000000" w:fill="FFFFFF"/>
            <w:noWrap/>
            <w:vAlign w:val="bottom"/>
            <w:hideMark/>
          </w:tcPr>
          <w:p w14:paraId="43DF5D9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61,43</w:t>
            </w:r>
          </w:p>
        </w:tc>
        <w:tc>
          <w:tcPr>
            <w:tcW w:w="1091" w:type="dxa"/>
            <w:tcBorders>
              <w:top w:val="nil"/>
              <w:left w:val="nil"/>
              <w:bottom w:val="nil"/>
              <w:right w:val="nil"/>
            </w:tcBorders>
            <w:shd w:val="clear" w:color="000000" w:fill="FFFFFF"/>
            <w:noWrap/>
            <w:vAlign w:val="bottom"/>
            <w:hideMark/>
          </w:tcPr>
          <w:p w14:paraId="6B1594F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0,86</w:t>
            </w:r>
          </w:p>
        </w:tc>
        <w:tc>
          <w:tcPr>
            <w:tcW w:w="1091" w:type="dxa"/>
            <w:tcBorders>
              <w:top w:val="nil"/>
              <w:left w:val="nil"/>
              <w:bottom w:val="nil"/>
              <w:right w:val="nil"/>
            </w:tcBorders>
            <w:shd w:val="clear" w:color="000000" w:fill="FFFFFF"/>
            <w:noWrap/>
            <w:vAlign w:val="bottom"/>
            <w:hideMark/>
          </w:tcPr>
          <w:p w14:paraId="360082E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2,63</w:t>
            </w:r>
          </w:p>
        </w:tc>
        <w:tc>
          <w:tcPr>
            <w:tcW w:w="1071" w:type="dxa"/>
            <w:tcBorders>
              <w:top w:val="nil"/>
              <w:left w:val="nil"/>
              <w:bottom w:val="nil"/>
              <w:right w:val="nil"/>
            </w:tcBorders>
            <w:shd w:val="clear" w:color="000000" w:fill="FFFFFF"/>
            <w:noWrap/>
            <w:vAlign w:val="bottom"/>
            <w:hideMark/>
          </w:tcPr>
          <w:p w14:paraId="4CAB84C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0,18</w:t>
            </w:r>
          </w:p>
        </w:tc>
        <w:tc>
          <w:tcPr>
            <w:tcW w:w="1091" w:type="dxa"/>
            <w:tcBorders>
              <w:top w:val="nil"/>
              <w:left w:val="nil"/>
              <w:bottom w:val="nil"/>
              <w:right w:val="nil"/>
            </w:tcBorders>
            <w:shd w:val="clear" w:color="000000" w:fill="FFFFFF"/>
            <w:noWrap/>
            <w:vAlign w:val="bottom"/>
            <w:hideMark/>
          </w:tcPr>
          <w:p w14:paraId="6B10C4F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0,19</w:t>
            </w:r>
          </w:p>
        </w:tc>
        <w:tc>
          <w:tcPr>
            <w:tcW w:w="1091" w:type="dxa"/>
            <w:tcBorders>
              <w:top w:val="nil"/>
              <w:left w:val="nil"/>
              <w:bottom w:val="nil"/>
              <w:right w:val="nil"/>
            </w:tcBorders>
            <w:shd w:val="clear" w:color="000000" w:fill="FFFFFF"/>
            <w:noWrap/>
            <w:vAlign w:val="bottom"/>
            <w:hideMark/>
          </w:tcPr>
          <w:p w14:paraId="7D61244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5,95</w:t>
            </w:r>
          </w:p>
        </w:tc>
        <w:tc>
          <w:tcPr>
            <w:tcW w:w="1091" w:type="dxa"/>
            <w:tcBorders>
              <w:top w:val="nil"/>
              <w:left w:val="nil"/>
              <w:bottom w:val="nil"/>
              <w:right w:val="nil"/>
            </w:tcBorders>
            <w:shd w:val="clear" w:color="000000" w:fill="FFFFFF"/>
            <w:noWrap/>
            <w:vAlign w:val="bottom"/>
            <w:hideMark/>
          </w:tcPr>
          <w:p w14:paraId="12BA7F7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7,52</w:t>
            </w:r>
          </w:p>
        </w:tc>
        <w:tc>
          <w:tcPr>
            <w:tcW w:w="1091" w:type="dxa"/>
            <w:tcBorders>
              <w:top w:val="nil"/>
              <w:left w:val="nil"/>
              <w:bottom w:val="nil"/>
              <w:right w:val="nil"/>
            </w:tcBorders>
            <w:shd w:val="clear" w:color="000000" w:fill="FFFFFF"/>
            <w:noWrap/>
            <w:vAlign w:val="bottom"/>
            <w:hideMark/>
          </w:tcPr>
          <w:p w14:paraId="17B86B1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0,31</w:t>
            </w:r>
          </w:p>
        </w:tc>
        <w:tc>
          <w:tcPr>
            <w:tcW w:w="1093" w:type="dxa"/>
            <w:tcBorders>
              <w:top w:val="nil"/>
              <w:left w:val="nil"/>
              <w:bottom w:val="nil"/>
              <w:right w:val="nil"/>
            </w:tcBorders>
            <w:shd w:val="clear" w:color="000000" w:fill="FFFFFF"/>
            <w:noWrap/>
            <w:vAlign w:val="bottom"/>
            <w:hideMark/>
          </w:tcPr>
          <w:p w14:paraId="18F23FE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0,36</w:t>
            </w:r>
          </w:p>
        </w:tc>
      </w:tr>
      <w:tr w:rsidR="003969E2" w:rsidRPr="00FC3E6E" w14:paraId="0E30390E" w14:textId="77777777" w:rsidTr="00034007">
        <w:trPr>
          <w:trHeight w:val="235"/>
        </w:trPr>
        <w:tc>
          <w:tcPr>
            <w:tcW w:w="3014" w:type="dxa"/>
            <w:tcBorders>
              <w:top w:val="nil"/>
              <w:left w:val="nil"/>
              <w:bottom w:val="nil"/>
              <w:right w:val="nil"/>
            </w:tcBorders>
            <w:shd w:val="clear" w:color="000000" w:fill="FFFFFF"/>
            <w:noWrap/>
            <w:vAlign w:val="bottom"/>
            <w:hideMark/>
          </w:tcPr>
          <w:p w14:paraId="7A26EF59"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lastRenderedPageBreak/>
              <w:t>Empregador &lt; 5 trab. Formal</w:t>
            </w:r>
          </w:p>
        </w:tc>
        <w:tc>
          <w:tcPr>
            <w:tcW w:w="1091" w:type="dxa"/>
            <w:tcBorders>
              <w:top w:val="nil"/>
              <w:left w:val="nil"/>
              <w:bottom w:val="nil"/>
              <w:right w:val="nil"/>
            </w:tcBorders>
            <w:shd w:val="clear" w:color="000000" w:fill="FFFFFF"/>
            <w:noWrap/>
            <w:vAlign w:val="bottom"/>
            <w:hideMark/>
          </w:tcPr>
          <w:p w14:paraId="42B9206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13,31</w:t>
            </w:r>
          </w:p>
        </w:tc>
        <w:tc>
          <w:tcPr>
            <w:tcW w:w="1091" w:type="dxa"/>
            <w:tcBorders>
              <w:top w:val="nil"/>
              <w:left w:val="nil"/>
              <w:bottom w:val="nil"/>
              <w:right w:val="nil"/>
            </w:tcBorders>
            <w:shd w:val="clear" w:color="000000" w:fill="FFFFFF"/>
            <w:noWrap/>
            <w:vAlign w:val="bottom"/>
            <w:hideMark/>
          </w:tcPr>
          <w:p w14:paraId="531C8E4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6,69</w:t>
            </w:r>
          </w:p>
        </w:tc>
        <w:tc>
          <w:tcPr>
            <w:tcW w:w="1091" w:type="dxa"/>
            <w:tcBorders>
              <w:top w:val="nil"/>
              <w:left w:val="nil"/>
              <w:bottom w:val="nil"/>
              <w:right w:val="nil"/>
            </w:tcBorders>
            <w:shd w:val="clear" w:color="000000" w:fill="FFFFFF"/>
            <w:noWrap/>
            <w:vAlign w:val="bottom"/>
            <w:hideMark/>
          </w:tcPr>
          <w:p w14:paraId="098BB7A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51,03</w:t>
            </w:r>
          </w:p>
        </w:tc>
        <w:tc>
          <w:tcPr>
            <w:tcW w:w="1091" w:type="dxa"/>
            <w:tcBorders>
              <w:top w:val="nil"/>
              <w:left w:val="nil"/>
              <w:bottom w:val="nil"/>
              <w:right w:val="nil"/>
            </w:tcBorders>
            <w:shd w:val="clear" w:color="000000" w:fill="FFFFFF"/>
            <w:noWrap/>
            <w:vAlign w:val="bottom"/>
            <w:hideMark/>
          </w:tcPr>
          <w:p w14:paraId="5011446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7,76</w:t>
            </w:r>
          </w:p>
        </w:tc>
        <w:tc>
          <w:tcPr>
            <w:tcW w:w="1071" w:type="dxa"/>
            <w:tcBorders>
              <w:top w:val="nil"/>
              <w:left w:val="nil"/>
              <w:bottom w:val="nil"/>
              <w:right w:val="nil"/>
            </w:tcBorders>
            <w:shd w:val="clear" w:color="000000" w:fill="FFFFFF"/>
            <w:noWrap/>
            <w:vAlign w:val="bottom"/>
            <w:hideMark/>
          </w:tcPr>
          <w:p w14:paraId="417B03B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8,00</w:t>
            </w:r>
          </w:p>
        </w:tc>
        <w:tc>
          <w:tcPr>
            <w:tcW w:w="1091" w:type="dxa"/>
            <w:tcBorders>
              <w:top w:val="nil"/>
              <w:left w:val="nil"/>
              <w:bottom w:val="nil"/>
              <w:right w:val="nil"/>
            </w:tcBorders>
            <w:shd w:val="clear" w:color="000000" w:fill="FFFFFF"/>
            <w:noWrap/>
            <w:vAlign w:val="bottom"/>
            <w:hideMark/>
          </w:tcPr>
          <w:p w14:paraId="274AF99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1,13</w:t>
            </w:r>
          </w:p>
        </w:tc>
        <w:tc>
          <w:tcPr>
            <w:tcW w:w="1091" w:type="dxa"/>
            <w:tcBorders>
              <w:top w:val="nil"/>
              <w:left w:val="nil"/>
              <w:bottom w:val="nil"/>
              <w:right w:val="nil"/>
            </w:tcBorders>
            <w:shd w:val="clear" w:color="000000" w:fill="FFFFFF"/>
            <w:noWrap/>
            <w:vAlign w:val="bottom"/>
            <w:hideMark/>
          </w:tcPr>
          <w:p w14:paraId="025716B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6,53</w:t>
            </w:r>
          </w:p>
        </w:tc>
        <w:tc>
          <w:tcPr>
            <w:tcW w:w="1091" w:type="dxa"/>
            <w:tcBorders>
              <w:top w:val="nil"/>
              <w:left w:val="nil"/>
              <w:bottom w:val="nil"/>
              <w:right w:val="nil"/>
            </w:tcBorders>
            <w:shd w:val="clear" w:color="000000" w:fill="FFFFFF"/>
            <w:noWrap/>
            <w:vAlign w:val="bottom"/>
            <w:hideMark/>
          </w:tcPr>
          <w:p w14:paraId="620E342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1,78</w:t>
            </w:r>
          </w:p>
        </w:tc>
        <w:tc>
          <w:tcPr>
            <w:tcW w:w="1091" w:type="dxa"/>
            <w:tcBorders>
              <w:top w:val="nil"/>
              <w:left w:val="nil"/>
              <w:bottom w:val="nil"/>
              <w:right w:val="nil"/>
            </w:tcBorders>
            <w:shd w:val="clear" w:color="000000" w:fill="FFFFFF"/>
            <w:noWrap/>
            <w:vAlign w:val="bottom"/>
            <w:hideMark/>
          </w:tcPr>
          <w:p w14:paraId="55F4A52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25717F5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6D2FA279" w14:textId="77777777" w:rsidTr="00034007">
        <w:trPr>
          <w:trHeight w:val="235"/>
        </w:trPr>
        <w:tc>
          <w:tcPr>
            <w:tcW w:w="3014" w:type="dxa"/>
            <w:tcBorders>
              <w:top w:val="nil"/>
              <w:left w:val="nil"/>
              <w:bottom w:val="nil"/>
              <w:right w:val="nil"/>
            </w:tcBorders>
            <w:shd w:val="clear" w:color="000000" w:fill="FFFFFF"/>
            <w:noWrap/>
            <w:vAlign w:val="bottom"/>
            <w:hideMark/>
          </w:tcPr>
          <w:p w14:paraId="6B0983E2"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&lt; 5 trab. Informal</w:t>
            </w:r>
          </w:p>
        </w:tc>
        <w:tc>
          <w:tcPr>
            <w:tcW w:w="1091" w:type="dxa"/>
            <w:tcBorders>
              <w:top w:val="nil"/>
              <w:left w:val="nil"/>
              <w:bottom w:val="nil"/>
              <w:right w:val="nil"/>
            </w:tcBorders>
            <w:shd w:val="clear" w:color="000000" w:fill="FFFFFF"/>
            <w:noWrap/>
            <w:vAlign w:val="bottom"/>
            <w:hideMark/>
          </w:tcPr>
          <w:p w14:paraId="67155EF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5,05</w:t>
            </w:r>
          </w:p>
        </w:tc>
        <w:tc>
          <w:tcPr>
            <w:tcW w:w="1091" w:type="dxa"/>
            <w:tcBorders>
              <w:top w:val="nil"/>
              <w:left w:val="nil"/>
              <w:bottom w:val="nil"/>
              <w:right w:val="nil"/>
            </w:tcBorders>
            <w:shd w:val="clear" w:color="000000" w:fill="FFFFFF"/>
            <w:noWrap/>
            <w:vAlign w:val="bottom"/>
            <w:hideMark/>
          </w:tcPr>
          <w:p w14:paraId="39E9699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29,35</w:t>
            </w:r>
          </w:p>
        </w:tc>
        <w:tc>
          <w:tcPr>
            <w:tcW w:w="1091" w:type="dxa"/>
            <w:tcBorders>
              <w:top w:val="nil"/>
              <w:left w:val="nil"/>
              <w:bottom w:val="nil"/>
              <w:right w:val="nil"/>
            </w:tcBorders>
            <w:shd w:val="clear" w:color="000000" w:fill="FFFFFF"/>
            <w:noWrap/>
            <w:vAlign w:val="bottom"/>
            <w:hideMark/>
          </w:tcPr>
          <w:p w14:paraId="4A85D99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11,05</w:t>
            </w:r>
          </w:p>
        </w:tc>
        <w:tc>
          <w:tcPr>
            <w:tcW w:w="1091" w:type="dxa"/>
            <w:tcBorders>
              <w:top w:val="nil"/>
              <w:left w:val="nil"/>
              <w:bottom w:val="nil"/>
              <w:right w:val="nil"/>
            </w:tcBorders>
            <w:shd w:val="clear" w:color="000000" w:fill="FFFFFF"/>
            <w:noWrap/>
            <w:vAlign w:val="bottom"/>
            <w:hideMark/>
          </w:tcPr>
          <w:p w14:paraId="0BF8839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32,39</w:t>
            </w:r>
          </w:p>
        </w:tc>
        <w:tc>
          <w:tcPr>
            <w:tcW w:w="1071" w:type="dxa"/>
            <w:tcBorders>
              <w:top w:val="nil"/>
              <w:left w:val="nil"/>
              <w:bottom w:val="nil"/>
              <w:right w:val="nil"/>
            </w:tcBorders>
            <w:shd w:val="clear" w:color="000000" w:fill="FFFFFF"/>
            <w:noWrap/>
            <w:vAlign w:val="bottom"/>
            <w:hideMark/>
          </w:tcPr>
          <w:p w14:paraId="57DD119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1,93</w:t>
            </w:r>
          </w:p>
        </w:tc>
        <w:tc>
          <w:tcPr>
            <w:tcW w:w="1091" w:type="dxa"/>
            <w:tcBorders>
              <w:top w:val="nil"/>
              <w:left w:val="nil"/>
              <w:bottom w:val="nil"/>
              <w:right w:val="nil"/>
            </w:tcBorders>
            <w:shd w:val="clear" w:color="000000" w:fill="FFFFFF"/>
            <w:noWrap/>
            <w:vAlign w:val="bottom"/>
            <w:hideMark/>
          </w:tcPr>
          <w:p w14:paraId="56F9CB7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1,66</w:t>
            </w:r>
          </w:p>
        </w:tc>
        <w:tc>
          <w:tcPr>
            <w:tcW w:w="1091" w:type="dxa"/>
            <w:tcBorders>
              <w:top w:val="nil"/>
              <w:left w:val="nil"/>
              <w:bottom w:val="nil"/>
              <w:right w:val="nil"/>
            </w:tcBorders>
            <w:shd w:val="clear" w:color="000000" w:fill="FFFFFF"/>
            <w:noWrap/>
            <w:vAlign w:val="bottom"/>
            <w:hideMark/>
          </w:tcPr>
          <w:p w14:paraId="47FF71B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5,20</w:t>
            </w:r>
          </w:p>
        </w:tc>
        <w:tc>
          <w:tcPr>
            <w:tcW w:w="1091" w:type="dxa"/>
            <w:tcBorders>
              <w:top w:val="nil"/>
              <w:left w:val="nil"/>
              <w:bottom w:val="nil"/>
              <w:right w:val="nil"/>
            </w:tcBorders>
            <w:shd w:val="clear" w:color="000000" w:fill="FFFFFF"/>
            <w:noWrap/>
            <w:vAlign w:val="bottom"/>
            <w:hideMark/>
          </w:tcPr>
          <w:p w14:paraId="2DBB53E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5,76</w:t>
            </w:r>
          </w:p>
        </w:tc>
        <w:tc>
          <w:tcPr>
            <w:tcW w:w="1091" w:type="dxa"/>
            <w:tcBorders>
              <w:top w:val="nil"/>
              <w:left w:val="nil"/>
              <w:bottom w:val="nil"/>
              <w:right w:val="nil"/>
            </w:tcBorders>
            <w:shd w:val="clear" w:color="000000" w:fill="FFFFFF"/>
            <w:noWrap/>
            <w:vAlign w:val="bottom"/>
            <w:hideMark/>
          </w:tcPr>
          <w:p w14:paraId="068D87A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7E99CBE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236F8EE0" w14:textId="77777777" w:rsidTr="00034007">
        <w:trPr>
          <w:trHeight w:val="235"/>
        </w:trPr>
        <w:tc>
          <w:tcPr>
            <w:tcW w:w="3014" w:type="dxa"/>
            <w:tcBorders>
              <w:top w:val="nil"/>
              <w:left w:val="nil"/>
              <w:bottom w:val="nil"/>
              <w:right w:val="nil"/>
            </w:tcBorders>
            <w:shd w:val="clear" w:color="000000" w:fill="FFFFFF"/>
            <w:noWrap/>
            <w:vAlign w:val="bottom"/>
            <w:hideMark/>
          </w:tcPr>
          <w:p w14:paraId="5778E215"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&gt; 5 trab. Formal</w:t>
            </w:r>
          </w:p>
        </w:tc>
        <w:tc>
          <w:tcPr>
            <w:tcW w:w="1091" w:type="dxa"/>
            <w:tcBorders>
              <w:top w:val="nil"/>
              <w:left w:val="nil"/>
              <w:bottom w:val="nil"/>
              <w:right w:val="nil"/>
            </w:tcBorders>
            <w:shd w:val="clear" w:color="000000" w:fill="FFFFFF"/>
            <w:noWrap/>
            <w:vAlign w:val="bottom"/>
            <w:hideMark/>
          </w:tcPr>
          <w:p w14:paraId="53862FA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3,45</w:t>
            </w:r>
          </w:p>
        </w:tc>
        <w:tc>
          <w:tcPr>
            <w:tcW w:w="1091" w:type="dxa"/>
            <w:tcBorders>
              <w:top w:val="nil"/>
              <w:left w:val="nil"/>
              <w:bottom w:val="nil"/>
              <w:right w:val="nil"/>
            </w:tcBorders>
            <w:shd w:val="clear" w:color="000000" w:fill="FFFFFF"/>
            <w:noWrap/>
            <w:vAlign w:val="bottom"/>
            <w:hideMark/>
          </w:tcPr>
          <w:p w14:paraId="5DDEBBF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2,78</w:t>
            </w:r>
          </w:p>
        </w:tc>
        <w:tc>
          <w:tcPr>
            <w:tcW w:w="1091" w:type="dxa"/>
            <w:tcBorders>
              <w:top w:val="nil"/>
              <w:left w:val="nil"/>
              <w:bottom w:val="nil"/>
              <w:right w:val="nil"/>
            </w:tcBorders>
            <w:shd w:val="clear" w:color="000000" w:fill="FFFFFF"/>
            <w:noWrap/>
            <w:vAlign w:val="bottom"/>
            <w:hideMark/>
          </w:tcPr>
          <w:p w14:paraId="44DE93B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9,14</w:t>
            </w:r>
          </w:p>
        </w:tc>
        <w:tc>
          <w:tcPr>
            <w:tcW w:w="1091" w:type="dxa"/>
            <w:tcBorders>
              <w:top w:val="nil"/>
              <w:left w:val="nil"/>
              <w:bottom w:val="nil"/>
              <w:right w:val="nil"/>
            </w:tcBorders>
            <w:shd w:val="clear" w:color="000000" w:fill="FFFFFF"/>
            <w:noWrap/>
            <w:vAlign w:val="bottom"/>
            <w:hideMark/>
          </w:tcPr>
          <w:p w14:paraId="29D636F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2,12</w:t>
            </w:r>
          </w:p>
        </w:tc>
        <w:tc>
          <w:tcPr>
            <w:tcW w:w="1071" w:type="dxa"/>
            <w:tcBorders>
              <w:top w:val="nil"/>
              <w:left w:val="nil"/>
              <w:bottom w:val="nil"/>
              <w:right w:val="nil"/>
            </w:tcBorders>
            <w:shd w:val="clear" w:color="000000" w:fill="FFFFFF"/>
            <w:noWrap/>
            <w:vAlign w:val="bottom"/>
            <w:hideMark/>
          </w:tcPr>
          <w:p w14:paraId="1A0766E4"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61,72</w:t>
            </w:r>
          </w:p>
        </w:tc>
        <w:tc>
          <w:tcPr>
            <w:tcW w:w="1091" w:type="dxa"/>
            <w:tcBorders>
              <w:top w:val="nil"/>
              <w:left w:val="nil"/>
              <w:bottom w:val="nil"/>
              <w:right w:val="nil"/>
            </w:tcBorders>
            <w:shd w:val="clear" w:color="000000" w:fill="FFFFFF"/>
            <w:noWrap/>
            <w:vAlign w:val="bottom"/>
            <w:hideMark/>
          </w:tcPr>
          <w:p w14:paraId="2903056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6,04</w:t>
            </w:r>
          </w:p>
        </w:tc>
        <w:tc>
          <w:tcPr>
            <w:tcW w:w="1091" w:type="dxa"/>
            <w:tcBorders>
              <w:top w:val="nil"/>
              <w:left w:val="nil"/>
              <w:bottom w:val="nil"/>
              <w:right w:val="nil"/>
            </w:tcBorders>
            <w:shd w:val="clear" w:color="000000" w:fill="FFFFFF"/>
            <w:noWrap/>
            <w:vAlign w:val="bottom"/>
            <w:hideMark/>
          </w:tcPr>
          <w:p w14:paraId="73F332A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53EC3D7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28FFBD0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9,19</w:t>
            </w:r>
          </w:p>
        </w:tc>
        <w:tc>
          <w:tcPr>
            <w:tcW w:w="1093" w:type="dxa"/>
            <w:tcBorders>
              <w:top w:val="nil"/>
              <w:left w:val="nil"/>
              <w:bottom w:val="nil"/>
              <w:right w:val="nil"/>
            </w:tcBorders>
            <w:shd w:val="clear" w:color="000000" w:fill="FFFFFF"/>
            <w:noWrap/>
            <w:vAlign w:val="bottom"/>
            <w:hideMark/>
          </w:tcPr>
          <w:p w14:paraId="760470F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1,98</w:t>
            </w:r>
          </w:p>
        </w:tc>
      </w:tr>
      <w:tr w:rsidR="003969E2" w:rsidRPr="00FC3E6E" w14:paraId="3C9FB6DC" w14:textId="77777777" w:rsidTr="00034007">
        <w:trPr>
          <w:trHeight w:val="235"/>
        </w:trPr>
        <w:tc>
          <w:tcPr>
            <w:tcW w:w="3014" w:type="dxa"/>
            <w:tcBorders>
              <w:top w:val="nil"/>
              <w:left w:val="nil"/>
              <w:bottom w:val="nil"/>
              <w:right w:val="nil"/>
            </w:tcBorders>
            <w:shd w:val="clear" w:color="000000" w:fill="FFFFFF"/>
            <w:noWrap/>
            <w:vAlign w:val="bottom"/>
            <w:hideMark/>
          </w:tcPr>
          <w:p w14:paraId="09C8EFAF"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Empregador &gt; 5 trab. Informal</w:t>
            </w:r>
          </w:p>
        </w:tc>
        <w:tc>
          <w:tcPr>
            <w:tcW w:w="1091" w:type="dxa"/>
            <w:tcBorders>
              <w:top w:val="nil"/>
              <w:left w:val="nil"/>
              <w:bottom w:val="nil"/>
              <w:right w:val="nil"/>
            </w:tcBorders>
            <w:shd w:val="clear" w:color="000000" w:fill="FFFFFF"/>
            <w:noWrap/>
            <w:vAlign w:val="bottom"/>
            <w:hideMark/>
          </w:tcPr>
          <w:p w14:paraId="7C9FCAE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3,78</w:t>
            </w:r>
          </w:p>
        </w:tc>
        <w:tc>
          <w:tcPr>
            <w:tcW w:w="1091" w:type="dxa"/>
            <w:tcBorders>
              <w:top w:val="nil"/>
              <w:left w:val="nil"/>
              <w:bottom w:val="nil"/>
              <w:right w:val="nil"/>
            </w:tcBorders>
            <w:shd w:val="clear" w:color="000000" w:fill="FFFFFF"/>
            <w:noWrap/>
            <w:vAlign w:val="bottom"/>
            <w:hideMark/>
          </w:tcPr>
          <w:p w14:paraId="193851A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10,04</w:t>
            </w:r>
          </w:p>
        </w:tc>
        <w:tc>
          <w:tcPr>
            <w:tcW w:w="1091" w:type="dxa"/>
            <w:tcBorders>
              <w:top w:val="nil"/>
              <w:left w:val="nil"/>
              <w:bottom w:val="nil"/>
              <w:right w:val="nil"/>
            </w:tcBorders>
            <w:shd w:val="clear" w:color="000000" w:fill="FFFFFF"/>
            <w:noWrap/>
            <w:vAlign w:val="bottom"/>
            <w:hideMark/>
          </w:tcPr>
          <w:p w14:paraId="20A0EA4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5,75</w:t>
            </w:r>
          </w:p>
        </w:tc>
        <w:tc>
          <w:tcPr>
            <w:tcW w:w="1091" w:type="dxa"/>
            <w:tcBorders>
              <w:top w:val="nil"/>
              <w:left w:val="nil"/>
              <w:bottom w:val="nil"/>
              <w:right w:val="nil"/>
            </w:tcBorders>
            <w:shd w:val="clear" w:color="000000" w:fill="FFFFFF"/>
            <w:noWrap/>
            <w:vAlign w:val="bottom"/>
            <w:hideMark/>
          </w:tcPr>
          <w:p w14:paraId="5849712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7,74</w:t>
            </w:r>
          </w:p>
        </w:tc>
        <w:tc>
          <w:tcPr>
            <w:tcW w:w="1071" w:type="dxa"/>
            <w:tcBorders>
              <w:top w:val="nil"/>
              <w:left w:val="nil"/>
              <w:bottom w:val="nil"/>
              <w:right w:val="nil"/>
            </w:tcBorders>
            <w:shd w:val="clear" w:color="000000" w:fill="FFFFFF"/>
            <w:noWrap/>
            <w:vAlign w:val="bottom"/>
            <w:hideMark/>
          </w:tcPr>
          <w:p w14:paraId="1485BAB6"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25,54</w:t>
            </w:r>
          </w:p>
        </w:tc>
        <w:tc>
          <w:tcPr>
            <w:tcW w:w="1091" w:type="dxa"/>
            <w:tcBorders>
              <w:top w:val="nil"/>
              <w:left w:val="nil"/>
              <w:bottom w:val="nil"/>
              <w:right w:val="nil"/>
            </w:tcBorders>
            <w:shd w:val="clear" w:color="000000" w:fill="FFFFFF"/>
            <w:noWrap/>
            <w:vAlign w:val="bottom"/>
            <w:hideMark/>
          </w:tcPr>
          <w:p w14:paraId="695882AD"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25,29</w:t>
            </w:r>
          </w:p>
        </w:tc>
        <w:tc>
          <w:tcPr>
            <w:tcW w:w="1091" w:type="dxa"/>
            <w:tcBorders>
              <w:top w:val="nil"/>
              <w:left w:val="nil"/>
              <w:bottom w:val="nil"/>
              <w:right w:val="nil"/>
            </w:tcBorders>
            <w:shd w:val="clear" w:color="000000" w:fill="FFFFFF"/>
            <w:noWrap/>
            <w:vAlign w:val="bottom"/>
            <w:hideMark/>
          </w:tcPr>
          <w:p w14:paraId="039A074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4716263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37C56D7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7,14</w:t>
            </w:r>
          </w:p>
        </w:tc>
        <w:tc>
          <w:tcPr>
            <w:tcW w:w="1093" w:type="dxa"/>
            <w:tcBorders>
              <w:top w:val="nil"/>
              <w:left w:val="nil"/>
              <w:bottom w:val="nil"/>
              <w:right w:val="nil"/>
            </w:tcBorders>
            <w:shd w:val="clear" w:color="000000" w:fill="FFFFFF"/>
            <w:noWrap/>
            <w:vAlign w:val="bottom"/>
            <w:hideMark/>
          </w:tcPr>
          <w:p w14:paraId="2C0450E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6,31</w:t>
            </w:r>
          </w:p>
        </w:tc>
      </w:tr>
      <w:tr w:rsidR="003969E2" w:rsidRPr="00FC3E6E" w14:paraId="37CE92A7" w14:textId="77777777" w:rsidTr="00034007">
        <w:trPr>
          <w:trHeight w:val="235"/>
        </w:trPr>
        <w:tc>
          <w:tcPr>
            <w:tcW w:w="3014" w:type="dxa"/>
            <w:tcBorders>
              <w:top w:val="nil"/>
              <w:left w:val="nil"/>
              <w:bottom w:val="nil"/>
              <w:right w:val="nil"/>
            </w:tcBorders>
            <w:shd w:val="clear" w:color="000000" w:fill="FFFFFF"/>
            <w:noWrap/>
            <w:vAlign w:val="bottom"/>
            <w:hideMark/>
          </w:tcPr>
          <w:p w14:paraId="5636D7B5"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Formal (firma peq.)</w:t>
            </w:r>
          </w:p>
        </w:tc>
        <w:tc>
          <w:tcPr>
            <w:tcW w:w="1091" w:type="dxa"/>
            <w:tcBorders>
              <w:top w:val="nil"/>
              <w:left w:val="nil"/>
              <w:bottom w:val="nil"/>
              <w:right w:val="nil"/>
            </w:tcBorders>
            <w:shd w:val="clear" w:color="000000" w:fill="FFFFFF"/>
            <w:noWrap/>
            <w:vAlign w:val="bottom"/>
            <w:hideMark/>
          </w:tcPr>
          <w:p w14:paraId="10FE2707"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2,43</w:t>
            </w:r>
          </w:p>
        </w:tc>
        <w:tc>
          <w:tcPr>
            <w:tcW w:w="1091" w:type="dxa"/>
            <w:tcBorders>
              <w:top w:val="nil"/>
              <w:left w:val="nil"/>
              <w:bottom w:val="nil"/>
              <w:right w:val="nil"/>
            </w:tcBorders>
            <w:shd w:val="clear" w:color="000000" w:fill="FFFFFF"/>
            <w:noWrap/>
            <w:vAlign w:val="bottom"/>
            <w:hideMark/>
          </w:tcPr>
          <w:p w14:paraId="012BFD1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3,05</w:t>
            </w:r>
          </w:p>
        </w:tc>
        <w:tc>
          <w:tcPr>
            <w:tcW w:w="1091" w:type="dxa"/>
            <w:tcBorders>
              <w:top w:val="nil"/>
              <w:left w:val="nil"/>
              <w:bottom w:val="nil"/>
              <w:right w:val="nil"/>
            </w:tcBorders>
            <w:shd w:val="clear" w:color="000000" w:fill="FFFFFF"/>
            <w:noWrap/>
            <w:vAlign w:val="bottom"/>
            <w:hideMark/>
          </w:tcPr>
          <w:p w14:paraId="0F98B15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1,34</w:t>
            </w:r>
          </w:p>
        </w:tc>
        <w:tc>
          <w:tcPr>
            <w:tcW w:w="1091" w:type="dxa"/>
            <w:tcBorders>
              <w:top w:val="nil"/>
              <w:left w:val="nil"/>
              <w:bottom w:val="nil"/>
              <w:right w:val="nil"/>
            </w:tcBorders>
            <w:shd w:val="clear" w:color="000000" w:fill="FFFFFF"/>
            <w:noWrap/>
            <w:vAlign w:val="bottom"/>
            <w:hideMark/>
          </w:tcPr>
          <w:p w14:paraId="6FD7747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0,51</w:t>
            </w:r>
          </w:p>
        </w:tc>
        <w:tc>
          <w:tcPr>
            <w:tcW w:w="1071" w:type="dxa"/>
            <w:tcBorders>
              <w:top w:val="nil"/>
              <w:left w:val="nil"/>
              <w:bottom w:val="nil"/>
              <w:right w:val="nil"/>
            </w:tcBorders>
            <w:shd w:val="clear" w:color="000000" w:fill="FFFFFF"/>
            <w:noWrap/>
            <w:vAlign w:val="bottom"/>
            <w:hideMark/>
          </w:tcPr>
          <w:p w14:paraId="379B471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0,39</w:t>
            </w:r>
          </w:p>
        </w:tc>
        <w:tc>
          <w:tcPr>
            <w:tcW w:w="1091" w:type="dxa"/>
            <w:tcBorders>
              <w:top w:val="nil"/>
              <w:left w:val="nil"/>
              <w:bottom w:val="nil"/>
              <w:right w:val="nil"/>
            </w:tcBorders>
            <w:shd w:val="clear" w:color="000000" w:fill="FFFFFF"/>
            <w:noWrap/>
            <w:vAlign w:val="bottom"/>
            <w:hideMark/>
          </w:tcPr>
          <w:p w14:paraId="5B022CF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0,08</w:t>
            </w:r>
          </w:p>
        </w:tc>
        <w:tc>
          <w:tcPr>
            <w:tcW w:w="1091" w:type="dxa"/>
            <w:tcBorders>
              <w:top w:val="nil"/>
              <w:left w:val="nil"/>
              <w:bottom w:val="nil"/>
              <w:right w:val="nil"/>
            </w:tcBorders>
            <w:shd w:val="clear" w:color="000000" w:fill="FFFFFF"/>
            <w:noWrap/>
            <w:vAlign w:val="bottom"/>
            <w:hideMark/>
          </w:tcPr>
          <w:p w14:paraId="7D83FF1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75,64</w:t>
            </w:r>
          </w:p>
        </w:tc>
        <w:tc>
          <w:tcPr>
            <w:tcW w:w="1091" w:type="dxa"/>
            <w:tcBorders>
              <w:top w:val="nil"/>
              <w:left w:val="nil"/>
              <w:bottom w:val="nil"/>
              <w:right w:val="nil"/>
            </w:tcBorders>
            <w:shd w:val="clear" w:color="000000" w:fill="FFFFFF"/>
            <w:noWrap/>
            <w:vAlign w:val="bottom"/>
            <w:hideMark/>
          </w:tcPr>
          <w:p w14:paraId="4BDEA6EB"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7,52</w:t>
            </w:r>
          </w:p>
        </w:tc>
        <w:tc>
          <w:tcPr>
            <w:tcW w:w="1091" w:type="dxa"/>
            <w:tcBorders>
              <w:top w:val="nil"/>
              <w:left w:val="nil"/>
              <w:bottom w:val="nil"/>
              <w:right w:val="nil"/>
            </w:tcBorders>
            <w:shd w:val="clear" w:color="000000" w:fill="FFFFFF"/>
            <w:noWrap/>
            <w:vAlign w:val="bottom"/>
            <w:hideMark/>
          </w:tcPr>
          <w:p w14:paraId="37B665C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6B6C60E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0D905496" w14:textId="77777777" w:rsidTr="00034007">
        <w:trPr>
          <w:trHeight w:val="235"/>
        </w:trPr>
        <w:tc>
          <w:tcPr>
            <w:tcW w:w="3014" w:type="dxa"/>
            <w:tcBorders>
              <w:top w:val="nil"/>
              <w:left w:val="nil"/>
              <w:bottom w:val="nil"/>
              <w:right w:val="nil"/>
            </w:tcBorders>
            <w:shd w:val="clear" w:color="000000" w:fill="FFFFFF"/>
            <w:noWrap/>
            <w:vAlign w:val="bottom"/>
            <w:hideMark/>
          </w:tcPr>
          <w:p w14:paraId="0ADCD994"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informal (firma peq.)</w:t>
            </w:r>
          </w:p>
        </w:tc>
        <w:tc>
          <w:tcPr>
            <w:tcW w:w="1091" w:type="dxa"/>
            <w:tcBorders>
              <w:top w:val="nil"/>
              <w:left w:val="nil"/>
              <w:bottom w:val="nil"/>
              <w:right w:val="nil"/>
            </w:tcBorders>
            <w:shd w:val="clear" w:color="000000" w:fill="FFFFFF"/>
            <w:noWrap/>
            <w:vAlign w:val="bottom"/>
            <w:hideMark/>
          </w:tcPr>
          <w:p w14:paraId="5593AC2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1,19</w:t>
            </w:r>
          </w:p>
        </w:tc>
        <w:tc>
          <w:tcPr>
            <w:tcW w:w="1091" w:type="dxa"/>
            <w:tcBorders>
              <w:top w:val="nil"/>
              <w:left w:val="nil"/>
              <w:bottom w:val="nil"/>
              <w:right w:val="nil"/>
            </w:tcBorders>
            <w:shd w:val="clear" w:color="000000" w:fill="FFFFFF"/>
            <w:noWrap/>
            <w:vAlign w:val="bottom"/>
            <w:hideMark/>
          </w:tcPr>
          <w:p w14:paraId="1D3F2BA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11,86</w:t>
            </w:r>
          </w:p>
        </w:tc>
        <w:tc>
          <w:tcPr>
            <w:tcW w:w="1091" w:type="dxa"/>
            <w:tcBorders>
              <w:top w:val="nil"/>
              <w:left w:val="nil"/>
              <w:bottom w:val="nil"/>
              <w:right w:val="nil"/>
            </w:tcBorders>
            <w:shd w:val="clear" w:color="000000" w:fill="FFFFFF"/>
            <w:noWrap/>
            <w:vAlign w:val="bottom"/>
            <w:hideMark/>
          </w:tcPr>
          <w:p w14:paraId="1B7A925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0,41</w:t>
            </w:r>
          </w:p>
        </w:tc>
        <w:tc>
          <w:tcPr>
            <w:tcW w:w="1091" w:type="dxa"/>
            <w:tcBorders>
              <w:top w:val="nil"/>
              <w:left w:val="nil"/>
              <w:bottom w:val="nil"/>
              <w:right w:val="nil"/>
            </w:tcBorders>
            <w:shd w:val="clear" w:color="000000" w:fill="FFFFFF"/>
            <w:noWrap/>
            <w:vAlign w:val="bottom"/>
            <w:hideMark/>
          </w:tcPr>
          <w:p w14:paraId="484BEF7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0,98</w:t>
            </w:r>
          </w:p>
        </w:tc>
        <w:tc>
          <w:tcPr>
            <w:tcW w:w="1071" w:type="dxa"/>
            <w:tcBorders>
              <w:top w:val="nil"/>
              <w:left w:val="nil"/>
              <w:bottom w:val="nil"/>
              <w:right w:val="nil"/>
            </w:tcBorders>
            <w:shd w:val="clear" w:color="000000" w:fill="FFFFFF"/>
            <w:noWrap/>
            <w:vAlign w:val="bottom"/>
            <w:hideMark/>
          </w:tcPr>
          <w:p w14:paraId="242D768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0,14</w:t>
            </w:r>
          </w:p>
        </w:tc>
        <w:tc>
          <w:tcPr>
            <w:tcW w:w="1091" w:type="dxa"/>
            <w:tcBorders>
              <w:top w:val="nil"/>
              <w:left w:val="nil"/>
              <w:bottom w:val="nil"/>
              <w:right w:val="nil"/>
            </w:tcBorders>
            <w:shd w:val="clear" w:color="000000" w:fill="FFFFFF"/>
            <w:noWrap/>
            <w:vAlign w:val="bottom"/>
            <w:hideMark/>
          </w:tcPr>
          <w:p w14:paraId="7F27EC0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0,08</w:t>
            </w:r>
          </w:p>
        </w:tc>
        <w:tc>
          <w:tcPr>
            <w:tcW w:w="1091" w:type="dxa"/>
            <w:tcBorders>
              <w:top w:val="nil"/>
              <w:left w:val="nil"/>
              <w:bottom w:val="nil"/>
              <w:right w:val="nil"/>
            </w:tcBorders>
            <w:shd w:val="clear" w:color="000000" w:fill="FFFFFF"/>
            <w:noWrap/>
            <w:vAlign w:val="bottom"/>
            <w:hideMark/>
          </w:tcPr>
          <w:p w14:paraId="3996DF7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17,88</w:t>
            </w:r>
          </w:p>
        </w:tc>
        <w:tc>
          <w:tcPr>
            <w:tcW w:w="1091" w:type="dxa"/>
            <w:tcBorders>
              <w:top w:val="nil"/>
              <w:left w:val="nil"/>
              <w:bottom w:val="nil"/>
              <w:right w:val="nil"/>
            </w:tcBorders>
            <w:shd w:val="clear" w:color="000000" w:fill="FFFFFF"/>
            <w:noWrap/>
            <w:vAlign w:val="bottom"/>
            <w:hideMark/>
          </w:tcPr>
          <w:p w14:paraId="6C071205"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47,45</w:t>
            </w:r>
          </w:p>
        </w:tc>
        <w:tc>
          <w:tcPr>
            <w:tcW w:w="1091" w:type="dxa"/>
            <w:tcBorders>
              <w:top w:val="nil"/>
              <w:left w:val="nil"/>
              <w:bottom w:val="nil"/>
              <w:right w:val="nil"/>
            </w:tcBorders>
            <w:shd w:val="clear" w:color="000000" w:fill="FFFFFF"/>
            <w:noWrap/>
            <w:vAlign w:val="bottom"/>
            <w:hideMark/>
          </w:tcPr>
          <w:p w14:paraId="664B427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3" w:type="dxa"/>
            <w:tcBorders>
              <w:top w:val="nil"/>
              <w:left w:val="nil"/>
              <w:bottom w:val="nil"/>
              <w:right w:val="nil"/>
            </w:tcBorders>
            <w:shd w:val="clear" w:color="000000" w:fill="FFFFFF"/>
            <w:noWrap/>
            <w:vAlign w:val="bottom"/>
            <w:hideMark/>
          </w:tcPr>
          <w:p w14:paraId="704120B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r>
      <w:tr w:rsidR="003969E2" w:rsidRPr="00FC3E6E" w14:paraId="3AB05E5E" w14:textId="77777777" w:rsidTr="00034007">
        <w:trPr>
          <w:trHeight w:val="235"/>
        </w:trPr>
        <w:tc>
          <w:tcPr>
            <w:tcW w:w="3014" w:type="dxa"/>
            <w:tcBorders>
              <w:top w:val="nil"/>
              <w:left w:val="nil"/>
              <w:bottom w:val="nil"/>
              <w:right w:val="nil"/>
            </w:tcBorders>
            <w:shd w:val="clear" w:color="000000" w:fill="FFFFFF"/>
            <w:noWrap/>
            <w:vAlign w:val="bottom"/>
            <w:hideMark/>
          </w:tcPr>
          <w:p w14:paraId="7509C526"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Formal (demais firmas)</w:t>
            </w:r>
          </w:p>
        </w:tc>
        <w:tc>
          <w:tcPr>
            <w:tcW w:w="1091" w:type="dxa"/>
            <w:tcBorders>
              <w:top w:val="nil"/>
              <w:left w:val="nil"/>
              <w:bottom w:val="nil"/>
              <w:right w:val="nil"/>
            </w:tcBorders>
            <w:shd w:val="clear" w:color="000000" w:fill="FFFFFF"/>
            <w:noWrap/>
            <w:vAlign w:val="bottom"/>
            <w:hideMark/>
          </w:tcPr>
          <w:p w14:paraId="12DD27A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0,77</w:t>
            </w:r>
          </w:p>
        </w:tc>
        <w:tc>
          <w:tcPr>
            <w:tcW w:w="1091" w:type="dxa"/>
            <w:tcBorders>
              <w:top w:val="nil"/>
              <w:left w:val="nil"/>
              <w:bottom w:val="nil"/>
              <w:right w:val="nil"/>
            </w:tcBorders>
            <w:shd w:val="clear" w:color="000000" w:fill="FFFFFF"/>
            <w:noWrap/>
            <w:vAlign w:val="bottom"/>
            <w:hideMark/>
          </w:tcPr>
          <w:p w14:paraId="494744C1"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1,73</w:t>
            </w:r>
          </w:p>
        </w:tc>
        <w:tc>
          <w:tcPr>
            <w:tcW w:w="1091" w:type="dxa"/>
            <w:tcBorders>
              <w:top w:val="nil"/>
              <w:left w:val="nil"/>
              <w:bottom w:val="nil"/>
              <w:right w:val="nil"/>
            </w:tcBorders>
            <w:shd w:val="clear" w:color="000000" w:fill="FFFFFF"/>
            <w:noWrap/>
            <w:vAlign w:val="bottom"/>
            <w:hideMark/>
          </w:tcPr>
          <w:p w14:paraId="4E25691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0,22</w:t>
            </w:r>
          </w:p>
        </w:tc>
        <w:tc>
          <w:tcPr>
            <w:tcW w:w="1091" w:type="dxa"/>
            <w:tcBorders>
              <w:top w:val="nil"/>
              <w:left w:val="nil"/>
              <w:bottom w:val="nil"/>
              <w:right w:val="nil"/>
            </w:tcBorders>
            <w:shd w:val="clear" w:color="000000" w:fill="FFFFFF"/>
            <w:noWrap/>
            <w:vAlign w:val="bottom"/>
            <w:hideMark/>
          </w:tcPr>
          <w:p w14:paraId="0C3D946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0,12</w:t>
            </w:r>
          </w:p>
        </w:tc>
        <w:tc>
          <w:tcPr>
            <w:tcW w:w="1071" w:type="dxa"/>
            <w:tcBorders>
              <w:top w:val="nil"/>
              <w:left w:val="nil"/>
              <w:bottom w:val="nil"/>
              <w:right w:val="nil"/>
            </w:tcBorders>
            <w:shd w:val="clear" w:color="000000" w:fill="FFFFFF"/>
            <w:noWrap/>
            <w:vAlign w:val="bottom"/>
            <w:hideMark/>
          </w:tcPr>
          <w:p w14:paraId="3173600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0,29</w:t>
            </w:r>
          </w:p>
        </w:tc>
        <w:tc>
          <w:tcPr>
            <w:tcW w:w="1091" w:type="dxa"/>
            <w:tcBorders>
              <w:top w:val="nil"/>
              <w:left w:val="nil"/>
              <w:bottom w:val="nil"/>
              <w:right w:val="nil"/>
            </w:tcBorders>
            <w:shd w:val="clear" w:color="000000" w:fill="FFFFFF"/>
            <w:noWrap/>
            <w:vAlign w:val="bottom"/>
            <w:hideMark/>
          </w:tcPr>
          <w:p w14:paraId="3238BFBF"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0,04</w:t>
            </w:r>
          </w:p>
        </w:tc>
        <w:tc>
          <w:tcPr>
            <w:tcW w:w="1091" w:type="dxa"/>
            <w:tcBorders>
              <w:top w:val="nil"/>
              <w:left w:val="nil"/>
              <w:bottom w:val="nil"/>
              <w:right w:val="nil"/>
            </w:tcBorders>
            <w:shd w:val="clear" w:color="000000" w:fill="FFFFFF"/>
            <w:noWrap/>
            <w:vAlign w:val="bottom"/>
            <w:hideMark/>
          </w:tcPr>
          <w:p w14:paraId="4620C0E0"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71943DF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5F194E5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84,16</w:t>
            </w:r>
          </w:p>
        </w:tc>
        <w:tc>
          <w:tcPr>
            <w:tcW w:w="1093" w:type="dxa"/>
            <w:tcBorders>
              <w:top w:val="nil"/>
              <w:left w:val="nil"/>
              <w:bottom w:val="nil"/>
              <w:right w:val="nil"/>
            </w:tcBorders>
            <w:shd w:val="clear" w:color="000000" w:fill="FFFFFF"/>
            <w:noWrap/>
            <w:vAlign w:val="bottom"/>
            <w:hideMark/>
          </w:tcPr>
          <w:p w14:paraId="68DE7EB9"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3,96</w:t>
            </w:r>
          </w:p>
        </w:tc>
      </w:tr>
      <w:tr w:rsidR="003969E2" w:rsidRPr="00FC3E6E" w14:paraId="22390286" w14:textId="77777777" w:rsidTr="00034007">
        <w:trPr>
          <w:trHeight w:val="235"/>
        </w:trPr>
        <w:tc>
          <w:tcPr>
            <w:tcW w:w="3014" w:type="dxa"/>
            <w:tcBorders>
              <w:top w:val="nil"/>
              <w:left w:val="nil"/>
              <w:bottom w:val="nil"/>
              <w:right w:val="nil"/>
            </w:tcBorders>
            <w:shd w:val="clear" w:color="000000" w:fill="FFFFFF"/>
            <w:noWrap/>
            <w:vAlign w:val="bottom"/>
            <w:hideMark/>
          </w:tcPr>
          <w:p w14:paraId="1B2109DA" w14:textId="77777777" w:rsidR="00B8203D" w:rsidRPr="00726964" w:rsidRDefault="00B8203D" w:rsidP="00726964">
            <w:pPr>
              <w:spacing w:after="0" w:line="240" w:lineRule="auto"/>
              <w:rPr>
                <w:rFonts w:ascii="Times New Roman" w:eastAsia="Times New Roman" w:hAnsi="Times New Roman" w:cs="Times New Roman"/>
                <w:b/>
                <w:bCs/>
                <w:sz w:val="24"/>
                <w:szCs w:val="24"/>
                <w:lang w:eastAsia="pt-BR"/>
              </w:rPr>
            </w:pPr>
            <w:r w:rsidRPr="00726964">
              <w:rPr>
                <w:rFonts w:ascii="Times New Roman" w:eastAsia="Times New Roman" w:hAnsi="Times New Roman" w:cs="Times New Roman"/>
                <w:b/>
                <w:bCs/>
                <w:sz w:val="24"/>
                <w:szCs w:val="24"/>
                <w:lang w:eastAsia="pt-BR"/>
              </w:rPr>
              <w:t>Trabalhador informal (demais firmas)</w:t>
            </w:r>
          </w:p>
        </w:tc>
        <w:tc>
          <w:tcPr>
            <w:tcW w:w="1091" w:type="dxa"/>
            <w:tcBorders>
              <w:top w:val="nil"/>
              <w:left w:val="nil"/>
              <w:bottom w:val="nil"/>
              <w:right w:val="nil"/>
            </w:tcBorders>
            <w:shd w:val="clear" w:color="000000" w:fill="FFFFFF"/>
            <w:noWrap/>
            <w:vAlign w:val="bottom"/>
            <w:hideMark/>
          </w:tcPr>
          <w:p w14:paraId="5D83B18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1,34</w:t>
            </w:r>
          </w:p>
        </w:tc>
        <w:tc>
          <w:tcPr>
            <w:tcW w:w="1091" w:type="dxa"/>
            <w:tcBorders>
              <w:top w:val="nil"/>
              <w:left w:val="nil"/>
              <w:bottom w:val="nil"/>
              <w:right w:val="nil"/>
            </w:tcBorders>
            <w:shd w:val="clear" w:color="000000" w:fill="FFFFFF"/>
            <w:noWrap/>
            <w:vAlign w:val="bottom"/>
            <w:hideMark/>
          </w:tcPr>
          <w:p w14:paraId="203E973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7,72</w:t>
            </w:r>
          </w:p>
        </w:tc>
        <w:tc>
          <w:tcPr>
            <w:tcW w:w="1091" w:type="dxa"/>
            <w:tcBorders>
              <w:top w:val="nil"/>
              <w:left w:val="nil"/>
              <w:bottom w:val="nil"/>
              <w:right w:val="nil"/>
            </w:tcBorders>
            <w:shd w:val="clear" w:color="000000" w:fill="FFFFFF"/>
            <w:noWrap/>
            <w:vAlign w:val="bottom"/>
            <w:hideMark/>
          </w:tcPr>
          <w:p w14:paraId="1C3C90B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0,20</w:t>
            </w:r>
          </w:p>
        </w:tc>
        <w:tc>
          <w:tcPr>
            <w:tcW w:w="1091" w:type="dxa"/>
            <w:tcBorders>
              <w:top w:val="nil"/>
              <w:left w:val="nil"/>
              <w:bottom w:val="nil"/>
              <w:right w:val="nil"/>
            </w:tcBorders>
            <w:shd w:val="clear" w:color="000000" w:fill="FFFFFF"/>
            <w:noWrap/>
            <w:vAlign w:val="bottom"/>
            <w:hideMark/>
          </w:tcPr>
          <w:p w14:paraId="5A87C378"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0,42</w:t>
            </w:r>
          </w:p>
        </w:tc>
        <w:tc>
          <w:tcPr>
            <w:tcW w:w="1071" w:type="dxa"/>
            <w:tcBorders>
              <w:top w:val="nil"/>
              <w:left w:val="nil"/>
              <w:bottom w:val="nil"/>
              <w:right w:val="nil"/>
            </w:tcBorders>
            <w:shd w:val="clear" w:color="000000" w:fill="FFFFFF"/>
            <w:noWrap/>
            <w:vAlign w:val="bottom"/>
            <w:hideMark/>
          </w:tcPr>
          <w:p w14:paraId="2562C563"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0,38</w:t>
            </w:r>
          </w:p>
        </w:tc>
        <w:tc>
          <w:tcPr>
            <w:tcW w:w="1091" w:type="dxa"/>
            <w:tcBorders>
              <w:top w:val="nil"/>
              <w:left w:val="nil"/>
              <w:bottom w:val="nil"/>
              <w:right w:val="nil"/>
            </w:tcBorders>
            <w:shd w:val="clear" w:color="000000" w:fill="FFFFFF"/>
            <w:noWrap/>
            <w:vAlign w:val="bottom"/>
            <w:hideMark/>
          </w:tcPr>
          <w:p w14:paraId="593B24E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0,17</w:t>
            </w:r>
          </w:p>
        </w:tc>
        <w:tc>
          <w:tcPr>
            <w:tcW w:w="1091" w:type="dxa"/>
            <w:tcBorders>
              <w:top w:val="nil"/>
              <w:left w:val="nil"/>
              <w:bottom w:val="nil"/>
              <w:right w:val="nil"/>
            </w:tcBorders>
            <w:shd w:val="clear" w:color="000000" w:fill="FFFFFF"/>
            <w:noWrap/>
            <w:vAlign w:val="bottom"/>
            <w:hideMark/>
          </w:tcPr>
          <w:p w14:paraId="4D04A09E"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4592A54A"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w:t>
            </w:r>
          </w:p>
        </w:tc>
        <w:tc>
          <w:tcPr>
            <w:tcW w:w="1091" w:type="dxa"/>
            <w:tcBorders>
              <w:top w:val="nil"/>
              <w:left w:val="nil"/>
              <w:bottom w:val="nil"/>
              <w:right w:val="nil"/>
            </w:tcBorders>
            <w:shd w:val="clear" w:color="000000" w:fill="FFFFFF"/>
            <w:noWrap/>
            <w:vAlign w:val="bottom"/>
            <w:hideMark/>
          </w:tcPr>
          <w:p w14:paraId="25DBE432"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31,78</w:t>
            </w:r>
          </w:p>
        </w:tc>
        <w:tc>
          <w:tcPr>
            <w:tcW w:w="1093" w:type="dxa"/>
            <w:tcBorders>
              <w:top w:val="nil"/>
              <w:left w:val="nil"/>
              <w:bottom w:val="nil"/>
              <w:right w:val="nil"/>
            </w:tcBorders>
            <w:shd w:val="clear" w:color="000000" w:fill="FFFFFF"/>
            <w:noWrap/>
            <w:vAlign w:val="bottom"/>
            <w:hideMark/>
          </w:tcPr>
          <w:p w14:paraId="7FCE239C" w14:textId="77777777" w:rsidR="00B8203D" w:rsidRPr="00726964" w:rsidRDefault="00B8203D"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40,48</w:t>
            </w:r>
          </w:p>
        </w:tc>
      </w:tr>
      <w:tr w:rsidR="003969E2" w:rsidRPr="00FC3E6E" w14:paraId="6A23AE03" w14:textId="77777777" w:rsidTr="00034007">
        <w:trPr>
          <w:trHeight w:val="77"/>
        </w:trPr>
        <w:tc>
          <w:tcPr>
            <w:tcW w:w="3014" w:type="dxa"/>
            <w:tcBorders>
              <w:top w:val="nil"/>
              <w:left w:val="nil"/>
              <w:bottom w:val="double" w:sz="6" w:space="0" w:color="auto"/>
              <w:right w:val="nil"/>
            </w:tcBorders>
            <w:shd w:val="clear" w:color="000000" w:fill="FFFFFF"/>
            <w:noWrap/>
            <w:vAlign w:val="bottom"/>
            <w:hideMark/>
          </w:tcPr>
          <w:p w14:paraId="0022830F"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470A88A7"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7A293CF7"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1B14D734"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0990A8F5"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71" w:type="dxa"/>
            <w:tcBorders>
              <w:top w:val="nil"/>
              <w:left w:val="nil"/>
              <w:bottom w:val="double" w:sz="6" w:space="0" w:color="auto"/>
              <w:right w:val="nil"/>
            </w:tcBorders>
            <w:shd w:val="clear" w:color="000000" w:fill="FFFFFF"/>
            <w:noWrap/>
            <w:vAlign w:val="bottom"/>
            <w:hideMark/>
          </w:tcPr>
          <w:p w14:paraId="0DAE61ED"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75EF66EF"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7C4CD49C"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2A855331"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1" w:type="dxa"/>
            <w:tcBorders>
              <w:top w:val="nil"/>
              <w:left w:val="nil"/>
              <w:bottom w:val="double" w:sz="6" w:space="0" w:color="auto"/>
              <w:right w:val="nil"/>
            </w:tcBorders>
            <w:shd w:val="clear" w:color="000000" w:fill="FFFFFF"/>
            <w:noWrap/>
            <w:vAlign w:val="bottom"/>
            <w:hideMark/>
          </w:tcPr>
          <w:p w14:paraId="57D555A4"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093" w:type="dxa"/>
            <w:tcBorders>
              <w:top w:val="nil"/>
              <w:left w:val="nil"/>
              <w:bottom w:val="double" w:sz="6" w:space="0" w:color="auto"/>
              <w:right w:val="nil"/>
            </w:tcBorders>
            <w:shd w:val="clear" w:color="000000" w:fill="FFFFFF"/>
            <w:noWrap/>
            <w:vAlign w:val="bottom"/>
            <w:hideMark/>
          </w:tcPr>
          <w:p w14:paraId="2E43626D" w14:textId="77777777" w:rsidR="00B8203D" w:rsidRPr="00726964" w:rsidRDefault="00B8203D"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75D78EB1" w14:textId="77777777" w:rsidR="000B10EF" w:rsidRPr="00726964" w:rsidRDefault="000B10EF" w:rsidP="00726964">
      <w:pPr>
        <w:spacing w:after="0" w:line="240" w:lineRule="auto"/>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PME.</w:t>
      </w:r>
    </w:p>
    <w:p w14:paraId="698A01D4" w14:textId="77777777" w:rsidR="00000000" w:rsidRPr="00726964" w:rsidRDefault="00726964" w:rsidP="00726964">
      <w:pPr>
        <w:spacing w:line="240" w:lineRule="auto"/>
        <w:rPr>
          <w:rFonts w:ascii="Times New Roman" w:hAnsi="Times New Roman" w:cs="Times New Roman"/>
          <w:bCs/>
          <w:sz w:val="24"/>
          <w:szCs w:val="24"/>
        </w:rPr>
        <w:sectPr w:rsidR="00000000" w:rsidRPr="00726964" w:rsidSect="000B10EF">
          <w:pgSz w:w="16838" w:h="11906" w:orient="landscape"/>
          <w:pgMar w:top="1701" w:right="1417" w:bottom="1701" w:left="1417" w:header="708" w:footer="708" w:gutter="0"/>
          <w:cols w:space="708"/>
          <w:docGrid w:linePitch="360"/>
        </w:sectPr>
      </w:pPr>
    </w:p>
    <w:p w14:paraId="6E7500A6" w14:textId="77777777" w:rsidR="00567C37" w:rsidRPr="00726964" w:rsidRDefault="00582033" w:rsidP="00726964">
      <w:pPr>
        <w:pStyle w:val="Heading3"/>
        <w:spacing w:after="240"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lastRenderedPageBreak/>
        <w:t xml:space="preserve">5.1 </w:t>
      </w:r>
      <w:r w:rsidR="00201CB6" w:rsidRPr="00726964">
        <w:rPr>
          <w:rFonts w:ascii="Times New Roman" w:hAnsi="Times New Roman" w:cs="Times New Roman"/>
          <w:color w:val="auto"/>
          <w:sz w:val="24"/>
          <w:szCs w:val="24"/>
        </w:rPr>
        <w:t>Análise de origem dos MEI formais</w:t>
      </w:r>
    </w:p>
    <w:p w14:paraId="19A6C9F5" w14:textId="77777777" w:rsidR="00582033" w:rsidRPr="00726964" w:rsidRDefault="005D4C53"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A fim de testar a significância estatística das mudanças nas probabilidades de transição e controlar pelas características </w:t>
      </w:r>
      <w:proofErr w:type="spellStart"/>
      <w:r w:rsidRPr="00726964">
        <w:rPr>
          <w:rFonts w:ascii="Times New Roman" w:hAnsi="Times New Roman" w:cs="Times New Roman"/>
          <w:bCs/>
          <w:sz w:val="24"/>
          <w:szCs w:val="24"/>
        </w:rPr>
        <w:t>sócio-econômicas</w:t>
      </w:r>
      <w:proofErr w:type="spellEnd"/>
      <w:r w:rsidRPr="00726964">
        <w:rPr>
          <w:rFonts w:ascii="Times New Roman" w:hAnsi="Times New Roman" w:cs="Times New Roman"/>
          <w:bCs/>
          <w:sz w:val="24"/>
          <w:szCs w:val="24"/>
        </w:rPr>
        <w:t xml:space="preserve"> de forma a melhor isolar os possíveis efeitos do MEI,</w:t>
      </w:r>
      <w:r w:rsidRPr="00726964">
        <w:rPr>
          <w:rStyle w:val="FootnoteReference"/>
          <w:rFonts w:ascii="Times New Roman" w:hAnsi="Times New Roman" w:cs="Times New Roman"/>
          <w:bCs/>
          <w:sz w:val="24"/>
          <w:szCs w:val="24"/>
        </w:rPr>
        <w:footnoteReference w:id="16"/>
      </w:r>
      <w:r w:rsidRPr="00726964">
        <w:rPr>
          <w:rFonts w:ascii="Times New Roman" w:hAnsi="Times New Roman" w:cs="Times New Roman"/>
          <w:bCs/>
          <w:sz w:val="24"/>
          <w:szCs w:val="24"/>
        </w:rPr>
        <w:t xml:space="preserve"> estimamos um </w:t>
      </w:r>
      <w:proofErr w:type="spellStart"/>
      <w:r w:rsidRPr="00726964">
        <w:rPr>
          <w:rFonts w:ascii="Times New Roman" w:hAnsi="Times New Roman" w:cs="Times New Roman"/>
          <w:bCs/>
          <w:sz w:val="24"/>
          <w:szCs w:val="24"/>
        </w:rPr>
        <w:t>logit</w:t>
      </w:r>
      <w:proofErr w:type="spellEnd"/>
      <w:r w:rsidRPr="00726964">
        <w:rPr>
          <w:rFonts w:ascii="Times New Roman" w:hAnsi="Times New Roman" w:cs="Times New Roman"/>
          <w:bCs/>
          <w:sz w:val="24"/>
          <w:szCs w:val="24"/>
        </w:rPr>
        <w:t xml:space="preserve"> </w:t>
      </w:r>
      <w:proofErr w:type="spellStart"/>
      <w:r w:rsidRPr="00726964">
        <w:rPr>
          <w:rFonts w:ascii="Times New Roman" w:hAnsi="Times New Roman" w:cs="Times New Roman"/>
          <w:bCs/>
          <w:sz w:val="24"/>
          <w:szCs w:val="24"/>
        </w:rPr>
        <w:t>multinomial</w:t>
      </w:r>
      <w:proofErr w:type="spellEnd"/>
      <w:r w:rsidRPr="00726964">
        <w:rPr>
          <w:rFonts w:ascii="Times New Roman" w:hAnsi="Times New Roman" w:cs="Times New Roman"/>
          <w:bCs/>
          <w:sz w:val="24"/>
          <w:szCs w:val="24"/>
        </w:rPr>
        <w:t xml:space="preserve"> separadamente para cada linha da matriz de transição</w:t>
      </w:r>
      <w:r w:rsidR="00C67B39" w:rsidRPr="00726964">
        <w:rPr>
          <w:rFonts w:ascii="Times New Roman" w:hAnsi="Times New Roman" w:cs="Times New Roman"/>
          <w:bCs/>
          <w:sz w:val="24"/>
          <w:szCs w:val="24"/>
        </w:rPr>
        <w:t>.</w:t>
      </w:r>
      <w:r w:rsidR="00201CB6" w:rsidRPr="00726964">
        <w:rPr>
          <w:rStyle w:val="FootnoteReference"/>
          <w:rFonts w:ascii="Times New Roman" w:hAnsi="Times New Roman" w:cs="Times New Roman"/>
          <w:bCs/>
          <w:sz w:val="24"/>
          <w:szCs w:val="24"/>
        </w:rPr>
        <w:t xml:space="preserve"> </w:t>
      </w:r>
      <w:r w:rsidR="00591C95" w:rsidRPr="00726964">
        <w:rPr>
          <w:rFonts w:ascii="Times New Roman" w:hAnsi="Times New Roman" w:cs="Times New Roman"/>
          <w:bCs/>
          <w:sz w:val="24"/>
          <w:szCs w:val="24"/>
        </w:rPr>
        <w:t>Assim</w:t>
      </w:r>
      <w:r w:rsidR="00BC48BD" w:rsidRPr="00726964">
        <w:rPr>
          <w:rFonts w:ascii="Times New Roman" w:hAnsi="Times New Roman" w:cs="Times New Roman"/>
          <w:bCs/>
          <w:sz w:val="24"/>
          <w:szCs w:val="24"/>
        </w:rPr>
        <w:t xml:space="preserve">, </w:t>
      </w:r>
      <w:r w:rsidR="00591C95" w:rsidRPr="00726964">
        <w:rPr>
          <w:rFonts w:ascii="Times New Roman" w:hAnsi="Times New Roman" w:cs="Times New Roman"/>
          <w:bCs/>
          <w:sz w:val="24"/>
          <w:szCs w:val="24"/>
        </w:rPr>
        <w:t>para um dado indivíduo i na categoria ocupacional k no período t, estimamos a probabilidade de que ele esteja na categoria j em t+12, onde j inclui a categoria de origem, k. O modelo pode ser descrito da seguinte forma:</w:t>
      </w:r>
    </w:p>
    <w:p w14:paraId="2E9E73FA" w14:textId="77777777" w:rsidR="00C57456" w:rsidRPr="00726964" w:rsidRDefault="00726964" w:rsidP="00726964">
      <w:pPr>
        <w:spacing w:after="0" w:line="240" w:lineRule="auto"/>
        <w:ind w:firstLine="284"/>
        <w:jc w:val="both"/>
        <w:rPr>
          <w:rFonts w:ascii="Times New Roman" w:hAnsi="Times New Roman" w:cs="Times New Roman"/>
          <w:bCs/>
          <w:sz w:val="24"/>
          <w:szCs w:val="24"/>
        </w:rPr>
      </w:pPr>
      <m:oMathPara>
        <m:oMath>
          <m:func>
            <m:funcPr>
              <m:ctrlPr>
                <w:rPr>
                  <w:rFonts w:ascii="Cambria Math" w:hAnsi="Cambria Math" w:cs="Times New Roman"/>
                  <w:bCs/>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i,k</m:t>
                      </m:r>
                    </m:sub>
                  </m:sSub>
                </m:e>
              </m:d>
            </m:e>
          </m:func>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exp</m:t>
              </m:r>
              <m:d>
                <m:dPr>
                  <m:begChr m:val="{"/>
                  <m:endChr m:val="}"/>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r>
                    <w:rPr>
                      <w:rFonts w:ascii="Cambria Math" w:hAnsi="Cambria Math" w:cs="Times New Roman"/>
                      <w:sz w:val="24"/>
                      <w:szCs w:val="24"/>
                    </w:rPr>
                    <m:t>+</m:t>
                  </m:r>
                  <m:nary>
                    <m:naryPr>
                      <m:chr m:val="∑"/>
                      <m:supHide m:val="1"/>
                      <m:ctrlPr>
                        <w:rPr>
                          <w:rFonts w:ascii="Cambria Math" w:hAnsi="Cambria Math" w:cs="Times New Roman"/>
                          <w:bCs/>
                          <w:i/>
                          <w:sz w:val="24"/>
                          <w:szCs w:val="24"/>
                        </w:rPr>
                      </m:ctrlPr>
                    </m:naryPr>
                    <m:sub>
                      <m:r>
                        <w:rPr>
                          <w:rFonts w:ascii="Cambria Math" w:hAnsi="Cambria Math" w:cs="Times New Roman"/>
                          <w:sz w:val="24"/>
                          <w:szCs w:val="24"/>
                        </w:rPr>
                        <m:t>k</m:t>
                      </m:r>
                    </m:sub>
                    <m:sup/>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sSub>
                        <m:sSubPr>
                          <m:ctrlPr>
                            <w:rPr>
                              <w:rFonts w:ascii="Cambria Math" w:hAnsi="Cambria Math" w:cs="Times New Roman"/>
                              <w:bCs/>
                              <w:i/>
                              <w:sz w:val="24"/>
                              <w:szCs w:val="24"/>
                            </w:rPr>
                          </m:ctrlPr>
                        </m:sSubPr>
                        <m:e>
                          <m:r>
                            <w:rPr>
                              <w:rFonts w:ascii="Cambria Math" w:hAnsi="Cambria Math" w:cs="Times New Roman"/>
                              <w:sz w:val="24"/>
                              <w:szCs w:val="24"/>
                            </w:rPr>
                            <m:t>T</m:t>
                          </m:r>
                        </m:e>
                        <m:sub/>
                      </m:sSub>
                    </m:e>
                  </m:nary>
                </m:e>
              </m:d>
            </m:num>
            <m:den>
              <m:nary>
                <m:naryPr>
                  <m:chr m:val="∑"/>
                  <m:supHide m:val="1"/>
                  <m:ctrlPr>
                    <w:rPr>
                      <w:rFonts w:ascii="Cambria Math" w:hAnsi="Cambria Math" w:cs="Times New Roman"/>
                      <w:bCs/>
                      <w:i/>
                      <w:sz w:val="24"/>
                      <w:szCs w:val="24"/>
                    </w:rPr>
                  </m:ctrlPr>
                </m:naryPr>
                <m:sub>
                  <m:r>
                    <w:rPr>
                      <w:rFonts w:ascii="Cambria Math" w:hAnsi="Cambria Math" w:cs="Times New Roman"/>
                      <w:sz w:val="24"/>
                      <w:szCs w:val="24"/>
                    </w:rPr>
                    <m:t>j</m:t>
                  </m:r>
                </m:sub>
                <m:sup/>
                <m:e>
                  <m:r>
                    <w:rPr>
                      <w:rFonts w:ascii="Cambria Math" w:hAnsi="Cambria Math" w:cs="Times New Roman"/>
                      <w:sz w:val="24"/>
                      <w:szCs w:val="24"/>
                    </w:rPr>
                    <m:t>exp</m:t>
                  </m:r>
                  <m:d>
                    <m:dPr>
                      <m:begChr m:val="{"/>
                      <m:endChr m:val="}"/>
                      <m:ctrlPr>
                        <w:rPr>
                          <w:rFonts w:ascii="Cambria Math" w:hAnsi="Cambria Math" w:cs="Times New Roman"/>
                          <w:bCs/>
                          <w:i/>
                          <w:sz w:val="24"/>
                          <w:szCs w:val="24"/>
                        </w:rPr>
                      </m:ctrlPr>
                    </m:dPr>
                    <m:e>
                      <m:sSubSup>
                        <m:sSubSupPr>
                          <m:ctrlPr>
                            <w:rPr>
                              <w:rFonts w:ascii="Cambria Math" w:hAnsi="Cambria Math" w:cs="Times New Roman"/>
                              <w:bCs/>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r>
                        <w:rPr>
                          <w:rFonts w:ascii="Cambria Math" w:hAnsi="Cambria Math" w:cs="Times New Roman"/>
                          <w:sz w:val="24"/>
                          <w:szCs w:val="24"/>
                        </w:rPr>
                        <m:t>+</m:t>
                      </m:r>
                      <m:nary>
                        <m:naryPr>
                          <m:chr m:val="∑"/>
                          <m:supHide m:val="1"/>
                          <m:ctrlPr>
                            <w:rPr>
                              <w:rFonts w:ascii="Cambria Math" w:hAnsi="Cambria Math" w:cs="Times New Roman"/>
                              <w:bCs/>
                              <w:i/>
                              <w:sz w:val="24"/>
                              <w:szCs w:val="24"/>
                            </w:rPr>
                          </m:ctrlPr>
                        </m:naryPr>
                        <m:sub>
                          <m:r>
                            <w:rPr>
                              <w:rFonts w:ascii="Cambria Math" w:hAnsi="Cambria Math" w:cs="Times New Roman"/>
                              <w:sz w:val="24"/>
                              <w:szCs w:val="24"/>
                            </w:rPr>
                            <m:t>k</m:t>
                          </m:r>
                        </m:sub>
                        <m:sup/>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sSub>
                            <m:sSubPr>
                              <m:ctrlPr>
                                <w:rPr>
                                  <w:rFonts w:ascii="Cambria Math" w:hAnsi="Cambria Math" w:cs="Times New Roman"/>
                                  <w:bCs/>
                                  <w:i/>
                                  <w:sz w:val="24"/>
                                  <w:szCs w:val="24"/>
                                </w:rPr>
                              </m:ctrlPr>
                            </m:sSubPr>
                            <m:e>
                              <m:r>
                                <w:rPr>
                                  <w:rFonts w:ascii="Cambria Math" w:hAnsi="Cambria Math" w:cs="Times New Roman"/>
                                  <w:sz w:val="24"/>
                                  <w:szCs w:val="24"/>
                                </w:rPr>
                                <m:t>T</m:t>
                              </m:r>
                            </m:e>
                            <m:sub/>
                          </m:sSub>
                        </m:e>
                      </m:nary>
                    </m:e>
                  </m:d>
                </m:e>
              </m:nary>
            </m:den>
          </m:f>
          <m:r>
            <w:rPr>
              <w:rFonts w:ascii="Cambria Math" w:hAnsi="Cambria Math" w:cs="Times New Roman"/>
              <w:sz w:val="24"/>
              <w:szCs w:val="24"/>
            </w:rPr>
            <m:t>,     j,k=1,…,10.</m:t>
          </m:r>
        </m:oMath>
      </m:oMathPara>
    </w:p>
    <w:p w14:paraId="0FD40B99" w14:textId="77777777" w:rsidR="00C44141" w:rsidRPr="00726964" w:rsidRDefault="00591C95"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 xml:space="preserve">onde </w:t>
      </w:r>
      <m:oMath>
        <m:r>
          <w:rPr>
            <w:rFonts w:ascii="Cambria Math" w:hAnsi="Cambria Math" w:cs="Times New Roman"/>
            <w:sz w:val="24"/>
            <w:szCs w:val="24"/>
          </w:rPr>
          <m:t>j=1,…,10</m:t>
        </m:r>
      </m:oMath>
      <w:r w:rsidRPr="00726964">
        <w:rPr>
          <w:rFonts w:ascii="Times New Roman" w:eastAsiaTheme="minorEastAsia" w:hAnsi="Times New Roman" w:cs="Times New Roman"/>
          <w:bCs/>
          <w:sz w:val="24"/>
          <w:szCs w:val="24"/>
        </w:rPr>
        <w:t xml:space="preserve"> indica o a categoria de destino do indivíduo i</w:t>
      </w:r>
      <w:r w:rsidR="00D14134" w:rsidRPr="00726964">
        <w:rPr>
          <w:rFonts w:ascii="Times New Roman" w:hAnsi="Times New Roman" w:cs="Times New Roman"/>
          <w:bCs/>
          <w:sz w:val="24"/>
          <w:szCs w:val="24"/>
        </w:rPr>
        <w:t>, que correspondem às linhas/colunas da matriz de transição</w:t>
      </w:r>
      <w:r w:rsidRPr="00726964">
        <w:rPr>
          <w:rFonts w:ascii="Times New Roman" w:hAnsi="Times New Roman" w:cs="Times New Roman"/>
          <w:bCs/>
          <w:sz w:val="24"/>
          <w:szCs w:val="24"/>
        </w:rPr>
        <w:t xml:space="preserve">. </w:t>
      </w:r>
      <w:r w:rsidR="00D14134" w:rsidRPr="00726964">
        <w:rPr>
          <w:rFonts w:ascii="Times New Roman" w:hAnsi="Times New Roman" w:cs="Times New Roman"/>
          <w:bCs/>
          <w:sz w:val="24"/>
          <w:szCs w:val="24"/>
        </w:rPr>
        <w:t xml:space="preserve">A </w:t>
      </w:r>
      <w:proofErr w:type="spellStart"/>
      <w:r w:rsidRPr="00726964">
        <w:rPr>
          <w:rFonts w:ascii="Times New Roman" w:hAnsi="Times New Roman" w:cs="Times New Roman"/>
          <w:bCs/>
          <w:sz w:val="24"/>
          <w:szCs w:val="24"/>
        </w:rPr>
        <w:t>variáv</w:t>
      </w:r>
      <w:r w:rsidR="00D14134" w:rsidRPr="00726964">
        <w:rPr>
          <w:rFonts w:ascii="Times New Roman" w:hAnsi="Times New Roman" w:cs="Times New Roman"/>
          <w:bCs/>
          <w:sz w:val="24"/>
          <w:szCs w:val="24"/>
        </w:rPr>
        <w:t>él</w:t>
      </w:r>
      <w:proofErr w:type="spellEnd"/>
      <w:r w:rsidRPr="00726964">
        <w:rPr>
          <w:rFonts w:ascii="Times New Roman" w:hAnsi="Times New Roman" w:cs="Times New Roman"/>
          <w:bCs/>
          <w:sz w:val="24"/>
          <w:szCs w:val="24"/>
        </w:rPr>
        <w:t xml:space="preserve"> </w:t>
      </w:r>
      <w:proofErr w:type="spellStart"/>
      <w:r w:rsidRPr="00726964">
        <w:rPr>
          <w:rFonts w:ascii="Times New Roman" w:hAnsi="Times New Roman" w:cs="Times New Roman"/>
          <w:bCs/>
          <w:sz w:val="24"/>
          <w:szCs w:val="24"/>
        </w:rPr>
        <w:t>dummy</w:t>
      </w:r>
      <w:proofErr w:type="spellEnd"/>
      <w:r w:rsidRPr="00726964">
        <w:rPr>
          <w:rFonts w:ascii="Times New Roman" w:hAnsi="Times New Roman" w:cs="Times New Roman"/>
          <w:bCs/>
          <w:sz w:val="24"/>
          <w:szCs w:val="24"/>
        </w:rPr>
        <w:t xml:space="preserve"> </w:t>
      </w:r>
      <w:r w:rsidRPr="00726964">
        <w:rPr>
          <w:rFonts w:ascii="Times New Roman" w:hAnsi="Times New Roman" w:cs="Times New Roman"/>
          <w:bCs/>
          <w:i/>
          <w:sz w:val="24"/>
          <w:szCs w:val="24"/>
        </w:rPr>
        <w:t>T</w:t>
      </w:r>
      <w:r w:rsidRPr="00726964">
        <w:rPr>
          <w:rFonts w:ascii="Times New Roman" w:hAnsi="Times New Roman" w:cs="Times New Roman"/>
          <w:bCs/>
          <w:sz w:val="24"/>
          <w:szCs w:val="24"/>
        </w:rPr>
        <w:t xml:space="preserve"> denota o período pós MEI, de acordo com o indicado na Tabela 7.</w:t>
      </w:r>
    </w:p>
    <w:p w14:paraId="54CDB4E3" w14:textId="77777777" w:rsidR="00D14134" w:rsidRPr="00726964" w:rsidRDefault="00D14134"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Para manter a análise concisa, reportamos apenas os coeficientes relativos à probabilidade de manter o mesmo status ocupacional no período inicial e final. Como a categoria omitida no </w:t>
      </w:r>
      <w:proofErr w:type="spellStart"/>
      <w:r w:rsidRPr="00726964">
        <w:rPr>
          <w:rFonts w:ascii="Times New Roman" w:hAnsi="Times New Roman" w:cs="Times New Roman"/>
          <w:bCs/>
          <w:sz w:val="24"/>
          <w:szCs w:val="24"/>
        </w:rPr>
        <w:t>logit</w:t>
      </w:r>
      <w:proofErr w:type="spellEnd"/>
      <w:r w:rsidRPr="00726964">
        <w:rPr>
          <w:rFonts w:ascii="Times New Roman" w:hAnsi="Times New Roman" w:cs="Times New Roman"/>
          <w:bCs/>
          <w:sz w:val="24"/>
          <w:szCs w:val="24"/>
        </w:rPr>
        <w:t xml:space="preserve"> </w:t>
      </w:r>
      <w:proofErr w:type="spellStart"/>
      <w:r w:rsidRPr="00726964">
        <w:rPr>
          <w:rFonts w:ascii="Times New Roman" w:hAnsi="Times New Roman" w:cs="Times New Roman"/>
          <w:bCs/>
          <w:sz w:val="24"/>
          <w:szCs w:val="24"/>
        </w:rPr>
        <w:t>multinomial</w:t>
      </w:r>
      <w:proofErr w:type="spellEnd"/>
      <w:r w:rsidRPr="00726964">
        <w:rPr>
          <w:rFonts w:ascii="Times New Roman" w:hAnsi="Times New Roman" w:cs="Times New Roman"/>
          <w:bCs/>
          <w:sz w:val="24"/>
          <w:szCs w:val="24"/>
        </w:rPr>
        <w:t xml:space="preserve"> é a de trabalhador por conta própria que contribui, a probabilidade de sobrevivência em uma dada categoria é relativa a de migrar para a posição de conta-própria que contribui para previdência. </w:t>
      </w:r>
      <w:proofErr w:type="spellStart"/>
      <w:r w:rsidRPr="00726964">
        <w:rPr>
          <w:rFonts w:ascii="Times New Roman" w:hAnsi="Times New Roman" w:cs="Times New Roman"/>
          <w:bCs/>
          <w:sz w:val="24"/>
          <w:szCs w:val="24"/>
        </w:rPr>
        <w:t>Euristicamente</w:t>
      </w:r>
      <w:proofErr w:type="spellEnd"/>
      <w:r w:rsidRPr="00726964">
        <w:rPr>
          <w:rFonts w:ascii="Times New Roman" w:hAnsi="Times New Roman" w:cs="Times New Roman"/>
          <w:bCs/>
          <w:sz w:val="24"/>
          <w:szCs w:val="24"/>
        </w:rPr>
        <w:t xml:space="preserve">, a estimativa trata de como o MEI afetou o risco ocupacional, isto é a chance de permanecer ou migrar para fora das células da diagonal da matriz de transição acima citada. </w:t>
      </w:r>
    </w:p>
    <w:p w14:paraId="72A14D2A" w14:textId="77777777" w:rsidR="00D14134" w:rsidRPr="00726964" w:rsidRDefault="00D14134" w:rsidP="00726964">
      <w:pPr>
        <w:spacing w:after="0" w:line="240" w:lineRule="auto"/>
        <w:ind w:firstLine="284"/>
        <w:jc w:val="both"/>
        <w:rPr>
          <w:rFonts w:ascii="Times New Roman" w:hAnsi="Times New Roman" w:cs="Times New Roman"/>
          <w:bCs/>
          <w:sz w:val="24"/>
          <w:szCs w:val="24"/>
        </w:rPr>
      </w:pPr>
    </w:p>
    <w:p w14:paraId="311A4942" w14:textId="77777777" w:rsidR="0033564D" w:rsidRPr="00726964" w:rsidRDefault="0040277A"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 xml:space="preserve">Tabela </w:t>
      </w:r>
      <w:r w:rsidR="00591C95" w:rsidRPr="00726964">
        <w:rPr>
          <w:rFonts w:ascii="Times New Roman" w:hAnsi="Times New Roman" w:cs="Times New Roman"/>
          <w:bCs/>
          <w:sz w:val="24"/>
          <w:szCs w:val="24"/>
        </w:rPr>
        <w:t>8: Probabilidades de continuar na mesma posição (diagonal da matriz de transição)</w:t>
      </w:r>
      <w:r w:rsidR="00BC48BD" w:rsidRPr="00726964">
        <w:rPr>
          <w:rFonts w:ascii="Times New Roman" w:hAnsi="Times New Roman" w:cs="Times New Roman"/>
          <w:bCs/>
          <w:sz w:val="24"/>
          <w:szCs w:val="24"/>
        </w:rPr>
        <w:t>.</w:t>
      </w:r>
    </w:p>
    <w:tbl>
      <w:tblPr>
        <w:tblW w:w="8000" w:type="dxa"/>
        <w:jc w:val="center"/>
        <w:tblInd w:w="55" w:type="dxa"/>
        <w:tblCellMar>
          <w:left w:w="70" w:type="dxa"/>
          <w:right w:w="70" w:type="dxa"/>
        </w:tblCellMar>
        <w:tblLook w:val="04A0" w:firstRow="1" w:lastRow="0" w:firstColumn="1" w:lastColumn="0" w:noHBand="0" w:noVBand="1"/>
      </w:tblPr>
      <w:tblGrid>
        <w:gridCol w:w="3780"/>
        <w:gridCol w:w="1220"/>
        <w:gridCol w:w="1180"/>
        <w:gridCol w:w="1820"/>
      </w:tblGrid>
      <w:tr w:rsidR="003969E2" w:rsidRPr="00FC3E6E" w14:paraId="3B598FA1" w14:textId="77777777" w:rsidTr="00591C95">
        <w:trPr>
          <w:trHeight w:val="120"/>
          <w:jc w:val="center"/>
        </w:trPr>
        <w:tc>
          <w:tcPr>
            <w:tcW w:w="3780" w:type="dxa"/>
            <w:tcBorders>
              <w:top w:val="nil"/>
              <w:left w:val="nil"/>
              <w:bottom w:val="double" w:sz="6" w:space="0" w:color="auto"/>
              <w:right w:val="nil"/>
            </w:tcBorders>
            <w:shd w:val="clear" w:color="000000" w:fill="FFFFFF"/>
            <w:noWrap/>
            <w:vAlign w:val="bottom"/>
            <w:hideMark/>
          </w:tcPr>
          <w:p w14:paraId="58792C56"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220" w:type="dxa"/>
            <w:tcBorders>
              <w:top w:val="nil"/>
              <w:left w:val="nil"/>
              <w:bottom w:val="double" w:sz="6" w:space="0" w:color="auto"/>
              <w:right w:val="nil"/>
            </w:tcBorders>
            <w:shd w:val="clear" w:color="000000" w:fill="FFFFFF"/>
            <w:noWrap/>
            <w:vAlign w:val="bottom"/>
            <w:hideMark/>
          </w:tcPr>
          <w:p w14:paraId="3BA6C465"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180" w:type="dxa"/>
            <w:tcBorders>
              <w:top w:val="nil"/>
              <w:left w:val="nil"/>
              <w:bottom w:val="double" w:sz="6" w:space="0" w:color="auto"/>
              <w:right w:val="nil"/>
            </w:tcBorders>
            <w:shd w:val="clear" w:color="000000" w:fill="FFFFFF"/>
            <w:noWrap/>
            <w:vAlign w:val="bottom"/>
            <w:hideMark/>
          </w:tcPr>
          <w:p w14:paraId="07C938C7"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820" w:type="dxa"/>
            <w:tcBorders>
              <w:top w:val="nil"/>
              <w:left w:val="nil"/>
              <w:bottom w:val="double" w:sz="6" w:space="0" w:color="auto"/>
              <w:right w:val="nil"/>
            </w:tcBorders>
            <w:shd w:val="clear" w:color="000000" w:fill="FFFFFF"/>
            <w:noWrap/>
            <w:vAlign w:val="bottom"/>
            <w:hideMark/>
          </w:tcPr>
          <w:p w14:paraId="4D93D4DA"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r w:rsidR="003969E2" w:rsidRPr="00FC3E6E" w14:paraId="4E6DD7FE" w14:textId="77777777" w:rsidTr="00591C95">
        <w:trPr>
          <w:trHeight w:val="612"/>
          <w:jc w:val="center"/>
        </w:trPr>
        <w:tc>
          <w:tcPr>
            <w:tcW w:w="3780" w:type="dxa"/>
            <w:tcBorders>
              <w:top w:val="nil"/>
              <w:left w:val="nil"/>
              <w:bottom w:val="single" w:sz="4" w:space="0" w:color="auto"/>
              <w:right w:val="nil"/>
            </w:tcBorders>
            <w:shd w:val="clear" w:color="000000" w:fill="FFFFFF"/>
            <w:noWrap/>
            <w:vAlign w:val="center"/>
            <w:hideMark/>
          </w:tcPr>
          <w:p w14:paraId="75E7E48F"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220" w:type="dxa"/>
            <w:tcBorders>
              <w:top w:val="nil"/>
              <w:left w:val="nil"/>
              <w:bottom w:val="single" w:sz="4" w:space="0" w:color="auto"/>
              <w:right w:val="nil"/>
            </w:tcBorders>
            <w:shd w:val="clear" w:color="000000" w:fill="FFFFFF"/>
            <w:noWrap/>
            <w:vAlign w:val="center"/>
            <w:hideMark/>
          </w:tcPr>
          <w:p w14:paraId="5C383051"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Estimativa</w:t>
            </w:r>
          </w:p>
        </w:tc>
        <w:tc>
          <w:tcPr>
            <w:tcW w:w="1180" w:type="dxa"/>
            <w:tcBorders>
              <w:top w:val="nil"/>
              <w:left w:val="nil"/>
              <w:bottom w:val="single" w:sz="4" w:space="0" w:color="auto"/>
              <w:right w:val="nil"/>
            </w:tcBorders>
            <w:shd w:val="clear" w:color="000000" w:fill="FFFFFF"/>
            <w:noWrap/>
            <w:vAlign w:val="center"/>
            <w:hideMark/>
          </w:tcPr>
          <w:p w14:paraId="72A282B1"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Erro-padrão</w:t>
            </w:r>
          </w:p>
        </w:tc>
        <w:tc>
          <w:tcPr>
            <w:tcW w:w="1820" w:type="dxa"/>
            <w:tcBorders>
              <w:top w:val="nil"/>
              <w:left w:val="nil"/>
              <w:bottom w:val="single" w:sz="4" w:space="0" w:color="auto"/>
              <w:right w:val="nil"/>
            </w:tcBorders>
            <w:shd w:val="clear" w:color="000000" w:fill="FFFFFF"/>
            <w:vAlign w:val="center"/>
            <w:hideMark/>
          </w:tcPr>
          <w:p w14:paraId="5F7CB66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xml:space="preserve">Razão de Chance condicional </w:t>
            </w:r>
          </w:p>
        </w:tc>
      </w:tr>
      <w:tr w:rsidR="003969E2" w:rsidRPr="00FC3E6E" w14:paraId="427E4FFE"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670417EB"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Conta Própria Informal</w:t>
            </w:r>
          </w:p>
        </w:tc>
        <w:tc>
          <w:tcPr>
            <w:tcW w:w="1220" w:type="dxa"/>
            <w:tcBorders>
              <w:top w:val="nil"/>
              <w:left w:val="nil"/>
              <w:bottom w:val="nil"/>
              <w:right w:val="nil"/>
            </w:tcBorders>
            <w:shd w:val="clear" w:color="000000" w:fill="FFFFFF"/>
            <w:noWrap/>
            <w:vAlign w:val="bottom"/>
            <w:hideMark/>
          </w:tcPr>
          <w:p w14:paraId="23167AC0"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-0,457</w:t>
            </w:r>
          </w:p>
        </w:tc>
        <w:tc>
          <w:tcPr>
            <w:tcW w:w="1180" w:type="dxa"/>
            <w:tcBorders>
              <w:top w:val="nil"/>
              <w:left w:val="nil"/>
              <w:bottom w:val="nil"/>
              <w:right w:val="nil"/>
            </w:tcBorders>
            <w:shd w:val="clear" w:color="000000" w:fill="FFFFFF"/>
            <w:noWrap/>
            <w:vAlign w:val="bottom"/>
            <w:hideMark/>
          </w:tcPr>
          <w:p w14:paraId="306FCC3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w:t>
            </w:r>
          </w:p>
        </w:tc>
        <w:tc>
          <w:tcPr>
            <w:tcW w:w="1820" w:type="dxa"/>
            <w:tcBorders>
              <w:top w:val="nil"/>
              <w:left w:val="nil"/>
              <w:bottom w:val="nil"/>
              <w:right w:val="nil"/>
            </w:tcBorders>
            <w:shd w:val="clear" w:color="000000" w:fill="FFFFFF"/>
            <w:noWrap/>
            <w:vAlign w:val="bottom"/>
            <w:hideMark/>
          </w:tcPr>
          <w:p w14:paraId="4BF9A00F"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0,630</w:t>
            </w:r>
          </w:p>
        </w:tc>
      </w:tr>
      <w:tr w:rsidR="003969E2" w:rsidRPr="00FC3E6E" w14:paraId="0D10FF77"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02CF965F"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&lt; 5 trab. Formal</w:t>
            </w:r>
          </w:p>
        </w:tc>
        <w:tc>
          <w:tcPr>
            <w:tcW w:w="1220" w:type="dxa"/>
            <w:tcBorders>
              <w:top w:val="nil"/>
              <w:left w:val="nil"/>
              <w:bottom w:val="nil"/>
              <w:right w:val="nil"/>
            </w:tcBorders>
            <w:shd w:val="clear" w:color="000000" w:fill="FFFFFF"/>
            <w:noWrap/>
            <w:vAlign w:val="bottom"/>
            <w:hideMark/>
          </w:tcPr>
          <w:p w14:paraId="70C87ED8"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-0,339</w:t>
            </w:r>
          </w:p>
        </w:tc>
        <w:tc>
          <w:tcPr>
            <w:tcW w:w="1180" w:type="dxa"/>
            <w:tcBorders>
              <w:top w:val="nil"/>
              <w:left w:val="nil"/>
              <w:bottom w:val="nil"/>
              <w:right w:val="nil"/>
            </w:tcBorders>
            <w:shd w:val="clear" w:color="000000" w:fill="FFFFFF"/>
            <w:noWrap/>
            <w:vAlign w:val="bottom"/>
            <w:hideMark/>
          </w:tcPr>
          <w:p w14:paraId="56B7177C"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0,055</w:t>
            </w:r>
          </w:p>
        </w:tc>
        <w:tc>
          <w:tcPr>
            <w:tcW w:w="1820" w:type="dxa"/>
            <w:tcBorders>
              <w:top w:val="nil"/>
              <w:left w:val="nil"/>
              <w:bottom w:val="nil"/>
              <w:right w:val="nil"/>
            </w:tcBorders>
            <w:shd w:val="clear" w:color="000000" w:fill="FFFFFF"/>
            <w:noWrap/>
            <w:vAlign w:val="bottom"/>
            <w:hideMark/>
          </w:tcPr>
          <w:p w14:paraId="490CD9EC"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0,710</w:t>
            </w:r>
          </w:p>
        </w:tc>
      </w:tr>
      <w:tr w:rsidR="003969E2" w:rsidRPr="00FC3E6E" w14:paraId="5C62D077"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60252BB4"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&lt; 5 trab. Informal</w:t>
            </w:r>
          </w:p>
        </w:tc>
        <w:tc>
          <w:tcPr>
            <w:tcW w:w="1220" w:type="dxa"/>
            <w:tcBorders>
              <w:top w:val="nil"/>
              <w:left w:val="nil"/>
              <w:bottom w:val="nil"/>
              <w:right w:val="nil"/>
            </w:tcBorders>
            <w:shd w:val="clear" w:color="000000" w:fill="FFFFFF"/>
            <w:noWrap/>
            <w:vAlign w:val="bottom"/>
            <w:hideMark/>
          </w:tcPr>
          <w:p w14:paraId="0D0A906E"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-0,405</w:t>
            </w:r>
          </w:p>
        </w:tc>
        <w:tc>
          <w:tcPr>
            <w:tcW w:w="1180" w:type="dxa"/>
            <w:tcBorders>
              <w:top w:val="nil"/>
              <w:left w:val="nil"/>
              <w:bottom w:val="nil"/>
              <w:right w:val="nil"/>
            </w:tcBorders>
            <w:shd w:val="clear" w:color="000000" w:fill="FFFFFF"/>
            <w:noWrap/>
            <w:vAlign w:val="bottom"/>
            <w:hideMark/>
          </w:tcPr>
          <w:p w14:paraId="69537EFC"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0,097</w:t>
            </w:r>
          </w:p>
        </w:tc>
        <w:tc>
          <w:tcPr>
            <w:tcW w:w="1820" w:type="dxa"/>
            <w:tcBorders>
              <w:top w:val="nil"/>
              <w:left w:val="nil"/>
              <w:bottom w:val="nil"/>
              <w:right w:val="nil"/>
            </w:tcBorders>
            <w:shd w:val="clear" w:color="000000" w:fill="FFFFFF"/>
            <w:noWrap/>
            <w:vAlign w:val="bottom"/>
            <w:hideMark/>
          </w:tcPr>
          <w:p w14:paraId="433B7E2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0,670</w:t>
            </w:r>
          </w:p>
        </w:tc>
      </w:tr>
      <w:tr w:rsidR="003969E2" w:rsidRPr="00FC3E6E" w14:paraId="27BF240E"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55E45792"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&gt; 5 trab. Formal</w:t>
            </w:r>
          </w:p>
        </w:tc>
        <w:tc>
          <w:tcPr>
            <w:tcW w:w="1220" w:type="dxa"/>
            <w:tcBorders>
              <w:top w:val="nil"/>
              <w:left w:val="nil"/>
              <w:bottom w:val="nil"/>
              <w:right w:val="nil"/>
            </w:tcBorders>
            <w:shd w:val="clear" w:color="000000" w:fill="FFFFFF"/>
            <w:noWrap/>
            <w:vAlign w:val="bottom"/>
            <w:hideMark/>
          </w:tcPr>
          <w:p w14:paraId="34005CEC"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-0,095</w:t>
            </w:r>
          </w:p>
        </w:tc>
        <w:tc>
          <w:tcPr>
            <w:tcW w:w="1180" w:type="dxa"/>
            <w:tcBorders>
              <w:top w:val="nil"/>
              <w:left w:val="nil"/>
              <w:bottom w:val="nil"/>
              <w:right w:val="nil"/>
            </w:tcBorders>
            <w:shd w:val="clear" w:color="000000" w:fill="FFFFFF"/>
            <w:noWrap/>
            <w:vAlign w:val="bottom"/>
            <w:hideMark/>
          </w:tcPr>
          <w:p w14:paraId="0CF99E42"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w:t>
            </w:r>
          </w:p>
        </w:tc>
        <w:tc>
          <w:tcPr>
            <w:tcW w:w="1820" w:type="dxa"/>
            <w:tcBorders>
              <w:top w:val="nil"/>
              <w:left w:val="nil"/>
              <w:bottom w:val="nil"/>
              <w:right w:val="nil"/>
            </w:tcBorders>
            <w:shd w:val="clear" w:color="000000" w:fill="FFFFFF"/>
            <w:noWrap/>
            <w:vAlign w:val="bottom"/>
            <w:hideMark/>
          </w:tcPr>
          <w:p w14:paraId="5F38F941"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0,910</w:t>
            </w:r>
          </w:p>
        </w:tc>
      </w:tr>
      <w:tr w:rsidR="003969E2" w:rsidRPr="00FC3E6E" w14:paraId="770BFFEC"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6AD70713"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Empregador &gt; 5 trab. Informal</w:t>
            </w:r>
          </w:p>
        </w:tc>
        <w:tc>
          <w:tcPr>
            <w:tcW w:w="1220" w:type="dxa"/>
            <w:tcBorders>
              <w:top w:val="nil"/>
              <w:left w:val="nil"/>
              <w:bottom w:val="nil"/>
              <w:right w:val="nil"/>
            </w:tcBorders>
            <w:shd w:val="clear" w:color="000000" w:fill="FFFFFF"/>
            <w:noWrap/>
            <w:vAlign w:val="bottom"/>
            <w:hideMark/>
          </w:tcPr>
          <w:p w14:paraId="5637438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-0,109</w:t>
            </w:r>
          </w:p>
        </w:tc>
        <w:tc>
          <w:tcPr>
            <w:tcW w:w="1180" w:type="dxa"/>
            <w:tcBorders>
              <w:top w:val="nil"/>
              <w:left w:val="nil"/>
              <w:bottom w:val="nil"/>
              <w:right w:val="nil"/>
            </w:tcBorders>
            <w:shd w:val="clear" w:color="000000" w:fill="FFFFFF"/>
            <w:noWrap/>
            <w:vAlign w:val="bottom"/>
            <w:hideMark/>
          </w:tcPr>
          <w:p w14:paraId="2125C9BD"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0,002</w:t>
            </w:r>
          </w:p>
        </w:tc>
        <w:tc>
          <w:tcPr>
            <w:tcW w:w="1820" w:type="dxa"/>
            <w:tcBorders>
              <w:top w:val="nil"/>
              <w:left w:val="nil"/>
              <w:bottom w:val="nil"/>
              <w:right w:val="nil"/>
            </w:tcBorders>
            <w:shd w:val="clear" w:color="000000" w:fill="FFFFFF"/>
            <w:noWrap/>
            <w:vAlign w:val="bottom"/>
            <w:hideMark/>
          </w:tcPr>
          <w:p w14:paraId="41B926A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0,900</w:t>
            </w:r>
          </w:p>
        </w:tc>
      </w:tr>
      <w:tr w:rsidR="003969E2" w:rsidRPr="00FC3E6E" w14:paraId="0FE0076D"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2265F03B"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Trabalhador Formal (firma peq.)</w:t>
            </w:r>
          </w:p>
        </w:tc>
        <w:tc>
          <w:tcPr>
            <w:tcW w:w="1220" w:type="dxa"/>
            <w:tcBorders>
              <w:top w:val="nil"/>
              <w:left w:val="nil"/>
              <w:bottom w:val="nil"/>
              <w:right w:val="nil"/>
            </w:tcBorders>
            <w:shd w:val="clear" w:color="000000" w:fill="FFFFFF"/>
            <w:noWrap/>
            <w:vAlign w:val="bottom"/>
            <w:hideMark/>
          </w:tcPr>
          <w:p w14:paraId="3BBDC5B3"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-0,465</w:t>
            </w:r>
          </w:p>
        </w:tc>
        <w:tc>
          <w:tcPr>
            <w:tcW w:w="1180" w:type="dxa"/>
            <w:tcBorders>
              <w:top w:val="nil"/>
              <w:left w:val="nil"/>
              <w:bottom w:val="nil"/>
              <w:right w:val="nil"/>
            </w:tcBorders>
            <w:shd w:val="clear" w:color="000000" w:fill="FFFFFF"/>
            <w:noWrap/>
            <w:vAlign w:val="bottom"/>
            <w:hideMark/>
          </w:tcPr>
          <w:p w14:paraId="7A563BB1"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w:t>
            </w:r>
          </w:p>
        </w:tc>
        <w:tc>
          <w:tcPr>
            <w:tcW w:w="1820" w:type="dxa"/>
            <w:tcBorders>
              <w:top w:val="nil"/>
              <w:left w:val="nil"/>
              <w:bottom w:val="nil"/>
              <w:right w:val="nil"/>
            </w:tcBorders>
            <w:shd w:val="clear" w:color="000000" w:fill="FFFFFF"/>
            <w:noWrap/>
            <w:vAlign w:val="bottom"/>
            <w:hideMark/>
          </w:tcPr>
          <w:p w14:paraId="593CE312"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0,630</w:t>
            </w:r>
          </w:p>
        </w:tc>
      </w:tr>
      <w:tr w:rsidR="003969E2" w:rsidRPr="00FC3E6E" w14:paraId="44BA6EC1"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2089AAEE"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Trabalhador informal (firma peq.)</w:t>
            </w:r>
          </w:p>
        </w:tc>
        <w:tc>
          <w:tcPr>
            <w:tcW w:w="1220" w:type="dxa"/>
            <w:tcBorders>
              <w:top w:val="nil"/>
              <w:left w:val="nil"/>
              <w:bottom w:val="nil"/>
              <w:right w:val="nil"/>
            </w:tcBorders>
            <w:shd w:val="clear" w:color="000000" w:fill="FFFFFF"/>
            <w:noWrap/>
            <w:vAlign w:val="bottom"/>
            <w:hideMark/>
          </w:tcPr>
          <w:p w14:paraId="5C6F2721"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-0,381</w:t>
            </w:r>
          </w:p>
        </w:tc>
        <w:tc>
          <w:tcPr>
            <w:tcW w:w="1180" w:type="dxa"/>
            <w:tcBorders>
              <w:top w:val="nil"/>
              <w:left w:val="nil"/>
              <w:bottom w:val="nil"/>
              <w:right w:val="nil"/>
            </w:tcBorders>
            <w:shd w:val="clear" w:color="000000" w:fill="FFFFFF"/>
            <w:noWrap/>
            <w:vAlign w:val="bottom"/>
            <w:hideMark/>
          </w:tcPr>
          <w:p w14:paraId="2F3CFF72"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0,001</w:t>
            </w:r>
          </w:p>
        </w:tc>
        <w:tc>
          <w:tcPr>
            <w:tcW w:w="1820" w:type="dxa"/>
            <w:tcBorders>
              <w:top w:val="nil"/>
              <w:left w:val="nil"/>
              <w:bottom w:val="nil"/>
              <w:right w:val="nil"/>
            </w:tcBorders>
            <w:shd w:val="clear" w:color="000000" w:fill="FFFFFF"/>
            <w:noWrap/>
            <w:vAlign w:val="bottom"/>
            <w:hideMark/>
          </w:tcPr>
          <w:p w14:paraId="522085D0"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0,680</w:t>
            </w:r>
          </w:p>
        </w:tc>
      </w:tr>
      <w:tr w:rsidR="003969E2" w:rsidRPr="00FC3E6E" w14:paraId="202686F5" w14:textId="77777777" w:rsidTr="00591C95">
        <w:trPr>
          <w:trHeight w:val="348"/>
          <w:jc w:val="center"/>
        </w:trPr>
        <w:tc>
          <w:tcPr>
            <w:tcW w:w="3780" w:type="dxa"/>
            <w:tcBorders>
              <w:top w:val="nil"/>
              <w:left w:val="nil"/>
              <w:bottom w:val="nil"/>
              <w:right w:val="nil"/>
            </w:tcBorders>
            <w:shd w:val="clear" w:color="000000" w:fill="FFFFFF"/>
            <w:noWrap/>
            <w:vAlign w:val="bottom"/>
            <w:hideMark/>
          </w:tcPr>
          <w:p w14:paraId="3F37B50F"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Trabalhador Formal (demais firmas)</w:t>
            </w:r>
          </w:p>
        </w:tc>
        <w:tc>
          <w:tcPr>
            <w:tcW w:w="1220" w:type="dxa"/>
            <w:tcBorders>
              <w:top w:val="nil"/>
              <w:left w:val="nil"/>
              <w:bottom w:val="nil"/>
              <w:right w:val="nil"/>
            </w:tcBorders>
            <w:shd w:val="clear" w:color="000000" w:fill="FFFFFF"/>
            <w:noWrap/>
            <w:vAlign w:val="bottom"/>
            <w:hideMark/>
          </w:tcPr>
          <w:p w14:paraId="5729DD36"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-0,271</w:t>
            </w:r>
          </w:p>
        </w:tc>
        <w:tc>
          <w:tcPr>
            <w:tcW w:w="1180" w:type="dxa"/>
            <w:tcBorders>
              <w:top w:val="nil"/>
              <w:left w:val="nil"/>
              <w:bottom w:val="nil"/>
              <w:right w:val="nil"/>
            </w:tcBorders>
            <w:shd w:val="clear" w:color="000000" w:fill="FFFFFF"/>
            <w:noWrap/>
            <w:vAlign w:val="bottom"/>
            <w:hideMark/>
          </w:tcPr>
          <w:p w14:paraId="7C183582"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0,000</w:t>
            </w:r>
          </w:p>
        </w:tc>
        <w:tc>
          <w:tcPr>
            <w:tcW w:w="1820" w:type="dxa"/>
            <w:tcBorders>
              <w:top w:val="nil"/>
              <w:left w:val="nil"/>
              <w:bottom w:val="nil"/>
              <w:right w:val="nil"/>
            </w:tcBorders>
            <w:shd w:val="clear" w:color="000000" w:fill="FFFFFF"/>
            <w:noWrap/>
            <w:vAlign w:val="bottom"/>
            <w:hideMark/>
          </w:tcPr>
          <w:p w14:paraId="47C9B4B6"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0,760</w:t>
            </w:r>
          </w:p>
        </w:tc>
      </w:tr>
      <w:tr w:rsidR="003969E2" w:rsidRPr="00FC3E6E" w14:paraId="21272B2A" w14:textId="77777777" w:rsidTr="00591C95">
        <w:trPr>
          <w:trHeight w:val="348"/>
          <w:jc w:val="center"/>
        </w:trPr>
        <w:tc>
          <w:tcPr>
            <w:tcW w:w="3780" w:type="dxa"/>
            <w:tcBorders>
              <w:top w:val="nil"/>
              <w:left w:val="nil"/>
              <w:bottom w:val="double" w:sz="6" w:space="0" w:color="auto"/>
              <w:right w:val="nil"/>
            </w:tcBorders>
            <w:shd w:val="clear" w:color="000000" w:fill="FFFFFF"/>
            <w:noWrap/>
            <w:vAlign w:val="bottom"/>
            <w:hideMark/>
          </w:tcPr>
          <w:p w14:paraId="01141A82" w14:textId="77777777" w:rsidR="00591C95" w:rsidRPr="00726964" w:rsidRDefault="00591C95" w:rsidP="00726964">
            <w:pPr>
              <w:spacing w:after="0" w:line="240" w:lineRule="auto"/>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Trabalhador informal (demais firmas)</w:t>
            </w:r>
          </w:p>
        </w:tc>
        <w:tc>
          <w:tcPr>
            <w:tcW w:w="1220" w:type="dxa"/>
            <w:tcBorders>
              <w:top w:val="nil"/>
              <w:left w:val="nil"/>
              <w:bottom w:val="double" w:sz="6" w:space="0" w:color="auto"/>
              <w:right w:val="nil"/>
            </w:tcBorders>
            <w:shd w:val="clear" w:color="000000" w:fill="FFFFFF"/>
            <w:noWrap/>
            <w:vAlign w:val="bottom"/>
            <w:hideMark/>
          </w:tcPr>
          <w:p w14:paraId="7B4994DC"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-0,580</w:t>
            </w:r>
          </w:p>
        </w:tc>
        <w:tc>
          <w:tcPr>
            <w:tcW w:w="1180" w:type="dxa"/>
            <w:tcBorders>
              <w:top w:val="nil"/>
              <w:left w:val="nil"/>
              <w:bottom w:val="double" w:sz="6" w:space="0" w:color="auto"/>
              <w:right w:val="nil"/>
            </w:tcBorders>
            <w:shd w:val="clear" w:color="000000" w:fill="FFFFFF"/>
            <w:noWrap/>
            <w:vAlign w:val="bottom"/>
            <w:hideMark/>
          </w:tcPr>
          <w:p w14:paraId="50E0BF7F"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0,076</w:t>
            </w:r>
          </w:p>
        </w:tc>
        <w:tc>
          <w:tcPr>
            <w:tcW w:w="1820" w:type="dxa"/>
            <w:tcBorders>
              <w:top w:val="nil"/>
              <w:left w:val="nil"/>
              <w:bottom w:val="double" w:sz="6" w:space="0" w:color="auto"/>
              <w:right w:val="nil"/>
            </w:tcBorders>
            <w:shd w:val="clear" w:color="000000" w:fill="FFFFFF"/>
            <w:noWrap/>
            <w:vAlign w:val="bottom"/>
            <w:hideMark/>
          </w:tcPr>
          <w:p w14:paraId="591F4F04"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0,560</w:t>
            </w:r>
          </w:p>
        </w:tc>
      </w:tr>
      <w:tr w:rsidR="003969E2" w:rsidRPr="00FC3E6E" w14:paraId="1F374D4A" w14:textId="77777777" w:rsidTr="00591C95">
        <w:trPr>
          <w:trHeight w:val="84"/>
          <w:jc w:val="center"/>
        </w:trPr>
        <w:tc>
          <w:tcPr>
            <w:tcW w:w="3780" w:type="dxa"/>
            <w:tcBorders>
              <w:top w:val="nil"/>
              <w:left w:val="nil"/>
              <w:bottom w:val="nil"/>
              <w:right w:val="nil"/>
            </w:tcBorders>
            <w:shd w:val="clear" w:color="000000" w:fill="FFFFFF"/>
            <w:noWrap/>
            <w:vAlign w:val="bottom"/>
            <w:hideMark/>
          </w:tcPr>
          <w:p w14:paraId="76AFB482" w14:textId="77777777" w:rsidR="00591C95" w:rsidRPr="00726964" w:rsidRDefault="00591C95">
            <w:pPr>
              <w:spacing w:after="0" w:line="240" w:lineRule="auto"/>
              <w:rPr>
                <w:rFonts w:ascii="Times New Roman" w:eastAsia="Times New Roman" w:hAnsi="Times New Roman" w:cs="Times New Roman"/>
                <w:sz w:val="24"/>
                <w:szCs w:val="24"/>
                <w:lang w:eastAsia="pt-BR"/>
              </w:rPr>
            </w:pPr>
          </w:p>
        </w:tc>
        <w:tc>
          <w:tcPr>
            <w:tcW w:w="1220" w:type="dxa"/>
            <w:tcBorders>
              <w:top w:val="nil"/>
              <w:left w:val="nil"/>
              <w:bottom w:val="nil"/>
              <w:right w:val="nil"/>
            </w:tcBorders>
            <w:shd w:val="clear" w:color="000000" w:fill="FFFFFF"/>
            <w:noWrap/>
            <w:vAlign w:val="bottom"/>
            <w:hideMark/>
          </w:tcPr>
          <w:p w14:paraId="4DACDFA7"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180" w:type="dxa"/>
            <w:tcBorders>
              <w:top w:val="nil"/>
              <w:left w:val="nil"/>
              <w:bottom w:val="nil"/>
              <w:right w:val="nil"/>
            </w:tcBorders>
            <w:shd w:val="clear" w:color="000000" w:fill="FFFFFF"/>
            <w:noWrap/>
            <w:vAlign w:val="bottom"/>
            <w:hideMark/>
          </w:tcPr>
          <w:p w14:paraId="7C0CF064"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c>
          <w:tcPr>
            <w:tcW w:w="1820" w:type="dxa"/>
            <w:tcBorders>
              <w:top w:val="nil"/>
              <w:left w:val="nil"/>
              <w:bottom w:val="nil"/>
              <w:right w:val="nil"/>
            </w:tcBorders>
            <w:shd w:val="clear" w:color="000000" w:fill="FFFFFF"/>
            <w:noWrap/>
            <w:vAlign w:val="bottom"/>
            <w:hideMark/>
          </w:tcPr>
          <w:p w14:paraId="176F2DA8" w14:textId="77777777" w:rsidR="00591C95" w:rsidRPr="00726964" w:rsidRDefault="00591C95" w:rsidP="00726964">
            <w:pPr>
              <w:spacing w:after="0" w:line="240" w:lineRule="auto"/>
              <w:jc w:val="center"/>
              <w:rPr>
                <w:rFonts w:ascii="Times New Roman" w:eastAsia="Times New Roman" w:hAnsi="Times New Roman" w:cs="Times New Roman"/>
                <w:sz w:val="24"/>
                <w:szCs w:val="24"/>
                <w:lang w:eastAsia="pt-BR"/>
              </w:rPr>
            </w:pPr>
            <w:r w:rsidRPr="00726964">
              <w:rPr>
                <w:rFonts w:ascii="Times New Roman" w:eastAsia="Times New Roman" w:hAnsi="Times New Roman" w:cs="Times New Roman"/>
                <w:sz w:val="24"/>
                <w:szCs w:val="24"/>
                <w:lang w:eastAsia="pt-BR"/>
              </w:rPr>
              <w:t> </w:t>
            </w:r>
          </w:p>
        </w:tc>
      </w:tr>
    </w:tbl>
    <w:p w14:paraId="279CDFC2" w14:textId="77777777" w:rsidR="00591C95" w:rsidRPr="00726964" w:rsidRDefault="00591C95"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Fonte: Elaboração própria a partir dos dados da PME.</w:t>
      </w:r>
    </w:p>
    <w:p w14:paraId="4840E114" w14:textId="77777777" w:rsidR="009D4B5C" w:rsidRPr="00726964" w:rsidRDefault="0094358D"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Em todos os casos </w:t>
      </w:r>
      <w:r w:rsidR="009D4B5C" w:rsidRPr="00726964">
        <w:rPr>
          <w:rFonts w:ascii="Times New Roman" w:hAnsi="Times New Roman" w:cs="Times New Roman"/>
          <w:bCs/>
          <w:sz w:val="24"/>
          <w:szCs w:val="24"/>
        </w:rPr>
        <w:t>os</w:t>
      </w:r>
      <w:r w:rsidRPr="00726964">
        <w:rPr>
          <w:rFonts w:ascii="Times New Roman" w:hAnsi="Times New Roman" w:cs="Times New Roman"/>
          <w:bCs/>
          <w:sz w:val="24"/>
          <w:szCs w:val="24"/>
        </w:rPr>
        <w:t xml:space="preserve"> coeficientes</w:t>
      </w:r>
      <w:r w:rsidR="009D4B5C" w:rsidRPr="00726964">
        <w:rPr>
          <w:rFonts w:ascii="Times New Roman" w:hAnsi="Times New Roman" w:cs="Times New Roman"/>
          <w:bCs/>
          <w:sz w:val="24"/>
          <w:szCs w:val="24"/>
        </w:rPr>
        <w:t xml:space="preserve"> são</w:t>
      </w:r>
      <w:r w:rsidRPr="00726964">
        <w:rPr>
          <w:rFonts w:ascii="Times New Roman" w:hAnsi="Times New Roman" w:cs="Times New Roman"/>
          <w:bCs/>
          <w:sz w:val="24"/>
          <w:szCs w:val="24"/>
        </w:rPr>
        <w:t xml:space="preserve"> </w:t>
      </w:r>
      <w:r w:rsidR="009D4B5C" w:rsidRPr="00726964">
        <w:rPr>
          <w:rFonts w:ascii="Times New Roman" w:hAnsi="Times New Roman" w:cs="Times New Roman"/>
          <w:bCs/>
          <w:sz w:val="24"/>
          <w:szCs w:val="24"/>
        </w:rPr>
        <w:t xml:space="preserve">estatisticamente significativos e </w:t>
      </w:r>
      <w:r w:rsidRPr="00726964">
        <w:rPr>
          <w:rFonts w:ascii="Times New Roman" w:hAnsi="Times New Roman" w:cs="Times New Roman"/>
          <w:bCs/>
          <w:sz w:val="24"/>
          <w:szCs w:val="24"/>
        </w:rPr>
        <w:t xml:space="preserve">negativos e, </w:t>
      </w:r>
      <w:r w:rsidR="009D4B5C" w:rsidRPr="00726964">
        <w:rPr>
          <w:rFonts w:ascii="Times New Roman" w:hAnsi="Times New Roman" w:cs="Times New Roman"/>
          <w:bCs/>
          <w:sz w:val="24"/>
          <w:szCs w:val="24"/>
        </w:rPr>
        <w:t>portanto</w:t>
      </w:r>
      <w:r w:rsidRPr="00726964">
        <w:rPr>
          <w:rFonts w:ascii="Times New Roman" w:hAnsi="Times New Roman" w:cs="Times New Roman"/>
          <w:bCs/>
          <w:sz w:val="24"/>
          <w:szCs w:val="24"/>
        </w:rPr>
        <w:t xml:space="preserve">, </w:t>
      </w:r>
      <w:r w:rsidR="009D4B5C" w:rsidRPr="00726964">
        <w:rPr>
          <w:rFonts w:ascii="Times New Roman" w:hAnsi="Times New Roman" w:cs="Times New Roman"/>
          <w:bCs/>
          <w:sz w:val="24"/>
          <w:szCs w:val="24"/>
        </w:rPr>
        <w:t xml:space="preserve">as </w:t>
      </w:r>
      <w:r w:rsidRPr="00726964">
        <w:rPr>
          <w:rFonts w:ascii="Times New Roman" w:hAnsi="Times New Roman" w:cs="Times New Roman"/>
          <w:bCs/>
          <w:sz w:val="24"/>
          <w:szCs w:val="24"/>
        </w:rPr>
        <w:t>razões de chances de manter o mesmo status inicial depois da introdução da política do MEI</w:t>
      </w:r>
      <w:r w:rsidR="009D4B5C" w:rsidRPr="00726964">
        <w:rPr>
          <w:rFonts w:ascii="Times New Roman" w:hAnsi="Times New Roman" w:cs="Times New Roman"/>
          <w:bCs/>
          <w:sz w:val="24"/>
          <w:szCs w:val="24"/>
        </w:rPr>
        <w:t xml:space="preserve"> são menores do que um</w:t>
      </w:r>
      <w:r w:rsidRPr="00726964">
        <w:rPr>
          <w:rFonts w:ascii="Times New Roman" w:hAnsi="Times New Roman" w:cs="Times New Roman"/>
          <w:bCs/>
          <w:sz w:val="24"/>
          <w:szCs w:val="24"/>
        </w:rPr>
        <w:t>. Por exemplo, a razão de chance de manter a posição de conta-própria que não contribui vis a vis a de migrar para um que contribui é 37% menor no período depois da introdução do MEI. Isto implica num “efeito-</w:t>
      </w:r>
      <w:r w:rsidRPr="00726964">
        <w:rPr>
          <w:rFonts w:ascii="Times New Roman" w:hAnsi="Times New Roman" w:cs="Times New Roman"/>
          <w:bCs/>
          <w:sz w:val="24"/>
          <w:szCs w:val="24"/>
        </w:rPr>
        <w:lastRenderedPageBreak/>
        <w:t xml:space="preserve">formalização”, ou seja, uma chance crescente (pós MEI) de um conta-própria se formalizar, como apontado acima. </w:t>
      </w:r>
    </w:p>
    <w:p w14:paraId="7C07A0AB" w14:textId="77777777" w:rsidR="0094358D" w:rsidRPr="00726964" w:rsidRDefault="0094358D"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Por outro lado, a tabela aponta para a ocorrência de uma redução de tamanho dos empreendimentos, já que há um aumento da chance de se migrar de empresas formais maiores para empresas formais de autônomos.  Por exemplo, a chance relativa de manter status inicial de empregadores formais com 1 a 5 empregados, ou de 5 ou mais empregadores para a de migrar pra autônomos formais são respectivamente 29% e 9% menores após a introdução do MEI. Isto é o que podemos chamar de “efeito-redução de escala”.</w:t>
      </w:r>
    </w:p>
    <w:p w14:paraId="4BABA93F" w14:textId="77777777" w:rsidR="0094358D" w:rsidRPr="00726964" w:rsidRDefault="0094358D"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 Observamos também a ocorrência conjunta de efeitos escala e formalização. A chance relativa de preservar o status de empregadores informais cai após a introdução do MEI vis a vis a chance do indivíduo se tornar um autônomo formal neste interim. A magnitude dessa queda é de 23</w:t>
      </w:r>
      <w:r w:rsidRPr="00726964">
        <w:rPr>
          <w:rFonts w:ascii="Times New Roman" w:hAnsi="Times New Roman" w:cs="Times New Roman"/>
          <w:sz w:val="24"/>
          <w:szCs w:val="24"/>
        </w:rPr>
        <w:t xml:space="preserve">% para os empregadores informais </w:t>
      </w:r>
      <w:r w:rsidRPr="00726964">
        <w:rPr>
          <w:rFonts w:ascii="Times New Roman" w:hAnsi="Times New Roman" w:cs="Times New Roman"/>
          <w:bCs/>
          <w:sz w:val="24"/>
          <w:szCs w:val="24"/>
        </w:rPr>
        <w:t xml:space="preserve">de 1 até 5 empregados, e de 10% para aqueles com mais de 5 empregados. Finalmente, há ainda um aumento das chances de empregados formais e de empregados informais se tornarem conta-próprias formais após a introdução do MEI. No que tange ao primeiro efeito as chances de manutenção de status empregatício formal caem 37% e 24% para aqueles inicialmente em empresas até 5 empregados e naquelas com mais de 5 empregados, respectivamente. Já as chances de empregados informais de empresas com até 5 ou mais de 5 empregados caem 32% e 44%, respectivamente. Este conjunto de resultados sugere </w:t>
      </w:r>
      <w:proofErr w:type="spellStart"/>
      <w:r w:rsidRPr="00726964">
        <w:rPr>
          <w:rFonts w:ascii="Times New Roman" w:hAnsi="Times New Roman" w:cs="Times New Roman"/>
          <w:bCs/>
          <w:sz w:val="24"/>
          <w:szCs w:val="24"/>
        </w:rPr>
        <w:t>des</w:t>
      </w:r>
      <w:proofErr w:type="spellEnd"/>
      <w:r w:rsidRPr="00726964">
        <w:rPr>
          <w:rFonts w:ascii="Times New Roman" w:hAnsi="Times New Roman" w:cs="Times New Roman"/>
          <w:bCs/>
          <w:sz w:val="24"/>
          <w:szCs w:val="24"/>
        </w:rPr>
        <w:t>-assalariamento de cada combinação do binômio formalidade/escala para a condição de trabalhador autônomo formal.</w:t>
      </w:r>
    </w:p>
    <w:p w14:paraId="1388A9BC" w14:textId="77777777" w:rsidR="00DB55FD" w:rsidRPr="00726964" w:rsidRDefault="0094358D"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 xml:space="preserve">Em suma, todas as posições na ocupação consideradas se tornaram estados menos absorventes no que se refere à opção de se tornar um trabalhador autônomo formal. Isso inclui movimentos diversos, não apenas a formalização dos trabalhadores que já eram autônomos, mas também efeitos de redução de escala dos empreendimentos e uma redução relativa do assalariamento da força de trabalho. </w:t>
      </w:r>
    </w:p>
    <w:p w14:paraId="7CE44E96" w14:textId="77777777" w:rsidR="005D7F68" w:rsidRPr="00726964" w:rsidRDefault="00AA1178" w:rsidP="00726964">
      <w:pPr>
        <w:pStyle w:val="Heading1"/>
        <w:spacing w:line="240" w:lineRule="auto"/>
        <w:rPr>
          <w:rFonts w:ascii="Times New Roman" w:hAnsi="Times New Roman" w:cs="Times New Roman"/>
          <w:color w:val="auto"/>
          <w:sz w:val="24"/>
          <w:szCs w:val="24"/>
        </w:rPr>
      </w:pPr>
      <w:r w:rsidRPr="00726964">
        <w:rPr>
          <w:rFonts w:ascii="Times New Roman" w:hAnsi="Times New Roman" w:cs="Times New Roman"/>
          <w:color w:val="auto"/>
          <w:sz w:val="24"/>
          <w:szCs w:val="24"/>
        </w:rPr>
        <w:t xml:space="preserve">6 </w:t>
      </w:r>
      <w:r w:rsidR="005D7F68" w:rsidRPr="00726964">
        <w:rPr>
          <w:rFonts w:ascii="Times New Roman" w:hAnsi="Times New Roman" w:cs="Times New Roman"/>
          <w:color w:val="auto"/>
          <w:sz w:val="24"/>
          <w:szCs w:val="24"/>
        </w:rPr>
        <w:t>Conclusão</w:t>
      </w:r>
    </w:p>
    <w:p w14:paraId="5DA7C0A9" w14:textId="77777777" w:rsidR="00034007" w:rsidRPr="00726964" w:rsidRDefault="00034007" w:rsidP="00726964">
      <w:pPr>
        <w:spacing w:after="0" w:line="240" w:lineRule="auto"/>
        <w:ind w:firstLine="284"/>
        <w:jc w:val="both"/>
        <w:rPr>
          <w:rFonts w:ascii="Times New Roman" w:hAnsi="Times New Roman" w:cs="Times New Roman"/>
          <w:sz w:val="24"/>
          <w:szCs w:val="24"/>
        </w:rPr>
      </w:pPr>
    </w:p>
    <w:p w14:paraId="0796EA17" w14:textId="77777777" w:rsidR="00152031" w:rsidRPr="00726964" w:rsidRDefault="00DB55FD" w:rsidP="00726964">
      <w:pPr>
        <w:spacing w:after="0" w:line="240" w:lineRule="auto"/>
        <w:ind w:firstLine="284"/>
        <w:jc w:val="both"/>
        <w:rPr>
          <w:rFonts w:ascii="Times New Roman" w:hAnsi="Times New Roman" w:cs="Times New Roman"/>
          <w:sz w:val="24"/>
          <w:szCs w:val="24"/>
        </w:rPr>
      </w:pPr>
      <w:r w:rsidRPr="00726964">
        <w:rPr>
          <w:rFonts w:ascii="Times New Roman" w:hAnsi="Times New Roman" w:cs="Times New Roman"/>
          <w:sz w:val="24"/>
          <w:szCs w:val="24"/>
        </w:rPr>
        <w:t xml:space="preserve">Este artigo apresenta uma análise exploratória </w:t>
      </w:r>
      <w:r w:rsidR="00ED12F3" w:rsidRPr="00726964">
        <w:rPr>
          <w:rFonts w:ascii="Times New Roman" w:hAnsi="Times New Roman" w:cs="Times New Roman"/>
          <w:sz w:val="24"/>
          <w:szCs w:val="24"/>
        </w:rPr>
        <w:t xml:space="preserve">dos potenciais impactos da Lei do Empreendedor Individual, introduzida em Julho de 2009. Como destacado ao longo do artigo, o objetivo é </w:t>
      </w:r>
      <w:r w:rsidR="00152031" w:rsidRPr="00726964">
        <w:rPr>
          <w:rFonts w:ascii="Times New Roman" w:hAnsi="Times New Roman" w:cs="Times New Roman"/>
          <w:sz w:val="24"/>
          <w:szCs w:val="24"/>
        </w:rPr>
        <w:t>trazer evidências que contribua</w:t>
      </w:r>
      <w:r w:rsidR="003969E2" w:rsidRPr="00726964">
        <w:rPr>
          <w:rFonts w:ascii="Times New Roman" w:hAnsi="Times New Roman" w:cs="Times New Roman"/>
          <w:sz w:val="24"/>
          <w:szCs w:val="24"/>
        </w:rPr>
        <w:t>m</w:t>
      </w:r>
      <w:r w:rsidR="00152031" w:rsidRPr="00726964">
        <w:rPr>
          <w:rFonts w:ascii="Times New Roman" w:hAnsi="Times New Roman" w:cs="Times New Roman"/>
          <w:sz w:val="24"/>
          <w:szCs w:val="24"/>
        </w:rPr>
        <w:t xml:space="preserve"> para esclarecer, ainda que parcialmente, as seguintes indagações: i) a política do MEI teve êxito em promover o empreendedorismo no Brasil? </w:t>
      </w:r>
      <w:proofErr w:type="spellStart"/>
      <w:r w:rsidR="00152031" w:rsidRPr="00726964">
        <w:rPr>
          <w:rFonts w:ascii="Times New Roman" w:hAnsi="Times New Roman" w:cs="Times New Roman"/>
          <w:sz w:val="24"/>
          <w:szCs w:val="24"/>
        </w:rPr>
        <w:t>ii</w:t>
      </w:r>
      <w:proofErr w:type="spellEnd"/>
      <w:r w:rsidR="00152031" w:rsidRPr="00726964">
        <w:rPr>
          <w:rFonts w:ascii="Times New Roman" w:hAnsi="Times New Roman" w:cs="Times New Roman"/>
          <w:sz w:val="24"/>
          <w:szCs w:val="24"/>
        </w:rPr>
        <w:t xml:space="preserve">) a política do MEI teve êxito em promover a formalização dos empreendedores? Para atingir esses objetivos procedemos de duas formas alternativas. Num primeiro momento coletamos evidências para cada uma das perguntas separadamente, fazendo uso de metodologias específicas para cada pergunta. Num segundo momento faz-se uma análise integrada dessas duas perguntas acompanhando as transições dos indivíduos pelas diferentes situações no mercado de trabalho, inclusive suas ocupações e status de formalização. </w:t>
      </w:r>
    </w:p>
    <w:p w14:paraId="439F2DE7" w14:textId="77777777" w:rsidR="00152031" w:rsidRPr="00726964" w:rsidRDefault="00152031" w:rsidP="00726964">
      <w:pPr>
        <w:spacing w:after="0" w:line="240" w:lineRule="auto"/>
        <w:ind w:firstLine="284"/>
        <w:jc w:val="both"/>
        <w:rPr>
          <w:rFonts w:ascii="Times New Roman" w:hAnsi="Times New Roman" w:cs="Times New Roman"/>
          <w:sz w:val="24"/>
          <w:szCs w:val="24"/>
          <w:u w:val="single"/>
        </w:rPr>
      </w:pPr>
      <w:r w:rsidRPr="00726964">
        <w:rPr>
          <w:rFonts w:ascii="Times New Roman" w:hAnsi="Times New Roman" w:cs="Times New Roman"/>
          <w:sz w:val="24"/>
          <w:szCs w:val="24"/>
        </w:rPr>
        <w:t xml:space="preserve">Nessa análise integrada é possível contribuir também para uma terceira indagação, qual seja: </w:t>
      </w:r>
      <w:proofErr w:type="spellStart"/>
      <w:r w:rsidRPr="00726964">
        <w:rPr>
          <w:rFonts w:ascii="Times New Roman" w:hAnsi="Times New Roman" w:cs="Times New Roman"/>
          <w:sz w:val="24"/>
          <w:szCs w:val="24"/>
        </w:rPr>
        <w:t>iii</w:t>
      </w:r>
      <w:proofErr w:type="spellEnd"/>
      <w:r w:rsidRPr="00726964">
        <w:rPr>
          <w:rFonts w:ascii="Times New Roman" w:hAnsi="Times New Roman" w:cs="Times New Roman"/>
          <w:sz w:val="24"/>
          <w:szCs w:val="24"/>
        </w:rPr>
        <w:t xml:space="preserve">) a política do MEI pode estar sendo usada por empregadores para evitar encargos trabalhistas via substituição de contratos de trabalho com empregados por contratos de prestação de serviços com supostos empreendedores individuais? </w:t>
      </w:r>
    </w:p>
    <w:p w14:paraId="4CB0BD93" w14:textId="77777777" w:rsidR="00152031" w:rsidRPr="00726964" w:rsidRDefault="00152031" w:rsidP="00726964">
      <w:pPr>
        <w:spacing w:line="240" w:lineRule="auto"/>
        <w:ind w:firstLine="284"/>
        <w:jc w:val="both"/>
        <w:rPr>
          <w:rFonts w:ascii="Times New Roman" w:hAnsi="Times New Roman" w:cs="Times New Roman"/>
          <w:bCs/>
          <w:sz w:val="24"/>
          <w:szCs w:val="24"/>
        </w:rPr>
      </w:pPr>
      <w:r w:rsidRPr="00726964">
        <w:rPr>
          <w:rFonts w:ascii="Times New Roman" w:hAnsi="Times New Roman" w:cs="Times New Roman"/>
          <w:sz w:val="24"/>
          <w:szCs w:val="24"/>
        </w:rPr>
        <w:t xml:space="preserve">Os resultados na investigação específica sobre promoção do empreendedorismo sugerem que a política do MEI pode ter tido um efeito de redução de escala para aqueles que já eram empreendedores, mas não há evidências de mudanças no padrão de escolha ocupacional entre ser um micro empreendedor e demais posições na ocupação. Quanto à investigação específica sobre decisão de formalização, os resultados sugerem que a </w:t>
      </w:r>
      <w:r w:rsidRPr="00726964">
        <w:rPr>
          <w:rFonts w:ascii="Times New Roman" w:hAnsi="Times New Roman" w:cs="Times New Roman"/>
          <w:sz w:val="24"/>
          <w:szCs w:val="24"/>
        </w:rPr>
        <w:lastRenderedPageBreak/>
        <w:t xml:space="preserve">política pode ter tido um impacto positivo na decisão dos empreendedores individuais de contribuírem para a previdência. </w:t>
      </w:r>
    </w:p>
    <w:p w14:paraId="33659542" w14:textId="77777777" w:rsidR="00DB55FD" w:rsidRPr="00726964" w:rsidRDefault="00152031" w:rsidP="00726964">
      <w:pPr>
        <w:spacing w:after="0" w:line="240" w:lineRule="auto"/>
        <w:ind w:firstLine="284"/>
        <w:jc w:val="both"/>
        <w:rPr>
          <w:rFonts w:ascii="Times New Roman" w:hAnsi="Times New Roman" w:cs="Times New Roman"/>
          <w:bCs/>
          <w:sz w:val="24"/>
          <w:szCs w:val="24"/>
        </w:rPr>
      </w:pPr>
      <w:r w:rsidRPr="00726964">
        <w:rPr>
          <w:rFonts w:ascii="Times New Roman" w:hAnsi="Times New Roman" w:cs="Times New Roman"/>
          <w:bCs/>
          <w:sz w:val="24"/>
          <w:szCs w:val="24"/>
        </w:rPr>
        <w:t>Finalmente, a análise integrada a partir de fluxos no mercado de trabalho com base nos dados da PME revela que todas as posições na ocupação se tornaram estados menos absorventes quando comparadas à opção de ser um trabalhador autônomo formal. Isso inclui tanto a formalização dos trabalhadores que já eram autônomos, quanto efeitos de redução de escala dos empreendimentos. Além disso, observa-se também uma redução relativa do assalariamento da força de trabalho, em particular na razão de chance de manter um emprego formal.</w:t>
      </w:r>
    </w:p>
    <w:p w14:paraId="5B1BCB2F" w14:textId="77777777" w:rsidR="00DB55FD" w:rsidRPr="00726964" w:rsidRDefault="00DB55FD" w:rsidP="00726964">
      <w:pPr>
        <w:spacing w:after="0" w:line="240" w:lineRule="auto"/>
        <w:jc w:val="both"/>
        <w:rPr>
          <w:rFonts w:ascii="Times New Roman" w:hAnsi="Times New Roman" w:cs="Times New Roman"/>
          <w:bCs/>
          <w:sz w:val="24"/>
          <w:szCs w:val="24"/>
        </w:rPr>
      </w:pPr>
      <w:r w:rsidRPr="00726964">
        <w:rPr>
          <w:rFonts w:ascii="Times New Roman" w:hAnsi="Times New Roman" w:cs="Times New Roman"/>
          <w:bCs/>
          <w:sz w:val="24"/>
          <w:szCs w:val="24"/>
        </w:rPr>
        <w:t xml:space="preserve">Esse </w:t>
      </w:r>
      <w:r w:rsidR="000B2063" w:rsidRPr="00726964">
        <w:rPr>
          <w:rFonts w:ascii="Times New Roman" w:hAnsi="Times New Roman" w:cs="Times New Roman"/>
          <w:bCs/>
          <w:sz w:val="24"/>
          <w:szCs w:val="24"/>
        </w:rPr>
        <w:t xml:space="preserve">último </w:t>
      </w:r>
      <w:r w:rsidRPr="00726964">
        <w:rPr>
          <w:rFonts w:ascii="Times New Roman" w:hAnsi="Times New Roman" w:cs="Times New Roman"/>
          <w:bCs/>
          <w:sz w:val="24"/>
          <w:szCs w:val="24"/>
        </w:rPr>
        <w:t>resultado é compatível com a hipótese de algumas empresas (em particular as menores) estarem usando o MEI para trocar uma relação de trabalho assalariado por uma de prestação de serviço. Não temos como comprovar isso visto que na PME não há como checar se a transição de empregado para autônomo ocorreu sem que houvesse uma mudança no local de trabalho do indivíduo. Os demais movimentos que também envolvem aumento relativo na razão de chance de empregados transitarem para a categoria de autônomos contribuintes envolvem empregados que tinham vínculos informais. Por um lado esses movimentos contribuem para uma redução da informalidade, mas por outro também podem ter como motivação a substituição de uma relação de trabalho assalariado por uma de prestação de serviço.</w:t>
      </w:r>
    </w:p>
    <w:p w14:paraId="544EAB7B" w14:textId="77777777" w:rsidR="00DB55FD" w:rsidRPr="00726964" w:rsidRDefault="00DB55FD" w:rsidP="00726964">
      <w:pPr>
        <w:spacing w:line="240" w:lineRule="auto"/>
        <w:rPr>
          <w:rFonts w:ascii="Times New Roman" w:hAnsi="Times New Roman" w:cs="Times New Roman"/>
          <w:bCs/>
          <w:sz w:val="24"/>
          <w:szCs w:val="24"/>
        </w:rPr>
      </w:pPr>
    </w:p>
    <w:p w14:paraId="69156C9E" w14:textId="77777777" w:rsidR="009F41AB" w:rsidRPr="00726964" w:rsidRDefault="00394A31" w:rsidP="00726964">
      <w:pPr>
        <w:spacing w:line="240" w:lineRule="auto"/>
        <w:rPr>
          <w:rFonts w:ascii="Times New Roman" w:hAnsi="Times New Roman" w:cs="Times New Roman"/>
          <w:b/>
          <w:sz w:val="24"/>
          <w:szCs w:val="24"/>
          <w:lang w:val="en-US"/>
        </w:rPr>
      </w:pPr>
      <w:r w:rsidRPr="00726964">
        <w:rPr>
          <w:rFonts w:ascii="Times New Roman" w:hAnsi="Times New Roman" w:cs="Times New Roman"/>
          <w:b/>
          <w:sz w:val="24"/>
          <w:szCs w:val="24"/>
          <w:lang w:val="en-US"/>
        </w:rPr>
        <w:t xml:space="preserve">7 </w:t>
      </w:r>
      <w:proofErr w:type="spellStart"/>
      <w:r w:rsidRPr="00726964">
        <w:rPr>
          <w:rFonts w:ascii="Times New Roman" w:hAnsi="Times New Roman" w:cs="Times New Roman"/>
          <w:b/>
          <w:sz w:val="24"/>
          <w:szCs w:val="24"/>
          <w:lang w:val="en-US"/>
        </w:rPr>
        <w:t>Bibliografia</w:t>
      </w:r>
      <w:proofErr w:type="spellEnd"/>
    </w:p>
    <w:p w14:paraId="75F4C88E" w14:textId="77777777" w:rsidR="00394A31" w:rsidRPr="00726964" w:rsidRDefault="00394A31" w:rsidP="00726964">
      <w:pPr>
        <w:spacing w:after="0" w:line="240" w:lineRule="auto"/>
        <w:ind w:left="567" w:hanging="567"/>
        <w:rPr>
          <w:rStyle w:val="googqs-tidbit"/>
          <w:rFonts w:ascii="Times New Roman" w:hAnsi="Times New Roman" w:cs="Times New Roman"/>
          <w:iCs/>
          <w:sz w:val="24"/>
          <w:szCs w:val="24"/>
          <w:lang w:val="en-US"/>
        </w:rPr>
      </w:pPr>
      <w:proofErr w:type="spellStart"/>
      <w:proofErr w:type="gramStart"/>
      <w:r w:rsidRPr="00726964">
        <w:rPr>
          <w:rFonts w:ascii="Times New Roman" w:hAnsi="Times New Roman" w:cs="Times New Roman"/>
          <w:sz w:val="24"/>
          <w:szCs w:val="24"/>
          <w:lang w:val="en-US"/>
        </w:rPr>
        <w:t>Assunção</w:t>
      </w:r>
      <w:proofErr w:type="spellEnd"/>
      <w:r w:rsidR="00CC4E81" w:rsidRPr="00726964">
        <w:rPr>
          <w:rFonts w:ascii="Times New Roman" w:hAnsi="Times New Roman" w:cs="Times New Roman"/>
          <w:sz w:val="24"/>
          <w:szCs w:val="24"/>
          <w:lang w:val="en-US"/>
        </w:rPr>
        <w:t>, J.</w:t>
      </w:r>
      <w:r w:rsidRPr="00726964">
        <w:rPr>
          <w:rFonts w:ascii="Times New Roman" w:hAnsi="Times New Roman" w:cs="Times New Roman"/>
          <w:sz w:val="24"/>
          <w:szCs w:val="24"/>
          <w:lang w:val="en-US"/>
        </w:rPr>
        <w:t xml:space="preserve"> e Monteiro</w:t>
      </w:r>
      <w:r w:rsidR="00CC4E81" w:rsidRPr="00726964">
        <w:rPr>
          <w:rFonts w:ascii="Times New Roman" w:hAnsi="Times New Roman" w:cs="Times New Roman"/>
          <w:sz w:val="24"/>
          <w:szCs w:val="24"/>
          <w:lang w:val="en-US"/>
        </w:rPr>
        <w:t>, J.</w:t>
      </w:r>
      <w:r w:rsidRPr="00726964">
        <w:rPr>
          <w:rFonts w:ascii="Times New Roman" w:hAnsi="Times New Roman" w:cs="Times New Roman"/>
          <w:sz w:val="24"/>
          <w:szCs w:val="24"/>
          <w:lang w:val="en-US"/>
        </w:rPr>
        <w:t xml:space="preserve"> (2012)</w:t>
      </w:r>
      <w:r w:rsidR="00CC4E81" w:rsidRPr="00726964">
        <w:rPr>
          <w:rFonts w:ascii="Times New Roman" w:hAnsi="Times New Roman" w:cs="Times New Roman"/>
          <w:sz w:val="24"/>
          <w:szCs w:val="24"/>
          <w:lang w:val="en-US"/>
        </w:rPr>
        <w:t xml:space="preserve"> </w:t>
      </w:r>
      <w:r w:rsidR="00CC4E81" w:rsidRPr="00726964">
        <w:rPr>
          <w:rStyle w:val="googqs-tidbit"/>
          <w:rFonts w:ascii="Times New Roman" w:hAnsi="Times New Roman" w:cs="Times New Roman"/>
          <w:iCs/>
          <w:sz w:val="24"/>
          <w:szCs w:val="24"/>
          <w:lang w:val="en-US"/>
        </w:rPr>
        <w:t>Coming out of the shadows?</w:t>
      </w:r>
      <w:proofErr w:type="gramEnd"/>
      <w:r w:rsidR="00CC4E81" w:rsidRPr="00726964">
        <w:rPr>
          <w:rStyle w:val="Emphasis"/>
          <w:rFonts w:ascii="Times New Roman" w:hAnsi="Times New Roman" w:cs="Times New Roman"/>
          <w:sz w:val="24"/>
          <w:szCs w:val="24"/>
          <w:lang w:val="en-US"/>
        </w:rPr>
        <w:t xml:space="preserve"> Estimating the impact of bureaucracy simplification and tax cut on formality </w:t>
      </w:r>
      <w:r w:rsidR="00CC4E81" w:rsidRPr="00726964">
        <w:rPr>
          <w:rStyle w:val="googqs-tidbit"/>
          <w:rFonts w:ascii="Times New Roman" w:hAnsi="Times New Roman" w:cs="Times New Roman"/>
          <w:iCs/>
          <w:sz w:val="24"/>
          <w:szCs w:val="24"/>
          <w:lang w:val="en-US"/>
        </w:rPr>
        <w:t>in Brazilian microenterprises</w:t>
      </w:r>
      <w:r w:rsidR="00052E70" w:rsidRPr="00726964">
        <w:rPr>
          <w:rStyle w:val="googqs-tidbit"/>
          <w:rFonts w:ascii="Times New Roman" w:hAnsi="Times New Roman" w:cs="Times New Roman"/>
          <w:iCs/>
          <w:sz w:val="24"/>
          <w:szCs w:val="24"/>
          <w:lang w:val="en-US"/>
        </w:rPr>
        <w:t xml:space="preserve">. </w:t>
      </w:r>
      <w:proofErr w:type="gramStart"/>
      <w:r w:rsidR="00052E70" w:rsidRPr="00726964">
        <w:rPr>
          <w:rStyle w:val="googqs-tidbit"/>
          <w:rFonts w:ascii="Times New Roman" w:hAnsi="Times New Roman" w:cs="Times New Roman"/>
          <w:iCs/>
          <w:sz w:val="24"/>
          <w:szCs w:val="24"/>
          <w:lang w:val="en-US"/>
        </w:rPr>
        <w:t>Journal of Development Economics, v.99, pp. 105-15.</w:t>
      </w:r>
      <w:proofErr w:type="gramEnd"/>
    </w:p>
    <w:p w14:paraId="4ABEE3A6" w14:textId="77777777" w:rsidR="00D235F5" w:rsidRPr="00726964" w:rsidRDefault="00D235F5" w:rsidP="00726964">
      <w:pPr>
        <w:spacing w:after="0" w:line="240" w:lineRule="auto"/>
        <w:ind w:left="567" w:hanging="567"/>
        <w:rPr>
          <w:rFonts w:ascii="Times New Roman" w:hAnsi="Times New Roman" w:cs="Times New Roman"/>
          <w:sz w:val="24"/>
          <w:szCs w:val="24"/>
          <w:lang w:val="en-US"/>
        </w:rPr>
      </w:pPr>
      <w:r w:rsidRPr="00726964">
        <w:rPr>
          <w:rFonts w:ascii="Times New Roman" w:hAnsi="Times New Roman" w:cs="Times New Roman"/>
          <w:sz w:val="24"/>
          <w:szCs w:val="24"/>
          <w:lang w:val="en-US"/>
        </w:rPr>
        <w:t>Bruhn</w:t>
      </w:r>
      <w:proofErr w:type="gramStart"/>
      <w:r w:rsidRPr="00726964">
        <w:rPr>
          <w:rFonts w:ascii="Times New Roman" w:hAnsi="Times New Roman" w:cs="Times New Roman"/>
          <w:sz w:val="24"/>
          <w:szCs w:val="24"/>
          <w:lang w:val="en-US"/>
        </w:rPr>
        <w:t>,  M</w:t>
      </w:r>
      <w:proofErr w:type="gramEnd"/>
      <w:r w:rsidRPr="00726964">
        <w:rPr>
          <w:rFonts w:ascii="Times New Roman" w:hAnsi="Times New Roman" w:cs="Times New Roman"/>
          <w:sz w:val="24"/>
          <w:szCs w:val="24"/>
          <w:lang w:val="en-US"/>
        </w:rPr>
        <w:t xml:space="preserve">. (2011).   License </w:t>
      </w:r>
      <w:proofErr w:type="gramStart"/>
      <w:r w:rsidRPr="00726964">
        <w:rPr>
          <w:rFonts w:ascii="Times New Roman" w:hAnsi="Times New Roman" w:cs="Times New Roman"/>
          <w:sz w:val="24"/>
          <w:szCs w:val="24"/>
          <w:lang w:val="en-US"/>
        </w:rPr>
        <w:t>to  sell</w:t>
      </w:r>
      <w:proofErr w:type="gramEnd"/>
      <w:r w:rsidRPr="00726964">
        <w:rPr>
          <w:rFonts w:ascii="Times New Roman" w:hAnsi="Times New Roman" w:cs="Times New Roman"/>
          <w:sz w:val="24"/>
          <w:szCs w:val="24"/>
          <w:lang w:val="en-US"/>
        </w:rPr>
        <w:t xml:space="preserve">:  The  effect of business  registration reform  on entrepreneurial activity  in  </w:t>
      </w:r>
      <w:proofErr w:type="spellStart"/>
      <w:r w:rsidRPr="00726964">
        <w:rPr>
          <w:rFonts w:ascii="Times New Roman" w:hAnsi="Times New Roman" w:cs="Times New Roman"/>
          <w:sz w:val="24"/>
          <w:szCs w:val="24"/>
          <w:lang w:val="en-US"/>
        </w:rPr>
        <w:t>mexico</w:t>
      </w:r>
      <w:proofErr w:type="spellEnd"/>
      <w:r w:rsidRPr="00726964">
        <w:rPr>
          <w:rFonts w:ascii="Times New Roman" w:hAnsi="Times New Roman" w:cs="Times New Roman"/>
          <w:sz w:val="24"/>
          <w:szCs w:val="24"/>
          <w:lang w:val="en-US"/>
        </w:rPr>
        <w:t xml:space="preserve">.   Review of </w:t>
      </w:r>
      <w:proofErr w:type="gramStart"/>
      <w:r w:rsidRPr="00726964">
        <w:rPr>
          <w:rFonts w:ascii="Times New Roman" w:hAnsi="Times New Roman" w:cs="Times New Roman"/>
          <w:sz w:val="24"/>
          <w:szCs w:val="24"/>
          <w:lang w:val="en-US"/>
        </w:rPr>
        <w:t>Economics  and</w:t>
      </w:r>
      <w:proofErr w:type="gramEnd"/>
      <w:r w:rsidRPr="00726964">
        <w:rPr>
          <w:rFonts w:ascii="Times New Roman" w:hAnsi="Times New Roman" w:cs="Times New Roman"/>
          <w:sz w:val="24"/>
          <w:szCs w:val="24"/>
          <w:lang w:val="en-US"/>
        </w:rPr>
        <w:t xml:space="preserve">  Statistics   93 (1), 382–386.</w:t>
      </w:r>
    </w:p>
    <w:p w14:paraId="18303F15" w14:textId="77777777" w:rsidR="00394A31" w:rsidRPr="00726964" w:rsidRDefault="00394A31" w:rsidP="00726964">
      <w:pPr>
        <w:spacing w:after="0" w:line="240" w:lineRule="auto"/>
        <w:ind w:left="567" w:hanging="567"/>
        <w:rPr>
          <w:rFonts w:ascii="Times New Roman" w:hAnsi="Times New Roman" w:cs="Times New Roman"/>
          <w:sz w:val="24"/>
          <w:szCs w:val="24"/>
        </w:rPr>
      </w:pPr>
      <w:r w:rsidRPr="00726964">
        <w:rPr>
          <w:rFonts w:ascii="Times New Roman" w:hAnsi="Times New Roman" w:cs="Times New Roman"/>
          <w:sz w:val="24"/>
          <w:szCs w:val="24"/>
          <w:lang w:val="en-US"/>
        </w:rPr>
        <w:t>Cho</w:t>
      </w:r>
      <w:r w:rsidR="0041005D" w:rsidRPr="00726964">
        <w:rPr>
          <w:rFonts w:ascii="Times New Roman" w:hAnsi="Times New Roman" w:cs="Times New Roman"/>
          <w:sz w:val="24"/>
          <w:szCs w:val="24"/>
          <w:lang w:val="en-US"/>
        </w:rPr>
        <w:t>, Y.</w:t>
      </w:r>
      <w:r w:rsidRPr="00726964">
        <w:rPr>
          <w:rFonts w:ascii="Times New Roman" w:hAnsi="Times New Roman" w:cs="Times New Roman"/>
          <w:sz w:val="24"/>
          <w:szCs w:val="24"/>
          <w:lang w:val="en-US"/>
        </w:rPr>
        <w:t xml:space="preserve"> e </w:t>
      </w:r>
      <w:proofErr w:type="spellStart"/>
      <w:r w:rsidRPr="00726964">
        <w:rPr>
          <w:rFonts w:ascii="Times New Roman" w:hAnsi="Times New Roman" w:cs="Times New Roman"/>
          <w:sz w:val="24"/>
          <w:szCs w:val="24"/>
          <w:lang w:val="en-US"/>
        </w:rPr>
        <w:t>Honorati</w:t>
      </w:r>
      <w:proofErr w:type="spellEnd"/>
      <w:r w:rsidR="0041005D" w:rsidRPr="00726964">
        <w:rPr>
          <w:rFonts w:ascii="Times New Roman" w:hAnsi="Times New Roman" w:cs="Times New Roman"/>
          <w:sz w:val="24"/>
          <w:szCs w:val="24"/>
          <w:lang w:val="en-US"/>
        </w:rPr>
        <w:t>, M.</w:t>
      </w:r>
      <w:r w:rsidRPr="00726964">
        <w:rPr>
          <w:rFonts w:ascii="Times New Roman" w:hAnsi="Times New Roman" w:cs="Times New Roman"/>
          <w:sz w:val="24"/>
          <w:szCs w:val="24"/>
          <w:lang w:val="en-US"/>
        </w:rPr>
        <w:t xml:space="preserve"> (2013)</w:t>
      </w:r>
      <w:r w:rsidR="0041005D" w:rsidRPr="00726964">
        <w:rPr>
          <w:rFonts w:ascii="Times New Roman" w:hAnsi="Times New Roman" w:cs="Times New Roman"/>
          <w:sz w:val="24"/>
          <w:szCs w:val="24"/>
          <w:lang w:val="en-US"/>
        </w:rPr>
        <w:t xml:space="preserve"> Entrepreneurship Programs in Developing Countries: a Meta Regression Analysis. </w:t>
      </w:r>
      <w:r w:rsidR="0041005D" w:rsidRPr="00726964">
        <w:rPr>
          <w:rFonts w:ascii="Times New Roman" w:hAnsi="Times New Roman" w:cs="Times New Roman"/>
          <w:sz w:val="24"/>
          <w:szCs w:val="24"/>
        </w:rPr>
        <w:t xml:space="preserve">IZA </w:t>
      </w:r>
      <w:proofErr w:type="spellStart"/>
      <w:r w:rsidR="0041005D" w:rsidRPr="00726964">
        <w:rPr>
          <w:rFonts w:ascii="Times New Roman" w:hAnsi="Times New Roman" w:cs="Times New Roman"/>
          <w:sz w:val="24"/>
          <w:szCs w:val="24"/>
        </w:rPr>
        <w:t>Discussion</w:t>
      </w:r>
      <w:proofErr w:type="spellEnd"/>
      <w:r w:rsidR="0041005D" w:rsidRPr="00726964">
        <w:rPr>
          <w:rFonts w:ascii="Times New Roman" w:hAnsi="Times New Roman" w:cs="Times New Roman"/>
          <w:sz w:val="24"/>
          <w:szCs w:val="24"/>
        </w:rPr>
        <w:t xml:space="preserve"> </w:t>
      </w:r>
      <w:proofErr w:type="spellStart"/>
      <w:r w:rsidR="0041005D" w:rsidRPr="00726964">
        <w:rPr>
          <w:rFonts w:ascii="Times New Roman" w:hAnsi="Times New Roman" w:cs="Times New Roman"/>
          <w:sz w:val="24"/>
          <w:szCs w:val="24"/>
        </w:rPr>
        <w:t>Paper</w:t>
      </w:r>
      <w:proofErr w:type="spellEnd"/>
      <w:r w:rsidR="0041005D" w:rsidRPr="00726964">
        <w:rPr>
          <w:rFonts w:ascii="Times New Roman" w:hAnsi="Times New Roman" w:cs="Times New Roman"/>
          <w:sz w:val="24"/>
          <w:szCs w:val="24"/>
        </w:rPr>
        <w:t xml:space="preserve"> n. 7333.</w:t>
      </w:r>
    </w:p>
    <w:p w14:paraId="0DF0D210" w14:textId="77777777" w:rsidR="00394A31" w:rsidRPr="00726964" w:rsidRDefault="00394A31" w:rsidP="00726964">
      <w:pPr>
        <w:spacing w:after="0" w:line="240" w:lineRule="auto"/>
        <w:ind w:left="567" w:hanging="567"/>
        <w:rPr>
          <w:rFonts w:ascii="Times New Roman" w:hAnsi="Times New Roman" w:cs="Times New Roman"/>
          <w:sz w:val="24"/>
          <w:szCs w:val="24"/>
        </w:rPr>
      </w:pPr>
      <w:r w:rsidRPr="00726964">
        <w:rPr>
          <w:rFonts w:ascii="Times New Roman" w:hAnsi="Times New Roman" w:cs="Times New Roman"/>
          <w:sz w:val="24"/>
          <w:szCs w:val="24"/>
        </w:rPr>
        <w:t>Corseuil,</w:t>
      </w:r>
      <w:r w:rsidR="005B29ED" w:rsidRPr="00726964">
        <w:rPr>
          <w:rFonts w:ascii="Times New Roman" w:hAnsi="Times New Roman" w:cs="Times New Roman"/>
          <w:sz w:val="24"/>
          <w:szCs w:val="24"/>
        </w:rPr>
        <w:t xml:space="preserve"> C. H.;</w:t>
      </w:r>
      <w:r w:rsidRPr="00726964">
        <w:rPr>
          <w:rFonts w:ascii="Times New Roman" w:hAnsi="Times New Roman" w:cs="Times New Roman"/>
          <w:sz w:val="24"/>
          <w:szCs w:val="24"/>
        </w:rPr>
        <w:t xml:space="preserve"> Reis</w:t>
      </w:r>
      <w:r w:rsidR="005B29ED" w:rsidRPr="00726964">
        <w:rPr>
          <w:rFonts w:ascii="Times New Roman" w:hAnsi="Times New Roman" w:cs="Times New Roman"/>
          <w:sz w:val="24"/>
          <w:szCs w:val="24"/>
        </w:rPr>
        <w:t>, M.</w:t>
      </w:r>
      <w:r w:rsidRPr="00726964">
        <w:rPr>
          <w:rFonts w:ascii="Times New Roman" w:hAnsi="Times New Roman" w:cs="Times New Roman"/>
          <w:sz w:val="24"/>
          <w:szCs w:val="24"/>
        </w:rPr>
        <w:t xml:space="preserve"> e Brito</w:t>
      </w:r>
      <w:r w:rsidR="005B29ED" w:rsidRPr="00726964">
        <w:rPr>
          <w:rFonts w:ascii="Times New Roman" w:hAnsi="Times New Roman" w:cs="Times New Roman"/>
          <w:sz w:val="24"/>
          <w:szCs w:val="24"/>
        </w:rPr>
        <w:t>, A.</w:t>
      </w:r>
      <w:r w:rsidRPr="00726964">
        <w:rPr>
          <w:rFonts w:ascii="Times New Roman" w:hAnsi="Times New Roman" w:cs="Times New Roman"/>
          <w:sz w:val="24"/>
          <w:szCs w:val="24"/>
        </w:rPr>
        <w:t xml:space="preserve"> (2013)</w:t>
      </w:r>
      <w:r w:rsidR="005B29ED" w:rsidRPr="00726964">
        <w:rPr>
          <w:rFonts w:ascii="Times New Roman" w:hAnsi="Times New Roman" w:cs="Times New Roman"/>
          <w:sz w:val="24"/>
          <w:szCs w:val="24"/>
        </w:rPr>
        <w:t xml:space="preserve"> Critérios de classificação para ocupação informal: consequências para a caracterização do setor informal e para a análise de bem-estar no Brasil</w:t>
      </w:r>
      <w:r w:rsidR="00CC4E81" w:rsidRPr="00726964">
        <w:rPr>
          <w:rFonts w:ascii="Times New Roman" w:hAnsi="Times New Roman" w:cs="Times New Roman"/>
          <w:sz w:val="24"/>
          <w:szCs w:val="24"/>
        </w:rPr>
        <w:t xml:space="preserve"> (</w:t>
      </w:r>
      <w:proofErr w:type="spellStart"/>
      <w:r w:rsidR="00CC4E81" w:rsidRPr="00726964">
        <w:rPr>
          <w:rFonts w:ascii="Times New Roman" w:hAnsi="Times New Roman" w:cs="Times New Roman"/>
          <w:sz w:val="24"/>
          <w:szCs w:val="24"/>
        </w:rPr>
        <w:t>mimeo</w:t>
      </w:r>
      <w:proofErr w:type="spellEnd"/>
      <w:r w:rsidR="00CC4E81" w:rsidRPr="00726964">
        <w:rPr>
          <w:rFonts w:ascii="Times New Roman" w:hAnsi="Times New Roman" w:cs="Times New Roman"/>
          <w:sz w:val="24"/>
          <w:szCs w:val="24"/>
        </w:rPr>
        <w:t>)</w:t>
      </w:r>
      <w:r w:rsidR="00D235F5" w:rsidRPr="00726964">
        <w:rPr>
          <w:rFonts w:ascii="Times New Roman" w:hAnsi="Times New Roman" w:cs="Times New Roman"/>
          <w:sz w:val="24"/>
          <w:szCs w:val="24"/>
        </w:rPr>
        <w:t>.</w:t>
      </w:r>
    </w:p>
    <w:p w14:paraId="6AB76396" w14:textId="77777777" w:rsidR="00D235F5" w:rsidRPr="00726964" w:rsidRDefault="00D235F5" w:rsidP="00726964">
      <w:pPr>
        <w:spacing w:after="0" w:line="240" w:lineRule="auto"/>
        <w:ind w:left="567" w:hanging="567"/>
        <w:rPr>
          <w:rFonts w:ascii="Times New Roman" w:hAnsi="Times New Roman" w:cs="Times New Roman"/>
          <w:sz w:val="24"/>
          <w:szCs w:val="24"/>
          <w:lang w:val="en-US"/>
        </w:rPr>
      </w:pPr>
      <w:proofErr w:type="gramStart"/>
      <w:r w:rsidRPr="00726964">
        <w:rPr>
          <w:rFonts w:ascii="Times New Roman" w:hAnsi="Times New Roman" w:cs="Times New Roman"/>
          <w:sz w:val="24"/>
          <w:szCs w:val="24"/>
          <w:lang w:val="en-US"/>
        </w:rPr>
        <w:t>de</w:t>
      </w:r>
      <w:proofErr w:type="gramEnd"/>
      <w:r w:rsidRPr="00726964">
        <w:rPr>
          <w:rFonts w:ascii="Times New Roman" w:hAnsi="Times New Roman" w:cs="Times New Roman"/>
          <w:sz w:val="24"/>
          <w:szCs w:val="24"/>
          <w:lang w:val="en-US"/>
        </w:rPr>
        <w:t xml:space="preserve"> Mel, S., D. McKenzie, and C. Woodruff (2012). The demand for, and consequences of, </w:t>
      </w:r>
      <w:proofErr w:type="gramStart"/>
      <w:r w:rsidRPr="00726964">
        <w:rPr>
          <w:rFonts w:ascii="Times New Roman" w:hAnsi="Times New Roman" w:cs="Times New Roman"/>
          <w:sz w:val="24"/>
          <w:szCs w:val="24"/>
          <w:lang w:val="en-US"/>
        </w:rPr>
        <w:t>formalization  among</w:t>
      </w:r>
      <w:proofErr w:type="gramEnd"/>
      <w:r w:rsidRPr="00726964">
        <w:rPr>
          <w:rFonts w:ascii="Times New Roman" w:hAnsi="Times New Roman" w:cs="Times New Roman"/>
          <w:sz w:val="24"/>
          <w:szCs w:val="24"/>
          <w:lang w:val="en-US"/>
        </w:rPr>
        <w:t xml:space="preserve"> informal  firms in </w:t>
      </w:r>
      <w:proofErr w:type="spellStart"/>
      <w:r w:rsidRPr="00726964">
        <w:rPr>
          <w:rFonts w:ascii="Times New Roman" w:hAnsi="Times New Roman" w:cs="Times New Roman"/>
          <w:sz w:val="24"/>
          <w:szCs w:val="24"/>
          <w:lang w:val="en-US"/>
        </w:rPr>
        <w:t>sri</w:t>
      </w:r>
      <w:proofErr w:type="spellEnd"/>
      <w:r w:rsidRPr="00726964">
        <w:rPr>
          <w:rFonts w:ascii="Times New Roman" w:hAnsi="Times New Roman" w:cs="Times New Roman"/>
          <w:sz w:val="24"/>
          <w:szCs w:val="24"/>
          <w:lang w:val="en-US"/>
        </w:rPr>
        <w:t xml:space="preserve"> lank.  </w:t>
      </w:r>
      <w:proofErr w:type="gramStart"/>
      <w:r w:rsidRPr="00726964">
        <w:rPr>
          <w:rFonts w:ascii="Times New Roman" w:hAnsi="Times New Roman" w:cs="Times New Roman"/>
          <w:sz w:val="24"/>
          <w:szCs w:val="24"/>
          <w:lang w:val="en-US"/>
        </w:rPr>
        <w:t>World  Bank</w:t>
      </w:r>
      <w:proofErr w:type="gramEnd"/>
      <w:r w:rsidRPr="00726964">
        <w:rPr>
          <w:rFonts w:ascii="Times New Roman" w:hAnsi="Times New Roman" w:cs="Times New Roman"/>
          <w:sz w:val="24"/>
          <w:szCs w:val="24"/>
          <w:lang w:val="en-US"/>
        </w:rPr>
        <w:t xml:space="preserve">  Policy Research Working Paper  N.5991.</w:t>
      </w:r>
    </w:p>
    <w:p w14:paraId="18745F0A" w14:textId="77777777" w:rsidR="00D235F5" w:rsidRPr="00726964" w:rsidRDefault="00D235F5" w:rsidP="00726964">
      <w:pPr>
        <w:spacing w:after="0" w:line="240" w:lineRule="auto"/>
        <w:ind w:left="567" w:hanging="567"/>
        <w:rPr>
          <w:rFonts w:ascii="Times New Roman" w:hAnsi="Times New Roman" w:cs="Times New Roman"/>
          <w:sz w:val="24"/>
          <w:szCs w:val="24"/>
          <w:lang w:val="en-US"/>
        </w:rPr>
      </w:pPr>
      <w:proofErr w:type="spellStart"/>
      <w:r w:rsidRPr="00726964">
        <w:rPr>
          <w:rFonts w:ascii="Times New Roman" w:hAnsi="Times New Roman" w:cs="Times New Roman"/>
          <w:sz w:val="24"/>
          <w:szCs w:val="24"/>
          <w:lang w:val="en-US"/>
        </w:rPr>
        <w:t>Fajnzylber</w:t>
      </w:r>
      <w:proofErr w:type="spellEnd"/>
      <w:r w:rsidRPr="00726964">
        <w:rPr>
          <w:rFonts w:ascii="Times New Roman" w:hAnsi="Times New Roman" w:cs="Times New Roman"/>
          <w:sz w:val="24"/>
          <w:szCs w:val="24"/>
          <w:lang w:val="en-US"/>
        </w:rPr>
        <w:t>, P.</w:t>
      </w:r>
      <w:proofErr w:type="gramStart"/>
      <w:r w:rsidRPr="00726964">
        <w:rPr>
          <w:rFonts w:ascii="Times New Roman" w:hAnsi="Times New Roman" w:cs="Times New Roman"/>
          <w:sz w:val="24"/>
          <w:szCs w:val="24"/>
          <w:lang w:val="en-US"/>
        </w:rPr>
        <w:t>,  W</w:t>
      </w:r>
      <w:proofErr w:type="gramEnd"/>
      <w:r w:rsidRPr="00726964">
        <w:rPr>
          <w:rFonts w:ascii="Times New Roman" w:hAnsi="Times New Roman" w:cs="Times New Roman"/>
          <w:sz w:val="24"/>
          <w:szCs w:val="24"/>
          <w:lang w:val="en-US"/>
        </w:rPr>
        <w:t>.  F.  Maloney</w:t>
      </w:r>
      <w:proofErr w:type="gramStart"/>
      <w:r w:rsidRPr="00726964">
        <w:rPr>
          <w:rFonts w:ascii="Times New Roman" w:hAnsi="Times New Roman" w:cs="Times New Roman"/>
          <w:sz w:val="24"/>
          <w:szCs w:val="24"/>
          <w:lang w:val="en-US"/>
        </w:rPr>
        <w:t>,  and</w:t>
      </w:r>
      <w:proofErr w:type="gramEnd"/>
      <w:r w:rsidRPr="00726964">
        <w:rPr>
          <w:rFonts w:ascii="Times New Roman" w:hAnsi="Times New Roman" w:cs="Times New Roman"/>
          <w:sz w:val="24"/>
          <w:szCs w:val="24"/>
          <w:lang w:val="en-US"/>
        </w:rPr>
        <w:t xml:space="preserve">  G.  V. Montes-Rojas  (2011).   Does formality </w:t>
      </w:r>
      <w:proofErr w:type="gramStart"/>
      <w:r w:rsidRPr="00726964">
        <w:rPr>
          <w:rFonts w:ascii="Times New Roman" w:hAnsi="Times New Roman" w:cs="Times New Roman"/>
          <w:sz w:val="24"/>
          <w:szCs w:val="24"/>
          <w:lang w:val="en-US"/>
        </w:rPr>
        <w:t>improve  micro</w:t>
      </w:r>
      <w:proofErr w:type="gramEnd"/>
      <w:r w:rsidRPr="00726964">
        <w:rPr>
          <w:rFonts w:ascii="Times New Roman" w:hAnsi="Times New Roman" w:cs="Times New Roman"/>
          <w:sz w:val="24"/>
          <w:szCs w:val="24"/>
          <w:lang w:val="en-US"/>
        </w:rPr>
        <w:t xml:space="preserve">-firm  performance?   </w:t>
      </w:r>
      <w:proofErr w:type="gramStart"/>
      <w:r w:rsidRPr="00726964">
        <w:rPr>
          <w:rFonts w:ascii="Times New Roman" w:hAnsi="Times New Roman" w:cs="Times New Roman"/>
          <w:sz w:val="24"/>
          <w:szCs w:val="24"/>
          <w:lang w:val="en-US"/>
        </w:rPr>
        <w:t>evidence</w:t>
      </w:r>
      <w:proofErr w:type="gramEnd"/>
      <w:r w:rsidRPr="00726964">
        <w:rPr>
          <w:rFonts w:ascii="Times New Roman" w:hAnsi="Times New Roman" w:cs="Times New Roman"/>
          <w:sz w:val="24"/>
          <w:szCs w:val="24"/>
          <w:lang w:val="en-US"/>
        </w:rPr>
        <w:t xml:space="preserve"> from the  Brazilian  simples program. Journal of Development </w:t>
      </w:r>
      <w:proofErr w:type="gramStart"/>
      <w:r w:rsidRPr="00726964">
        <w:rPr>
          <w:rFonts w:ascii="Times New Roman" w:hAnsi="Times New Roman" w:cs="Times New Roman"/>
          <w:sz w:val="24"/>
          <w:szCs w:val="24"/>
          <w:lang w:val="en-US"/>
        </w:rPr>
        <w:t>Economics  94</w:t>
      </w:r>
      <w:proofErr w:type="gramEnd"/>
      <w:r w:rsidRPr="00726964">
        <w:rPr>
          <w:rFonts w:ascii="Times New Roman" w:hAnsi="Times New Roman" w:cs="Times New Roman"/>
          <w:sz w:val="24"/>
          <w:szCs w:val="24"/>
          <w:lang w:val="en-US"/>
        </w:rPr>
        <w:t xml:space="preserve"> (2), 262 – 276.</w:t>
      </w:r>
    </w:p>
    <w:p w14:paraId="436ECB8A" w14:textId="77777777" w:rsidR="00D235F5" w:rsidRPr="00726964" w:rsidRDefault="00D235F5" w:rsidP="00726964">
      <w:pPr>
        <w:spacing w:after="0" w:line="240" w:lineRule="auto"/>
        <w:ind w:left="567" w:hanging="567"/>
        <w:rPr>
          <w:rFonts w:ascii="Times New Roman" w:hAnsi="Times New Roman" w:cs="Times New Roman"/>
          <w:sz w:val="24"/>
          <w:szCs w:val="24"/>
          <w:lang w:val="en-US"/>
        </w:rPr>
      </w:pPr>
      <w:r w:rsidRPr="00726964">
        <w:rPr>
          <w:rFonts w:ascii="Times New Roman" w:hAnsi="Times New Roman" w:cs="Times New Roman"/>
          <w:sz w:val="24"/>
          <w:szCs w:val="24"/>
          <w:lang w:val="en-US"/>
        </w:rPr>
        <w:t>Kaplan</w:t>
      </w:r>
      <w:proofErr w:type="gramStart"/>
      <w:r w:rsidRPr="00726964">
        <w:rPr>
          <w:rFonts w:ascii="Times New Roman" w:hAnsi="Times New Roman" w:cs="Times New Roman"/>
          <w:sz w:val="24"/>
          <w:szCs w:val="24"/>
          <w:lang w:val="en-US"/>
        </w:rPr>
        <w:t>,  D</w:t>
      </w:r>
      <w:proofErr w:type="gramEnd"/>
      <w:r w:rsidRPr="00726964">
        <w:rPr>
          <w:rFonts w:ascii="Times New Roman" w:hAnsi="Times New Roman" w:cs="Times New Roman"/>
          <w:sz w:val="24"/>
          <w:szCs w:val="24"/>
          <w:lang w:val="en-US"/>
        </w:rPr>
        <w:t xml:space="preserve">. S., E. </w:t>
      </w:r>
      <w:proofErr w:type="spellStart"/>
      <w:r w:rsidRPr="00726964">
        <w:rPr>
          <w:rFonts w:ascii="Times New Roman" w:hAnsi="Times New Roman" w:cs="Times New Roman"/>
          <w:sz w:val="24"/>
          <w:szCs w:val="24"/>
          <w:lang w:val="en-US"/>
        </w:rPr>
        <w:t>Piedra</w:t>
      </w:r>
      <w:proofErr w:type="spellEnd"/>
      <w:r w:rsidRPr="00726964">
        <w:rPr>
          <w:rFonts w:ascii="Times New Roman" w:hAnsi="Times New Roman" w:cs="Times New Roman"/>
          <w:sz w:val="24"/>
          <w:szCs w:val="24"/>
          <w:lang w:val="en-US"/>
        </w:rPr>
        <w:t xml:space="preserve">,  and E. </w:t>
      </w:r>
      <w:proofErr w:type="spellStart"/>
      <w:r w:rsidRPr="00726964">
        <w:rPr>
          <w:rFonts w:ascii="Times New Roman" w:hAnsi="Times New Roman" w:cs="Times New Roman"/>
          <w:sz w:val="24"/>
          <w:szCs w:val="24"/>
          <w:lang w:val="en-US"/>
        </w:rPr>
        <w:t>Seira</w:t>
      </w:r>
      <w:proofErr w:type="spellEnd"/>
      <w:r w:rsidRPr="00726964">
        <w:rPr>
          <w:rFonts w:ascii="Times New Roman" w:hAnsi="Times New Roman" w:cs="Times New Roman"/>
          <w:sz w:val="24"/>
          <w:szCs w:val="24"/>
          <w:lang w:val="en-US"/>
        </w:rPr>
        <w:t xml:space="preserve"> (2011).  </w:t>
      </w:r>
      <w:proofErr w:type="gramStart"/>
      <w:r w:rsidRPr="00726964">
        <w:rPr>
          <w:rFonts w:ascii="Times New Roman" w:hAnsi="Times New Roman" w:cs="Times New Roman"/>
          <w:sz w:val="24"/>
          <w:szCs w:val="24"/>
          <w:lang w:val="en-US"/>
        </w:rPr>
        <w:t>Entry  regulation</w:t>
      </w:r>
      <w:proofErr w:type="gramEnd"/>
      <w:r w:rsidRPr="00726964">
        <w:rPr>
          <w:rFonts w:ascii="Times New Roman" w:hAnsi="Times New Roman" w:cs="Times New Roman"/>
          <w:sz w:val="24"/>
          <w:szCs w:val="24"/>
          <w:lang w:val="en-US"/>
        </w:rPr>
        <w:t xml:space="preserve">  and business start- ups:  Evidence from Mexico. Journal of Public </w:t>
      </w:r>
      <w:proofErr w:type="gramStart"/>
      <w:r w:rsidRPr="00726964">
        <w:rPr>
          <w:rFonts w:ascii="Times New Roman" w:hAnsi="Times New Roman" w:cs="Times New Roman"/>
          <w:sz w:val="24"/>
          <w:szCs w:val="24"/>
          <w:lang w:val="en-US"/>
        </w:rPr>
        <w:t>Economics .</w:t>
      </w:r>
      <w:proofErr w:type="gramEnd"/>
    </w:p>
    <w:p w14:paraId="0C833CDC" w14:textId="77777777" w:rsidR="00394A31" w:rsidRPr="00726964" w:rsidRDefault="00394A31" w:rsidP="00726964">
      <w:pPr>
        <w:spacing w:after="0" w:line="240" w:lineRule="auto"/>
        <w:ind w:left="567" w:hanging="567"/>
        <w:rPr>
          <w:rFonts w:ascii="Times New Roman" w:hAnsi="Times New Roman" w:cs="Times New Roman"/>
          <w:sz w:val="24"/>
          <w:szCs w:val="24"/>
          <w:lang w:val="en-US"/>
        </w:rPr>
      </w:pPr>
      <w:proofErr w:type="spellStart"/>
      <w:r w:rsidRPr="00726964">
        <w:rPr>
          <w:rFonts w:ascii="Times New Roman" w:hAnsi="Times New Roman" w:cs="Times New Roman"/>
          <w:sz w:val="24"/>
          <w:szCs w:val="24"/>
          <w:lang w:val="en-US"/>
        </w:rPr>
        <w:t>Naudé</w:t>
      </w:r>
      <w:proofErr w:type="spellEnd"/>
      <w:r w:rsidR="00CC4E81" w:rsidRPr="00726964">
        <w:rPr>
          <w:rFonts w:ascii="Times New Roman" w:hAnsi="Times New Roman" w:cs="Times New Roman"/>
          <w:sz w:val="24"/>
          <w:szCs w:val="24"/>
          <w:lang w:val="en-US"/>
        </w:rPr>
        <w:t>, W.</w:t>
      </w:r>
      <w:r w:rsidRPr="00726964">
        <w:rPr>
          <w:rFonts w:ascii="Times New Roman" w:hAnsi="Times New Roman" w:cs="Times New Roman"/>
          <w:sz w:val="24"/>
          <w:szCs w:val="24"/>
          <w:lang w:val="en-US"/>
        </w:rPr>
        <w:t xml:space="preserve"> (2010)</w:t>
      </w:r>
      <w:r w:rsidR="00CC4E81" w:rsidRPr="00726964">
        <w:rPr>
          <w:rFonts w:ascii="Times New Roman" w:hAnsi="Times New Roman" w:cs="Times New Roman"/>
          <w:sz w:val="24"/>
          <w:szCs w:val="24"/>
          <w:lang w:val="en-US"/>
        </w:rPr>
        <w:t xml:space="preserve"> Entrepreneurship, Developing Countries and Development Economics: New Approaches and Insights. Small Business Economics, v.34, pp.1489-99. </w:t>
      </w:r>
    </w:p>
    <w:p w14:paraId="21C28197" w14:textId="77777777" w:rsidR="00394A31" w:rsidRPr="00726964" w:rsidRDefault="00394A31" w:rsidP="00726964">
      <w:pPr>
        <w:spacing w:after="0" w:line="240" w:lineRule="auto"/>
        <w:ind w:left="567" w:hanging="567"/>
        <w:rPr>
          <w:rFonts w:ascii="Times New Roman" w:hAnsi="Times New Roman" w:cs="Times New Roman"/>
          <w:sz w:val="24"/>
          <w:szCs w:val="24"/>
        </w:rPr>
      </w:pPr>
      <w:r w:rsidRPr="00726964">
        <w:rPr>
          <w:rFonts w:ascii="Times New Roman" w:hAnsi="Times New Roman" w:cs="Times New Roman"/>
          <w:sz w:val="24"/>
          <w:szCs w:val="24"/>
        </w:rPr>
        <w:t>Nogueira</w:t>
      </w:r>
      <w:r w:rsidR="005B29ED" w:rsidRPr="00726964">
        <w:rPr>
          <w:rFonts w:ascii="Times New Roman" w:hAnsi="Times New Roman" w:cs="Times New Roman"/>
          <w:sz w:val="24"/>
          <w:szCs w:val="24"/>
        </w:rPr>
        <w:t>, M. O.</w:t>
      </w:r>
      <w:r w:rsidRPr="00726964">
        <w:rPr>
          <w:rFonts w:ascii="Times New Roman" w:hAnsi="Times New Roman" w:cs="Times New Roman"/>
          <w:sz w:val="24"/>
          <w:szCs w:val="24"/>
        </w:rPr>
        <w:t xml:space="preserve"> e Oliveira</w:t>
      </w:r>
      <w:r w:rsidR="005B29ED" w:rsidRPr="00726964">
        <w:rPr>
          <w:rFonts w:ascii="Times New Roman" w:hAnsi="Times New Roman" w:cs="Times New Roman"/>
          <w:sz w:val="24"/>
          <w:szCs w:val="24"/>
        </w:rPr>
        <w:t>, J. M. de</w:t>
      </w:r>
      <w:r w:rsidRPr="00726964">
        <w:rPr>
          <w:rFonts w:ascii="Times New Roman" w:hAnsi="Times New Roman" w:cs="Times New Roman"/>
          <w:sz w:val="24"/>
          <w:szCs w:val="24"/>
        </w:rPr>
        <w:t xml:space="preserve"> (2013)</w:t>
      </w:r>
      <w:r w:rsidR="0041005D" w:rsidRPr="00726964">
        <w:rPr>
          <w:rFonts w:ascii="Times New Roman" w:hAnsi="Times New Roman" w:cs="Times New Roman"/>
          <w:sz w:val="24"/>
          <w:szCs w:val="24"/>
        </w:rPr>
        <w:t xml:space="preserve"> Da Baleia ao Ornitorrinco: Contribuições para a Compreensão do Universo das Micro e Pequenas Empresas Brasileiras. </w:t>
      </w:r>
      <w:r w:rsidR="005B29ED" w:rsidRPr="00726964">
        <w:rPr>
          <w:rFonts w:ascii="Times New Roman" w:hAnsi="Times New Roman" w:cs="Times New Roman"/>
          <w:sz w:val="24"/>
          <w:szCs w:val="24"/>
        </w:rPr>
        <w:t>Em Radar: Tecnologia, Produção e Comércio Exterior n. 25; IPEA.</w:t>
      </w:r>
    </w:p>
    <w:p w14:paraId="3DF24423" w14:textId="77777777" w:rsidR="005B29ED" w:rsidRPr="00726964" w:rsidRDefault="00394A31" w:rsidP="00726964">
      <w:pPr>
        <w:spacing w:after="0" w:line="240" w:lineRule="auto"/>
        <w:ind w:left="567" w:hanging="567"/>
        <w:rPr>
          <w:rFonts w:ascii="Times New Roman" w:hAnsi="Times New Roman" w:cs="Times New Roman"/>
          <w:sz w:val="24"/>
          <w:szCs w:val="24"/>
        </w:rPr>
      </w:pPr>
      <w:r w:rsidRPr="00726964">
        <w:rPr>
          <w:rFonts w:ascii="Times New Roman" w:hAnsi="Times New Roman" w:cs="Times New Roman"/>
          <w:sz w:val="24"/>
          <w:szCs w:val="24"/>
        </w:rPr>
        <w:lastRenderedPageBreak/>
        <w:t>Oliveira</w:t>
      </w:r>
      <w:r w:rsidR="005B29ED" w:rsidRPr="00726964">
        <w:rPr>
          <w:rFonts w:ascii="Times New Roman" w:hAnsi="Times New Roman" w:cs="Times New Roman"/>
          <w:sz w:val="24"/>
          <w:szCs w:val="24"/>
        </w:rPr>
        <w:t>, J. M. de</w:t>
      </w:r>
      <w:r w:rsidRPr="00726964">
        <w:rPr>
          <w:rFonts w:ascii="Times New Roman" w:hAnsi="Times New Roman" w:cs="Times New Roman"/>
          <w:sz w:val="24"/>
          <w:szCs w:val="24"/>
        </w:rPr>
        <w:t xml:space="preserve"> (2013)</w:t>
      </w:r>
      <w:r w:rsidR="005B29ED" w:rsidRPr="00726964">
        <w:rPr>
          <w:rFonts w:ascii="Times New Roman" w:hAnsi="Times New Roman" w:cs="Times New Roman"/>
          <w:sz w:val="24"/>
          <w:szCs w:val="24"/>
        </w:rPr>
        <w:t xml:space="preserve"> Empreendedor Individual: Ampliação da Base Formal ou Substituição do Emprego. Em Radar: Tecnologia, Produção e Comércio Exterior n. 25; IPEA.</w:t>
      </w:r>
    </w:p>
    <w:p w14:paraId="122CDB18" w14:textId="77777777" w:rsidR="00034007" w:rsidRPr="00726964" w:rsidRDefault="00034007" w:rsidP="00726964">
      <w:pPr>
        <w:spacing w:after="0" w:line="240" w:lineRule="auto"/>
        <w:ind w:left="567" w:hanging="567"/>
        <w:rPr>
          <w:rFonts w:ascii="Times New Roman" w:hAnsi="Times New Roman" w:cs="Times New Roman"/>
          <w:sz w:val="24"/>
          <w:szCs w:val="24"/>
          <w:lang w:val="en-US"/>
        </w:rPr>
      </w:pPr>
      <w:proofErr w:type="gramStart"/>
      <w:r w:rsidRPr="00726964">
        <w:rPr>
          <w:rFonts w:ascii="Times New Roman" w:hAnsi="Times New Roman" w:cs="Times New Roman"/>
          <w:sz w:val="24"/>
          <w:szCs w:val="24"/>
          <w:lang w:val="en-US"/>
        </w:rPr>
        <w:t>Maloney, W. (2004) Informality Revisited.</w:t>
      </w:r>
      <w:proofErr w:type="gramEnd"/>
      <w:r w:rsidRPr="00726964">
        <w:rPr>
          <w:rFonts w:ascii="Times New Roman" w:hAnsi="Times New Roman" w:cs="Times New Roman"/>
          <w:sz w:val="24"/>
          <w:szCs w:val="24"/>
          <w:lang w:val="en-US"/>
        </w:rPr>
        <w:t xml:space="preserve"> </w:t>
      </w:r>
      <w:proofErr w:type="gramStart"/>
      <w:r w:rsidRPr="00726964">
        <w:rPr>
          <w:rFonts w:ascii="Times New Roman" w:hAnsi="Times New Roman" w:cs="Times New Roman"/>
          <w:sz w:val="24"/>
          <w:szCs w:val="24"/>
          <w:lang w:val="en-US"/>
        </w:rPr>
        <w:t>World Development, v.32, pp. 1159-78.</w:t>
      </w:r>
      <w:proofErr w:type="gramEnd"/>
    </w:p>
    <w:p w14:paraId="5DDDDC2B" w14:textId="77777777" w:rsidR="00034007" w:rsidRPr="00726964" w:rsidRDefault="00034007" w:rsidP="00726964">
      <w:pPr>
        <w:spacing w:after="0" w:line="240" w:lineRule="auto"/>
        <w:ind w:left="567" w:hanging="567"/>
        <w:rPr>
          <w:rFonts w:ascii="Times New Roman" w:hAnsi="Times New Roman" w:cs="Times New Roman"/>
          <w:sz w:val="24"/>
          <w:szCs w:val="24"/>
          <w:lang w:val="en-US"/>
        </w:rPr>
      </w:pPr>
    </w:p>
    <w:p w14:paraId="23543D28" w14:textId="77777777" w:rsidR="00394A31" w:rsidRPr="00726964" w:rsidRDefault="00394A31" w:rsidP="00726964">
      <w:pPr>
        <w:spacing w:line="240" w:lineRule="auto"/>
        <w:rPr>
          <w:rFonts w:ascii="Times New Roman" w:hAnsi="Times New Roman" w:cs="Times New Roman"/>
          <w:sz w:val="24"/>
          <w:szCs w:val="24"/>
          <w:lang w:val="en-US"/>
        </w:rPr>
      </w:pPr>
    </w:p>
    <w:sectPr w:rsidR="00394A31" w:rsidRPr="00726964" w:rsidSect="0036365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2A13B" w14:textId="77777777" w:rsidR="0093384B" w:rsidRDefault="0093384B" w:rsidP="00DB3259">
      <w:pPr>
        <w:spacing w:after="0" w:line="240" w:lineRule="auto"/>
      </w:pPr>
      <w:r>
        <w:separator/>
      </w:r>
    </w:p>
  </w:endnote>
  <w:endnote w:type="continuationSeparator" w:id="0">
    <w:p w14:paraId="660B4241" w14:textId="77777777" w:rsidR="0093384B" w:rsidRDefault="0093384B" w:rsidP="00DB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5B76D" w14:textId="77777777" w:rsidR="0093384B" w:rsidRDefault="0093384B" w:rsidP="009338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BAC1F8" w14:textId="77777777" w:rsidR="0093384B" w:rsidRDefault="0093384B" w:rsidP="007269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9D05A" w14:textId="77777777" w:rsidR="0093384B" w:rsidRDefault="0093384B" w:rsidP="0093384B">
    <w:pPr>
      <w:pStyle w:val="Footer"/>
      <w:framePr w:wrap="around" w:vAnchor="text" w:hAnchor="margin" w:xAlign="right" w:y="1"/>
      <w:rPr>
        <w:rStyle w:val="PageNumber"/>
      </w:rPr>
    </w:pPr>
    <w:r>
      <w:rPr>
        <w:rStyle w:val="PageNumber"/>
      </w:rPr>
      <w:t>1</w:t>
    </w:r>
  </w:p>
  <w:p w14:paraId="422AD959" w14:textId="77777777" w:rsidR="0093384B" w:rsidRDefault="0093384B" w:rsidP="00726964">
    <w:pPr>
      <w:pStyle w:val="Footer"/>
      <w:ind w:right="360"/>
      <w:jc w:val="right"/>
    </w:pPr>
  </w:p>
  <w:p w14:paraId="00E0FE35" w14:textId="77777777" w:rsidR="0093384B" w:rsidRDefault="009338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43C06" w14:textId="77777777" w:rsidR="0093384B" w:rsidRDefault="0093384B" w:rsidP="00DB3259">
      <w:pPr>
        <w:spacing w:after="0" w:line="240" w:lineRule="auto"/>
      </w:pPr>
      <w:r>
        <w:separator/>
      </w:r>
    </w:p>
  </w:footnote>
  <w:footnote w:type="continuationSeparator" w:id="0">
    <w:p w14:paraId="2D3E51C3" w14:textId="77777777" w:rsidR="0093384B" w:rsidRDefault="0093384B" w:rsidP="00DB3259">
      <w:pPr>
        <w:spacing w:after="0" w:line="240" w:lineRule="auto"/>
      </w:pPr>
      <w:r>
        <w:continuationSeparator/>
      </w:r>
    </w:p>
  </w:footnote>
  <w:footnote w:id="1">
    <w:p w14:paraId="47279E11" w14:textId="77777777" w:rsidR="0093384B" w:rsidRPr="007129C3" w:rsidRDefault="0093384B" w:rsidP="007129C3">
      <w:pPr>
        <w:pStyle w:val="FootnoteText"/>
        <w:jc w:val="both"/>
        <w:rPr>
          <w:sz w:val="18"/>
          <w:szCs w:val="18"/>
        </w:rPr>
      </w:pPr>
      <w:r w:rsidRPr="007129C3">
        <w:rPr>
          <w:rStyle w:val="FootnoteReference"/>
          <w:sz w:val="18"/>
          <w:szCs w:val="18"/>
        </w:rPr>
        <w:footnoteRef/>
      </w:r>
      <w:r w:rsidRPr="007129C3">
        <w:rPr>
          <w:sz w:val="18"/>
          <w:szCs w:val="18"/>
        </w:rPr>
        <w:t xml:space="preserve"> Este artigo é uma versão ampliada e revisada da Nota Técnica publicada no boletim mercado de trabalho do IPEA número 54. Gostaríamos de agradecer o suporte oferecido por Alessandra Brito e Samanta Monte no processamento dos micro-dados da PNAD e da PME respectivamente. </w:t>
      </w:r>
    </w:p>
  </w:footnote>
  <w:footnote w:id="2">
    <w:p w14:paraId="55E7CA84" w14:textId="77777777" w:rsidR="0093384B" w:rsidRPr="007129C3" w:rsidRDefault="0093384B" w:rsidP="007129C3">
      <w:pPr>
        <w:pStyle w:val="FootnoteText"/>
        <w:jc w:val="both"/>
        <w:rPr>
          <w:sz w:val="18"/>
          <w:szCs w:val="18"/>
        </w:rPr>
      </w:pPr>
      <w:r w:rsidRPr="007129C3">
        <w:rPr>
          <w:rStyle w:val="FootnoteReference"/>
          <w:sz w:val="18"/>
          <w:szCs w:val="18"/>
        </w:rPr>
        <w:footnoteRef/>
      </w:r>
      <w:r w:rsidRPr="007129C3">
        <w:rPr>
          <w:sz w:val="18"/>
          <w:szCs w:val="18"/>
        </w:rPr>
        <w:t xml:space="preserve"> </w:t>
      </w:r>
      <w:proofErr w:type="spellStart"/>
      <w:r w:rsidRPr="007129C3">
        <w:rPr>
          <w:sz w:val="18"/>
          <w:szCs w:val="18"/>
        </w:rPr>
        <w:t>Maloney</w:t>
      </w:r>
      <w:proofErr w:type="spellEnd"/>
      <w:r w:rsidRPr="007129C3">
        <w:rPr>
          <w:sz w:val="18"/>
          <w:szCs w:val="18"/>
        </w:rPr>
        <w:t xml:space="preserve"> (2004) é frequentemente apontado como referência dessa interpretação a respeito da identidade do conta-própria. Vale mencionar que tal interpretação é contestada por autores como </w:t>
      </w:r>
      <w:proofErr w:type="spellStart"/>
      <w:r w:rsidRPr="007129C3">
        <w:rPr>
          <w:sz w:val="18"/>
          <w:szCs w:val="18"/>
        </w:rPr>
        <w:t>Naudé</w:t>
      </w:r>
      <w:proofErr w:type="spellEnd"/>
      <w:r w:rsidRPr="007129C3">
        <w:rPr>
          <w:sz w:val="18"/>
          <w:szCs w:val="18"/>
        </w:rPr>
        <w:t xml:space="preserve"> (2010) que sustentam a ideia de que parte significativa dos autônomos em países em desenvolvimento não estão nessa condição por causa de um espírito empreendedor mas sim por estratégia de sobrevivência.</w:t>
      </w:r>
    </w:p>
  </w:footnote>
  <w:footnote w:id="3">
    <w:p w14:paraId="385109B6" w14:textId="77777777" w:rsidR="0093384B" w:rsidRPr="007129C3" w:rsidRDefault="0093384B" w:rsidP="007129C3">
      <w:pPr>
        <w:pStyle w:val="FootnoteText"/>
        <w:jc w:val="both"/>
        <w:rPr>
          <w:sz w:val="18"/>
          <w:szCs w:val="18"/>
        </w:rPr>
      </w:pPr>
      <w:r w:rsidRPr="007129C3">
        <w:rPr>
          <w:rStyle w:val="FootnoteReference"/>
          <w:sz w:val="18"/>
          <w:szCs w:val="18"/>
        </w:rPr>
        <w:footnoteRef/>
      </w:r>
      <w:r w:rsidRPr="007129C3">
        <w:rPr>
          <w:sz w:val="18"/>
          <w:szCs w:val="18"/>
        </w:rPr>
        <w:t xml:space="preserve"> Os dados da PNAD mostram queda de 11% no Brasil na proporção de ocupados que são ou conta-própria ou empregadores com apenas um empregado entre 2003 e 2008. Essa proporção passa de 23,7% no primeiro ano para 21,3% no último ano (ver gráfico 1 mais adiante).</w:t>
      </w:r>
    </w:p>
  </w:footnote>
  <w:footnote w:id="4">
    <w:p w14:paraId="17EE6A34" w14:textId="77777777" w:rsidR="0093384B" w:rsidRPr="007129C3" w:rsidRDefault="0093384B" w:rsidP="007129C3">
      <w:pPr>
        <w:pStyle w:val="FootnoteText"/>
        <w:jc w:val="both"/>
        <w:rPr>
          <w:sz w:val="18"/>
          <w:szCs w:val="18"/>
        </w:rPr>
      </w:pPr>
      <w:r w:rsidRPr="007129C3">
        <w:rPr>
          <w:rStyle w:val="FootnoteReference"/>
          <w:sz w:val="18"/>
          <w:szCs w:val="18"/>
        </w:rPr>
        <w:footnoteRef/>
      </w:r>
      <w:r w:rsidRPr="007129C3">
        <w:rPr>
          <w:sz w:val="18"/>
          <w:szCs w:val="18"/>
        </w:rPr>
        <w:t xml:space="preserve"> Originalmente, o limite de receita para a elegibilidade era de 36 mil reais mensais. Ele passou a ser 60 mil reais na Medida Provisória  N.529  em Novembro de 2011.</w:t>
      </w:r>
    </w:p>
  </w:footnote>
  <w:footnote w:id="5">
    <w:p w14:paraId="306D13A0" w14:textId="77777777" w:rsidR="0093384B" w:rsidRPr="007129C3" w:rsidRDefault="0093384B" w:rsidP="007129C3">
      <w:pPr>
        <w:pStyle w:val="FootnoteText"/>
        <w:jc w:val="both"/>
        <w:rPr>
          <w:sz w:val="18"/>
          <w:szCs w:val="18"/>
        </w:rPr>
      </w:pPr>
      <w:r w:rsidRPr="007129C3">
        <w:rPr>
          <w:rStyle w:val="FootnoteReference"/>
          <w:sz w:val="18"/>
          <w:szCs w:val="18"/>
        </w:rPr>
        <w:footnoteRef/>
      </w:r>
      <w:r w:rsidRPr="007129C3">
        <w:rPr>
          <w:sz w:val="18"/>
          <w:szCs w:val="18"/>
        </w:rPr>
        <w:t xml:space="preserve"> A alíquota de INSS era incialmente de 11% sobre o valor do salário mínimo, passando para 5% em 2011.</w:t>
      </w:r>
    </w:p>
  </w:footnote>
  <w:footnote w:id="6">
    <w:p w14:paraId="6396A695"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w:t>
      </w:r>
      <w:proofErr w:type="spellStart"/>
      <w:r w:rsidRPr="007129C3">
        <w:rPr>
          <w:sz w:val="18"/>
          <w:szCs w:val="18"/>
        </w:rPr>
        <w:t>Bruhn</w:t>
      </w:r>
      <w:proofErr w:type="spellEnd"/>
      <w:r w:rsidRPr="007129C3">
        <w:rPr>
          <w:sz w:val="18"/>
          <w:szCs w:val="18"/>
        </w:rPr>
        <w:t xml:space="preserve"> (2011) analisa o mesmo programa e encontra efeitos mais expressivos. Porém, Kaplan et al (2011) apresentam críticas contundentes à estratégia de identificação utilizada por </w:t>
      </w:r>
      <w:proofErr w:type="spellStart"/>
      <w:r w:rsidRPr="007129C3">
        <w:rPr>
          <w:sz w:val="18"/>
          <w:szCs w:val="18"/>
        </w:rPr>
        <w:t>Bruhn</w:t>
      </w:r>
      <w:proofErr w:type="spellEnd"/>
      <w:r w:rsidRPr="007129C3">
        <w:rPr>
          <w:sz w:val="18"/>
          <w:szCs w:val="18"/>
        </w:rPr>
        <w:t xml:space="preserve">. </w:t>
      </w:r>
    </w:p>
  </w:footnote>
  <w:footnote w:id="7">
    <w:p w14:paraId="25818A95"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Em paralelo a este artigo, Rocha et al (2013) estão desenvolvendo um estudo que visa identificar o efeito causal da política do MEI sobre formalização dos micro empreendedores e desta sobre a renda. Os dois estudos são, portanto, complementares, visto que o presente artigo contém uma análise exploratória pioneira dos efeitos do programa, enquanto que Rocha et al (2013)  avançam na tentativa de identificar o efeito causal da política. </w:t>
      </w:r>
    </w:p>
  </w:footnote>
  <w:footnote w:id="8">
    <w:p w14:paraId="75AE318B"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A exclusão do DF foi motivada por aspectos metodológicos. O método que utilizaremos nesse trabalho compara situações </w:t>
      </w:r>
      <w:proofErr w:type="spellStart"/>
      <w:r w:rsidRPr="007129C3">
        <w:rPr>
          <w:sz w:val="18"/>
          <w:szCs w:val="18"/>
        </w:rPr>
        <w:t>pré</w:t>
      </w:r>
      <w:proofErr w:type="spellEnd"/>
      <w:r w:rsidRPr="007129C3">
        <w:rPr>
          <w:sz w:val="18"/>
          <w:szCs w:val="18"/>
        </w:rPr>
        <w:t xml:space="preserve"> e pós implementação do programa. Com a PNAD a referência </w:t>
      </w:r>
      <w:proofErr w:type="spellStart"/>
      <w:r w:rsidRPr="007129C3">
        <w:rPr>
          <w:sz w:val="18"/>
          <w:szCs w:val="18"/>
        </w:rPr>
        <w:t>pré</w:t>
      </w:r>
      <w:proofErr w:type="spellEnd"/>
      <w:r w:rsidRPr="007129C3">
        <w:rPr>
          <w:sz w:val="18"/>
          <w:szCs w:val="18"/>
        </w:rPr>
        <w:t xml:space="preserve"> programa será Setembro de 2009, data da PNAD de 2009. DF foi a única UF onde o programa se iniciou antes dessa data, daí a sua exclusão.</w:t>
      </w:r>
    </w:p>
  </w:footnote>
  <w:footnote w:id="9">
    <w:p w14:paraId="36AFA346"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Nesse ponto, vale a pena mencionar que a similaridade entre os grupos deveria ocorrer tanto nas características observáveis quanto nas não observáveis.</w:t>
      </w:r>
    </w:p>
  </w:footnote>
  <w:footnote w:id="10">
    <w:p w14:paraId="0B177EFD"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Os dados da PNAD utilizados nesta seção </w:t>
      </w:r>
      <w:r w:rsidRPr="007129C3">
        <w:rPr>
          <w:bCs/>
          <w:sz w:val="18"/>
          <w:szCs w:val="18"/>
        </w:rPr>
        <w:t>excluem os dados do Distrito Federal, setor agrícola, menores de 10 anos de idade, empregados não remunerados, empregados domésticos, parentes de empregados e pensionistas.</w:t>
      </w:r>
    </w:p>
  </w:footnote>
  <w:footnote w:id="11">
    <w:p w14:paraId="1F6F591F" w14:textId="77777777" w:rsidR="0093384B" w:rsidRPr="007129C3" w:rsidRDefault="0093384B" w:rsidP="007129C3">
      <w:pPr>
        <w:pStyle w:val="FootnoteText"/>
        <w:rPr>
          <w:rFonts w:cs="Times New Roman"/>
          <w:sz w:val="18"/>
          <w:szCs w:val="18"/>
        </w:rPr>
      </w:pPr>
      <w:r w:rsidRPr="007129C3">
        <w:rPr>
          <w:rStyle w:val="FootnoteReference"/>
          <w:rFonts w:cs="Times New Roman"/>
          <w:sz w:val="18"/>
          <w:szCs w:val="18"/>
        </w:rPr>
        <w:footnoteRef/>
      </w:r>
      <w:r w:rsidRPr="007129C3">
        <w:rPr>
          <w:rFonts w:cs="Times New Roman"/>
          <w:sz w:val="18"/>
          <w:szCs w:val="18"/>
        </w:rPr>
        <w:t xml:space="preserve"> As seguintes variáveis foram usadas como controles: </w:t>
      </w:r>
      <w:r w:rsidRPr="007129C3">
        <w:rPr>
          <w:rFonts w:cs="Times New Roman"/>
          <w:bCs/>
          <w:sz w:val="18"/>
          <w:szCs w:val="18"/>
        </w:rPr>
        <w:t>gênero, faixa etária, nível de escolaridade, cor, posição na família, número de crianças e de idosos no domicílio, setor de atividade, e região.</w:t>
      </w:r>
    </w:p>
  </w:footnote>
  <w:footnote w:id="12">
    <w:p w14:paraId="0DBAD05C"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Vale dizer que o ano de 2009 se destaca na evolução recente do desemprego e da informalidade por marcar uma interrupção numa forte tendência de queda desses indicadores. </w:t>
      </w:r>
    </w:p>
  </w:footnote>
  <w:footnote w:id="13">
    <w:p w14:paraId="52D80195" w14:textId="77777777" w:rsidR="0093384B" w:rsidRPr="007129C3" w:rsidRDefault="0093384B" w:rsidP="007129C3">
      <w:pPr>
        <w:pStyle w:val="FootnoteText"/>
        <w:rPr>
          <w:rFonts w:cs="Times New Roman"/>
          <w:sz w:val="18"/>
          <w:szCs w:val="18"/>
        </w:rPr>
      </w:pPr>
      <w:r w:rsidRPr="007129C3">
        <w:rPr>
          <w:rStyle w:val="FootnoteReference"/>
          <w:rFonts w:cs="Times New Roman"/>
          <w:sz w:val="18"/>
          <w:szCs w:val="18"/>
        </w:rPr>
        <w:footnoteRef/>
      </w:r>
      <w:r w:rsidRPr="007129C3">
        <w:rPr>
          <w:rFonts w:cs="Times New Roman"/>
          <w:sz w:val="18"/>
          <w:szCs w:val="18"/>
        </w:rPr>
        <w:t xml:space="preserve"> As mesmas variáveis usadas nos modelos citados da PNAD forma mantidas nas estimativas da PME, a única diferença se refere ao controle geográfico ser por </w:t>
      </w:r>
      <w:r w:rsidRPr="007129C3">
        <w:rPr>
          <w:rFonts w:cs="Times New Roman"/>
          <w:bCs/>
          <w:sz w:val="18"/>
          <w:szCs w:val="18"/>
        </w:rPr>
        <w:t xml:space="preserve">região metropolitana. </w:t>
      </w:r>
    </w:p>
  </w:footnote>
  <w:footnote w:id="14">
    <w:p w14:paraId="43C198C1"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De acordo com Corseuil, Reis e Brito (2013) o perfil do empresário informal é muito semelhante quando classificado como tal pelo CNPJ ou pela contribuição à previdência.</w:t>
      </w:r>
    </w:p>
  </w:footnote>
  <w:footnote w:id="15">
    <w:p w14:paraId="750E05F7" w14:textId="77777777" w:rsidR="0093384B" w:rsidRPr="007129C3" w:rsidRDefault="0093384B" w:rsidP="007129C3">
      <w:pPr>
        <w:pStyle w:val="FootnoteText"/>
        <w:rPr>
          <w:sz w:val="18"/>
          <w:szCs w:val="18"/>
        </w:rPr>
      </w:pPr>
      <w:r w:rsidRPr="007129C3">
        <w:rPr>
          <w:rStyle w:val="FootnoteReference"/>
          <w:sz w:val="18"/>
          <w:szCs w:val="18"/>
        </w:rPr>
        <w:footnoteRef/>
      </w:r>
      <w:r w:rsidRPr="007129C3">
        <w:rPr>
          <w:sz w:val="18"/>
          <w:szCs w:val="18"/>
        </w:rPr>
        <w:t xml:space="preserve"> </w:t>
      </w:r>
      <w:r w:rsidRPr="007129C3">
        <w:rPr>
          <w:rFonts w:cs="Times New Roman"/>
          <w:bCs/>
          <w:sz w:val="18"/>
          <w:szCs w:val="18"/>
        </w:rPr>
        <w:t xml:space="preserve">O período </w:t>
      </w:r>
      <w:proofErr w:type="spellStart"/>
      <w:r w:rsidRPr="007129C3">
        <w:rPr>
          <w:rFonts w:cs="Times New Roman"/>
          <w:bCs/>
          <w:sz w:val="18"/>
          <w:szCs w:val="18"/>
        </w:rPr>
        <w:t>pré-MEI</w:t>
      </w:r>
      <w:proofErr w:type="spellEnd"/>
      <w:r w:rsidRPr="007129C3">
        <w:rPr>
          <w:rFonts w:cs="Times New Roman"/>
          <w:bCs/>
          <w:sz w:val="18"/>
          <w:szCs w:val="18"/>
        </w:rPr>
        <w:t xml:space="preserve"> vai de setembro de 2005 a agosto de 2009 e o período </w:t>
      </w:r>
      <w:proofErr w:type="spellStart"/>
      <w:r w:rsidRPr="007129C3">
        <w:rPr>
          <w:rFonts w:cs="Times New Roman"/>
          <w:bCs/>
          <w:sz w:val="18"/>
          <w:szCs w:val="18"/>
        </w:rPr>
        <w:t>pós-MEI</w:t>
      </w:r>
      <w:proofErr w:type="spellEnd"/>
      <w:r w:rsidRPr="007129C3">
        <w:rPr>
          <w:rFonts w:cs="Times New Roman"/>
          <w:bCs/>
          <w:sz w:val="18"/>
          <w:szCs w:val="18"/>
        </w:rPr>
        <w:t xml:space="preserve"> vai de setembro de 2009 a outubro de 2012.</w:t>
      </w:r>
    </w:p>
  </w:footnote>
  <w:footnote w:id="16">
    <w:p w14:paraId="3607DD7A" w14:textId="77777777" w:rsidR="0093384B" w:rsidRPr="007129C3" w:rsidRDefault="0093384B" w:rsidP="007129C3">
      <w:pPr>
        <w:pStyle w:val="FootnoteText"/>
        <w:rPr>
          <w:rFonts w:cs="Times New Roman"/>
          <w:sz w:val="18"/>
          <w:szCs w:val="18"/>
        </w:rPr>
      </w:pPr>
      <w:r w:rsidRPr="007129C3">
        <w:rPr>
          <w:rStyle w:val="FootnoteReference"/>
          <w:rFonts w:cs="Times New Roman"/>
          <w:sz w:val="18"/>
          <w:szCs w:val="18"/>
        </w:rPr>
        <w:footnoteRef/>
      </w:r>
      <w:r w:rsidRPr="007129C3">
        <w:rPr>
          <w:rFonts w:cs="Times New Roman"/>
          <w:sz w:val="18"/>
          <w:szCs w:val="18"/>
        </w:rPr>
        <w:t xml:space="preserve"> As mesmas variáveis usadas nos modelos citados da PNAD forma mantidas nas estimativas da PME, a única diferença se refere ao controle geográfico ser por </w:t>
      </w:r>
      <w:r w:rsidRPr="007129C3">
        <w:rPr>
          <w:rFonts w:cs="Times New Roman"/>
          <w:bCs/>
          <w:sz w:val="18"/>
          <w:szCs w:val="18"/>
        </w:rPr>
        <w:t xml:space="preserve">região metropolitana.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AB"/>
    <w:rsid w:val="00006538"/>
    <w:rsid w:val="000120F4"/>
    <w:rsid w:val="000150A5"/>
    <w:rsid w:val="00021085"/>
    <w:rsid w:val="0002179A"/>
    <w:rsid w:val="000232F0"/>
    <w:rsid w:val="00027247"/>
    <w:rsid w:val="00030FA5"/>
    <w:rsid w:val="00031834"/>
    <w:rsid w:val="00033685"/>
    <w:rsid w:val="00034007"/>
    <w:rsid w:val="000471AC"/>
    <w:rsid w:val="000528AE"/>
    <w:rsid w:val="00052E70"/>
    <w:rsid w:val="00052F2B"/>
    <w:rsid w:val="000536C4"/>
    <w:rsid w:val="000801D8"/>
    <w:rsid w:val="00081C8F"/>
    <w:rsid w:val="000913E5"/>
    <w:rsid w:val="00092DC8"/>
    <w:rsid w:val="000A3CA9"/>
    <w:rsid w:val="000B10EF"/>
    <w:rsid w:val="000B2063"/>
    <w:rsid w:val="000B4047"/>
    <w:rsid w:val="000B58A6"/>
    <w:rsid w:val="000D50A3"/>
    <w:rsid w:val="000D5305"/>
    <w:rsid w:val="000D7938"/>
    <w:rsid w:val="000E0A04"/>
    <w:rsid w:val="000E3FED"/>
    <w:rsid w:val="000F6B6D"/>
    <w:rsid w:val="00104781"/>
    <w:rsid w:val="001131A8"/>
    <w:rsid w:val="001229DC"/>
    <w:rsid w:val="00126141"/>
    <w:rsid w:val="00141565"/>
    <w:rsid w:val="001431B0"/>
    <w:rsid w:val="00145541"/>
    <w:rsid w:val="0014577F"/>
    <w:rsid w:val="00145C8B"/>
    <w:rsid w:val="00145EC0"/>
    <w:rsid w:val="00152031"/>
    <w:rsid w:val="0015292E"/>
    <w:rsid w:val="00155414"/>
    <w:rsid w:val="00165CAC"/>
    <w:rsid w:val="001678A1"/>
    <w:rsid w:val="00171889"/>
    <w:rsid w:val="00174944"/>
    <w:rsid w:val="001800C5"/>
    <w:rsid w:val="00180735"/>
    <w:rsid w:val="00184C07"/>
    <w:rsid w:val="0019085D"/>
    <w:rsid w:val="001A1904"/>
    <w:rsid w:val="001B0849"/>
    <w:rsid w:val="001B3376"/>
    <w:rsid w:val="001C00C7"/>
    <w:rsid w:val="001C1CBF"/>
    <w:rsid w:val="001E47DC"/>
    <w:rsid w:val="00200992"/>
    <w:rsid w:val="00201CB6"/>
    <w:rsid w:val="00202CA7"/>
    <w:rsid w:val="00202DC0"/>
    <w:rsid w:val="00205395"/>
    <w:rsid w:val="0020566D"/>
    <w:rsid w:val="00207326"/>
    <w:rsid w:val="002075CD"/>
    <w:rsid w:val="00210B34"/>
    <w:rsid w:val="00212515"/>
    <w:rsid w:val="002155CE"/>
    <w:rsid w:val="00217D5E"/>
    <w:rsid w:val="00221677"/>
    <w:rsid w:val="00231BAF"/>
    <w:rsid w:val="002571D4"/>
    <w:rsid w:val="0026340E"/>
    <w:rsid w:val="00264087"/>
    <w:rsid w:val="00267CE3"/>
    <w:rsid w:val="00281735"/>
    <w:rsid w:val="00281A06"/>
    <w:rsid w:val="002830B9"/>
    <w:rsid w:val="0028407E"/>
    <w:rsid w:val="002869FF"/>
    <w:rsid w:val="00292AF2"/>
    <w:rsid w:val="002A573C"/>
    <w:rsid w:val="002A6FE6"/>
    <w:rsid w:val="002B5E91"/>
    <w:rsid w:val="002C790E"/>
    <w:rsid w:val="002D4725"/>
    <w:rsid w:val="002D6F52"/>
    <w:rsid w:val="002D7EE8"/>
    <w:rsid w:val="00307441"/>
    <w:rsid w:val="003118FE"/>
    <w:rsid w:val="003343FE"/>
    <w:rsid w:val="003345EB"/>
    <w:rsid w:val="0033564D"/>
    <w:rsid w:val="00342047"/>
    <w:rsid w:val="003420F7"/>
    <w:rsid w:val="00350B98"/>
    <w:rsid w:val="00361E4C"/>
    <w:rsid w:val="0036365A"/>
    <w:rsid w:val="00363A79"/>
    <w:rsid w:val="00381572"/>
    <w:rsid w:val="0038596F"/>
    <w:rsid w:val="00394A31"/>
    <w:rsid w:val="003969E2"/>
    <w:rsid w:val="003A3236"/>
    <w:rsid w:val="003A6E1C"/>
    <w:rsid w:val="003C76DE"/>
    <w:rsid w:val="003C7FC4"/>
    <w:rsid w:val="003D4912"/>
    <w:rsid w:val="003E31F7"/>
    <w:rsid w:val="003E41EE"/>
    <w:rsid w:val="003E541F"/>
    <w:rsid w:val="003F3AF0"/>
    <w:rsid w:val="0040277A"/>
    <w:rsid w:val="004066B8"/>
    <w:rsid w:val="004078ED"/>
    <w:rsid w:val="0041005D"/>
    <w:rsid w:val="00415468"/>
    <w:rsid w:val="00420A35"/>
    <w:rsid w:val="00421FD5"/>
    <w:rsid w:val="00422E47"/>
    <w:rsid w:val="004237C3"/>
    <w:rsid w:val="00424352"/>
    <w:rsid w:val="0043173D"/>
    <w:rsid w:val="0044137A"/>
    <w:rsid w:val="004457B3"/>
    <w:rsid w:val="0044612F"/>
    <w:rsid w:val="004525D0"/>
    <w:rsid w:val="00453CC0"/>
    <w:rsid w:val="0045442F"/>
    <w:rsid w:val="0048021A"/>
    <w:rsid w:val="0048208A"/>
    <w:rsid w:val="004A3BDB"/>
    <w:rsid w:val="004B2577"/>
    <w:rsid w:val="004D67C0"/>
    <w:rsid w:val="004D7CF8"/>
    <w:rsid w:val="004E2255"/>
    <w:rsid w:val="004E2A0E"/>
    <w:rsid w:val="004E5824"/>
    <w:rsid w:val="004E5F2D"/>
    <w:rsid w:val="004F5FF6"/>
    <w:rsid w:val="004F6712"/>
    <w:rsid w:val="0050179E"/>
    <w:rsid w:val="005261CB"/>
    <w:rsid w:val="005464F3"/>
    <w:rsid w:val="005504D2"/>
    <w:rsid w:val="005552A5"/>
    <w:rsid w:val="00557138"/>
    <w:rsid w:val="00567C37"/>
    <w:rsid w:val="00571D16"/>
    <w:rsid w:val="00582033"/>
    <w:rsid w:val="00585ECF"/>
    <w:rsid w:val="00591C95"/>
    <w:rsid w:val="0059291F"/>
    <w:rsid w:val="00595395"/>
    <w:rsid w:val="00597C67"/>
    <w:rsid w:val="005B29ED"/>
    <w:rsid w:val="005B469A"/>
    <w:rsid w:val="005C082F"/>
    <w:rsid w:val="005C3A7B"/>
    <w:rsid w:val="005D4C53"/>
    <w:rsid w:val="005D68A2"/>
    <w:rsid w:val="005D7F68"/>
    <w:rsid w:val="005E383E"/>
    <w:rsid w:val="005E7744"/>
    <w:rsid w:val="00604387"/>
    <w:rsid w:val="006046D7"/>
    <w:rsid w:val="00606DC3"/>
    <w:rsid w:val="00611E6B"/>
    <w:rsid w:val="0062296B"/>
    <w:rsid w:val="00627E3E"/>
    <w:rsid w:val="006400A0"/>
    <w:rsid w:val="0064150E"/>
    <w:rsid w:val="00644F77"/>
    <w:rsid w:val="006471F7"/>
    <w:rsid w:val="00647F0A"/>
    <w:rsid w:val="00654E57"/>
    <w:rsid w:val="0066309A"/>
    <w:rsid w:val="006826F2"/>
    <w:rsid w:val="0068399A"/>
    <w:rsid w:val="00685635"/>
    <w:rsid w:val="00686EDC"/>
    <w:rsid w:val="0068718B"/>
    <w:rsid w:val="006956BE"/>
    <w:rsid w:val="006C1A75"/>
    <w:rsid w:val="006C4A43"/>
    <w:rsid w:val="006C4AF0"/>
    <w:rsid w:val="006C742C"/>
    <w:rsid w:val="006D4CEC"/>
    <w:rsid w:val="006E64B9"/>
    <w:rsid w:val="00705161"/>
    <w:rsid w:val="007129C3"/>
    <w:rsid w:val="00716876"/>
    <w:rsid w:val="00726964"/>
    <w:rsid w:val="00726FDA"/>
    <w:rsid w:val="0073252A"/>
    <w:rsid w:val="00775228"/>
    <w:rsid w:val="00781972"/>
    <w:rsid w:val="00786A33"/>
    <w:rsid w:val="00790738"/>
    <w:rsid w:val="0079294B"/>
    <w:rsid w:val="00793858"/>
    <w:rsid w:val="007A1CB0"/>
    <w:rsid w:val="007A618A"/>
    <w:rsid w:val="007B11CE"/>
    <w:rsid w:val="007D7C83"/>
    <w:rsid w:val="007E1DA3"/>
    <w:rsid w:val="007E5565"/>
    <w:rsid w:val="008002F2"/>
    <w:rsid w:val="008012CE"/>
    <w:rsid w:val="00801871"/>
    <w:rsid w:val="008031FF"/>
    <w:rsid w:val="00817635"/>
    <w:rsid w:val="00820B16"/>
    <w:rsid w:val="008232F3"/>
    <w:rsid w:val="00824070"/>
    <w:rsid w:val="00824E26"/>
    <w:rsid w:val="00826BC9"/>
    <w:rsid w:val="0083213A"/>
    <w:rsid w:val="00840E52"/>
    <w:rsid w:val="00846235"/>
    <w:rsid w:val="008467EC"/>
    <w:rsid w:val="00846F9F"/>
    <w:rsid w:val="00874CF8"/>
    <w:rsid w:val="0089555A"/>
    <w:rsid w:val="008B677D"/>
    <w:rsid w:val="008B7642"/>
    <w:rsid w:val="008C6465"/>
    <w:rsid w:val="008D2883"/>
    <w:rsid w:val="008E0CCB"/>
    <w:rsid w:val="008E113D"/>
    <w:rsid w:val="008E1B30"/>
    <w:rsid w:val="008E5624"/>
    <w:rsid w:val="008F551B"/>
    <w:rsid w:val="009008A1"/>
    <w:rsid w:val="00901B5C"/>
    <w:rsid w:val="0090489F"/>
    <w:rsid w:val="009156B3"/>
    <w:rsid w:val="0093384B"/>
    <w:rsid w:val="00936310"/>
    <w:rsid w:val="00936DC3"/>
    <w:rsid w:val="0094034F"/>
    <w:rsid w:val="0094358D"/>
    <w:rsid w:val="00954807"/>
    <w:rsid w:val="009559CC"/>
    <w:rsid w:val="00971FF7"/>
    <w:rsid w:val="00972AC0"/>
    <w:rsid w:val="009731BE"/>
    <w:rsid w:val="0098469C"/>
    <w:rsid w:val="0099118D"/>
    <w:rsid w:val="00992521"/>
    <w:rsid w:val="00996732"/>
    <w:rsid w:val="009A1D30"/>
    <w:rsid w:val="009B7531"/>
    <w:rsid w:val="009C1AE2"/>
    <w:rsid w:val="009D2702"/>
    <w:rsid w:val="009D4B5C"/>
    <w:rsid w:val="009D5342"/>
    <w:rsid w:val="009E6CEF"/>
    <w:rsid w:val="009F1A44"/>
    <w:rsid w:val="009F31D5"/>
    <w:rsid w:val="009F3E95"/>
    <w:rsid w:val="009F41AB"/>
    <w:rsid w:val="009F4D27"/>
    <w:rsid w:val="009F7E58"/>
    <w:rsid w:val="00A10DF0"/>
    <w:rsid w:val="00A3259F"/>
    <w:rsid w:val="00A350F8"/>
    <w:rsid w:val="00A43214"/>
    <w:rsid w:val="00A458A0"/>
    <w:rsid w:val="00A46D71"/>
    <w:rsid w:val="00A548C3"/>
    <w:rsid w:val="00A62830"/>
    <w:rsid w:val="00A74EFC"/>
    <w:rsid w:val="00A76D98"/>
    <w:rsid w:val="00A7795C"/>
    <w:rsid w:val="00A84AEC"/>
    <w:rsid w:val="00A978E8"/>
    <w:rsid w:val="00AA0041"/>
    <w:rsid w:val="00AA1178"/>
    <w:rsid w:val="00AA12F4"/>
    <w:rsid w:val="00AA5488"/>
    <w:rsid w:val="00AB22D1"/>
    <w:rsid w:val="00AB2E1A"/>
    <w:rsid w:val="00AB63BF"/>
    <w:rsid w:val="00AC07D2"/>
    <w:rsid w:val="00AC09C2"/>
    <w:rsid w:val="00AC21A1"/>
    <w:rsid w:val="00AC2955"/>
    <w:rsid w:val="00AD4F5C"/>
    <w:rsid w:val="00AD768E"/>
    <w:rsid w:val="00AE0F8F"/>
    <w:rsid w:val="00AF296C"/>
    <w:rsid w:val="00AF3C74"/>
    <w:rsid w:val="00AF3D23"/>
    <w:rsid w:val="00B03471"/>
    <w:rsid w:val="00B11F38"/>
    <w:rsid w:val="00B37340"/>
    <w:rsid w:val="00B454D1"/>
    <w:rsid w:val="00B47049"/>
    <w:rsid w:val="00B47A61"/>
    <w:rsid w:val="00B52B1B"/>
    <w:rsid w:val="00B62678"/>
    <w:rsid w:val="00B64A0C"/>
    <w:rsid w:val="00B65764"/>
    <w:rsid w:val="00B8203D"/>
    <w:rsid w:val="00B950A0"/>
    <w:rsid w:val="00B97ACA"/>
    <w:rsid w:val="00BA075C"/>
    <w:rsid w:val="00BA4A9A"/>
    <w:rsid w:val="00BA5C34"/>
    <w:rsid w:val="00BA68DE"/>
    <w:rsid w:val="00BB18A1"/>
    <w:rsid w:val="00BB3789"/>
    <w:rsid w:val="00BB6ACE"/>
    <w:rsid w:val="00BB6F67"/>
    <w:rsid w:val="00BC156B"/>
    <w:rsid w:val="00BC48BD"/>
    <w:rsid w:val="00BC586A"/>
    <w:rsid w:val="00BD52AD"/>
    <w:rsid w:val="00BD554A"/>
    <w:rsid w:val="00BE4FF4"/>
    <w:rsid w:val="00BE7728"/>
    <w:rsid w:val="00BF03E6"/>
    <w:rsid w:val="00BF06A1"/>
    <w:rsid w:val="00C03CC1"/>
    <w:rsid w:val="00C30AD4"/>
    <w:rsid w:val="00C3183D"/>
    <w:rsid w:val="00C4015C"/>
    <w:rsid w:val="00C44141"/>
    <w:rsid w:val="00C504A9"/>
    <w:rsid w:val="00C54C4D"/>
    <w:rsid w:val="00C57456"/>
    <w:rsid w:val="00C67B39"/>
    <w:rsid w:val="00C71A32"/>
    <w:rsid w:val="00C77494"/>
    <w:rsid w:val="00C87A2F"/>
    <w:rsid w:val="00C87E03"/>
    <w:rsid w:val="00C91B7F"/>
    <w:rsid w:val="00C946B4"/>
    <w:rsid w:val="00C9531B"/>
    <w:rsid w:val="00C96D72"/>
    <w:rsid w:val="00CA0746"/>
    <w:rsid w:val="00CA3CF4"/>
    <w:rsid w:val="00CA7CF8"/>
    <w:rsid w:val="00CB1E86"/>
    <w:rsid w:val="00CB46A6"/>
    <w:rsid w:val="00CB65E6"/>
    <w:rsid w:val="00CC0B53"/>
    <w:rsid w:val="00CC4E81"/>
    <w:rsid w:val="00CD4CCA"/>
    <w:rsid w:val="00CD7630"/>
    <w:rsid w:val="00CF0CAC"/>
    <w:rsid w:val="00CF5188"/>
    <w:rsid w:val="00D14134"/>
    <w:rsid w:val="00D1591D"/>
    <w:rsid w:val="00D235F5"/>
    <w:rsid w:val="00D23FC9"/>
    <w:rsid w:val="00D25893"/>
    <w:rsid w:val="00D3359A"/>
    <w:rsid w:val="00D35A34"/>
    <w:rsid w:val="00D36F30"/>
    <w:rsid w:val="00D5085A"/>
    <w:rsid w:val="00D53247"/>
    <w:rsid w:val="00D64987"/>
    <w:rsid w:val="00D670A8"/>
    <w:rsid w:val="00D70693"/>
    <w:rsid w:val="00D9051C"/>
    <w:rsid w:val="00D90BAD"/>
    <w:rsid w:val="00DA2656"/>
    <w:rsid w:val="00DA2DDB"/>
    <w:rsid w:val="00DA5D20"/>
    <w:rsid w:val="00DB3259"/>
    <w:rsid w:val="00DB55FD"/>
    <w:rsid w:val="00DC2381"/>
    <w:rsid w:val="00DC5944"/>
    <w:rsid w:val="00DD621F"/>
    <w:rsid w:val="00DD7DFB"/>
    <w:rsid w:val="00DE24B5"/>
    <w:rsid w:val="00DE7A7F"/>
    <w:rsid w:val="00DF0055"/>
    <w:rsid w:val="00DF1A88"/>
    <w:rsid w:val="00DF675C"/>
    <w:rsid w:val="00DF77B1"/>
    <w:rsid w:val="00E00E4C"/>
    <w:rsid w:val="00E1335A"/>
    <w:rsid w:val="00E1479D"/>
    <w:rsid w:val="00E14939"/>
    <w:rsid w:val="00E25A25"/>
    <w:rsid w:val="00E307E2"/>
    <w:rsid w:val="00E41A1B"/>
    <w:rsid w:val="00E46602"/>
    <w:rsid w:val="00E543DC"/>
    <w:rsid w:val="00E60908"/>
    <w:rsid w:val="00E70BFE"/>
    <w:rsid w:val="00E738C9"/>
    <w:rsid w:val="00E76D41"/>
    <w:rsid w:val="00E821FA"/>
    <w:rsid w:val="00E8434B"/>
    <w:rsid w:val="00E8450B"/>
    <w:rsid w:val="00E84637"/>
    <w:rsid w:val="00E86F4C"/>
    <w:rsid w:val="00E91024"/>
    <w:rsid w:val="00EA1CCA"/>
    <w:rsid w:val="00EA6ADE"/>
    <w:rsid w:val="00EA6F5E"/>
    <w:rsid w:val="00EB314D"/>
    <w:rsid w:val="00EB37C2"/>
    <w:rsid w:val="00EB732C"/>
    <w:rsid w:val="00ED12F3"/>
    <w:rsid w:val="00ED3927"/>
    <w:rsid w:val="00EE6CB1"/>
    <w:rsid w:val="00EF5B64"/>
    <w:rsid w:val="00F02F12"/>
    <w:rsid w:val="00F25AB4"/>
    <w:rsid w:val="00F374DC"/>
    <w:rsid w:val="00F42441"/>
    <w:rsid w:val="00F45A98"/>
    <w:rsid w:val="00F54BE1"/>
    <w:rsid w:val="00F6060E"/>
    <w:rsid w:val="00F65951"/>
    <w:rsid w:val="00F727A5"/>
    <w:rsid w:val="00F80882"/>
    <w:rsid w:val="00F816A0"/>
    <w:rsid w:val="00F96FE6"/>
    <w:rsid w:val="00FA4BF4"/>
    <w:rsid w:val="00FA58F0"/>
    <w:rsid w:val="00FA725B"/>
    <w:rsid w:val="00FB13FD"/>
    <w:rsid w:val="00FB4489"/>
    <w:rsid w:val="00FB6DEF"/>
    <w:rsid w:val="00FC3E6E"/>
    <w:rsid w:val="00FC4595"/>
    <w:rsid w:val="00FC6962"/>
    <w:rsid w:val="00FD00A9"/>
    <w:rsid w:val="00FD03AD"/>
    <w:rsid w:val="00FD286C"/>
    <w:rsid w:val="00FD6A5A"/>
    <w:rsid w:val="00FD7519"/>
    <w:rsid w:val="00FF60D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A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7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75C"/>
    <w:rPr>
      <w:sz w:val="16"/>
      <w:szCs w:val="16"/>
    </w:rPr>
  </w:style>
  <w:style w:type="paragraph" w:styleId="CommentText">
    <w:name w:val="annotation text"/>
    <w:basedOn w:val="Normal"/>
    <w:link w:val="CommentTextChar"/>
    <w:uiPriority w:val="99"/>
    <w:semiHidden/>
    <w:unhideWhenUsed/>
    <w:rsid w:val="00DF675C"/>
    <w:pPr>
      <w:spacing w:line="240" w:lineRule="auto"/>
    </w:pPr>
    <w:rPr>
      <w:sz w:val="20"/>
      <w:szCs w:val="20"/>
    </w:rPr>
  </w:style>
  <w:style w:type="character" w:customStyle="1" w:styleId="CommentTextChar">
    <w:name w:val="Comment Text Char"/>
    <w:basedOn w:val="DefaultParagraphFont"/>
    <w:link w:val="CommentText"/>
    <w:uiPriority w:val="99"/>
    <w:semiHidden/>
    <w:rsid w:val="00DF675C"/>
    <w:rPr>
      <w:sz w:val="20"/>
      <w:szCs w:val="20"/>
    </w:rPr>
  </w:style>
  <w:style w:type="paragraph" w:styleId="CommentSubject">
    <w:name w:val="annotation subject"/>
    <w:basedOn w:val="CommentText"/>
    <w:next w:val="CommentText"/>
    <w:link w:val="CommentSubjectChar"/>
    <w:uiPriority w:val="99"/>
    <w:semiHidden/>
    <w:unhideWhenUsed/>
    <w:rsid w:val="00DF675C"/>
    <w:rPr>
      <w:b/>
      <w:bCs/>
    </w:rPr>
  </w:style>
  <w:style w:type="character" w:customStyle="1" w:styleId="CommentSubjectChar">
    <w:name w:val="Comment Subject Char"/>
    <w:basedOn w:val="CommentTextChar"/>
    <w:link w:val="CommentSubject"/>
    <w:uiPriority w:val="99"/>
    <w:semiHidden/>
    <w:rsid w:val="00DF675C"/>
    <w:rPr>
      <w:b/>
      <w:bCs/>
      <w:sz w:val="20"/>
      <w:szCs w:val="20"/>
    </w:rPr>
  </w:style>
  <w:style w:type="paragraph" w:styleId="BalloonText">
    <w:name w:val="Balloon Text"/>
    <w:basedOn w:val="Normal"/>
    <w:link w:val="BalloonTextChar"/>
    <w:uiPriority w:val="99"/>
    <w:semiHidden/>
    <w:unhideWhenUsed/>
    <w:rsid w:val="00DF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5C"/>
    <w:rPr>
      <w:rFonts w:ascii="Tahoma" w:hAnsi="Tahoma" w:cs="Tahoma"/>
      <w:sz w:val="16"/>
      <w:szCs w:val="16"/>
    </w:rPr>
  </w:style>
  <w:style w:type="table" w:styleId="TableGrid">
    <w:name w:val="Table Grid"/>
    <w:basedOn w:val="TableNormal"/>
    <w:uiPriority w:val="59"/>
    <w:rsid w:val="00A32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2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259"/>
    <w:rPr>
      <w:sz w:val="20"/>
      <w:szCs w:val="20"/>
    </w:rPr>
  </w:style>
  <w:style w:type="character" w:styleId="FootnoteReference">
    <w:name w:val="footnote reference"/>
    <w:basedOn w:val="DefaultParagraphFont"/>
    <w:uiPriority w:val="99"/>
    <w:semiHidden/>
    <w:unhideWhenUsed/>
    <w:rsid w:val="00DB3259"/>
    <w:rPr>
      <w:vertAlign w:val="superscript"/>
    </w:rPr>
  </w:style>
  <w:style w:type="character" w:customStyle="1" w:styleId="Heading1Char">
    <w:name w:val="Heading 1 Char"/>
    <w:basedOn w:val="DefaultParagraphFont"/>
    <w:link w:val="Heading1"/>
    <w:uiPriority w:val="9"/>
    <w:rsid w:val="000913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229D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unhideWhenUsed/>
    <w:rsid w:val="004F5F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F5FF6"/>
  </w:style>
  <w:style w:type="paragraph" w:styleId="Footer">
    <w:name w:val="footer"/>
    <w:basedOn w:val="Normal"/>
    <w:link w:val="FooterChar"/>
    <w:uiPriority w:val="99"/>
    <w:unhideWhenUsed/>
    <w:rsid w:val="004F5F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5FF6"/>
  </w:style>
  <w:style w:type="character" w:customStyle="1" w:styleId="Heading3Char">
    <w:name w:val="Heading 3 Char"/>
    <w:basedOn w:val="DefaultParagraphFont"/>
    <w:link w:val="Heading3"/>
    <w:uiPriority w:val="9"/>
    <w:rsid w:val="00CA074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D2883"/>
    <w:rPr>
      <w:color w:val="808080"/>
    </w:rPr>
  </w:style>
  <w:style w:type="paragraph" w:styleId="Revision">
    <w:name w:val="Revision"/>
    <w:hidden/>
    <w:uiPriority w:val="99"/>
    <w:semiHidden/>
    <w:rsid w:val="00307441"/>
    <w:pPr>
      <w:spacing w:after="0" w:line="240" w:lineRule="auto"/>
    </w:pPr>
  </w:style>
  <w:style w:type="character" w:styleId="Emphasis">
    <w:name w:val="Emphasis"/>
    <w:basedOn w:val="DefaultParagraphFont"/>
    <w:uiPriority w:val="20"/>
    <w:qFormat/>
    <w:rsid w:val="00CC4E81"/>
    <w:rPr>
      <w:i/>
      <w:iCs/>
    </w:rPr>
  </w:style>
  <w:style w:type="character" w:customStyle="1" w:styleId="googqs-tidbit">
    <w:name w:val="goog_qs-tidbit"/>
    <w:basedOn w:val="DefaultParagraphFont"/>
    <w:rsid w:val="00CC4E81"/>
  </w:style>
  <w:style w:type="character" w:styleId="PageNumber">
    <w:name w:val="page number"/>
    <w:basedOn w:val="DefaultParagraphFont"/>
    <w:uiPriority w:val="99"/>
    <w:semiHidden/>
    <w:unhideWhenUsed/>
    <w:rsid w:val="0093384B"/>
  </w:style>
  <w:style w:type="character" w:customStyle="1" w:styleId="apple-converted-space">
    <w:name w:val="apple-converted-space"/>
    <w:basedOn w:val="DefaultParagraphFont"/>
    <w:rsid w:val="007269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1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7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75C"/>
    <w:rPr>
      <w:sz w:val="16"/>
      <w:szCs w:val="16"/>
    </w:rPr>
  </w:style>
  <w:style w:type="paragraph" w:styleId="CommentText">
    <w:name w:val="annotation text"/>
    <w:basedOn w:val="Normal"/>
    <w:link w:val="CommentTextChar"/>
    <w:uiPriority w:val="99"/>
    <w:semiHidden/>
    <w:unhideWhenUsed/>
    <w:rsid w:val="00DF675C"/>
    <w:pPr>
      <w:spacing w:line="240" w:lineRule="auto"/>
    </w:pPr>
    <w:rPr>
      <w:sz w:val="20"/>
      <w:szCs w:val="20"/>
    </w:rPr>
  </w:style>
  <w:style w:type="character" w:customStyle="1" w:styleId="CommentTextChar">
    <w:name w:val="Comment Text Char"/>
    <w:basedOn w:val="DefaultParagraphFont"/>
    <w:link w:val="CommentText"/>
    <w:uiPriority w:val="99"/>
    <w:semiHidden/>
    <w:rsid w:val="00DF675C"/>
    <w:rPr>
      <w:sz w:val="20"/>
      <w:szCs w:val="20"/>
    </w:rPr>
  </w:style>
  <w:style w:type="paragraph" w:styleId="CommentSubject">
    <w:name w:val="annotation subject"/>
    <w:basedOn w:val="CommentText"/>
    <w:next w:val="CommentText"/>
    <w:link w:val="CommentSubjectChar"/>
    <w:uiPriority w:val="99"/>
    <w:semiHidden/>
    <w:unhideWhenUsed/>
    <w:rsid w:val="00DF675C"/>
    <w:rPr>
      <w:b/>
      <w:bCs/>
    </w:rPr>
  </w:style>
  <w:style w:type="character" w:customStyle="1" w:styleId="CommentSubjectChar">
    <w:name w:val="Comment Subject Char"/>
    <w:basedOn w:val="CommentTextChar"/>
    <w:link w:val="CommentSubject"/>
    <w:uiPriority w:val="99"/>
    <w:semiHidden/>
    <w:rsid w:val="00DF675C"/>
    <w:rPr>
      <w:b/>
      <w:bCs/>
      <w:sz w:val="20"/>
      <w:szCs w:val="20"/>
    </w:rPr>
  </w:style>
  <w:style w:type="paragraph" w:styleId="BalloonText">
    <w:name w:val="Balloon Text"/>
    <w:basedOn w:val="Normal"/>
    <w:link w:val="BalloonTextChar"/>
    <w:uiPriority w:val="99"/>
    <w:semiHidden/>
    <w:unhideWhenUsed/>
    <w:rsid w:val="00DF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5C"/>
    <w:rPr>
      <w:rFonts w:ascii="Tahoma" w:hAnsi="Tahoma" w:cs="Tahoma"/>
      <w:sz w:val="16"/>
      <w:szCs w:val="16"/>
    </w:rPr>
  </w:style>
  <w:style w:type="table" w:styleId="TableGrid">
    <w:name w:val="Table Grid"/>
    <w:basedOn w:val="TableNormal"/>
    <w:uiPriority w:val="59"/>
    <w:rsid w:val="00A32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2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259"/>
    <w:rPr>
      <w:sz w:val="20"/>
      <w:szCs w:val="20"/>
    </w:rPr>
  </w:style>
  <w:style w:type="character" w:styleId="FootnoteReference">
    <w:name w:val="footnote reference"/>
    <w:basedOn w:val="DefaultParagraphFont"/>
    <w:uiPriority w:val="99"/>
    <w:semiHidden/>
    <w:unhideWhenUsed/>
    <w:rsid w:val="00DB3259"/>
    <w:rPr>
      <w:vertAlign w:val="superscript"/>
    </w:rPr>
  </w:style>
  <w:style w:type="character" w:customStyle="1" w:styleId="Heading1Char">
    <w:name w:val="Heading 1 Char"/>
    <w:basedOn w:val="DefaultParagraphFont"/>
    <w:link w:val="Heading1"/>
    <w:uiPriority w:val="9"/>
    <w:rsid w:val="000913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229D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unhideWhenUsed/>
    <w:rsid w:val="004F5F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F5FF6"/>
  </w:style>
  <w:style w:type="paragraph" w:styleId="Footer">
    <w:name w:val="footer"/>
    <w:basedOn w:val="Normal"/>
    <w:link w:val="FooterChar"/>
    <w:uiPriority w:val="99"/>
    <w:unhideWhenUsed/>
    <w:rsid w:val="004F5F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5FF6"/>
  </w:style>
  <w:style w:type="character" w:customStyle="1" w:styleId="Heading3Char">
    <w:name w:val="Heading 3 Char"/>
    <w:basedOn w:val="DefaultParagraphFont"/>
    <w:link w:val="Heading3"/>
    <w:uiPriority w:val="9"/>
    <w:rsid w:val="00CA074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D2883"/>
    <w:rPr>
      <w:color w:val="808080"/>
    </w:rPr>
  </w:style>
  <w:style w:type="paragraph" w:styleId="Revision">
    <w:name w:val="Revision"/>
    <w:hidden/>
    <w:uiPriority w:val="99"/>
    <w:semiHidden/>
    <w:rsid w:val="00307441"/>
    <w:pPr>
      <w:spacing w:after="0" w:line="240" w:lineRule="auto"/>
    </w:pPr>
  </w:style>
  <w:style w:type="character" w:styleId="Emphasis">
    <w:name w:val="Emphasis"/>
    <w:basedOn w:val="DefaultParagraphFont"/>
    <w:uiPriority w:val="20"/>
    <w:qFormat/>
    <w:rsid w:val="00CC4E81"/>
    <w:rPr>
      <w:i/>
      <w:iCs/>
    </w:rPr>
  </w:style>
  <w:style w:type="character" w:customStyle="1" w:styleId="googqs-tidbit">
    <w:name w:val="goog_qs-tidbit"/>
    <w:basedOn w:val="DefaultParagraphFont"/>
    <w:rsid w:val="00CC4E81"/>
  </w:style>
  <w:style w:type="character" w:styleId="PageNumber">
    <w:name w:val="page number"/>
    <w:basedOn w:val="DefaultParagraphFont"/>
    <w:uiPriority w:val="99"/>
    <w:semiHidden/>
    <w:unhideWhenUsed/>
    <w:rsid w:val="0093384B"/>
  </w:style>
  <w:style w:type="character" w:customStyle="1" w:styleId="apple-converted-space">
    <w:name w:val="apple-converted-space"/>
    <w:basedOn w:val="DefaultParagraphFont"/>
    <w:rsid w:val="0072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10">
      <w:bodyDiv w:val="1"/>
      <w:marLeft w:val="0"/>
      <w:marRight w:val="0"/>
      <w:marTop w:val="0"/>
      <w:marBottom w:val="0"/>
      <w:divBdr>
        <w:top w:val="none" w:sz="0" w:space="0" w:color="auto"/>
        <w:left w:val="none" w:sz="0" w:space="0" w:color="auto"/>
        <w:bottom w:val="none" w:sz="0" w:space="0" w:color="auto"/>
        <w:right w:val="none" w:sz="0" w:space="0" w:color="auto"/>
      </w:divBdr>
    </w:div>
    <w:div w:id="37247655">
      <w:bodyDiv w:val="1"/>
      <w:marLeft w:val="0"/>
      <w:marRight w:val="0"/>
      <w:marTop w:val="0"/>
      <w:marBottom w:val="0"/>
      <w:divBdr>
        <w:top w:val="none" w:sz="0" w:space="0" w:color="auto"/>
        <w:left w:val="none" w:sz="0" w:space="0" w:color="auto"/>
        <w:bottom w:val="none" w:sz="0" w:space="0" w:color="auto"/>
        <w:right w:val="none" w:sz="0" w:space="0" w:color="auto"/>
      </w:divBdr>
    </w:div>
    <w:div w:id="58404727">
      <w:bodyDiv w:val="1"/>
      <w:marLeft w:val="0"/>
      <w:marRight w:val="0"/>
      <w:marTop w:val="0"/>
      <w:marBottom w:val="0"/>
      <w:divBdr>
        <w:top w:val="none" w:sz="0" w:space="0" w:color="auto"/>
        <w:left w:val="none" w:sz="0" w:space="0" w:color="auto"/>
        <w:bottom w:val="none" w:sz="0" w:space="0" w:color="auto"/>
        <w:right w:val="none" w:sz="0" w:space="0" w:color="auto"/>
      </w:divBdr>
    </w:div>
    <w:div w:id="92021575">
      <w:bodyDiv w:val="1"/>
      <w:marLeft w:val="0"/>
      <w:marRight w:val="0"/>
      <w:marTop w:val="0"/>
      <w:marBottom w:val="0"/>
      <w:divBdr>
        <w:top w:val="none" w:sz="0" w:space="0" w:color="auto"/>
        <w:left w:val="none" w:sz="0" w:space="0" w:color="auto"/>
        <w:bottom w:val="none" w:sz="0" w:space="0" w:color="auto"/>
        <w:right w:val="none" w:sz="0" w:space="0" w:color="auto"/>
      </w:divBdr>
    </w:div>
    <w:div w:id="98835280">
      <w:bodyDiv w:val="1"/>
      <w:marLeft w:val="0"/>
      <w:marRight w:val="0"/>
      <w:marTop w:val="0"/>
      <w:marBottom w:val="0"/>
      <w:divBdr>
        <w:top w:val="none" w:sz="0" w:space="0" w:color="auto"/>
        <w:left w:val="none" w:sz="0" w:space="0" w:color="auto"/>
        <w:bottom w:val="none" w:sz="0" w:space="0" w:color="auto"/>
        <w:right w:val="none" w:sz="0" w:space="0" w:color="auto"/>
      </w:divBdr>
    </w:div>
    <w:div w:id="118381507">
      <w:bodyDiv w:val="1"/>
      <w:marLeft w:val="0"/>
      <w:marRight w:val="0"/>
      <w:marTop w:val="0"/>
      <w:marBottom w:val="0"/>
      <w:divBdr>
        <w:top w:val="none" w:sz="0" w:space="0" w:color="auto"/>
        <w:left w:val="none" w:sz="0" w:space="0" w:color="auto"/>
        <w:bottom w:val="none" w:sz="0" w:space="0" w:color="auto"/>
        <w:right w:val="none" w:sz="0" w:space="0" w:color="auto"/>
      </w:divBdr>
    </w:div>
    <w:div w:id="123158811">
      <w:bodyDiv w:val="1"/>
      <w:marLeft w:val="0"/>
      <w:marRight w:val="0"/>
      <w:marTop w:val="0"/>
      <w:marBottom w:val="0"/>
      <w:divBdr>
        <w:top w:val="none" w:sz="0" w:space="0" w:color="auto"/>
        <w:left w:val="none" w:sz="0" w:space="0" w:color="auto"/>
        <w:bottom w:val="none" w:sz="0" w:space="0" w:color="auto"/>
        <w:right w:val="none" w:sz="0" w:space="0" w:color="auto"/>
      </w:divBdr>
    </w:div>
    <w:div w:id="125123550">
      <w:bodyDiv w:val="1"/>
      <w:marLeft w:val="0"/>
      <w:marRight w:val="0"/>
      <w:marTop w:val="0"/>
      <w:marBottom w:val="0"/>
      <w:divBdr>
        <w:top w:val="none" w:sz="0" w:space="0" w:color="auto"/>
        <w:left w:val="none" w:sz="0" w:space="0" w:color="auto"/>
        <w:bottom w:val="none" w:sz="0" w:space="0" w:color="auto"/>
        <w:right w:val="none" w:sz="0" w:space="0" w:color="auto"/>
      </w:divBdr>
    </w:div>
    <w:div w:id="187569349">
      <w:bodyDiv w:val="1"/>
      <w:marLeft w:val="0"/>
      <w:marRight w:val="0"/>
      <w:marTop w:val="0"/>
      <w:marBottom w:val="0"/>
      <w:divBdr>
        <w:top w:val="none" w:sz="0" w:space="0" w:color="auto"/>
        <w:left w:val="none" w:sz="0" w:space="0" w:color="auto"/>
        <w:bottom w:val="none" w:sz="0" w:space="0" w:color="auto"/>
        <w:right w:val="none" w:sz="0" w:space="0" w:color="auto"/>
      </w:divBdr>
    </w:div>
    <w:div w:id="195705985">
      <w:bodyDiv w:val="1"/>
      <w:marLeft w:val="0"/>
      <w:marRight w:val="0"/>
      <w:marTop w:val="0"/>
      <w:marBottom w:val="0"/>
      <w:divBdr>
        <w:top w:val="none" w:sz="0" w:space="0" w:color="auto"/>
        <w:left w:val="none" w:sz="0" w:space="0" w:color="auto"/>
        <w:bottom w:val="none" w:sz="0" w:space="0" w:color="auto"/>
        <w:right w:val="none" w:sz="0" w:space="0" w:color="auto"/>
      </w:divBdr>
    </w:div>
    <w:div w:id="266892809">
      <w:bodyDiv w:val="1"/>
      <w:marLeft w:val="0"/>
      <w:marRight w:val="0"/>
      <w:marTop w:val="0"/>
      <w:marBottom w:val="0"/>
      <w:divBdr>
        <w:top w:val="none" w:sz="0" w:space="0" w:color="auto"/>
        <w:left w:val="none" w:sz="0" w:space="0" w:color="auto"/>
        <w:bottom w:val="none" w:sz="0" w:space="0" w:color="auto"/>
        <w:right w:val="none" w:sz="0" w:space="0" w:color="auto"/>
      </w:divBdr>
    </w:div>
    <w:div w:id="317346211">
      <w:bodyDiv w:val="1"/>
      <w:marLeft w:val="0"/>
      <w:marRight w:val="0"/>
      <w:marTop w:val="0"/>
      <w:marBottom w:val="0"/>
      <w:divBdr>
        <w:top w:val="none" w:sz="0" w:space="0" w:color="auto"/>
        <w:left w:val="none" w:sz="0" w:space="0" w:color="auto"/>
        <w:bottom w:val="none" w:sz="0" w:space="0" w:color="auto"/>
        <w:right w:val="none" w:sz="0" w:space="0" w:color="auto"/>
      </w:divBdr>
    </w:div>
    <w:div w:id="322199724">
      <w:bodyDiv w:val="1"/>
      <w:marLeft w:val="0"/>
      <w:marRight w:val="0"/>
      <w:marTop w:val="0"/>
      <w:marBottom w:val="0"/>
      <w:divBdr>
        <w:top w:val="none" w:sz="0" w:space="0" w:color="auto"/>
        <w:left w:val="none" w:sz="0" w:space="0" w:color="auto"/>
        <w:bottom w:val="none" w:sz="0" w:space="0" w:color="auto"/>
        <w:right w:val="none" w:sz="0" w:space="0" w:color="auto"/>
      </w:divBdr>
    </w:div>
    <w:div w:id="324020987">
      <w:bodyDiv w:val="1"/>
      <w:marLeft w:val="0"/>
      <w:marRight w:val="0"/>
      <w:marTop w:val="0"/>
      <w:marBottom w:val="0"/>
      <w:divBdr>
        <w:top w:val="none" w:sz="0" w:space="0" w:color="auto"/>
        <w:left w:val="none" w:sz="0" w:space="0" w:color="auto"/>
        <w:bottom w:val="none" w:sz="0" w:space="0" w:color="auto"/>
        <w:right w:val="none" w:sz="0" w:space="0" w:color="auto"/>
      </w:divBdr>
    </w:div>
    <w:div w:id="344986046">
      <w:bodyDiv w:val="1"/>
      <w:marLeft w:val="0"/>
      <w:marRight w:val="0"/>
      <w:marTop w:val="0"/>
      <w:marBottom w:val="0"/>
      <w:divBdr>
        <w:top w:val="none" w:sz="0" w:space="0" w:color="auto"/>
        <w:left w:val="none" w:sz="0" w:space="0" w:color="auto"/>
        <w:bottom w:val="none" w:sz="0" w:space="0" w:color="auto"/>
        <w:right w:val="none" w:sz="0" w:space="0" w:color="auto"/>
      </w:divBdr>
    </w:div>
    <w:div w:id="382171806">
      <w:bodyDiv w:val="1"/>
      <w:marLeft w:val="0"/>
      <w:marRight w:val="0"/>
      <w:marTop w:val="0"/>
      <w:marBottom w:val="0"/>
      <w:divBdr>
        <w:top w:val="none" w:sz="0" w:space="0" w:color="auto"/>
        <w:left w:val="none" w:sz="0" w:space="0" w:color="auto"/>
        <w:bottom w:val="none" w:sz="0" w:space="0" w:color="auto"/>
        <w:right w:val="none" w:sz="0" w:space="0" w:color="auto"/>
      </w:divBdr>
    </w:div>
    <w:div w:id="383722669">
      <w:bodyDiv w:val="1"/>
      <w:marLeft w:val="0"/>
      <w:marRight w:val="0"/>
      <w:marTop w:val="0"/>
      <w:marBottom w:val="0"/>
      <w:divBdr>
        <w:top w:val="none" w:sz="0" w:space="0" w:color="auto"/>
        <w:left w:val="none" w:sz="0" w:space="0" w:color="auto"/>
        <w:bottom w:val="none" w:sz="0" w:space="0" w:color="auto"/>
        <w:right w:val="none" w:sz="0" w:space="0" w:color="auto"/>
      </w:divBdr>
    </w:div>
    <w:div w:id="389883396">
      <w:bodyDiv w:val="1"/>
      <w:marLeft w:val="0"/>
      <w:marRight w:val="0"/>
      <w:marTop w:val="0"/>
      <w:marBottom w:val="0"/>
      <w:divBdr>
        <w:top w:val="none" w:sz="0" w:space="0" w:color="auto"/>
        <w:left w:val="none" w:sz="0" w:space="0" w:color="auto"/>
        <w:bottom w:val="none" w:sz="0" w:space="0" w:color="auto"/>
        <w:right w:val="none" w:sz="0" w:space="0" w:color="auto"/>
      </w:divBdr>
    </w:div>
    <w:div w:id="391196786">
      <w:bodyDiv w:val="1"/>
      <w:marLeft w:val="0"/>
      <w:marRight w:val="0"/>
      <w:marTop w:val="0"/>
      <w:marBottom w:val="0"/>
      <w:divBdr>
        <w:top w:val="none" w:sz="0" w:space="0" w:color="auto"/>
        <w:left w:val="none" w:sz="0" w:space="0" w:color="auto"/>
        <w:bottom w:val="none" w:sz="0" w:space="0" w:color="auto"/>
        <w:right w:val="none" w:sz="0" w:space="0" w:color="auto"/>
      </w:divBdr>
    </w:div>
    <w:div w:id="419065965">
      <w:bodyDiv w:val="1"/>
      <w:marLeft w:val="0"/>
      <w:marRight w:val="0"/>
      <w:marTop w:val="0"/>
      <w:marBottom w:val="0"/>
      <w:divBdr>
        <w:top w:val="none" w:sz="0" w:space="0" w:color="auto"/>
        <w:left w:val="none" w:sz="0" w:space="0" w:color="auto"/>
        <w:bottom w:val="none" w:sz="0" w:space="0" w:color="auto"/>
        <w:right w:val="none" w:sz="0" w:space="0" w:color="auto"/>
      </w:divBdr>
    </w:div>
    <w:div w:id="450901800">
      <w:bodyDiv w:val="1"/>
      <w:marLeft w:val="0"/>
      <w:marRight w:val="0"/>
      <w:marTop w:val="0"/>
      <w:marBottom w:val="0"/>
      <w:divBdr>
        <w:top w:val="none" w:sz="0" w:space="0" w:color="auto"/>
        <w:left w:val="none" w:sz="0" w:space="0" w:color="auto"/>
        <w:bottom w:val="none" w:sz="0" w:space="0" w:color="auto"/>
        <w:right w:val="none" w:sz="0" w:space="0" w:color="auto"/>
      </w:divBdr>
    </w:div>
    <w:div w:id="468016798">
      <w:bodyDiv w:val="1"/>
      <w:marLeft w:val="0"/>
      <w:marRight w:val="0"/>
      <w:marTop w:val="0"/>
      <w:marBottom w:val="0"/>
      <w:divBdr>
        <w:top w:val="none" w:sz="0" w:space="0" w:color="auto"/>
        <w:left w:val="none" w:sz="0" w:space="0" w:color="auto"/>
        <w:bottom w:val="none" w:sz="0" w:space="0" w:color="auto"/>
        <w:right w:val="none" w:sz="0" w:space="0" w:color="auto"/>
      </w:divBdr>
    </w:div>
    <w:div w:id="468792135">
      <w:bodyDiv w:val="1"/>
      <w:marLeft w:val="0"/>
      <w:marRight w:val="0"/>
      <w:marTop w:val="0"/>
      <w:marBottom w:val="0"/>
      <w:divBdr>
        <w:top w:val="none" w:sz="0" w:space="0" w:color="auto"/>
        <w:left w:val="none" w:sz="0" w:space="0" w:color="auto"/>
        <w:bottom w:val="none" w:sz="0" w:space="0" w:color="auto"/>
        <w:right w:val="none" w:sz="0" w:space="0" w:color="auto"/>
      </w:divBdr>
    </w:div>
    <w:div w:id="509486955">
      <w:bodyDiv w:val="1"/>
      <w:marLeft w:val="0"/>
      <w:marRight w:val="0"/>
      <w:marTop w:val="0"/>
      <w:marBottom w:val="0"/>
      <w:divBdr>
        <w:top w:val="none" w:sz="0" w:space="0" w:color="auto"/>
        <w:left w:val="none" w:sz="0" w:space="0" w:color="auto"/>
        <w:bottom w:val="none" w:sz="0" w:space="0" w:color="auto"/>
        <w:right w:val="none" w:sz="0" w:space="0" w:color="auto"/>
      </w:divBdr>
    </w:div>
    <w:div w:id="582839406">
      <w:bodyDiv w:val="1"/>
      <w:marLeft w:val="0"/>
      <w:marRight w:val="0"/>
      <w:marTop w:val="0"/>
      <w:marBottom w:val="0"/>
      <w:divBdr>
        <w:top w:val="none" w:sz="0" w:space="0" w:color="auto"/>
        <w:left w:val="none" w:sz="0" w:space="0" w:color="auto"/>
        <w:bottom w:val="none" w:sz="0" w:space="0" w:color="auto"/>
        <w:right w:val="none" w:sz="0" w:space="0" w:color="auto"/>
      </w:divBdr>
    </w:div>
    <w:div w:id="597829086">
      <w:bodyDiv w:val="1"/>
      <w:marLeft w:val="0"/>
      <w:marRight w:val="0"/>
      <w:marTop w:val="0"/>
      <w:marBottom w:val="0"/>
      <w:divBdr>
        <w:top w:val="none" w:sz="0" w:space="0" w:color="auto"/>
        <w:left w:val="none" w:sz="0" w:space="0" w:color="auto"/>
        <w:bottom w:val="none" w:sz="0" w:space="0" w:color="auto"/>
        <w:right w:val="none" w:sz="0" w:space="0" w:color="auto"/>
      </w:divBdr>
    </w:div>
    <w:div w:id="727610305">
      <w:bodyDiv w:val="1"/>
      <w:marLeft w:val="0"/>
      <w:marRight w:val="0"/>
      <w:marTop w:val="0"/>
      <w:marBottom w:val="0"/>
      <w:divBdr>
        <w:top w:val="none" w:sz="0" w:space="0" w:color="auto"/>
        <w:left w:val="none" w:sz="0" w:space="0" w:color="auto"/>
        <w:bottom w:val="none" w:sz="0" w:space="0" w:color="auto"/>
        <w:right w:val="none" w:sz="0" w:space="0" w:color="auto"/>
      </w:divBdr>
    </w:div>
    <w:div w:id="779835850">
      <w:bodyDiv w:val="1"/>
      <w:marLeft w:val="0"/>
      <w:marRight w:val="0"/>
      <w:marTop w:val="0"/>
      <w:marBottom w:val="0"/>
      <w:divBdr>
        <w:top w:val="none" w:sz="0" w:space="0" w:color="auto"/>
        <w:left w:val="none" w:sz="0" w:space="0" w:color="auto"/>
        <w:bottom w:val="none" w:sz="0" w:space="0" w:color="auto"/>
        <w:right w:val="none" w:sz="0" w:space="0" w:color="auto"/>
      </w:divBdr>
    </w:div>
    <w:div w:id="826359876">
      <w:bodyDiv w:val="1"/>
      <w:marLeft w:val="0"/>
      <w:marRight w:val="0"/>
      <w:marTop w:val="0"/>
      <w:marBottom w:val="0"/>
      <w:divBdr>
        <w:top w:val="none" w:sz="0" w:space="0" w:color="auto"/>
        <w:left w:val="none" w:sz="0" w:space="0" w:color="auto"/>
        <w:bottom w:val="none" w:sz="0" w:space="0" w:color="auto"/>
        <w:right w:val="none" w:sz="0" w:space="0" w:color="auto"/>
      </w:divBdr>
    </w:div>
    <w:div w:id="840314125">
      <w:bodyDiv w:val="1"/>
      <w:marLeft w:val="0"/>
      <w:marRight w:val="0"/>
      <w:marTop w:val="0"/>
      <w:marBottom w:val="0"/>
      <w:divBdr>
        <w:top w:val="none" w:sz="0" w:space="0" w:color="auto"/>
        <w:left w:val="none" w:sz="0" w:space="0" w:color="auto"/>
        <w:bottom w:val="none" w:sz="0" w:space="0" w:color="auto"/>
        <w:right w:val="none" w:sz="0" w:space="0" w:color="auto"/>
      </w:divBdr>
    </w:div>
    <w:div w:id="852570701">
      <w:bodyDiv w:val="1"/>
      <w:marLeft w:val="0"/>
      <w:marRight w:val="0"/>
      <w:marTop w:val="0"/>
      <w:marBottom w:val="0"/>
      <w:divBdr>
        <w:top w:val="none" w:sz="0" w:space="0" w:color="auto"/>
        <w:left w:val="none" w:sz="0" w:space="0" w:color="auto"/>
        <w:bottom w:val="none" w:sz="0" w:space="0" w:color="auto"/>
        <w:right w:val="none" w:sz="0" w:space="0" w:color="auto"/>
      </w:divBdr>
    </w:div>
    <w:div w:id="905533857">
      <w:bodyDiv w:val="1"/>
      <w:marLeft w:val="0"/>
      <w:marRight w:val="0"/>
      <w:marTop w:val="0"/>
      <w:marBottom w:val="0"/>
      <w:divBdr>
        <w:top w:val="none" w:sz="0" w:space="0" w:color="auto"/>
        <w:left w:val="none" w:sz="0" w:space="0" w:color="auto"/>
        <w:bottom w:val="none" w:sz="0" w:space="0" w:color="auto"/>
        <w:right w:val="none" w:sz="0" w:space="0" w:color="auto"/>
      </w:divBdr>
    </w:div>
    <w:div w:id="922569905">
      <w:bodyDiv w:val="1"/>
      <w:marLeft w:val="0"/>
      <w:marRight w:val="0"/>
      <w:marTop w:val="0"/>
      <w:marBottom w:val="0"/>
      <w:divBdr>
        <w:top w:val="none" w:sz="0" w:space="0" w:color="auto"/>
        <w:left w:val="none" w:sz="0" w:space="0" w:color="auto"/>
        <w:bottom w:val="none" w:sz="0" w:space="0" w:color="auto"/>
        <w:right w:val="none" w:sz="0" w:space="0" w:color="auto"/>
      </w:divBdr>
    </w:div>
    <w:div w:id="940258076">
      <w:bodyDiv w:val="1"/>
      <w:marLeft w:val="0"/>
      <w:marRight w:val="0"/>
      <w:marTop w:val="0"/>
      <w:marBottom w:val="0"/>
      <w:divBdr>
        <w:top w:val="none" w:sz="0" w:space="0" w:color="auto"/>
        <w:left w:val="none" w:sz="0" w:space="0" w:color="auto"/>
        <w:bottom w:val="none" w:sz="0" w:space="0" w:color="auto"/>
        <w:right w:val="none" w:sz="0" w:space="0" w:color="auto"/>
      </w:divBdr>
    </w:div>
    <w:div w:id="956258408">
      <w:bodyDiv w:val="1"/>
      <w:marLeft w:val="0"/>
      <w:marRight w:val="0"/>
      <w:marTop w:val="0"/>
      <w:marBottom w:val="0"/>
      <w:divBdr>
        <w:top w:val="none" w:sz="0" w:space="0" w:color="auto"/>
        <w:left w:val="none" w:sz="0" w:space="0" w:color="auto"/>
        <w:bottom w:val="none" w:sz="0" w:space="0" w:color="auto"/>
        <w:right w:val="none" w:sz="0" w:space="0" w:color="auto"/>
      </w:divBdr>
    </w:div>
    <w:div w:id="1041054809">
      <w:bodyDiv w:val="1"/>
      <w:marLeft w:val="0"/>
      <w:marRight w:val="0"/>
      <w:marTop w:val="0"/>
      <w:marBottom w:val="0"/>
      <w:divBdr>
        <w:top w:val="none" w:sz="0" w:space="0" w:color="auto"/>
        <w:left w:val="none" w:sz="0" w:space="0" w:color="auto"/>
        <w:bottom w:val="none" w:sz="0" w:space="0" w:color="auto"/>
        <w:right w:val="none" w:sz="0" w:space="0" w:color="auto"/>
      </w:divBdr>
    </w:div>
    <w:div w:id="1075396781">
      <w:bodyDiv w:val="1"/>
      <w:marLeft w:val="0"/>
      <w:marRight w:val="0"/>
      <w:marTop w:val="0"/>
      <w:marBottom w:val="0"/>
      <w:divBdr>
        <w:top w:val="none" w:sz="0" w:space="0" w:color="auto"/>
        <w:left w:val="none" w:sz="0" w:space="0" w:color="auto"/>
        <w:bottom w:val="none" w:sz="0" w:space="0" w:color="auto"/>
        <w:right w:val="none" w:sz="0" w:space="0" w:color="auto"/>
      </w:divBdr>
    </w:div>
    <w:div w:id="1083262738">
      <w:bodyDiv w:val="1"/>
      <w:marLeft w:val="0"/>
      <w:marRight w:val="0"/>
      <w:marTop w:val="0"/>
      <w:marBottom w:val="0"/>
      <w:divBdr>
        <w:top w:val="none" w:sz="0" w:space="0" w:color="auto"/>
        <w:left w:val="none" w:sz="0" w:space="0" w:color="auto"/>
        <w:bottom w:val="none" w:sz="0" w:space="0" w:color="auto"/>
        <w:right w:val="none" w:sz="0" w:space="0" w:color="auto"/>
      </w:divBdr>
    </w:div>
    <w:div w:id="1101098440">
      <w:bodyDiv w:val="1"/>
      <w:marLeft w:val="0"/>
      <w:marRight w:val="0"/>
      <w:marTop w:val="0"/>
      <w:marBottom w:val="0"/>
      <w:divBdr>
        <w:top w:val="none" w:sz="0" w:space="0" w:color="auto"/>
        <w:left w:val="none" w:sz="0" w:space="0" w:color="auto"/>
        <w:bottom w:val="none" w:sz="0" w:space="0" w:color="auto"/>
        <w:right w:val="none" w:sz="0" w:space="0" w:color="auto"/>
      </w:divBdr>
    </w:div>
    <w:div w:id="1104115102">
      <w:bodyDiv w:val="1"/>
      <w:marLeft w:val="0"/>
      <w:marRight w:val="0"/>
      <w:marTop w:val="0"/>
      <w:marBottom w:val="0"/>
      <w:divBdr>
        <w:top w:val="none" w:sz="0" w:space="0" w:color="auto"/>
        <w:left w:val="none" w:sz="0" w:space="0" w:color="auto"/>
        <w:bottom w:val="none" w:sz="0" w:space="0" w:color="auto"/>
        <w:right w:val="none" w:sz="0" w:space="0" w:color="auto"/>
      </w:divBdr>
    </w:div>
    <w:div w:id="1150560109">
      <w:bodyDiv w:val="1"/>
      <w:marLeft w:val="0"/>
      <w:marRight w:val="0"/>
      <w:marTop w:val="0"/>
      <w:marBottom w:val="0"/>
      <w:divBdr>
        <w:top w:val="none" w:sz="0" w:space="0" w:color="auto"/>
        <w:left w:val="none" w:sz="0" w:space="0" w:color="auto"/>
        <w:bottom w:val="none" w:sz="0" w:space="0" w:color="auto"/>
        <w:right w:val="none" w:sz="0" w:space="0" w:color="auto"/>
      </w:divBdr>
    </w:div>
    <w:div w:id="1152058601">
      <w:bodyDiv w:val="1"/>
      <w:marLeft w:val="0"/>
      <w:marRight w:val="0"/>
      <w:marTop w:val="0"/>
      <w:marBottom w:val="0"/>
      <w:divBdr>
        <w:top w:val="none" w:sz="0" w:space="0" w:color="auto"/>
        <w:left w:val="none" w:sz="0" w:space="0" w:color="auto"/>
        <w:bottom w:val="none" w:sz="0" w:space="0" w:color="auto"/>
        <w:right w:val="none" w:sz="0" w:space="0" w:color="auto"/>
      </w:divBdr>
    </w:div>
    <w:div w:id="1166361109">
      <w:bodyDiv w:val="1"/>
      <w:marLeft w:val="0"/>
      <w:marRight w:val="0"/>
      <w:marTop w:val="0"/>
      <w:marBottom w:val="0"/>
      <w:divBdr>
        <w:top w:val="none" w:sz="0" w:space="0" w:color="auto"/>
        <w:left w:val="none" w:sz="0" w:space="0" w:color="auto"/>
        <w:bottom w:val="none" w:sz="0" w:space="0" w:color="auto"/>
        <w:right w:val="none" w:sz="0" w:space="0" w:color="auto"/>
      </w:divBdr>
    </w:div>
    <w:div w:id="1204515511">
      <w:bodyDiv w:val="1"/>
      <w:marLeft w:val="0"/>
      <w:marRight w:val="0"/>
      <w:marTop w:val="0"/>
      <w:marBottom w:val="0"/>
      <w:divBdr>
        <w:top w:val="none" w:sz="0" w:space="0" w:color="auto"/>
        <w:left w:val="none" w:sz="0" w:space="0" w:color="auto"/>
        <w:bottom w:val="none" w:sz="0" w:space="0" w:color="auto"/>
        <w:right w:val="none" w:sz="0" w:space="0" w:color="auto"/>
      </w:divBdr>
    </w:div>
    <w:div w:id="1210415362">
      <w:bodyDiv w:val="1"/>
      <w:marLeft w:val="0"/>
      <w:marRight w:val="0"/>
      <w:marTop w:val="0"/>
      <w:marBottom w:val="0"/>
      <w:divBdr>
        <w:top w:val="none" w:sz="0" w:space="0" w:color="auto"/>
        <w:left w:val="none" w:sz="0" w:space="0" w:color="auto"/>
        <w:bottom w:val="none" w:sz="0" w:space="0" w:color="auto"/>
        <w:right w:val="none" w:sz="0" w:space="0" w:color="auto"/>
      </w:divBdr>
    </w:div>
    <w:div w:id="1224298006">
      <w:bodyDiv w:val="1"/>
      <w:marLeft w:val="0"/>
      <w:marRight w:val="0"/>
      <w:marTop w:val="0"/>
      <w:marBottom w:val="0"/>
      <w:divBdr>
        <w:top w:val="none" w:sz="0" w:space="0" w:color="auto"/>
        <w:left w:val="none" w:sz="0" w:space="0" w:color="auto"/>
        <w:bottom w:val="none" w:sz="0" w:space="0" w:color="auto"/>
        <w:right w:val="none" w:sz="0" w:space="0" w:color="auto"/>
      </w:divBdr>
    </w:div>
    <w:div w:id="1228610606">
      <w:bodyDiv w:val="1"/>
      <w:marLeft w:val="0"/>
      <w:marRight w:val="0"/>
      <w:marTop w:val="0"/>
      <w:marBottom w:val="0"/>
      <w:divBdr>
        <w:top w:val="none" w:sz="0" w:space="0" w:color="auto"/>
        <w:left w:val="none" w:sz="0" w:space="0" w:color="auto"/>
        <w:bottom w:val="none" w:sz="0" w:space="0" w:color="auto"/>
        <w:right w:val="none" w:sz="0" w:space="0" w:color="auto"/>
      </w:divBdr>
    </w:div>
    <w:div w:id="1232302824">
      <w:bodyDiv w:val="1"/>
      <w:marLeft w:val="0"/>
      <w:marRight w:val="0"/>
      <w:marTop w:val="0"/>
      <w:marBottom w:val="0"/>
      <w:divBdr>
        <w:top w:val="none" w:sz="0" w:space="0" w:color="auto"/>
        <w:left w:val="none" w:sz="0" w:space="0" w:color="auto"/>
        <w:bottom w:val="none" w:sz="0" w:space="0" w:color="auto"/>
        <w:right w:val="none" w:sz="0" w:space="0" w:color="auto"/>
      </w:divBdr>
    </w:div>
    <w:div w:id="1283803550">
      <w:bodyDiv w:val="1"/>
      <w:marLeft w:val="0"/>
      <w:marRight w:val="0"/>
      <w:marTop w:val="0"/>
      <w:marBottom w:val="0"/>
      <w:divBdr>
        <w:top w:val="none" w:sz="0" w:space="0" w:color="auto"/>
        <w:left w:val="none" w:sz="0" w:space="0" w:color="auto"/>
        <w:bottom w:val="none" w:sz="0" w:space="0" w:color="auto"/>
        <w:right w:val="none" w:sz="0" w:space="0" w:color="auto"/>
      </w:divBdr>
    </w:div>
    <w:div w:id="1329021081">
      <w:bodyDiv w:val="1"/>
      <w:marLeft w:val="0"/>
      <w:marRight w:val="0"/>
      <w:marTop w:val="0"/>
      <w:marBottom w:val="0"/>
      <w:divBdr>
        <w:top w:val="none" w:sz="0" w:space="0" w:color="auto"/>
        <w:left w:val="none" w:sz="0" w:space="0" w:color="auto"/>
        <w:bottom w:val="none" w:sz="0" w:space="0" w:color="auto"/>
        <w:right w:val="none" w:sz="0" w:space="0" w:color="auto"/>
      </w:divBdr>
    </w:div>
    <w:div w:id="1410232941">
      <w:bodyDiv w:val="1"/>
      <w:marLeft w:val="0"/>
      <w:marRight w:val="0"/>
      <w:marTop w:val="0"/>
      <w:marBottom w:val="0"/>
      <w:divBdr>
        <w:top w:val="none" w:sz="0" w:space="0" w:color="auto"/>
        <w:left w:val="none" w:sz="0" w:space="0" w:color="auto"/>
        <w:bottom w:val="none" w:sz="0" w:space="0" w:color="auto"/>
        <w:right w:val="none" w:sz="0" w:space="0" w:color="auto"/>
      </w:divBdr>
    </w:div>
    <w:div w:id="1442186701">
      <w:bodyDiv w:val="1"/>
      <w:marLeft w:val="0"/>
      <w:marRight w:val="0"/>
      <w:marTop w:val="0"/>
      <w:marBottom w:val="0"/>
      <w:divBdr>
        <w:top w:val="none" w:sz="0" w:space="0" w:color="auto"/>
        <w:left w:val="none" w:sz="0" w:space="0" w:color="auto"/>
        <w:bottom w:val="none" w:sz="0" w:space="0" w:color="auto"/>
        <w:right w:val="none" w:sz="0" w:space="0" w:color="auto"/>
      </w:divBdr>
    </w:div>
    <w:div w:id="1450860214">
      <w:bodyDiv w:val="1"/>
      <w:marLeft w:val="0"/>
      <w:marRight w:val="0"/>
      <w:marTop w:val="0"/>
      <w:marBottom w:val="0"/>
      <w:divBdr>
        <w:top w:val="none" w:sz="0" w:space="0" w:color="auto"/>
        <w:left w:val="none" w:sz="0" w:space="0" w:color="auto"/>
        <w:bottom w:val="none" w:sz="0" w:space="0" w:color="auto"/>
        <w:right w:val="none" w:sz="0" w:space="0" w:color="auto"/>
      </w:divBdr>
    </w:div>
    <w:div w:id="1479345864">
      <w:bodyDiv w:val="1"/>
      <w:marLeft w:val="0"/>
      <w:marRight w:val="0"/>
      <w:marTop w:val="0"/>
      <w:marBottom w:val="0"/>
      <w:divBdr>
        <w:top w:val="none" w:sz="0" w:space="0" w:color="auto"/>
        <w:left w:val="none" w:sz="0" w:space="0" w:color="auto"/>
        <w:bottom w:val="none" w:sz="0" w:space="0" w:color="auto"/>
        <w:right w:val="none" w:sz="0" w:space="0" w:color="auto"/>
      </w:divBdr>
    </w:div>
    <w:div w:id="1516730119">
      <w:bodyDiv w:val="1"/>
      <w:marLeft w:val="0"/>
      <w:marRight w:val="0"/>
      <w:marTop w:val="0"/>
      <w:marBottom w:val="0"/>
      <w:divBdr>
        <w:top w:val="none" w:sz="0" w:space="0" w:color="auto"/>
        <w:left w:val="none" w:sz="0" w:space="0" w:color="auto"/>
        <w:bottom w:val="none" w:sz="0" w:space="0" w:color="auto"/>
        <w:right w:val="none" w:sz="0" w:space="0" w:color="auto"/>
      </w:divBdr>
    </w:div>
    <w:div w:id="1530794593">
      <w:bodyDiv w:val="1"/>
      <w:marLeft w:val="0"/>
      <w:marRight w:val="0"/>
      <w:marTop w:val="0"/>
      <w:marBottom w:val="0"/>
      <w:divBdr>
        <w:top w:val="none" w:sz="0" w:space="0" w:color="auto"/>
        <w:left w:val="none" w:sz="0" w:space="0" w:color="auto"/>
        <w:bottom w:val="none" w:sz="0" w:space="0" w:color="auto"/>
        <w:right w:val="none" w:sz="0" w:space="0" w:color="auto"/>
      </w:divBdr>
    </w:div>
    <w:div w:id="1583829192">
      <w:bodyDiv w:val="1"/>
      <w:marLeft w:val="0"/>
      <w:marRight w:val="0"/>
      <w:marTop w:val="0"/>
      <w:marBottom w:val="0"/>
      <w:divBdr>
        <w:top w:val="none" w:sz="0" w:space="0" w:color="auto"/>
        <w:left w:val="none" w:sz="0" w:space="0" w:color="auto"/>
        <w:bottom w:val="none" w:sz="0" w:space="0" w:color="auto"/>
        <w:right w:val="none" w:sz="0" w:space="0" w:color="auto"/>
      </w:divBdr>
    </w:div>
    <w:div w:id="1587223823">
      <w:bodyDiv w:val="1"/>
      <w:marLeft w:val="0"/>
      <w:marRight w:val="0"/>
      <w:marTop w:val="0"/>
      <w:marBottom w:val="0"/>
      <w:divBdr>
        <w:top w:val="none" w:sz="0" w:space="0" w:color="auto"/>
        <w:left w:val="none" w:sz="0" w:space="0" w:color="auto"/>
        <w:bottom w:val="none" w:sz="0" w:space="0" w:color="auto"/>
        <w:right w:val="none" w:sz="0" w:space="0" w:color="auto"/>
      </w:divBdr>
    </w:div>
    <w:div w:id="1650786456">
      <w:bodyDiv w:val="1"/>
      <w:marLeft w:val="0"/>
      <w:marRight w:val="0"/>
      <w:marTop w:val="0"/>
      <w:marBottom w:val="0"/>
      <w:divBdr>
        <w:top w:val="none" w:sz="0" w:space="0" w:color="auto"/>
        <w:left w:val="none" w:sz="0" w:space="0" w:color="auto"/>
        <w:bottom w:val="none" w:sz="0" w:space="0" w:color="auto"/>
        <w:right w:val="none" w:sz="0" w:space="0" w:color="auto"/>
      </w:divBdr>
    </w:div>
    <w:div w:id="1671563297">
      <w:bodyDiv w:val="1"/>
      <w:marLeft w:val="0"/>
      <w:marRight w:val="0"/>
      <w:marTop w:val="0"/>
      <w:marBottom w:val="0"/>
      <w:divBdr>
        <w:top w:val="none" w:sz="0" w:space="0" w:color="auto"/>
        <w:left w:val="none" w:sz="0" w:space="0" w:color="auto"/>
        <w:bottom w:val="none" w:sz="0" w:space="0" w:color="auto"/>
        <w:right w:val="none" w:sz="0" w:space="0" w:color="auto"/>
      </w:divBdr>
    </w:div>
    <w:div w:id="1745879691">
      <w:bodyDiv w:val="1"/>
      <w:marLeft w:val="0"/>
      <w:marRight w:val="0"/>
      <w:marTop w:val="0"/>
      <w:marBottom w:val="0"/>
      <w:divBdr>
        <w:top w:val="none" w:sz="0" w:space="0" w:color="auto"/>
        <w:left w:val="none" w:sz="0" w:space="0" w:color="auto"/>
        <w:bottom w:val="none" w:sz="0" w:space="0" w:color="auto"/>
        <w:right w:val="none" w:sz="0" w:space="0" w:color="auto"/>
      </w:divBdr>
    </w:div>
    <w:div w:id="1815414495">
      <w:bodyDiv w:val="1"/>
      <w:marLeft w:val="0"/>
      <w:marRight w:val="0"/>
      <w:marTop w:val="0"/>
      <w:marBottom w:val="0"/>
      <w:divBdr>
        <w:top w:val="none" w:sz="0" w:space="0" w:color="auto"/>
        <w:left w:val="none" w:sz="0" w:space="0" w:color="auto"/>
        <w:bottom w:val="none" w:sz="0" w:space="0" w:color="auto"/>
        <w:right w:val="none" w:sz="0" w:space="0" w:color="auto"/>
      </w:divBdr>
    </w:div>
    <w:div w:id="1877506246">
      <w:bodyDiv w:val="1"/>
      <w:marLeft w:val="0"/>
      <w:marRight w:val="0"/>
      <w:marTop w:val="0"/>
      <w:marBottom w:val="0"/>
      <w:divBdr>
        <w:top w:val="none" w:sz="0" w:space="0" w:color="auto"/>
        <w:left w:val="none" w:sz="0" w:space="0" w:color="auto"/>
        <w:bottom w:val="none" w:sz="0" w:space="0" w:color="auto"/>
        <w:right w:val="none" w:sz="0" w:space="0" w:color="auto"/>
      </w:divBdr>
    </w:div>
    <w:div w:id="1889879457">
      <w:bodyDiv w:val="1"/>
      <w:marLeft w:val="0"/>
      <w:marRight w:val="0"/>
      <w:marTop w:val="0"/>
      <w:marBottom w:val="0"/>
      <w:divBdr>
        <w:top w:val="none" w:sz="0" w:space="0" w:color="auto"/>
        <w:left w:val="none" w:sz="0" w:space="0" w:color="auto"/>
        <w:bottom w:val="none" w:sz="0" w:space="0" w:color="auto"/>
        <w:right w:val="none" w:sz="0" w:space="0" w:color="auto"/>
      </w:divBdr>
    </w:div>
    <w:div w:id="1917200254">
      <w:bodyDiv w:val="1"/>
      <w:marLeft w:val="0"/>
      <w:marRight w:val="0"/>
      <w:marTop w:val="0"/>
      <w:marBottom w:val="0"/>
      <w:divBdr>
        <w:top w:val="none" w:sz="0" w:space="0" w:color="auto"/>
        <w:left w:val="none" w:sz="0" w:space="0" w:color="auto"/>
        <w:bottom w:val="none" w:sz="0" w:space="0" w:color="auto"/>
        <w:right w:val="none" w:sz="0" w:space="0" w:color="auto"/>
      </w:divBdr>
    </w:div>
    <w:div w:id="1952391266">
      <w:bodyDiv w:val="1"/>
      <w:marLeft w:val="0"/>
      <w:marRight w:val="0"/>
      <w:marTop w:val="0"/>
      <w:marBottom w:val="0"/>
      <w:divBdr>
        <w:top w:val="none" w:sz="0" w:space="0" w:color="auto"/>
        <w:left w:val="none" w:sz="0" w:space="0" w:color="auto"/>
        <w:bottom w:val="none" w:sz="0" w:space="0" w:color="auto"/>
        <w:right w:val="none" w:sz="0" w:space="0" w:color="auto"/>
      </w:divBdr>
    </w:div>
    <w:div w:id="1957321899">
      <w:bodyDiv w:val="1"/>
      <w:marLeft w:val="0"/>
      <w:marRight w:val="0"/>
      <w:marTop w:val="0"/>
      <w:marBottom w:val="0"/>
      <w:divBdr>
        <w:top w:val="none" w:sz="0" w:space="0" w:color="auto"/>
        <w:left w:val="none" w:sz="0" w:space="0" w:color="auto"/>
        <w:bottom w:val="none" w:sz="0" w:space="0" w:color="auto"/>
        <w:right w:val="none" w:sz="0" w:space="0" w:color="auto"/>
      </w:divBdr>
    </w:div>
    <w:div w:id="1962879621">
      <w:bodyDiv w:val="1"/>
      <w:marLeft w:val="0"/>
      <w:marRight w:val="0"/>
      <w:marTop w:val="0"/>
      <w:marBottom w:val="0"/>
      <w:divBdr>
        <w:top w:val="none" w:sz="0" w:space="0" w:color="auto"/>
        <w:left w:val="none" w:sz="0" w:space="0" w:color="auto"/>
        <w:bottom w:val="none" w:sz="0" w:space="0" w:color="auto"/>
        <w:right w:val="none" w:sz="0" w:space="0" w:color="auto"/>
      </w:divBdr>
    </w:div>
    <w:div w:id="1982150712">
      <w:bodyDiv w:val="1"/>
      <w:marLeft w:val="0"/>
      <w:marRight w:val="0"/>
      <w:marTop w:val="0"/>
      <w:marBottom w:val="0"/>
      <w:divBdr>
        <w:top w:val="none" w:sz="0" w:space="0" w:color="auto"/>
        <w:left w:val="none" w:sz="0" w:space="0" w:color="auto"/>
        <w:bottom w:val="none" w:sz="0" w:space="0" w:color="auto"/>
        <w:right w:val="none" w:sz="0" w:space="0" w:color="auto"/>
      </w:divBdr>
    </w:div>
    <w:div w:id="2026206680">
      <w:bodyDiv w:val="1"/>
      <w:marLeft w:val="0"/>
      <w:marRight w:val="0"/>
      <w:marTop w:val="0"/>
      <w:marBottom w:val="0"/>
      <w:divBdr>
        <w:top w:val="none" w:sz="0" w:space="0" w:color="auto"/>
        <w:left w:val="none" w:sz="0" w:space="0" w:color="auto"/>
        <w:bottom w:val="none" w:sz="0" w:space="0" w:color="auto"/>
        <w:right w:val="none" w:sz="0" w:space="0" w:color="auto"/>
      </w:divBdr>
    </w:div>
    <w:div w:id="2047483250">
      <w:bodyDiv w:val="1"/>
      <w:marLeft w:val="0"/>
      <w:marRight w:val="0"/>
      <w:marTop w:val="0"/>
      <w:marBottom w:val="0"/>
      <w:divBdr>
        <w:top w:val="none" w:sz="0" w:space="0" w:color="auto"/>
        <w:left w:val="none" w:sz="0" w:space="0" w:color="auto"/>
        <w:bottom w:val="none" w:sz="0" w:space="0" w:color="auto"/>
        <w:right w:val="none" w:sz="0" w:space="0" w:color="auto"/>
      </w:divBdr>
    </w:div>
    <w:div w:id="2067215741">
      <w:bodyDiv w:val="1"/>
      <w:marLeft w:val="0"/>
      <w:marRight w:val="0"/>
      <w:marTop w:val="0"/>
      <w:marBottom w:val="0"/>
      <w:divBdr>
        <w:top w:val="none" w:sz="0" w:space="0" w:color="auto"/>
        <w:left w:val="none" w:sz="0" w:space="0" w:color="auto"/>
        <w:bottom w:val="none" w:sz="0" w:space="0" w:color="auto"/>
        <w:right w:val="none" w:sz="0" w:space="0" w:color="auto"/>
      </w:divBdr>
    </w:div>
    <w:div w:id="2098669905">
      <w:bodyDiv w:val="1"/>
      <w:marLeft w:val="0"/>
      <w:marRight w:val="0"/>
      <w:marTop w:val="0"/>
      <w:marBottom w:val="0"/>
      <w:divBdr>
        <w:top w:val="none" w:sz="0" w:space="0" w:color="auto"/>
        <w:left w:val="none" w:sz="0" w:space="0" w:color="auto"/>
        <w:bottom w:val="none" w:sz="0" w:space="0" w:color="auto"/>
        <w:right w:val="none" w:sz="0" w:space="0" w:color="auto"/>
      </w:divBdr>
    </w:div>
    <w:div w:id="2122721023">
      <w:bodyDiv w:val="1"/>
      <w:marLeft w:val="0"/>
      <w:marRight w:val="0"/>
      <w:marTop w:val="0"/>
      <w:marBottom w:val="0"/>
      <w:divBdr>
        <w:top w:val="none" w:sz="0" w:space="0" w:color="auto"/>
        <w:left w:val="none" w:sz="0" w:space="0" w:color="auto"/>
        <w:bottom w:val="none" w:sz="0" w:space="0" w:color="auto"/>
        <w:right w:val="none" w:sz="0" w:space="0" w:color="auto"/>
      </w:divBdr>
    </w:div>
    <w:div w:id="2141653395">
      <w:bodyDiv w:val="1"/>
      <w:marLeft w:val="0"/>
      <w:marRight w:val="0"/>
      <w:marTop w:val="0"/>
      <w:marBottom w:val="0"/>
      <w:divBdr>
        <w:top w:val="none" w:sz="0" w:space="0" w:color="auto"/>
        <w:left w:val="none" w:sz="0" w:space="0" w:color="auto"/>
        <w:bottom w:val="none" w:sz="0" w:space="0" w:color="auto"/>
        <w:right w:val="none" w:sz="0" w:space="0" w:color="auto"/>
      </w:divBdr>
    </w:div>
    <w:div w:id="21446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kiko\IPEA\MEI\FigsTabs_TD_refeito2005_2006_Raphael.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638600825179072"/>
          <c:y val="0.0193063997139793"/>
          <c:w val="0.776401813409688"/>
          <c:h val="0.880797318732785"/>
        </c:manualLayout>
      </c:layout>
      <c:lineChart>
        <c:grouping val="standard"/>
        <c:varyColors val="0"/>
        <c:ser>
          <c:idx val="0"/>
          <c:order val="0"/>
          <c:tx>
            <c:v>MEI/Empregadores</c:v>
          </c:tx>
          <c:cat>
            <c:numRef>
              <c:f>'Dados Brutos '!$C$1:$L$1</c:f>
              <c:numCache>
                <c:formatCode>General</c:formatCode>
                <c:ptCount val="10"/>
                <c:pt idx="0">
                  <c:v>2001.0</c:v>
                </c:pt>
                <c:pt idx="1">
                  <c:v>2002.0</c:v>
                </c:pt>
                <c:pt idx="2">
                  <c:v>2003.0</c:v>
                </c:pt>
                <c:pt idx="3">
                  <c:v>2004.0</c:v>
                </c:pt>
                <c:pt idx="4">
                  <c:v>2005.0</c:v>
                </c:pt>
                <c:pt idx="5">
                  <c:v>2006.0</c:v>
                </c:pt>
                <c:pt idx="6">
                  <c:v>2007.0</c:v>
                </c:pt>
                <c:pt idx="7">
                  <c:v>2008.0</c:v>
                </c:pt>
                <c:pt idx="8">
                  <c:v>2009.0</c:v>
                </c:pt>
                <c:pt idx="9">
                  <c:v>2011.0</c:v>
                </c:pt>
              </c:numCache>
            </c:numRef>
          </c:cat>
          <c:val>
            <c:numRef>
              <c:f>'Dados Brutos '!$C$24:$L$24</c:f>
              <c:numCache>
                <c:formatCode>0.0%</c:formatCode>
                <c:ptCount val="10"/>
                <c:pt idx="0">
                  <c:v>0.898270588768963</c:v>
                </c:pt>
                <c:pt idx="1">
                  <c:v>0.894546456445521</c:v>
                </c:pt>
                <c:pt idx="2">
                  <c:v>0.898032915040444</c:v>
                </c:pt>
                <c:pt idx="3">
                  <c:v>0.897683557116421</c:v>
                </c:pt>
                <c:pt idx="4">
                  <c:v>0.895383825437048</c:v>
                </c:pt>
                <c:pt idx="5">
                  <c:v>0.887228206646732</c:v>
                </c:pt>
                <c:pt idx="6">
                  <c:v>0.901837989033979</c:v>
                </c:pt>
                <c:pt idx="7">
                  <c:v>0.884653522368612</c:v>
                </c:pt>
                <c:pt idx="8">
                  <c:v>0.890692005916014</c:v>
                </c:pt>
                <c:pt idx="9">
                  <c:v>0.908368203651941</c:v>
                </c:pt>
              </c:numCache>
            </c:numRef>
          </c:val>
          <c:smooth val="0"/>
        </c:ser>
        <c:dLbls>
          <c:showLegendKey val="0"/>
          <c:showVal val="0"/>
          <c:showCatName val="0"/>
          <c:showSerName val="0"/>
          <c:showPercent val="0"/>
          <c:showBubbleSize val="0"/>
        </c:dLbls>
        <c:marker val="1"/>
        <c:smooth val="0"/>
        <c:axId val="1892634904"/>
        <c:axId val="1815638824"/>
      </c:lineChart>
      <c:lineChart>
        <c:grouping val="standard"/>
        <c:varyColors val="0"/>
        <c:ser>
          <c:idx val="1"/>
          <c:order val="1"/>
          <c:tx>
            <c:v>MEI/Ocupados</c:v>
          </c:tx>
          <c:cat>
            <c:numRef>
              <c:f>'Dados Brutos '!$C$1:$L$1</c:f>
              <c:numCache>
                <c:formatCode>General</c:formatCode>
                <c:ptCount val="10"/>
                <c:pt idx="0">
                  <c:v>2001.0</c:v>
                </c:pt>
                <c:pt idx="1">
                  <c:v>2002.0</c:v>
                </c:pt>
                <c:pt idx="2">
                  <c:v>2003.0</c:v>
                </c:pt>
                <c:pt idx="3">
                  <c:v>2004.0</c:v>
                </c:pt>
                <c:pt idx="4">
                  <c:v>2005.0</c:v>
                </c:pt>
                <c:pt idx="5">
                  <c:v>2006.0</c:v>
                </c:pt>
                <c:pt idx="6">
                  <c:v>2007.0</c:v>
                </c:pt>
                <c:pt idx="7">
                  <c:v>2008.0</c:v>
                </c:pt>
                <c:pt idx="8">
                  <c:v>2009.0</c:v>
                </c:pt>
                <c:pt idx="9">
                  <c:v>2011.0</c:v>
                </c:pt>
              </c:numCache>
            </c:numRef>
          </c:cat>
          <c:val>
            <c:numRef>
              <c:f>'Dados Brutos '!$C$7:$L$7</c:f>
              <c:numCache>
                <c:formatCode>0.0%</c:formatCode>
                <c:ptCount val="10"/>
                <c:pt idx="0">
                  <c:v>0.236165226289789</c:v>
                </c:pt>
                <c:pt idx="1">
                  <c:v>0.236324761741401</c:v>
                </c:pt>
                <c:pt idx="2">
                  <c:v>0.237102568174624</c:v>
                </c:pt>
                <c:pt idx="3">
                  <c:v>0.228742224883465</c:v>
                </c:pt>
                <c:pt idx="4">
                  <c:v>0.229234352451091</c:v>
                </c:pt>
                <c:pt idx="5">
                  <c:v>0.223214030876537</c:v>
                </c:pt>
                <c:pt idx="6">
                  <c:v>0.222627484965813</c:v>
                </c:pt>
                <c:pt idx="7">
                  <c:v>0.212632287608727</c:v>
                </c:pt>
                <c:pt idx="8">
                  <c:v>0.214819478506695</c:v>
                </c:pt>
                <c:pt idx="9">
                  <c:v>0.207795644079341</c:v>
                </c:pt>
              </c:numCache>
            </c:numRef>
          </c:val>
          <c:smooth val="0"/>
        </c:ser>
        <c:dLbls>
          <c:showLegendKey val="0"/>
          <c:showVal val="0"/>
          <c:showCatName val="0"/>
          <c:showSerName val="0"/>
          <c:showPercent val="0"/>
          <c:showBubbleSize val="0"/>
        </c:dLbls>
        <c:marker val="1"/>
        <c:smooth val="0"/>
        <c:axId val="1815701096"/>
        <c:axId val="1892648472"/>
      </c:lineChart>
      <c:catAx>
        <c:axId val="1892634904"/>
        <c:scaling>
          <c:orientation val="minMax"/>
        </c:scaling>
        <c:delete val="0"/>
        <c:axPos val="b"/>
        <c:numFmt formatCode="General" sourceLinked="1"/>
        <c:majorTickMark val="out"/>
        <c:minorTickMark val="none"/>
        <c:tickLblPos val="nextTo"/>
        <c:crossAx val="1815638824"/>
        <c:crosses val="autoZero"/>
        <c:auto val="1"/>
        <c:lblAlgn val="ctr"/>
        <c:lblOffset val="100"/>
        <c:noMultiLvlLbl val="0"/>
      </c:catAx>
      <c:valAx>
        <c:axId val="1815638824"/>
        <c:scaling>
          <c:orientation val="minMax"/>
          <c:max val="0.95"/>
          <c:min val="0.75"/>
        </c:scaling>
        <c:delete val="0"/>
        <c:axPos val="l"/>
        <c:majorGridlines/>
        <c:numFmt formatCode="0%" sourceLinked="0"/>
        <c:majorTickMark val="out"/>
        <c:minorTickMark val="none"/>
        <c:tickLblPos val="nextTo"/>
        <c:crossAx val="1892634904"/>
        <c:crosses val="autoZero"/>
        <c:crossBetween val="between"/>
        <c:majorUnit val="0.05"/>
      </c:valAx>
      <c:valAx>
        <c:axId val="1892648472"/>
        <c:scaling>
          <c:orientation val="minMax"/>
          <c:max val="0.35"/>
          <c:min val="0.15"/>
        </c:scaling>
        <c:delete val="0"/>
        <c:axPos val="r"/>
        <c:numFmt formatCode="0%" sourceLinked="0"/>
        <c:majorTickMark val="out"/>
        <c:minorTickMark val="none"/>
        <c:tickLblPos val="nextTo"/>
        <c:crossAx val="1815701096"/>
        <c:crosses val="max"/>
        <c:crossBetween val="between"/>
        <c:majorUnit val="0.05"/>
      </c:valAx>
      <c:catAx>
        <c:axId val="1815701096"/>
        <c:scaling>
          <c:orientation val="minMax"/>
        </c:scaling>
        <c:delete val="1"/>
        <c:axPos val="b"/>
        <c:numFmt formatCode="General" sourceLinked="1"/>
        <c:majorTickMark val="out"/>
        <c:minorTickMark val="none"/>
        <c:tickLblPos val="nextTo"/>
        <c:crossAx val="1892648472"/>
        <c:crosses val="autoZero"/>
        <c:auto val="1"/>
        <c:lblAlgn val="ctr"/>
        <c:lblOffset val="100"/>
        <c:noMultiLvlLbl val="0"/>
      </c:catAx>
    </c:plotArea>
    <c:legend>
      <c:legendPos val="r"/>
      <c:layout>
        <c:manualLayout>
          <c:xMode val="edge"/>
          <c:yMode val="edge"/>
          <c:x val="0.108937631050309"/>
          <c:y val="0.717332959492823"/>
          <c:w val="0.509311903400343"/>
          <c:h val="0.0829733820364442"/>
        </c:manualLayout>
      </c:layout>
      <c:overlay val="0"/>
    </c:legend>
    <c:plotVisOnly val="1"/>
    <c:dispBlanksAs val="gap"/>
    <c:showDLblsOverMax val="0"/>
  </c:chart>
  <c:txPr>
    <a:bodyPr/>
    <a:lstStyle/>
    <a:p>
      <a:pPr algn="ctr">
        <a:defRPr sz="90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0.33593</cdr:y>
    </cdr:from>
    <cdr:to>
      <cdr:x>0.05283</cdr:x>
      <cdr:y>0.65336</cdr:y>
    </cdr:to>
    <cdr:sp macro="" textlink="">
      <cdr:nvSpPr>
        <cdr:cNvPr id="2" name="CaixaDeTexto 1"/>
        <cdr:cNvSpPr txBox="1"/>
      </cdr:nvSpPr>
      <cdr:spPr>
        <a:xfrm xmlns:a="http://schemas.openxmlformats.org/drawingml/2006/main">
          <a:off x="0" y="1314450"/>
          <a:ext cx="327660" cy="1242060"/>
        </a:xfrm>
        <a:prstGeom xmlns:a="http://schemas.openxmlformats.org/drawingml/2006/main" prst="rect">
          <a:avLst/>
        </a:prstGeom>
      </cdr:spPr>
      <cdr:txBody>
        <a:bodyPr xmlns:a="http://schemas.openxmlformats.org/drawingml/2006/main" vertOverflow="clip" vert="vert270" wrap="none" rtlCol="0"/>
        <a:lstStyle xmlns:a="http://schemas.openxmlformats.org/drawingml/2006/main"/>
        <a:p xmlns:a="http://schemas.openxmlformats.org/drawingml/2006/main">
          <a:r>
            <a:rPr lang="pt-BR" sz="900" b="1"/>
            <a:t>MEI/Empregadores</a:t>
          </a:r>
        </a:p>
      </cdr:txBody>
    </cdr:sp>
  </cdr:relSizeAnchor>
  <cdr:relSizeAnchor xmlns:cdr="http://schemas.openxmlformats.org/drawingml/2006/chartDrawing">
    <cdr:from>
      <cdr:x>0.94717</cdr:x>
      <cdr:y>0.31483</cdr:y>
    </cdr:from>
    <cdr:to>
      <cdr:x>1</cdr:x>
      <cdr:y>0.63226</cdr:y>
    </cdr:to>
    <cdr:sp macro="" textlink="">
      <cdr:nvSpPr>
        <cdr:cNvPr id="3" name="CaixaDeTexto 1"/>
        <cdr:cNvSpPr txBox="1"/>
      </cdr:nvSpPr>
      <cdr:spPr>
        <a:xfrm xmlns:a="http://schemas.openxmlformats.org/drawingml/2006/main">
          <a:off x="5875020" y="1231900"/>
          <a:ext cx="327660" cy="1242060"/>
        </a:xfrm>
        <a:prstGeom xmlns:a="http://schemas.openxmlformats.org/drawingml/2006/main" prst="rect">
          <a:avLst/>
        </a:prstGeom>
      </cdr:spPr>
      <cdr:txBody>
        <a:bodyPr xmlns:a="http://schemas.openxmlformats.org/drawingml/2006/main" vert="vert"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t-BR" sz="900" b="1"/>
            <a:t>MEI/Ocupados</a:t>
          </a:r>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61A3D-FC11-FF44-A7F3-D2A9D802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7329</Words>
  <Characters>41779</Characters>
  <Application>Microsoft Macintosh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Henrique Leite Corseuil</dc:creator>
  <cp:lastModifiedBy>Microsoft Office User</cp:lastModifiedBy>
  <cp:revision>3</cp:revision>
  <cp:lastPrinted>2013-06-27T18:56:00Z</cp:lastPrinted>
  <dcterms:created xsi:type="dcterms:W3CDTF">2013-07-22T20:38:00Z</dcterms:created>
  <dcterms:modified xsi:type="dcterms:W3CDTF">2013-07-22T20:47:00Z</dcterms:modified>
</cp:coreProperties>
</file>