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9B6" w:rsidRPr="005F5BC9" w:rsidRDefault="00C749B6" w:rsidP="00022B78">
      <w:pPr>
        <w:spacing w:after="0" w:line="240" w:lineRule="auto"/>
        <w:outlineLvl w:val="0"/>
        <w:rPr>
          <w:rFonts w:ascii="Arial" w:hAnsi="Arial" w:cs="Arial"/>
          <w:b/>
          <w:sz w:val="24"/>
          <w:szCs w:val="24"/>
        </w:rPr>
      </w:pPr>
    </w:p>
    <w:p w:rsidR="00C749B6" w:rsidRPr="00B7200A" w:rsidRDefault="00C749B6" w:rsidP="00B7200A">
      <w:pPr>
        <w:spacing w:after="0" w:line="240" w:lineRule="auto"/>
        <w:outlineLvl w:val="0"/>
        <w:rPr>
          <w:rFonts w:ascii="Arial" w:hAnsi="Arial" w:cs="Arial"/>
          <w:b/>
          <w:sz w:val="24"/>
          <w:szCs w:val="24"/>
          <w:vertAlign w:val="baseline"/>
        </w:rPr>
      </w:pPr>
      <w:r w:rsidRPr="00B7200A">
        <w:rPr>
          <w:rFonts w:ascii="Arial" w:hAnsi="Arial" w:cs="Arial"/>
          <w:b/>
          <w:sz w:val="24"/>
          <w:szCs w:val="24"/>
          <w:vertAlign w:val="baseline"/>
        </w:rPr>
        <w:t>A</w:t>
      </w:r>
      <w:r w:rsidR="000441E9" w:rsidRPr="00B7200A">
        <w:rPr>
          <w:rFonts w:ascii="Arial" w:hAnsi="Arial" w:cs="Arial"/>
          <w:b/>
          <w:sz w:val="24"/>
          <w:szCs w:val="24"/>
          <w:vertAlign w:val="baseline"/>
        </w:rPr>
        <w:t>valiando a resposta dos gastos</w:t>
      </w:r>
      <w:r w:rsidRPr="00B7200A">
        <w:rPr>
          <w:rFonts w:ascii="Arial" w:hAnsi="Arial" w:cs="Arial"/>
          <w:b/>
          <w:sz w:val="24"/>
          <w:szCs w:val="24"/>
          <w:vertAlign w:val="baseline"/>
        </w:rPr>
        <w:t xml:space="preserve"> municipais</w:t>
      </w:r>
      <w:r w:rsidR="00743C69">
        <w:rPr>
          <w:rFonts w:ascii="Arial" w:hAnsi="Arial" w:cs="Arial"/>
          <w:b/>
          <w:sz w:val="24"/>
          <w:szCs w:val="24"/>
          <w:vertAlign w:val="baseline"/>
        </w:rPr>
        <w:t xml:space="preserve"> em saúde</w:t>
      </w:r>
      <w:r w:rsidRPr="00B7200A">
        <w:rPr>
          <w:rFonts w:ascii="Arial" w:hAnsi="Arial" w:cs="Arial"/>
          <w:b/>
          <w:sz w:val="24"/>
          <w:szCs w:val="24"/>
          <w:vertAlign w:val="baseline"/>
        </w:rPr>
        <w:t xml:space="preserve"> às transferências do SUS</w:t>
      </w:r>
    </w:p>
    <w:p w:rsidR="00B7711D" w:rsidRDefault="00B7711D" w:rsidP="00C749B6">
      <w:pPr>
        <w:pStyle w:val="PargrafodaLista"/>
        <w:spacing w:after="0" w:line="240" w:lineRule="auto"/>
        <w:outlineLvl w:val="0"/>
        <w:rPr>
          <w:rFonts w:ascii="Arial" w:hAnsi="Arial" w:cs="Arial"/>
          <w:b/>
          <w:sz w:val="24"/>
          <w:szCs w:val="24"/>
          <w:vertAlign w:val="baseline"/>
        </w:rPr>
      </w:pPr>
    </w:p>
    <w:p w:rsidR="008C7930" w:rsidRDefault="008C7930" w:rsidP="00C749B6">
      <w:pPr>
        <w:pStyle w:val="PargrafodaLista"/>
        <w:spacing w:after="0" w:line="240" w:lineRule="auto"/>
        <w:outlineLvl w:val="0"/>
        <w:rPr>
          <w:rFonts w:ascii="Arial" w:hAnsi="Arial" w:cs="Arial"/>
          <w:b/>
          <w:sz w:val="24"/>
          <w:szCs w:val="24"/>
          <w:vertAlign w:val="baseline"/>
        </w:rPr>
      </w:pPr>
    </w:p>
    <w:p w:rsidR="008C7930" w:rsidRPr="005F5BC9" w:rsidRDefault="008C7930" w:rsidP="00C749B6">
      <w:pPr>
        <w:pStyle w:val="PargrafodaLista"/>
        <w:spacing w:after="0" w:line="240" w:lineRule="auto"/>
        <w:outlineLvl w:val="0"/>
        <w:rPr>
          <w:rFonts w:ascii="Arial" w:hAnsi="Arial" w:cs="Arial"/>
          <w:b/>
          <w:sz w:val="24"/>
          <w:szCs w:val="24"/>
          <w:vertAlign w:val="baseline"/>
        </w:rPr>
      </w:pPr>
    </w:p>
    <w:p w:rsidR="00B7200A" w:rsidRDefault="00B7200A" w:rsidP="00C749B6">
      <w:pPr>
        <w:pStyle w:val="PargrafodaLista"/>
        <w:spacing w:after="0" w:line="240" w:lineRule="auto"/>
        <w:jc w:val="center"/>
        <w:outlineLvl w:val="0"/>
        <w:rPr>
          <w:rFonts w:ascii="Arial" w:hAnsi="Arial" w:cs="Arial"/>
          <w:b/>
          <w:sz w:val="24"/>
          <w:szCs w:val="24"/>
          <w:vertAlign w:val="baseline"/>
        </w:rPr>
        <w:sectPr w:rsidR="00B7200A" w:rsidSect="008017DF">
          <w:pgSz w:w="11906" w:h="16838"/>
          <w:pgMar w:top="1417" w:right="1701" w:bottom="1417" w:left="1701" w:header="708" w:footer="708" w:gutter="0"/>
          <w:cols w:space="708"/>
          <w:docGrid w:linePitch="360"/>
        </w:sectPr>
      </w:pPr>
    </w:p>
    <w:p w:rsidR="008C7930" w:rsidRPr="008C7930" w:rsidRDefault="00B7200A" w:rsidP="008C7930">
      <w:pPr>
        <w:spacing w:after="0" w:line="240" w:lineRule="auto"/>
        <w:jc w:val="center"/>
        <w:outlineLvl w:val="0"/>
        <w:rPr>
          <w:rFonts w:ascii="Arial" w:hAnsi="Arial" w:cs="Arial"/>
          <w:b/>
          <w:sz w:val="24"/>
          <w:szCs w:val="24"/>
          <w:vertAlign w:val="baseline"/>
        </w:rPr>
      </w:pPr>
      <w:r w:rsidRPr="00B7200A">
        <w:rPr>
          <w:rFonts w:ascii="Arial" w:hAnsi="Arial" w:cs="Arial"/>
          <w:b/>
          <w:sz w:val="24"/>
          <w:szCs w:val="24"/>
          <w:vertAlign w:val="baseline"/>
        </w:rPr>
        <w:lastRenderedPageBreak/>
        <w:t xml:space="preserve">Fernando </w:t>
      </w:r>
      <w:proofErr w:type="spellStart"/>
      <w:r w:rsidRPr="00B7200A">
        <w:rPr>
          <w:rFonts w:ascii="Arial" w:hAnsi="Arial" w:cs="Arial"/>
          <w:b/>
          <w:sz w:val="24"/>
          <w:szCs w:val="24"/>
          <w:vertAlign w:val="baseline"/>
        </w:rPr>
        <w:t>Parmagnani</w:t>
      </w:r>
      <w:proofErr w:type="spellEnd"/>
      <w:r w:rsidRPr="00B7200A">
        <w:rPr>
          <w:rFonts w:ascii="Arial" w:hAnsi="Arial" w:cs="Arial"/>
          <w:b/>
          <w:sz w:val="24"/>
          <w:szCs w:val="24"/>
          <w:vertAlign w:val="baseline"/>
        </w:rPr>
        <w:t xml:space="preserve">, </w:t>
      </w:r>
      <w:proofErr w:type="gramStart"/>
      <w:r w:rsidRPr="00B7200A">
        <w:rPr>
          <w:rFonts w:ascii="Arial" w:hAnsi="Arial" w:cs="Arial"/>
          <w:b/>
          <w:sz w:val="24"/>
          <w:szCs w:val="24"/>
          <w:vertAlign w:val="baseline"/>
        </w:rPr>
        <w:t>IPE-USP</w:t>
      </w:r>
      <w:proofErr w:type="gramEnd"/>
    </w:p>
    <w:p w:rsidR="008C7930" w:rsidRPr="008C7930" w:rsidRDefault="008C7930" w:rsidP="008C7930">
      <w:pPr>
        <w:spacing w:after="0" w:line="240" w:lineRule="auto"/>
        <w:outlineLvl w:val="0"/>
        <w:rPr>
          <w:rFonts w:ascii="Arial" w:hAnsi="Arial" w:cs="Arial"/>
          <w:b/>
          <w:sz w:val="24"/>
          <w:szCs w:val="24"/>
          <w:vertAlign w:val="baseline"/>
        </w:rPr>
      </w:pPr>
      <w:r w:rsidRPr="008C7930">
        <w:rPr>
          <w:rFonts w:ascii="Arial" w:hAnsi="Arial" w:cs="Arial"/>
          <w:b/>
          <w:sz w:val="24"/>
          <w:szCs w:val="24"/>
          <w:vertAlign w:val="baseline"/>
        </w:rPr>
        <w:lastRenderedPageBreak/>
        <w:t>Fabiana Rocha, FEA-</w:t>
      </w:r>
      <w:proofErr w:type="gramStart"/>
      <w:r w:rsidRPr="008C7930">
        <w:rPr>
          <w:rFonts w:ascii="Arial" w:hAnsi="Arial" w:cs="Arial"/>
          <w:b/>
          <w:sz w:val="24"/>
          <w:szCs w:val="24"/>
          <w:vertAlign w:val="baseline"/>
        </w:rPr>
        <w:t>USP</w:t>
      </w:r>
      <w:proofErr w:type="gramEnd"/>
    </w:p>
    <w:p w:rsidR="00B7200A" w:rsidRDefault="00B7200A" w:rsidP="00C749B6">
      <w:pPr>
        <w:pStyle w:val="PargrafodaLista"/>
        <w:spacing w:after="0" w:line="240" w:lineRule="auto"/>
        <w:jc w:val="center"/>
        <w:outlineLvl w:val="0"/>
        <w:rPr>
          <w:rFonts w:ascii="Arial" w:hAnsi="Arial" w:cs="Arial"/>
          <w:b/>
          <w:sz w:val="24"/>
          <w:szCs w:val="24"/>
          <w:vertAlign w:val="baseline"/>
        </w:rPr>
        <w:sectPr w:rsidR="00B7200A" w:rsidSect="00B7200A">
          <w:type w:val="continuous"/>
          <w:pgSz w:w="11906" w:h="16838"/>
          <w:pgMar w:top="1417" w:right="1701" w:bottom="1417" w:left="1701" w:header="708" w:footer="708" w:gutter="0"/>
          <w:cols w:num="2" w:space="708"/>
          <w:docGrid w:linePitch="360"/>
        </w:sectPr>
      </w:pPr>
    </w:p>
    <w:p w:rsidR="00AD4439" w:rsidRDefault="00AD4439" w:rsidP="00C749B6">
      <w:pPr>
        <w:pStyle w:val="PargrafodaLista"/>
        <w:spacing w:after="0" w:line="240" w:lineRule="auto"/>
        <w:jc w:val="center"/>
        <w:outlineLvl w:val="0"/>
        <w:rPr>
          <w:rFonts w:ascii="Arial" w:hAnsi="Arial" w:cs="Arial"/>
          <w:b/>
          <w:sz w:val="24"/>
          <w:szCs w:val="24"/>
          <w:vertAlign w:val="baseline"/>
        </w:rPr>
      </w:pPr>
    </w:p>
    <w:p w:rsidR="008C7930" w:rsidRPr="005F5BC9" w:rsidRDefault="008C7930" w:rsidP="00C749B6">
      <w:pPr>
        <w:pStyle w:val="PargrafodaLista"/>
        <w:spacing w:after="0" w:line="240" w:lineRule="auto"/>
        <w:jc w:val="center"/>
        <w:outlineLvl w:val="0"/>
        <w:rPr>
          <w:rFonts w:ascii="Arial" w:hAnsi="Arial" w:cs="Arial"/>
          <w:b/>
          <w:sz w:val="24"/>
          <w:szCs w:val="24"/>
          <w:vertAlign w:val="baseline"/>
        </w:rPr>
      </w:pPr>
    </w:p>
    <w:p w:rsidR="00AD4439" w:rsidRDefault="00AD4439" w:rsidP="00AD4439">
      <w:pPr>
        <w:spacing w:after="0" w:line="240" w:lineRule="auto"/>
        <w:outlineLvl w:val="0"/>
        <w:rPr>
          <w:rFonts w:ascii="Arial" w:hAnsi="Arial" w:cs="Arial"/>
          <w:b/>
          <w:sz w:val="24"/>
          <w:szCs w:val="24"/>
          <w:vertAlign w:val="baseline"/>
        </w:rPr>
      </w:pPr>
      <w:r w:rsidRPr="005F5BC9">
        <w:rPr>
          <w:rFonts w:ascii="Arial" w:hAnsi="Arial" w:cs="Arial"/>
          <w:b/>
          <w:sz w:val="24"/>
          <w:szCs w:val="24"/>
          <w:vertAlign w:val="baseline"/>
        </w:rPr>
        <w:t>Resumo:</w:t>
      </w:r>
    </w:p>
    <w:p w:rsidR="00AD4439" w:rsidRPr="00E748DA" w:rsidRDefault="00E748DA" w:rsidP="00E748DA">
      <w:pPr>
        <w:autoSpaceDE w:val="0"/>
        <w:autoSpaceDN w:val="0"/>
        <w:adjustRightInd w:val="0"/>
        <w:spacing w:after="0" w:line="240" w:lineRule="auto"/>
        <w:ind w:firstLine="360"/>
        <w:rPr>
          <w:rFonts w:ascii="Arial" w:eastAsiaTheme="minorHAnsi" w:hAnsi="Arial" w:cs="Arial"/>
          <w:sz w:val="24"/>
          <w:szCs w:val="24"/>
          <w:vertAlign w:val="baseline"/>
        </w:rPr>
      </w:pPr>
      <w:r w:rsidRPr="005F5BC9">
        <w:rPr>
          <w:rFonts w:ascii="Arial" w:eastAsiaTheme="minorHAnsi" w:hAnsi="Arial" w:cs="Arial"/>
          <w:sz w:val="24"/>
          <w:szCs w:val="24"/>
          <w:vertAlign w:val="baseline"/>
        </w:rPr>
        <w:t xml:space="preserve"> </w:t>
      </w:r>
      <w:r>
        <w:rPr>
          <w:rFonts w:ascii="Arial" w:eastAsiaTheme="minorHAnsi" w:hAnsi="Arial" w:cs="Arial"/>
          <w:sz w:val="24"/>
          <w:szCs w:val="24"/>
          <w:vertAlign w:val="baseline"/>
        </w:rPr>
        <w:t>E</w:t>
      </w:r>
      <w:r w:rsidRPr="005F5BC9">
        <w:rPr>
          <w:rFonts w:ascii="Arial" w:eastAsiaTheme="minorHAnsi" w:hAnsi="Arial" w:cs="Arial"/>
          <w:sz w:val="24"/>
          <w:szCs w:val="24"/>
          <w:vertAlign w:val="baseline"/>
        </w:rPr>
        <w:t xml:space="preserve">xiste </w:t>
      </w:r>
      <w:r>
        <w:rPr>
          <w:rFonts w:ascii="Arial" w:eastAsiaTheme="minorHAnsi" w:hAnsi="Arial" w:cs="Arial"/>
          <w:sz w:val="24"/>
          <w:szCs w:val="24"/>
          <w:vertAlign w:val="baseline"/>
        </w:rPr>
        <w:t xml:space="preserve">na literatura </w:t>
      </w:r>
      <w:r w:rsidRPr="005F5BC9">
        <w:rPr>
          <w:rFonts w:ascii="Arial" w:eastAsiaTheme="minorHAnsi" w:hAnsi="Arial" w:cs="Arial"/>
          <w:sz w:val="24"/>
          <w:szCs w:val="24"/>
          <w:vertAlign w:val="baseline"/>
        </w:rPr>
        <w:t>evidência</w:t>
      </w:r>
      <w:r>
        <w:rPr>
          <w:rFonts w:ascii="Arial" w:eastAsiaTheme="minorHAnsi" w:hAnsi="Arial" w:cs="Arial"/>
          <w:sz w:val="24"/>
          <w:szCs w:val="24"/>
          <w:vertAlign w:val="baseline"/>
        </w:rPr>
        <w:t xml:space="preserve"> de</w:t>
      </w:r>
      <w:r w:rsidR="000C0196">
        <w:rPr>
          <w:rFonts w:ascii="Arial" w:eastAsiaTheme="minorHAnsi" w:hAnsi="Arial" w:cs="Arial"/>
          <w:sz w:val="24"/>
          <w:szCs w:val="24"/>
          <w:vertAlign w:val="baseline"/>
        </w:rPr>
        <w:t xml:space="preserve"> que</w:t>
      </w:r>
      <w:r>
        <w:rPr>
          <w:rFonts w:ascii="Arial" w:eastAsiaTheme="minorHAnsi" w:hAnsi="Arial" w:cs="Arial"/>
          <w:sz w:val="24"/>
          <w:szCs w:val="24"/>
          <w:vertAlign w:val="baseline"/>
        </w:rPr>
        <w:t xml:space="preserve"> o gasto numa</w:t>
      </w:r>
      <w:r w:rsidRPr="005F5BC9">
        <w:rPr>
          <w:rFonts w:ascii="Arial" w:eastAsiaTheme="minorHAnsi" w:hAnsi="Arial" w:cs="Arial"/>
          <w:sz w:val="24"/>
          <w:szCs w:val="24"/>
          <w:vertAlign w:val="baseline"/>
        </w:rPr>
        <w:t xml:space="preserve"> área escolhida </w:t>
      </w:r>
      <w:r>
        <w:rPr>
          <w:rFonts w:ascii="Arial" w:eastAsiaTheme="minorHAnsi" w:hAnsi="Arial" w:cs="Arial"/>
          <w:sz w:val="24"/>
          <w:szCs w:val="24"/>
          <w:vertAlign w:val="baseline"/>
        </w:rPr>
        <w:t xml:space="preserve">pode </w:t>
      </w:r>
      <w:r w:rsidRPr="005F5BC9">
        <w:rPr>
          <w:rFonts w:ascii="Arial" w:eastAsiaTheme="minorHAnsi" w:hAnsi="Arial" w:cs="Arial"/>
          <w:sz w:val="24"/>
          <w:szCs w:val="24"/>
          <w:vertAlign w:val="baseline"/>
        </w:rPr>
        <w:t>aumenta</w:t>
      </w:r>
      <w:r>
        <w:rPr>
          <w:rFonts w:ascii="Arial" w:eastAsiaTheme="minorHAnsi" w:hAnsi="Arial" w:cs="Arial"/>
          <w:sz w:val="24"/>
          <w:szCs w:val="24"/>
          <w:vertAlign w:val="baseline"/>
        </w:rPr>
        <w:t>r</w:t>
      </w:r>
      <w:r w:rsidRPr="005F5BC9">
        <w:rPr>
          <w:rFonts w:ascii="Arial" w:eastAsiaTheme="minorHAnsi" w:hAnsi="Arial" w:cs="Arial"/>
          <w:sz w:val="24"/>
          <w:szCs w:val="24"/>
          <w:vertAlign w:val="baseline"/>
        </w:rPr>
        <w:t xml:space="preserve"> menos do que a quantidade da transferência</w:t>
      </w:r>
      <w:r w:rsidR="009E6920">
        <w:rPr>
          <w:rFonts w:ascii="Arial" w:eastAsiaTheme="minorHAnsi" w:hAnsi="Arial" w:cs="Arial"/>
          <w:sz w:val="24"/>
          <w:szCs w:val="24"/>
          <w:vertAlign w:val="baseline"/>
        </w:rPr>
        <w:t xml:space="preserve"> destinada àquela </w:t>
      </w:r>
      <w:proofErr w:type="spellStart"/>
      <w:r w:rsidR="009E6920">
        <w:rPr>
          <w:rFonts w:ascii="Arial" w:eastAsiaTheme="minorHAnsi" w:hAnsi="Arial" w:cs="Arial"/>
          <w:sz w:val="24"/>
          <w:szCs w:val="24"/>
          <w:vertAlign w:val="baseline"/>
        </w:rPr>
        <w:t>àrea</w:t>
      </w:r>
      <w:proofErr w:type="spellEnd"/>
      <w:r w:rsidRPr="005F5BC9">
        <w:rPr>
          <w:rFonts w:ascii="Arial" w:eastAsiaTheme="minorHAnsi" w:hAnsi="Arial" w:cs="Arial"/>
          <w:sz w:val="24"/>
          <w:szCs w:val="24"/>
          <w:vertAlign w:val="baseline"/>
        </w:rPr>
        <w:t xml:space="preserve">, sendo o restante dos recursos </w:t>
      </w:r>
      <w:r w:rsidRPr="00E34615">
        <w:rPr>
          <w:rFonts w:ascii="Arial" w:eastAsiaTheme="minorHAnsi" w:hAnsi="Arial" w:cs="Arial"/>
          <w:sz w:val="24"/>
          <w:szCs w:val="24"/>
          <w:vertAlign w:val="baseline"/>
        </w:rPr>
        <w:t>destinados a outros bens e serviços públicos. Este resultado ficou conhecido como efeito fungibilidade (</w:t>
      </w:r>
      <w:proofErr w:type="spellStart"/>
      <w:r w:rsidRPr="00E34615">
        <w:rPr>
          <w:rFonts w:ascii="Arial" w:eastAsiaTheme="minorHAnsi" w:hAnsi="Arial" w:cs="Arial"/>
          <w:i/>
          <w:sz w:val="24"/>
          <w:szCs w:val="24"/>
          <w:vertAlign w:val="baseline"/>
        </w:rPr>
        <w:t>fungibility</w:t>
      </w:r>
      <w:proofErr w:type="spellEnd"/>
      <w:r w:rsidRPr="00E34615">
        <w:rPr>
          <w:rFonts w:ascii="Arial" w:eastAsiaTheme="minorHAnsi" w:hAnsi="Arial" w:cs="Arial"/>
          <w:i/>
          <w:sz w:val="24"/>
          <w:szCs w:val="24"/>
          <w:vertAlign w:val="baseline"/>
        </w:rPr>
        <w:t xml:space="preserve"> </w:t>
      </w:r>
      <w:proofErr w:type="spellStart"/>
      <w:r w:rsidRPr="00E34615">
        <w:rPr>
          <w:rFonts w:ascii="Arial" w:eastAsiaTheme="minorHAnsi" w:hAnsi="Arial" w:cs="Arial"/>
          <w:i/>
          <w:sz w:val="24"/>
          <w:szCs w:val="24"/>
          <w:vertAlign w:val="baseline"/>
        </w:rPr>
        <w:t>effect</w:t>
      </w:r>
      <w:proofErr w:type="spellEnd"/>
      <w:r w:rsidRPr="00E34615">
        <w:rPr>
          <w:rFonts w:ascii="Arial" w:eastAsiaTheme="minorHAnsi" w:hAnsi="Arial" w:cs="Arial"/>
          <w:sz w:val="24"/>
          <w:szCs w:val="24"/>
          <w:vertAlign w:val="baseline"/>
        </w:rPr>
        <w:t>) das transferências.</w:t>
      </w:r>
      <w:r>
        <w:rPr>
          <w:rFonts w:ascii="Arial" w:eastAsiaTheme="minorHAnsi" w:hAnsi="Arial" w:cs="Arial"/>
          <w:sz w:val="24"/>
          <w:szCs w:val="24"/>
          <w:vertAlign w:val="baseline"/>
        </w:rPr>
        <w:t xml:space="preserve"> </w:t>
      </w:r>
      <w:r w:rsidRPr="005F5BC9">
        <w:rPr>
          <w:rFonts w:ascii="Arial" w:eastAsiaTheme="minorHAnsi" w:hAnsi="Arial" w:cs="Arial"/>
          <w:sz w:val="24"/>
          <w:szCs w:val="24"/>
          <w:vertAlign w:val="baseline"/>
        </w:rPr>
        <w:t>O objetivo deste artigo é avaliar o impacto das transferências do SUS sobre os gastos em saúde, procurando verificar se a maior parte dos recursos transferidos pelo gov</w:t>
      </w:r>
      <w:r>
        <w:rPr>
          <w:rFonts w:ascii="Arial" w:eastAsiaTheme="minorHAnsi" w:hAnsi="Arial" w:cs="Arial"/>
          <w:sz w:val="24"/>
          <w:szCs w:val="24"/>
          <w:vertAlign w:val="baseline"/>
        </w:rPr>
        <w:t>erno está sendo efetivamente utilizada na saúde.</w:t>
      </w:r>
      <w:r w:rsidRPr="005F5BC9">
        <w:rPr>
          <w:rFonts w:ascii="Arial" w:eastAsiaTheme="minorHAnsi" w:hAnsi="Arial" w:cs="Arial"/>
          <w:sz w:val="24"/>
          <w:szCs w:val="24"/>
          <w:vertAlign w:val="baseline"/>
        </w:rPr>
        <w:t xml:space="preserve"> </w:t>
      </w:r>
      <w:r>
        <w:rPr>
          <w:rFonts w:ascii="Arial" w:eastAsiaTheme="minorHAnsi" w:hAnsi="Arial" w:cs="Arial"/>
          <w:sz w:val="24"/>
          <w:szCs w:val="24"/>
          <w:vertAlign w:val="baseline"/>
        </w:rPr>
        <w:t xml:space="preserve">Foram utilizados </w:t>
      </w:r>
      <w:r w:rsidR="00752BB6">
        <w:rPr>
          <w:rFonts w:ascii="Arial" w:eastAsiaTheme="minorHAnsi" w:hAnsi="Arial" w:cs="Arial"/>
          <w:sz w:val="24"/>
          <w:szCs w:val="24"/>
          <w:vertAlign w:val="baseline"/>
        </w:rPr>
        <w:t>modelos</w:t>
      </w:r>
      <w:r w:rsidR="001A3D3D">
        <w:rPr>
          <w:rFonts w:ascii="Arial" w:eastAsiaTheme="minorHAnsi" w:hAnsi="Arial" w:cs="Arial"/>
          <w:sz w:val="24"/>
          <w:szCs w:val="24"/>
          <w:vertAlign w:val="baseline"/>
        </w:rPr>
        <w:t xml:space="preserve"> clássicos</w:t>
      </w:r>
      <w:r>
        <w:rPr>
          <w:rFonts w:ascii="Arial" w:eastAsiaTheme="minorHAnsi" w:hAnsi="Arial" w:cs="Arial"/>
          <w:sz w:val="24"/>
          <w:szCs w:val="24"/>
          <w:vertAlign w:val="baseline"/>
        </w:rPr>
        <w:t xml:space="preserve"> de dados</w:t>
      </w:r>
      <w:r w:rsidR="000C0196">
        <w:rPr>
          <w:rFonts w:ascii="Arial" w:eastAsiaTheme="minorHAnsi" w:hAnsi="Arial" w:cs="Arial"/>
          <w:sz w:val="24"/>
          <w:szCs w:val="24"/>
          <w:vertAlign w:val="baseline"/>
        </w:rPr>
        <w:t xml:space="preserve"> em</w:t>
      </w:r>
      <w:r>
        <w:rPr>
          <w:rFonts w:ascii="Arial" w:eastAsiaTheme="minorHAnsi" w:hAnsi="Arial" w:cs="Arial"/>
          <w:sz w:val="24"/>
          <w:szCs w:val="24"/>
          <w:vertAlign w:val="baseline"/>
        </w:rPr>
        <w:t xml:space="preserve"> painel e</w:t>
      </w:r>
      <w:r w:rsidR="00752BB6">
        <w:rPr>
          <w:rFonts w:ascii="Arial" w:eastAsiaTheme="minorHAnsi" w:hAnsi="Arial" w:cs="Arial"/>
          <w:sz w:val="24"/>
          <w:szCs w:val="24"/>
          <w:vertAlign w:val="baseline"/>
        </w:rPr>
        <w:t xml:space="preserve"> regressões </w:t>
      </w:r>
      <w:proofErr w:type="spellStart"/>
      <w:r w:rsidR="00752BB6">
        <w:rPr>
          <w:rFonts w:ascii="Arial" w:eastAsiaTheme="minorHAnsi" w:hAnsi="Arial" w:cs="Arial"/>
          <w:sz w:val="24"/>
          <w:szCs w:val="24"/>
          <w:vertAlign w:val="baseline"/>
        </w:rPr>
        <w:t>quantílicas</w:t>
      </w:r>
      <w:proofErr w:type="spellEnd"/>
      <w:r w:rsidR="00752BB6">
        <w:rPr>
          <w:rFonts w:ascii="Arial" w:eastAsiaTheme="minorHAnsi" w:hAnsi="Arial" w:cs="Arial"/>
          <w:sz w:val="24"/>
          <w:szCs w:val="24"/>
          <w:vertAlign w:val="baseline"/>
        </w:rPr>
        <w:t xml:space="preserve"> com efeitos fixos. </w:t>
      </w:r>
      <w:r>
        <w:rPr>
          <w:rFonts w:ascii="Arial" w:eastAsiaTheme="minorHAnsi" w:hAnsi="Arial" w:cs="Arial"/>
          <w:sz w:val="24"/>
          <w:szCs w:val="24"/>
          <w:vertAlign w:val="baseline"/>
        </w:rPr>
        <w:t>Foi obtida evidência de que</w:t>
      </w:r>
      <w:r w:rsidR="003C42AF">
        <w:rPr>
          <w:rFonts w:ascii="Arial" w:eastAsiaTheme="minorHAnsi" w:hAnsi="Arial" w:cs="Arial"/>
          <w:sz w:val="24"/>
          <w:szCs w:val="24"/>
          <w:vertAlign w:val="baseline"/>
        </w:rPr>
        <w:t xml:space="preserve"> ocorre o efeito fungibilidade </w:t>
      </w:r>
      <w:r>
        <w:rPr>
          <w:rFonts w:ascii="Arial" w:eastAsiaTheme="minorHAnsi" w:hAnsi="Arial" w:cs="Arial"/>
          <w:sz w:val="24"/>
          <w:szCs w:val="24"/>
          <w:vertAlign w:val="baseline"/>
        </w:rPr>
        <w:t>para transferências do PAB fixo, uma vez que par</w:t>
      </w:r>
      <w:r w:rsidR="000C0196">
        <w:rPr>
          <w:rFonts w:ascii="Arial" w:eastAsiaTheme="minorHAnsi" w:hAnsi="Arial" w:cs="Arial"/>
          <w:sz w:val="24"/>
          <w:szCs w:val="24"/>
          <w:vertAlign w:val="baseline"/>
        </w:rPr>
        <w:t>a cada R$ 1 de transferências para saúde</w:t>
      </w:r>
      <w:r w:rsidR="006F3A05">
        <w:rPr>
          <w:rFonts w:ascii="Arial" w:eastAsiaTheme="minorHAnsi" w:hAnsi="Arial" w:cs="Arial"/>
          <w:sz w:val="24"/>
          <w:szCs w:val="24"/>
          <w:vertAlign w:val="baseline"/>
        </w:rPr>
        <w:t xml:space="preserve"> cerca de R$ 0,20 é aplicado em outras área</w:t>
      </w:r>
      <w:r w:rsidR="00661D9E">
        <w:rPr>
          <w:rFonts w:ascii="Arial" w:eastAsiaTheme="minorHAnsi" w:hAnsi="Arial" w:cs="Arial"/>
          <w:sz w:val="24"/>
          <w:szCs w:val="24"/>
          <w:vertAlign w:val="baseline"/>
        </w:rPr>
        <w:t>s</w:t>
      </w:r>
      <w:r>
        <w:rPr>
          <w:rFonts w:ascii="Arial" w:eastAsiaTheme="minorHAnsi" w:hAnsi="Arial" w:cs="Arial"/>
          <w:sz w:val="24"/>
          <w:szCs w:val="24"/>
          <w:vertAlign w:val="baseline"/>
        </w:rPr>
        <w:t>. A</w:t>
      </w:r>
      <w:r w:rsidR="00661D9E">
        <w:rPr>
          <w:rFonts w:ascii="Arial" w:eastAsiaTheme="minorHAnsi" w:hAnsi="Arial" w:cs="Arial"/>
          <w:sz w:val="24"/>
          <w:szCs w:val="24"/>
          <w:vertAlign w:val="baseline"/>
        </w:rPr>
        <w:t xml:space="preserve">lém disso, tal efeito </w:t>
      </w:r>
      <w:r>
        <w:rPr>
          <w:rFonts w:ascii="Arial" w:eastAsiaTheme="minorHAnsi" w:hAnsi="Arial" w:cs="Arial"/>
          <w:sz w:val="24"/>
          <w:szCs w:val="24"/>
          <w:vertAlign w:val="baseline"/>
        </w:rPr>
        <w:t xml:space="preserve">parece ser menor em </w:t>
      </w:r>
      <w:r w:rsidR="00661D9E">
        <w:rPr>
          <w:rFonts w:ascii="Arial" w:eastAsiaTheme="minorHAnsi" w:hAnsi="Arial" w:cs="Arial"/>
          <w:sz w:val="24"/>
          <w:szCs w:val="24"/>
          <w:vertAlign w:val="baseline"/>
        </w:rPr>
        <w:t>municípios que apresentam gastos mais elevados em saúde.</w:t>
      </w:r>
    </w:p>
    <w:p w:rsidR="00AD4439" w:rsidRPr="005F5BC9" w:rsidRDefault="00AD4439" w:rsidP="00AD4439">
      <w:pPr>
        <w:spacing w:after="0" w:line="240" w:lineRule="auto"/>
        <w:outlineLvl w:val="0"/>
        <w:rPr>
          <w:rFonts w:ascii="Arial" w:hAnsi="Arial" w:cs="Arial"/>
          <w:b/>
          <w:sz w:val="24"/>
          <w:szCs w:val="24"/>
          <w:vertAlign w:val="baseline"/>
        </w:rPr>
      </w:pPr>
    </w:p>
    <w:p w:rsidR="00AD4439" w:rsidRPr="00BC1003" w:rsidRDefault="00AD4439" w:rsidP="00AD4439">
      <w:pPr>
        <w:spacing w:after="0" w:line="240" w:lineRule="auto"/>
        <w:outlineLvl w:val="0"/>
        <w:rPr>
          <w:rFonts w:ascii="Arial" w:hAnsi="Arial" w:cs="Arial"/>
          <w:b/>
          <w:sz w:val="24"/>
          <w:szCs w:val="24"/>
          <w:vertAlign w:val="baseline"/>
        </w:rPr>
      </w:pPr>
      <w:r w:rsidRPr="00BC1003">
        <w:rPr>
          <w:rFonts w:ascii="Arial" w:hAnsi="Arial" w:cs="Arial"/>
          <w:b/>
          <w:sz w:val="24"/>
          <w:szCs w:val="24"/>
          <w:vertAlign w:val="baseline"/>
        </w:rPr>
        <w:t>Palavras-chave:</w:t>
      </w:r>
      <w:r w:rsidR="00BC1003" w:rsidRPr="00BC1003">
        <w:rPr>
          <w:rFonts w:ascii="Arial" w:hAnsi="Arial" w:cs="Arial"/>
          <w:b/>
          <w:sz w:val="24"/>
          <w:szCs w:val="24"/>
          <w:vertAlign w:val="baseline"/>
        </w:rPr>
        <w:t xml:space="preserve"> </w:t>
      </w:r>
      <w:r w:rsidR="00E748DA">
        <w:rPr>
          <w:rFonts w:ascii="Arial" w:hAnsi="Arial" w:cs="Arial"/>
          <w:b/>
          <w:sz w:val="24"/>
          <w:szCs w:val="24"/>
          <w:vertAlign w:val="baseline"/>
        </w:rPr>
        <w:t>transferências, saúde, fungibilidade</w:t>
      </w:r>
      <w:r w:rsidR="00BC1003" w:rsidRPr="00BC1003">
        <w:rPr>
          <w:rFonts w:ascii="Arial" w:hAnsi="Arial" w:cs="Arial"/>
          <w:b/>
          <w:sz w:val="24"/>
          <w:szCs w:val="24"/>
          <w:vertAlign w:val="baseline"/>
        </w:rPr>
        <w:t xml:space="preserve">, </w:t>
      </w:r>
      <w:r w:rsidR="00E748DA">
        <w:rPr>
          <w:rFonts w:ascii="Arial" w:hAnsi="Arial" w:cs="Arial"/>
          <w:b/>
          <w:sz w:val="24"/>
          <w:szCs w:val="24"/>
          <w:vertAlign w:val="baseline"/>
        </w:rPr>
        <w:t xml:space="preserve">regressões </w:t>
      </w:r>
      <w:proofErr w:type="spellStart"/>
      <w:r w:rsidR="00E748DA">
        <w:rPr>
          <w:rFonts w:ascii="Arial" w:hAnsi="Arial" w:cs="Arial"/>
          <w:b/>
          <w:sz w:val="24"/>
          <w:szCs w:val="24"/>
          <w:vertAlign w:val="baseline"/>
        </w:rPr>
        <w:t>quantílicas</w:t>
      </w:r>
      <w:proofErr w:type="spellEnd"/>
      <w:r w:rsidR="00BC1003">
        <w:rPr>
          <w:rFonts w:ascii="Arial" w:hAnsi="Arial" w:cs="Arial"/>
          <w:b/>
          <w:sz w:val="24"/>
          <w:szCs w:val="24"/>
          <w:vertAlign w:val="baseline"/>
        </w:rPr>
        <w:t>.</w:t>
      </w:r>
    </w:p>
    <w:p w:rsidR="00AD4439" w:rsidRPr="00BC1003" w:rsidRDefault="00AD4439" w:rsidP="00AD4439">
      <w:pPr>
        <w:spacing w:after="0" w:line="240" w:lineRule="auto"/>
        <w:outlineLvl w:val="0"/>
        <w:rPr>
          <w:rFonts w:ascii="Arial" w:hAnsi="Arial" w:cs="Arial"/>
          <w:b/>
          <w:sz w:val="24"/>
          <w:szCs w:val="24"/>
          <w:vertAlign w:val="baseline"/>
        </w:rPr>
      </w:pPr>
    </w:p>
    <w:p w:rsidR="00AD4439" w:rsidRDefault="00AD4439" w:rsidP="00AD4439">
      <w:pPr>
        <w:spacing w:after="0" w:line="240" w:lineRule="auto"/>
        <w:outlineLvl w:val="0"/>
        <w:rPr>
          <w:rFonts w:ascii="Arial" w:hAnsi="Arial" w:cs="Arial"/>
          <w:b/>
          <w:sz w:val="24"/>
          <w:szCs w:val="24"/>
          <w:vertAlign w:val="baseline"/>
          <w:lang w:val="en-US"/>
        </w:rPr>
      </w:pPr>
      <w:r w:rsidRPr="00B7200A">
        <w:rPr>
          <w:rFonts w:ascii="Arial" w:hAnsi="Arial" w:cs="Arial"/>
          <w:b/>
          <w:sz w:val="24"/>
          <w:szCs w:val="24"/>
          <w:vertAlign w:val="baseline"/>
          <w:lang w:val="en-US"/>
        </w:rPr>
        <w:t>Abstract:</w:t>
      </w:r>
    </w:p>
    <w:p w:rsidR="00AD4439" w:rsidRPr="009E6920" w:rsidRDefault="00E748DA" w:rsidP="00AD4439">
      <w:pPr>
        <w:spacing w:after="0" w:line="240" w:lineRule="auto"/>
        <w:outlineLvl w:val="0"/>
        <w:rPr>
          <w:rFonts w:ascii="Arial" w:hAnsi="Arial" w:cs="Arial"/>
          <w:sz w:val="24"/>
          <w:szCs w:val="24"/>
          <w:vertAlign w:val="baseline"/>
          <w:lang w:val="en-US"/>
        </w:rPr>
      </w:pPr>
      <w:r>
        <w:rPr>
          <w:rFonts w:ascii="Arial" w:hAnsi="Arial" w:cs="Arial"/>
          <w:b/>
          <w:sz w:val="24"/>
          <w:szCs w:val="24"/>
          <w:vertAlign w:val="baseline"/>
          <w:lang w:val="en-US"/>
        </w:rPr>
        <w:tab/>
      </w:r>
      <w:r w:rsidRPr="009E6920">
        <w:rPr>
          <w:rFonts w:ascii="Arial" w:hAnsi="Arial" w:cs="Arial"/>
          <w:sz w:val="24"/>
          <w:szCs w:val="24"/>
          <w:vertAlign w:val="baseline"/>
          <w:lang w:val="en-US"/>
        </w:rPr>
        <w:t>The</w:t>
      </w:r>
      <w:r w:rsidR="009E6920">
        <w:rPr>
          <w:rFonts w:ascii="Arial" w:hAnsi="Arial" w:cs="Arial"/>
          <w:sz w:val="24"/>
          <w:szCs w:val="24"/>
          <w:vertAlign w:val="baseline"/>
          <w:lang w:val="en-US"/>
        </w:rPr>
        <w:t>re is evidence in the literature</w:t>
      </w:r>
      <w:r w:rsidRPr="009E6920">
        <w:rPr>
          <w:rFonts w:ascii="Arial" w:hAnsi="Arial" w:cs="Arial"/>
          <w:sz w:val="24"/>
          <w:szCs w:val="24"/>
          <w:vertAlign w:val="baseline"/>
          <w:lang w:val="en-US"/>
        </w:rPr>
        <w:t xml:space="preserve"> that</w:t>
      </w:r>
      <w:r w:rsidR="009E6920">
        <w:rPr>
          <w:rFonts w:ascii="Arial" w:hAnsi="Arial" w:cs="Arial"/>
          <w:sz w:val="24"/>
          <w:szCs w:val="24"/>
          <w:vertAlign w:val="baseline"/>
          <w:lang w:val="en-US"/>
        </w:rPr>
        <w:t xml:space="preserve"> spending on a specific area could increase less than the amount transferred to that are, being the rest of the resources used to finance other public goods and services. This result became known as </w:t>
      </w:r>
      <w:proofErr w:type="spellStart"/>
      <w:r w:rsidR="009E6920">
        <w:rPr>
          <w:rFonts w:ascii="Arial" w:hAnsi="Arial" w:cs="Arial"/>
          <w:sz w:val="24"/>
          <w:szCs w:val="24"/>
          <w:vertAlign w:val="baseline"/>
          <w:lang w:val="en-US"/>
        </w:rPr>
        <w:t>fungibility</w:t>
      </w:r>
      <w:proofErr w:type="spellEnd"/>
      <w:r w:rsidR="009E6920">
        <w:rPr>
          <w:rFonts w:ascii="Arial" w:hAnsi="Arial" w:cs="Arial"/>
          <w:sz w:val="24"/>
          <w:szCs w:val="24"/>
          <w:vertAlign w:val="baseline"/>
          <w:lang w:val="en-US"/>
        </w:rPr>
        <w:t xml:space="preserve"> effect. The purpose of this paper is to evaluate the impact of SUS transfers on health spending, seeking to verify if most of the resources transferred by the government are in fact being used in health. We employed classical panel models, as well as fixed effect </w:t>
      </w:r>
      <w:proofErr w:type="spellStart"/>
      <w:r w:rsidR="009E6920">
        <w:rPr>
          <w:rFonts w:ascii="Arial" w:hAnsi="Arial" w:cs="Arial"/>
          <w:sz w:val="24"/>
          <w:szCs w:val="24"/>
          <w:vertAlign w:val="baseline"/>
          <w:lang w:val="en-US"/>
        </w:rPr>
        <w:t>quantile</w:t>
      </w:r>
      <w:proofErr w:type="spellEnd"/>
      <w:r w:rsidR="009E6920">
        <w:rPr>
          <w:rFonts w:ascii="Arial" w:hAnsi="Arial" w:cs="Arial"/>
          <w:sz w:val="24"/>
          <w:szCs w:val="24"/>
          <w:vertAlign w:val="baseline"/>
          <w:lang w:val="en-US"/>
        </w:rPr>
        <w:t xml:space="preserve"> regressions.</w:t>
      </w:r>
      <w:r w:rsidR="00B7711D" w:rsidRPr="00DD1D20">
        <w:rPr>
          <w:rFonts w:ascii="Arial" w:eastAsiaTheme="minorHAnsi" w:hAnsi="Arial" w:cs="Arial"/>
          <w:sz w:val="24"/>
          <w:szCs w:val="24"/>
          <w:vertAlign w:val="baseline"/>
          <w:lang w:val="en-US"/>
        </w:rPr>
        <w:t xml:space="preserve"> We</w:t>
      </w:r>
      <w:r w:rsidR="009E6920">
        <w:rPr>
          <w:rFonts w:ascii="Arial" w:eastAsiaTheme="minorHAnsi" w:hAnsi="Arial" w:cs="Arial"/>
          <w:sz w:val="24"/>
          <w:szCs w:val="24"/>
          <w:vertAlign w:val="baseline"/>
          <w:lang w:val="en-US"/>
        </w:rPr>
        <w:t xml:space="preserve"> find evidence on the </w:t>
      </w:r>
      <w:proofErr w:type="spellStart"/>
      <w:r w:rsidR="00B7711D" w:rsidRPr="00DD1D20">
        <w:rPr>
          <w:rFonts w:ascii="Arial" w:eastAsiaTheme="minorHAnsi" w:hAnsi="Arial" w:cs="Arial"/>
          <w:sz w:val="24"/>
          <w:szCs w:val="24"/>
          <w:vertAlign w:val="baseline"/>
          <w:lang w:val="en-US"/>
        </w:rPr>
        <w:t>fungibility</w:t>
      </w:r>
      <w:proofErr w:type="spellEnd"/>
      <w:r w:rsidR="009E6920">
        <w:rPr>
          <w:rFonts w:ascii="Arial" w:eastAsiaTheme="minorHAnsi" w:hAnsi="Arial" w:cs="Arial"/>
          <w:sz w:val="24"/>
          <w:szCs w:val="24"/>
          <w:vertAlign w:val="baseline"/>
          <w:lang w:val="en-US"/>
        </w:rPr>
        <w:t xml:space="preserve"> effect since </w:t>
      </w:r>
      <w:r w:rsidR="00B7711D" w:rsidRPr="00DD1D20">
        <w:rPr>
          <w:rFonts w:ascii="Arial" w:eastAsiaTheme="minorHAnsi" w:hAnsi="Arial" w:cs="Arial"/>
          <w:sz w:val="24"/>
          <w:szCs w:val="24"/>
          <w:vertAlign w:val="baseline"/>
          <w:lang w:val="en-US"/>
        </w:rPr>
        <w:t xml:space="preserve">for every $ 1 </w:t>
      </w:r>
      <w:r w:rsidR="009E6920">
        <w:rPr>
          <w:rFonts w:ascii="Arial" w:eastAsiaTheme="minorHAnsi" w:hAnsi="Arial" w:cs="Arial"/>
          <w:sz w:val="24"/>
          <w:szCs w:val="24"/>
          <w:vertAlign w:val="baseline"/>
          <w:lang w:val="en-US"/>
        </w:rPr>
        <w:t>of PAB about R $ 0.20 is directed toward other area</w:t>
      </w:r>
      <w:r w:rsidR="00B25CED">
        <w:rPr>
          <w:rFonts w:ascii="Arial" w:eastAsiaTheme="minorHAnsi" w:hAnsi="Arial" w:cs="Arial"/>
          <w:sz w:val="24"/>
          <w:szCs w:val="24"/>
          <w:vertAlign w:val="baseline"/>
          <w:lang w:val="en-US"/>
        </w:rPr>
        <w:t xml:space="preserve">s. </w:t>
      </w:r>
      <w:proofErr w:type="gramStart"/>
      <w:r w:rsidR="00B25CED">
        <w:rPr>
          <w:rFonts w:ascii="Arial" w:eastAsiaTheme="minorHAnsi" w:hAnsi="Arial" w:cs="Arial"/>
          <w:sz w:val="24"/>
          <w:szCs w:val="24"/>
          <w:vertAlign w:val="baseline"/>
          <w:lang w:val="en-US"/>
        </w:rPr>
        <w:t>Besides the effect</w:t>
      </w:r>
      <w:r w:rsidR="009E6920">
        <w:rPr>
          <w:rFonts w:ascii="Arial" w:eastAsiaTheme="minorHAnsi" w:hAnsi="Arial" w:cs="Arial"/>
          <w:sz w:val="24"/>
          <w:szCs w:val="24"/>
          <w:vertAlign w:val="baseline"/>
          <w:lang w:val="en-US"/>
        </w:rPr>
        <w:t xml:space="preserve"> is smaller for municipalities with higher</w:t>
      </w:r>
      <w:r w:rsidR="00B7711D" w:rsidRPr="00DD1D20">
        <w:rPr>
          <w:rFonts w:ascii="Arial" w:eastAsiaTheme="minorHAnsi" w:hAnsi="Arial" w:cs="Arial"/>
          <w:sz w:val="24"/>
          <w:szCs w:val="24"/>
          <w:vertAlign w:val="baseline"/>
          <w:lang w:val="en-US"/>
        </w:rPr>
        <w:t xml:space="preserve"> spending on health.</w:t>
      </w:r>
      <w:bookmarkStart w:id="0" w:name="_GoBack"/>
      <w:bookmarkEnd w:id="0"/>
      <w:proofErr w:type="gramEnd"/>
    </w:p>
    <w:p w:rsidR="00AD4439" w:rsidRPr="0052497A" w:rsidRDefault="00AD4439" w:rsidP="00AD4439">
      <w:pPr>
        <w:spacing w:after="0" w:line="240" w:lineRule="auto"/>
        <w:outlineLvl w:val="0"/>
        <w:rPr>
          <w:rFonts w:ascii="Arial" w:hAnsi="Arial" w:cs="Arial"/>
          <w:b/>
          <w:sz w:val="24"/>
          <w:szCs w:val="24"/>
          <w:vertAlign w:val="baseline"/>
          <w:lang w:val="en-US"/>
        </w:rPr>
      </w:pPr>
    </w:p>
    <w:p w:rsidR="00AD4439" w:rsidRPr="00BC1003" w:rsidRDefault="00AD4439" w:rsidP="00AD4439">
      <w:pPr>
        <w:spacing w:after="0" w:line="240" w:lineRule="auto"/>
        <w:outlineLvl w:val="0"/>
        <w:rPr>
          <w:rFonts w:ascii="Arial" w:hAnsi="Arial" w:cs="Arial"/>
          <w:b/>
          <w:sz w:val="24"/>
          <w:szCs w:val="24"/>
          <w:vertAlign w:val="baseline"/>
          <w:lang w:val="en-US"/>
        </w:rPr>
      </w:pPr>
      <w:r w:rsidRPr="00BC1003">
        <w:rPr>
          <w:rFonts w:ascii="Arial" w:hAnsi="Arial" w:cs="Arial"/>
          <w:b/>
          <w:sz w:val="24"/>
          <w:szCs w:val="24"/>
          <w:vertAlign w:val="baseline"/>
          <w:lang w:val="en-US"/>
        </w:rPr>
        <w:t>Key Words:</w:t>
      </w:r>
      <w:r w:rsidR="00BC1003" w:rsidRPr="00BC1003">
        <w:rPr>
          <w:rFonts w:ascii="Arial" w:hAnsi="Arial" w:cs="Arial"/>
          <w:b/>
          <w:sz w:val="24"/>
          <w:szCs w:val="24"/>
          <w:vertAlign w:val="baseline"/>
          <w:lang w:val="en-US"/>
        </w:rPr>
        <w:t xml:space="preserve"> </w:t>
      </w:r>
      <w:r w:rsidR="009E6920">
        <w:rPr>
          <w:rFonts w:ascii="Arial" w:hAnsi="Arial" w:cs="Arial"/>
          <w:b/>
          <w:sz w:val="24"/>
          <w:szCs w:val="24"/>
          <w:vertAlign w:val="baseline"/>
          <w:lang w:val="en-US"/>
        </w:rPr>
        <w:t xml:space="preserve"> transfers, health, </w:t>
      </w:r>
      <w:proofErr w:type="spellStart"/>
      <w:r w:rsidR="009E6920">
        <w:rPr>
          <w:rFonts w:ascii="Arial" w:hAnsi="Arial" w:cs="Arial"/>
          <w:b/>
          <w:sz w:val="24"/>
          <w:szCs w:val="24"/>
          <w:vertAlign w:val="baseline"/>
          <w:lang w:val="en-US"/>
        </w:rPr>
        <w:t>fungibility</w:t>
      </w:r>
      <w:proofErr w:type="spellEnd"/>
      <w:r w:rsidR="009E6920">
        <w:rPr>
          <w:rFonts w:ascii="Arial" w:hAnsi="Arial" w:cs="Arial"/>
          <w:b/>
          <w:sz w:val="24"/>
          <w:szCs w:val="24"/>
          <w:vertAlign w:val="baseline"/>
          <w:lang w:val="en-US"/>
        </w:rPr>
        <w:t xml:space="preserve">, </w:t>
      </w:r>
      <w:proofErr w:type="spellStart"/>
      <w:r w:rsidR="009E6920">
        <w:rPr>
          <w:rFonts w:ascii="Arial" w:hAnsi="Arial" w:cs="Arial"/>
          <w:b/>
          <w:sz w:val="24"/>
          <w:szCs w:val="24"/>
          <w:vertAlign w:val="baseline"/>
          <w:lang w:val="en-US"/>
        </w:rPr>
        <w:t>quantile</w:t>
      </w:r>
      <w:proofErr w:type="spellEnd"/>
      <w:r w:rsidR="009E6920">
        <w:rPr>
          <w:rFonts w:ascii="Arial" w:hAnsi="Arial" w:cs="Arial"/>
          <w:b/>
          <w:sz w:val="24"/>
          <w:szCs w:val="24"/>
          <w:vertAlign w:val="baseline"/>
          <w:lang w:val="en-US"/>
        </w:rPr>
        <w:t xml:space="preserve"> regressions.</w:t>
      </w:r>
    </w:p>
    <w:p w:rsidR="00AD4439" w:rsidRPr="00BC1003" w:rsidRDefault="00AD4439" w:rsidP="00AD4439">
      <w:pPr>
        <w:spacing w:after="0" w:line="240" w:lineRule="auto"/>
        <w:outlineLvl w:val="0"/>
        <w:rPr>
          <w:rFonts w:ascii="Arial" w:hAnsi="Arial" w:cs="Arial"/>
          <w:b/>
          <w:sz w:val="24"/>
          <w:szCs w:val="24"/>
          <w:vertAlign w:val="baseline"/>
          <w:lang w:val="en-US"/>
        </w:rPr>
      </w:pPr>
    </w:p>
    <w:p w:rsidR="00AD4439" w:rsidRDefault="00AD4439" w:rsidP="00AD4439">
      <w:pPr>
        <w:spacing w:after="0" w:line="240" w:lineRule="auto"/>
        <w:outlineLvl w:val="0"/>
        <w:rPr>
          <w:rFonts w:ascii="Arial" w:hAnsi="Arial" w:cs="Arial"/>
          <w:b/>
          <w:sz w:val="24"/>
          <w:szCs w:val="24"/>
          <w:vertAlign w:val="baseline"/>
        </w:rPr>
      </w:pPr>
      <w:r w:rsidRPr="008C7930">
        <w:rPr>
          <w:rFonts w:ascii="Arial" w:hAnsi="Arial" w:cs="Arial"/>
          <w:b/>
          <w:sz w:val="24"/>
          <w:szCs w:val="24"/>
          <w:vertAlign w:val="baseline"/>
        </w:rPr>
        <w:t>Classificação JEL:</w:t>
      </w:r>
      <w:r w:rsidR="00EC0EDF">
        <w:rPr>
          <w:rFonts w:ascii="Arial" w:hAnsi="Arial" w:cs="Arial"/>
          <w:b/>
          <w:sz w:val="24"/>
          <w:szCs w:val="24"/>
          <w:vertAlign w:val="baseline"/>
        </w:rPr>
        <w:t xml:space="preserve"> H75; H77.</w:t>
      </w:r>
    </w:p>
    <w:p w:rsidR="00BC1003" w:rsidRDefault="00BC1003" w:rsidP="00AD4439">
      <w:pPr>
        <w:spacing w:after="0" w:line="240" w:lineRule="auto"/>
        <w:outlineLvl w:val="0"/>
        <w:rPr>
          <w:rFonts w:ascii="Arial" w:hAnsi="Arial" w:cs="Arial"/>
          <w:b/>
          <w:sz w:val="24"/>
          <w:szCs w:val="24"/>
          <w:vertAlign w:val="baseline"/>
        </w:rPr>
      </w:pPr>
    </w:p>
    <w:p w:rsidR="00BC1003" w:rsidRPr="005F5BC9" w:rsidRDefault="009E6920" w:rsidP="00AD4439">
      <w:pPr>
        <w:spacing w:after="0" w:line="240" w:lineRule="auto"/>
        <w:outlineLvl w:val="0"/>
        <w:rPr>
          <w:rFonts w:ascii="Arial" w:hAnsi="Arial" w:cs="Arial"/>
          <w:b/>
          <w:sz w:val="24"/>
          <w:szCs w:val="24"/>
          <w:vertAlign w:val="baseline"/>
        </w:rPr>
      </w:pPr>
      <w:r>
        <w:rPr>
          <w:rFonts w:ascii="Arial" w:hAnsi="Arial" w:cs="Arial"/>
          <w:b/>
          <w:sz w:val="24"/>
          <w:szCs w:val="24"/>
          <w:vertAlign w:val="baseline"/>
        </w:rPr>
        <w:t xml:space="preserve">Área </w:t>
      </w:r>
      <w:proofErr w:type="spellStart"/>
      <w:proofErr w:type="gramStart"/>
      <w:r>
        <w:rPr>
          <w:rFonts w:ascii="Arial" w:hAnsi="Arial" w:cs="Arial"/>
          <w:b/>
          <w:sz w:val="24"/>
          <w:szCs w:val="24"/>
          <w:vertAlign w:val="baseline"/>
        </w:rPr>
        <w:t>Anpec</w:t>
      </w:r>
      <w:proofErr w:type="spellEnd"/>
      <w:r>
        <w:rPr>
          <w:rFonts w:ascii="Arial" w:hAnsi="Arial" w:cs="Arial"/>
          <w:b/>
          <w:sz w:val="24"/>
          <w:szCs w:val="24"/>
          <w:vertAlign w:val="baseline"/>
        </w:rPr>
        <w:t xml:space="preserve"> :</w:t>
      </w:r>
      <w:proofErr w:type="gramEnd"/>
      <w:r>
        <w:rPr>
          <w:rFonts w:ascii="Arial" w:hAnsi="Arial" w:cs="Arial"/>
          <w:b/>
          <w:sz w:val="24"/>
          <w:szCs w:val="24"/>
          <w:vertAlign w:val="baseline"/>
        </w:rPr>
        <w:t xml:space="preserve"> </w:t>
      </w:r>
      <w:r w:rsidR="00BC1003">
        <w:rPr>
          <w:rFonts w:ascii="Arial" w:hAnsi="Arial" w:cs="Arial"/>
          <w:b/>
          <w:sz w:val="24"/>
          <w:szCs w:val="24"/>
          <w:vertAlign w:val="baseline"/>
        </w:rPr>
        <w:t>Área 5 – Economia do Setor Público.</w:t>
      </w:r>
    </w:p>
    <w:p w:rsidR="00C749B6" w:rsidRDefault="00C749B6" w:rsidP="00C749B6">
      <w:pPr>
        <w:pStyle w:val="PargrafodaLista"/>
        <w:spacing w:after="0" w:line="240" w:lineRule="auto"/>
        <w:outlineLvl w:val="0"/>
        <w:rPr>
          <w:rFonts w:ascii="Arial" w:hAnsi="Arial" w:cs="Arial"/>
          <w:b/>
          <w:sz w:val="24"/>
          <w:szCs w:val="24"/>
          <w:vertAlign w:val="baseline"/>
        </w:rPr>
      </w:pPr>
    </w:p>
    <w:p w:rsidR="00DD1D20" w:rsidRDefault="00DD1D20" w:rsidP="00C749B6">
      <w:pPr>
        <w:pStyle w:val="PargrafodaLista"/>
        <w:spacing w:after="0" w:line="240" w:lineRule="auto"/>
        <w:outlineLvl w:val="0"/>
        <w:rPr>
          <w:rFonts w:ascii="Arial" w:hAnsi="Arial" w:cs="Arial"/>
          <w:b/>
          <w:sz w:val="24"/>
          <w:szCs w:val="24"/>
          <w:vertAlign w:val="baseline"/>
        </w:rPr>
      </w:pPr>
    </w:p>
    <w:p w:rsidR="009E6920" w:rsidRDefault="009E6920" w:rsidP="00C749B6">
      <w:pPr>
        <w:pStyle w:val="PargrafodaLista"/>
        <w:spacing w:after="0" w:line="240" w:lineRule="auto"/>
        <w:outlineLvl w:val="0"/>
        <w:rPr>
          <w:rFonts w:ascii="Arial" w:hAnsi="Arial" w:cs="Arial"/>
          <w:b/>
          <w:sz w:val="24"/>
          <w:szCs w:val="24"/>
          <w:vertAlign w:val="baseline"/>
        </w:rPr>
      </w:pPr>
    </w:p>
    <w:p w:rsidR="009E6920" w:rsidRDefault="009E6920" w:rsidP="00C749B6">
      <w:pPr>
        <w:pStyle w:val="PargrafodaLista"/>
        <w:spacing w:after="0" w:line="240" w:lineRule="auto"/>
        <w:outlineLvl w:val="0"/>
        <w:rPr>
          <w:rFonts w:ascii="Arial" w:hAnsi="Arial" w:cs="Arial"/>
          <w:b/>
          <w:sz w:val="24"/>
          <w:szCs w:val="24"/>
          <w:vertAlign w:val="baseline"/>
        </w:rPr>
      </w:pPr>
    </w:p>
    <w:p w:rsidR="009E6920" w:rsidRDefault="009E6920" w:rsidP="00C749B6">
      <w:pPr>
        <w:pStyle w:val="PargrafodaLista"/>
        <w:spacing w:after="0" w:line="240" w:lineRule="auto"/>
        <w:outlineLvl w:val="0"/>
        <w:rPr>
          <w:rFonts w:ascii="Arial" w:hAnsi="Arial" w:cs="Arial"/>
          <w:b/>
          <w:sz w:val="24"/>
          <w:szCs w:val="24"/>
          <w:vertAlign w:val="baseline"/>
        </w:rPr>
      </w:pPr>
    </w:p>
    <w:p w:rsidR="009E6920" w:rsidRDefault="009E6920" w:rsidP="00C749B6">
      <w:pPr>
        <w:pStyle w:val="PargrafodaLista"/>
        <w:spacing w:after="0" w:line="240" w:lineRule="auto"/>
        <w:outlineLvl w:val="0"/>
        <w:rPr>
          <w:rFonts w:ascii="Arial" w:hAnsi="Arial" w:cs="Arial"/>
          <w:b/>
          <w:sz w:val="24"/>
          <w:szCs w:val="24"/>
          <w:vertAlign w:val="baseline"/>
        </w:rPr>
      </w:pPr>
    </w:p>
    <w:p w:rsidR="009E6920" w:rsidRDefault="009E6920" w:rsidP="00C749B6">
      <w:pPr>
        <w:pStyle w:val="PargrafodaLista"/>
        <w:spacing w:after="0" w:line="240" w:lineRule="auto"/>
        <w:outlineLvl w:val="0"/>
        <w:rPr>
          <w:rFonts w:ascii="Arial" w:hAnsi="Arial" w:cs="Arial"/>
          <w:b/>
          <w:sz w:val="24"/>
          <w:szCs w:val="24"/>
          <w:vertAlign w:val="baseline"/>
        </w:rPr>
      </w:pPr>
    </w:p>
    <w:p w:rsidR="009E6920" w:rsidRPr="00B7200A" w:rsidRDefault="009E6920" w:rsidP="009E6920">
      <w:pPr>
        <w:spacing w:after="0" w:line="240" w:lineRule="auto"/>
        <w:outlineLvl w:val="0"/>
        <w:rPr>
          <w:rFonts w:ascii="Arial" w:hAnsi="Arial" w:cs="Arial"/>
          <w:b/>
          <w:sz w:val="24"/>
          <w:szCs w:val="24"/>
          <w:vertAlign w:val="baseline"/>
        </w:rPr>
      </w:pPr>
      <w:r w:rsidRPr="00B7200A">
        <w:rPr>
          <w:rFonts w:ascii="Arial" w:hAnsi="Arial" w:cs="Arial"/>
          <w:b/>
          <w:sz w:val="24"/>
          <w:szCs w:val="24"/>
          <w:vertAlign w:val="baseline"/>
        </w:rPr>
        <w:t>Avaliando a resposta dos gastos municipais</w:t>
      </w:r>
      <w:r w:rsidR="00743C69">
        <w:rPr>
          <w:rFonts w:ascii="Arial" w:hAnsi="Arial" w:cs="Arial"/>
          <w:b/>
          <w:sz w:val="24"/>
          <w:szCs w:val="24"/>
          <w:vertAlign w:val="baseline"/>
        </w:rPr>
        <w:t xml:space="preserve"> em saúde</w:t>
      </w:r>
      <w:r w:rsidRPr="00B7200A">
        <w:rPr>
          <w:rFonts w:ascii="Arial" w:hAnsi="Arial" w:cs="Arial"/>
          <w:b/>
          <w:sz w:val="24"/>
          <w:szCs w:val="24"/>
          <w:vertAlign w:val="baseline"/>
        </w:rPr>
        <w:t xml:space="preserve"> às transferências do SUS</w:t>
      </w:r>
    </w:p>
    <w:p w:rsidR="009E6920" w:rsidRPr="005F5BC9" w:rsidRDefault="009E6920" w:rsidP="00C749B6">
      <w:pPr>
        <w:pStyle w:val="PargrafodaLista"/>
        <w:spacing w:after="0" w:line="240" w:lineRule="auto"/>
        <w:outlineLvl w:val="0"/>
        <w:rPr>
          <w:rFonts w:ascii="Arial" w:hAnsi="Arial" w:cs="Arial"/>
          <w:b/>
          <w:sz w:val="24"/>
          <w:szCs w:val="24"/>
          <w:vertAlign w:val="baseline"/>
        </w:rPr>
      </w:pPr>
    </w:p>
    <w:p w:rsidR="00022B78" w:rsidRPr="005F5BC9" w:rsidRDefault="00022B78" w:rsidP="001B6D15">
      <w:pPr>
        <w:pStyle w:val="PargrafodaLista"/>
        <w:numPr>
          <w:ilvl w:val="0"/>
          <w:numId w:val="7"/>
        </w:numPr>
        <w:spacing w:after="0" w:line="240" w:lineRule="auto"/>
        <w:outlineLvl w:val="0"/>
        <w:rPr>
          <w:rFonts w:ascii="Arial" w:hAnsi="Arial" w:cs="Arial"/>
          <w:b/>
          <w:sz w:val="24"/>
          <w:szCs w:val="24"/>
          <w:vertAlign w:val="baseline"/>
        </w:rPr>
      </w:pPr>
      <w:r w:rsidRPr="005F5BC9">
        <w:rPr>
          <w:rFonts w:ascii="Arial" w:hAnsi="Arial" w:cs="Arial"/>
          <w:b/>
          <w:sz w:val="24"/>
          <w:szCs w:val="24"/>
          <w:vertAlign w:val="baseline"/>
        </w:rPr>
        <w:t>Introdução</w:t>
      </w:r>
    </w:p>
    <w:p w:rsidR="00022B78" w:rsidRPr="005F5BC9" w:rsidRDefault="00022B78" w:rsidP="00022B78">
      <w:pPr>
        <w:pStyle w:val="PargrafodaLista"/>
        <w:spacing w:after="0" w:line="240" w:lineRule="auto"/>
        <w:outlineLvl w:val="0"/>
        <w:rPr>
          <w:rFonts w:ascii="Arial" w:hAnsi="Arial" w:cs="Arial"/>
          <w:b/>
          <w:sz w:val="24"/>
          <w:szCs w:val="24"/>
          <w:vertAlign w:val="baseline"/>
        </w:rPr>
      </w:pPr>
    </w:p>
    <w:p w:rsidR="0005299E" w:rsidRPr="005F5BC9" w:rsidRDefault="0005299E" w:rsidP="00291764">
      <w:pPr>
        <w:autoSpaceDE w:val="0"/>
        <w:autoSpaceDN w:val="0"/>
        <w:adjustRightInd w:val="0"/>
        <w:spacing w:after="0" w:line="240" w:lineRule="auto"/>
        <w:ind w:firstLine="348"/>
        <w:rPr>
          <w:rFonts w:ascii="Arial" w:eastAsiaTheme="minorHAnsi" w:hAnsi="Arial" w:cs="Arial"/>
          <w:sz w:val="24"/>
          <w:szCs w:val="24"/>
          <w:vertAlign w:val="baseline"/>
        </w:rPr>
      </w:pPr>
      <w:r w:rsidRPr="005F5BC9">
        <w:rPr>
          <w:rFonts w:ascii="Arial" w:eastAsiaTheme="minorHAnsi" w:hAnsi="Arial" w:cs="Arial"/>
          <w:sz w:val="24"/>
          <w:szCs w:val="24"/>
          <w:vertAlign w:val="baseline"/>
        </w:rPr>
        <w:t>Várias são</w:t>
      </w:r>
      <w:r w:rsidR="00570A72" w:rsidRPr="005F5BC9">
        <w:rPr>
          <w:rFonts w:ascii="Arial" w:eastAsiaTheme="minorHAnsi" w:hAnsi="Arial" w:cs="Arial"/>
          <w:sz w:val="24"/>
          <w:szCs w:val="24"/>
          <w:vertAlign w:val="baseline"/>
        </w:rPr>
        <w:t xml:space="preserve"> as razões que justificam a dificuldade</w:t>
      </w:r>
      <w:r w:rsidRPr="005F5BC9">
        <w:rPr>
          <w:rFonts w:ascii="Arial" w:eastAsiaTheme="minorHAnsi" w:hAnsi="Arial" w:cs="Arial"/>
          <w:sz w:val="24"/>
          <w:szCs w:val="24"/>
          <w:vertAlign w:val="baseline"/>
        </w:rPr>
        <w:t xml:space="preserve"> dos governos subnacionais, em particular os municípios, em mobilizar receitas próprias. Entre estas podem ser citadas a mobilidade da base tributária (bens e fatores)</w:t>
      </w:r>
      <w:r w:rsidR="00570A72" w:rsidRPr="005F5BC9">
        <w:rPr>
          <w:rFonts w:ascii="Arial" w:eastAsiaTheme="minorHAnsi" w:hAnsi="Arial" w:cs="Arial"/>
          <w:sz w:val="24"/>
          <w:szCs w:val="24"/>
          <w:vertAlign w:val="baseline"/>
        </w:rPr>
        <w:t>; capacidade administrativa limitada; custos políticos, especialmente no caso de impostos sobre a propriedade.</w:t>
      </w:r>
    </w:p>
    <w:p w:rsidR="00570A72" w:rsidRPr="005F5BC9" w:rsidRDefault="00570A72" w:rsidP="00291764">
      <w:pPr>
        <w:autoSpaceDE w:val="0"/>
        <w:autoSpaceDN w:val="0"/>
        <w:adjustRightInd w:val="0"/>
        <w:spacing w:after="0" w:line="240" w:lineRule="auto"/>
        <w:ind w:firstLine="348"/>
        <w:rPr>
          <w:rFonts w:ascii="Arial" w:eastAsiaTheme="minorHAnsi" w:hAnsi="Arial" w:cs="Arial"/>
          <w:sz w:val="24"/>
          <w:szCs w:val="24"/>
          <w:vertAlign w:val="baseline"/>
        </w:rPr>
      </w:pPr>
      <w:r w:rsidRPr="005F5BC9">
        <w:rPr>
          <w:rFonts w:ascii="Arial" w:eastAsiaTheme="minorHAnsi" w:hAnsi="Arial" w:cs="Arial"/>
          <w:sz w:val="24"/>
          <w:szCs w:val="24"/>
          <w:vertAlign w:val="baseline"/>
        </w:rPr>
        <w:t>Diante disso, as transferências intergovernamentais são utilizadas em vários países do mundo para cobrir os desequilíbrios verticais resultantes. As transferências são utilizadas ainda para promover a redistribuição dos recursos regionalmente, para internalizar externalidades entre as diferentes localidades e para que o nível de governo consiga executar suas prioridades em áreas cuja responsabilidade de provisão é detida por um nível mais baixo de governo.</w:t>
      </w:r>
    </w:p>
    <w:p w:rsidR="00570A72" w:rsidRPr="005F5BC9" w:rsidRDefault="00570A72" w:rsidP="00291764">
      <w:pPr>
        <w:autoSpaceDE w:val="0"/>
        <w:autoSpaceDN w:val="0"/>
        <w:adjustRightInd w:val="0"/>
        <w:spacing w:after="0" w:line="240" w:lineRule="auto"/>
        <w:ind w:firstLine="360"/>
        <w:rPr>
          <w:rFonts w:ascii="Arial" w:eastAsiaTheme="minorHAnsi" w:hAnsi="Arial" w:cs="Arial"/>
          <w:sz w:val="24"/>
          <w:szCs w:val="24"/>
          <w:vertAlign w:val="baseline"/>
        </w:rPr>
      </w:pPr>
      <w:r w:rsidRPr="005F5BC9">
        <w:rPr>
          <w:rFonts w:ascii="Arial" w:eastAsiaTheme="minorHAnsi" w:hAnsi="Arial" w:cs="Arial"/>
          <w:sz w:val="24"/>
          <w:szCs w:val="24"/>
          <w:vertAlign w:val="baseline"/>
        </w:rPr>
        <w:t>As características das transferências intergovernamentais</w:t>
      </w:r>
      <w:r w:rsidR="00DB78EB" w:rsidRPr="005F5BC9">
        <w:rPr>
          <w:rFonts w:ascii="Arial" w:eastAsiaTheme="minorHAnsi" w:hAnsi="Arial" w:cs="Arial"/>
          <w:sz w:val="24"/>
          <w:szCs w:val="24"/>
          <w:vertAlign w:val="baseline"/>
        </w:rPr>
        <w:t xml:space="preserve"> em cada país</w:t>
      </w:r>
      <w:r w:rsidRPr="005F5BC9">
        <w:rPr>
          <w:rFonts w:ascii="Arial" w:eastAsiaTheme="minorHAnsi" w:hAnsi="Arial" w:cs="Arial"/>
          <w:sz w:val="24"/>
          <w:szCs w:val="24"/>
          <w:vertAlign w:val="baseline"/>
        </w:rPr>
        <w:t xml:space="preserve"> depende</w:t>
      </w:r>
      <w:r w:rsidR="00022B78" w:rsidRPr="005F5BC9">
        <w:rPr>
          <w:rFonts w:ascii="Arial" w:eastAsiaTheme="minorHAnsi" w:hAnsi="Arial" w:cs="Arial"/>
          <w:sz w:val="24"/>
          <w:szCs w:val="24"/>
          <w:vertAlign w:val="baseline"/>
        </w:rPr>
        <w:t>m</w:t>
      </w:r>
      <w:r w:rsidRPr="005F5BC9">
        <w:rPr>
          <w:rFonts w:ascii="Arial" w:eastAsiaTheme="minorHAnsi" w:hAnsi="Arial" w:cs="Arial"/>
          <w:sz w:val="24"/>
          <w:szCs w:val="24"/>
          <w:vertAlign w:val="baseline"/>
        </w:rPr>
        <w:t xml:space="preserve"> da importância relativa atribuída a cada um desses objetivos</w:t>
      </w:r>
      <w:r w:rsidR="00DB78EB" w:rsidRPr="005F5BC9">
        <w:rPr>
          <w:rFonts w:ascii="Arial" w:eastAsiaTheme="minorHAnsi" w:hAnsi="Arial" w:cs="Arial"/>
          <w:sz w:val="24"/>
          <w:szCs w:val="24"/>
          <w:vertAlign w:val="baseline"/>
        </w:rPr>
        <w:t>, assim como de restrições econômicas e institucionais.</w:t>
      </w:r>
    </w:p>
    <w:p w:rsidR="00022B78" w:rsidRPr="005F5BC9" w:rsidRDefault="00DB78EB" w:rsidP="00291764">
      <w:pPr>
        <w:autoSpaceDE w:val="0"/>
        <w:autoSpaceDN w:val="0"/>
        <w:adjustRightInd w:val="0"/>
        <w:spacing w:after="0" w:line="240" w:lineRule="auto"/>
        <w:ind w:firstLine="360"/>
        <w:rPr>
          <w:rFonts w:ascii="Arial" w:eastAsiaTheme="minorHAnsi" w:hAnsi="Arial" w:cs="Arial"/>
          <w:sz w:val="24"/>
          <w:szCs w:val="24"/>
          <w:vertAlign w:val="baseline"/>
        </w:rPr>
      </w:pPr>
      <w:r w:rsidRPr="005F5BC9">
        <w:rPr>
          <w:rFonts w:ascii="Arial" w:eastAsiaTheme="minorHAnsi" w:hAnsi="Arial" w:cs="Arial"/>
          <w:sz w:val="24"/>
          <w:szCs w:val="24"/>
          <w:vertAlign w:val="baseline"/>
        </w:rPr>
        <w:t>A literatura define várias categorias de transferências. A primeira separa as de caráter obrigat</w:t>
      </w:r>
      <w:r w:rsidR="00EC04A6" w:rsidRPr="005F5BC9">
        <w:rPr>
          <w:rFonts w:ascii="Arial" w:eastAsiaTheme="minorHAnsi" w:hAnsi="Arial" w:cs="Arial"/>
          <w:sz w:val="24"/>
          <w:szCs w:val="24"/>
          <w:vertAlign w:val="baseline"/>
        </w:rPr>
        <w:t>ório ou voluntário. As transferências obrigatórias têm como vantagem aumentar</w:t>
      </w:r>
      <w:r w:rsidRPr="005F5BC9">
        <w:rPr>
          <w:rFonts w:ascii="Arial" w:eastAsiaTheme="minorHAnsi" w:hAnsi="Arial" w:cs="Arial"/>
          <w:sz w:val="24"/>
          <w:szCs w:val="24"/>
          <w:vertAlign w:val="baseline"/>
        </w:rPr>
        <w:t xml:space="preserve"> a previsibilidade dos orçamentos dos governos subnacionais e são menos sujeitas à disputa política. A segunda separa as </w:t>
      </w:r>
      <w:r w:rsidR="00EC04A6" w:rsidRPr="005F5BC9">
        <w:rPr>
          <w:rFonts w:ascii="Arial" w:eastAsiaTheme="minorHAnsi" w:hAnsi="Arial" w:cs="Arial"/>
          <w:sz w:val="24"/>
          <w:szCs w:val="24"/>
          <w:vertAlign w:val="baseline"/>
        </w:rPr>
        <w:t xml:space="preserve">transferências </w:t>
      </w:r>
      <w:r w:rsidRPr="005F5BC9">
        <w:rPr>
          <w:rFonts w:ascii="Arial" w:eastAsiaTheme="minorHAnsi" w:hAnsi="Arial" w:cs="Arial"/>
          <w:sz w:val="24"/>
          <w:szCs w:val="24"/>
          <w:vertAlign w:val="baseline"/>
        </w:rPr>
        <w:t>condicionais a gastos (</w:t>
      </w:r>
      <w:proofErr w:type="spellStart"/>
      <w:r w:rsidRPr="005F5BC9">
        <w:rPr>
          <w:rFonts w:ascii="Arial" w:eastAsiaTheme="minorHAnsi" w:hAnsi="Arial" w:cs="Arial"/>
          <w:i/>
          <w:sz w:val="24"/>
          <w:szCs w:val="24"/>
          <w:vertAlign w:val="baseline"/>
        </w:rPr>
        <w:t>earmarked</w:t>
      </w:r>
      <w:proofErr w:type="spellEnd"/>
      <w:r w:rsidRPr="005F5BC9">
        <w:rPr>
          <w:rFonts w:ascii="Arial" w:eastAsiaTheme="minorHAnsi" w:hAnsi="Arial" w:cs="Arial"/>
          <w:sz w:val="24"/>
          <w:szCs w:val="24"/>
          <w:vertAlign w:val="baseline"/>
        </w:rPr>
        <w:t>) das não condicionais. As</w:t>
      </w:r>
      <w:r w:rsidR="00EC04A6" w:rsidRPr="005F5BC9">
        <w:rPr>
          <w:rFonts w:ascii="Arial" w:eastAsiaTheme="minorHAnsi" w:hAnsi="Arial" w:cs="Arial"/>
          <w:sz w:val="24"/>
          <w:szCs w:val="24"/>
          <w:vertAlign w:val="baseline"/>
        </w:rPr>
        <w:t xml:space="preserve"> transferências condicionais tê</w:t>
      </w:r>
      <w:r w:rsidRPr="005F5BC9">
        <w:rPr>
          <w:rFonts w:ascii="Arial" w:eastAsiaTheme="minorHAnsi" w:hAnsi="Arial" w:cs="Arial"/>
          <w:sz w:val="24"/>
          <w:szCs w:val="24"/>
          <w:vertAlign w:val="baseline"/>
        </w:rPr>
        <w:t>m como objetivo fornecer incentivos para que os governos levem adiante programas ou atividades específi</w:t>
      </w:r>
      <w:r w:rsidR="00EC04A6" w:rsidRPr="005F5BC9">
        <w:rPr>
          <w:rFonts w:ascii="Arial" w:eastAsiaTheme="minorHAnsi" w:hAnsi="Arial" w:cs="Arial"/>
          <w:sz w:val="24"/>
          <w:szCs w:val="24"/>
          <w:vertAlign w:val="baseline"/>
        </w:rPr>
        <w:t>cas. Procuram assim garantir</w:t>
      </w:r>
      <w:r w:rsidRPr="005F5BC9">
        <w:rPr>
          <w:rFonts w:ascii="Arial" w:eastAsiaTheme="minorHAnsi" w:hAnsi="Arial" w:cs="Arial"/>
          <w:sz w:val="24"/>
          <w:szCs w:val="24"/>
          <w:vertAlign w:val="baseline"/>
        </w:rPr>
        <w:t xml:space="preserve"> a efetivação de um determinado montante de gasto nas áreas definidas como de interesse do governo federal. Finalmente,</w:t>
      </w:r>
      <w:r w:rsidR="00EC04A6" w:rsidRPr="005F5BC9">
        <w:rPr>
          <w:rFonts w:ascii="Arial" w:eastAsiaTheme="minorHAnsi" w:hAnsi="Arial" w:cs="Arial"/>
          <w:sz w:val="24"/>
          <w:szCs w:val="24"/>
          <w:vertAlign w:val="baseline"/>
        </w:rPr>
        <w:t xml:space="preserve"> as</w:t>
      </w:r>
      <w:r w:rsidRPr="005F5BC9">
        <w:rPr>
          <w:rFonts w:ascii="Arial" w:eastAsiaTheme="minorHAnsi" w:hAnsi="Arial" w:cs="Arial"/>
          <w:sz w:val="24"/>
          <w:szCs w:val="24"/>
          <w:vertAlign w:val="baseline"/>
        </w:rPr>
        <w:t xml:space="preserve"> transferências condicionais podem incorporar </w:t>
      </w:r>
      <w:r w:rsidR="00291764" w:rsidRPr="005F5BC9">
        <w:rPr>
          <w:rFonts w:ascii="Arial" w:eastAsiaTheme="minorHAnsi" w:hAnsi="Arial" w:cs="Arial"/>
          <w:sz w:val="24"/>
          <w:szCs w:val="24"/>
          <w:vertAlign w:val="baseline"/>
        </w:rPr>
        <w:t xml:space="preserve">contrapartidas. Transferências condicionais com contrapartida (também conhecidas como programas de divisão de custos – </w:t>
      </w:r>
      <w:proofErr w:type="spellStart"/>
      <w:r w:rsidR="00291764" w:rsidRPr="005F5BC9">
        <w:rPr>
          <w:rFonts w:ascii="Arial" w:eastAsiaTheme="minorHAnsi" w:hAnsi="Arial" w:cs="Arial"/>
          <w:i/>
          <w:sz w:val="24"/>
          <w:szCs w:val="24"/>
          <w:vertAlign w:val="baseline"/>
        </w:rPr>
        <w:t>costsharing</w:t>
      </w:r>
      <w:proofErr w:type="spellEnd"/>
      <w:r w:rsidR="00BA0650" w:rsidRPr="005F5BC9">
        <w:rPr>
          <w:rFonts w:ascii="Arial" w:eastAsiaTheme="minorHAnsi" w:hAnsi="Arial" w:cs="Arial"/>
          <w:i/>
          <w:sz w:val="24"/>
          <w:szCs w:val="24"/>
          <w:vertAlign w:val="baseline"/>
        </w:rPr>
        <w:t xml:space="preserve"> </w:t>
      </w:r>
      <w:proofErr w:type="spellStart"/>
      <w:r w:rsidR="00291764" w:rsidRPr="005F5BC9">
        <w:rPr>
          <w:rFonts w:ascii="Arial" w:eastAsiaTheme="minorHAnsi" w:hAnsi="Arial" w:cs="Arial"/>
          <w:i/>
          <w:sz w:val="24"/>
          <w:szCs w:val="24"/>
          <w:vertAlign w:val="baseline"/>
        </w:rPr>
        <w:t>programs</w:t>
      </w:r>
      <w:proofErr w:type="spellEnd"/>
      <w:r w:rsidR="00291764" w:rsidRPr="005F5BC9">
        <w:rPr>
          <w:rFonts w:ascii="Arial" w:eastAsiaTheme="minorHAnsi" w:hAnsi="Arial" w:cs="Arial"/>
          <w:sz w:val="24"/>
          <w:szCs w:val="24"/>
          <w:vertAlign w:val="baseline"/>
        </w:rPr>
        <w:t>) requer</w:t>
      </w:r>
      <w:r w:rsidR="00EC04A6" w:rsidRPr="005F5BC9">
        <w:rPr>
          <w:rFonts w:ascii="Arial" w:eastAsiaTheme="minorHAnsi" w:hAnsi="Arial" w:cs="Arial"/>
          <w:sz w:val="24"/>
          <w:szCs w:val="24"/>
          <w:vertAlign w:val="baseline"/>
        </w:rPr>
        <w:t>em</w:t>
      </w:r>
      <w:r w:rsidR="00291764" w:rsidRPr="005F5BC9">
        <w:rPr>
          <w:rFonts w:ascii="Arial" w:eastAsiaTheme="minorHAnsi" w:hAnsi="Arial" w:cs="Arial"/>
          <w:sz w:val="24"/>
          <w:szCs w:val="24"/>
          <w:vertAlign w:val="baseline"/>
        </w:rPr>
        <w:t xml:space="preserve"> que os recursos sejam usados com um propósito específico e que os receptores da transferência financiem uma determinada porcentagem dos gastos usando recursos próprios. São geralmente utilizadas para reduzir a subprovisão dos bens e serviços públicos que ocorre na presença de externalidades positivas (</w:t>
      </w:r>
      <w:proofErr w:type="spellStart"/>
      <w:r w:rsidR="00291764" w:rsidRPr="005F5BC9">
        <w:rPr>
          <w:rFonts w:ascii="Arial" w:eastAsiaTheme="minorHAnsi" w:hAnsi="Arial" w:cs="Arial"/>
          <w:i/>
          <w:sz w:val="24"/>
          <w:szCs w:val="24"/>
          <w:vertAlign w:val="baseline"/>
        </w:rPr>
        <w:t>spillover</w:t>
      </w:r>
      <w:proofErr w:type="spellEnd"/>
      <w:r w:rsidR="00BA0650" w:rsidRPr="005F5BC9">
        <w:rPr>
          <w:rFonts w:ascii="Arial" w:eastAsiaTheme="minorHAnsi" w:hAnsi="Arial" w:cs="Arial"/>
          <w:i/>
          <w:sz w:val="24"/>
          <w:szCs w:val="24"/>
          <w:vertAlign w:val="baseline"/>
        </w:rPr>
        <w:t xml:space="preserve"> </w:t>
      </w:r>
      <w:proofErr w:type="spellStart"/>
      <w:r w:rsidR="00291764" w:rsidRPr="005F5BC9">
        <w:rPr>
          <w:rFonts w:ascii="Arial" w:eastAsiaTheme="minorHAnsi" w:hAnsi="Arial" w:cs="Arial"/>
          <w:i/>
          <w:sz w:val="24"/>
          <w:szCs w:val="24"/>
          <w:vertAlign w:val="baseline"/>
        </w:rPr>
        <w:t>effects</w:t>
      </w:r>
      <w:proofErr w:type="spellEnd"/>
      <w:r w:rsidR="00291764" w:rsidRPr="005F5BC9">
        <w:rPr>
          <w:rFonts w:ascii="Arial" w:eastAsiaTheme="minorHAnsi" w:hAnsi="Arial" w:cs="Arial"/>
          <w:sz w:val="24"/>
          <w:szCs w:val="24"/>
          <w:vertAlign w:val="baseline"/>
        </w:rPr>
        <w:t>) ao em última instância subsidiar a oferta.</w:t>
      </w:r>
    </w:p>
    <w:p w:rsidR="00277EB0" w:rsidRDefault="00022B78" w:rsidP="00291764">
      <w:pPr>
        <w:autoSpaceDE w:val="0"/>
        <w:autoSpaceDN w:val="0"/>
        <w:adjustRightInd w:val="0"/>
        <w:spacing w:after="0" w:line="240" w:lineRule="auto"/>
        <w:ind w:firstLine="360"/>
        <w:rPr>
          <w:rFonts w:ascii="Arial" w:eastAsiaTheme="minorHAnsi" w:hAnsi="Arial" w:cs="Arial"/>
          <w:sz w:val="24"/>
          <w:szCs w:val="24"/>
          <w:vertAlign w:val="baseline"/>
        </w:rPr>
      </w:pPr>
      <w:r w:rsidRPr="005F5BC9">
        <w:rPr>
          <w:rFonts w:ascii="Arial" w:eastAsiaTheme="minorHAnsi" w:hAnsi="Arial" w:cs="Arial"/>
          <w:sz w:val="24"/>
          <w:szCs w:val="24"/>
          <w:vertAlign w:val="baseline"/>
        </w:rPr>
        <w:t xml:space="preserve">No Brasil as transferências para a saúde são condicionais e obrigatórias. </w:t>
      </w:r>
      <w:r w:rsidR="00E86254" w:rsidRPr="005F5BC9">
        <w:rPr>
          <w:rFonts w:ascii="Arial" w:eastAsiaTheme="minorHAnsi" w:hAnsi="Arial" w:cs="Arial"/>
          <w:sz w:val="24"/>
          <w:szCs w:val="24"/>
          <w:vertAlign w:val="baseline"/>
        </w:rPr>
        <w:t xml:space="preserve">Esta foi </w:t>
      </w:r>
      <w:proofErr w:type="gramStart"/>
      <w:r w:rsidR="00E86254" w:rsidRPr="005F5BC9">
        <w:rPr>
          <w:rFonts w:ascii="Arial" w:eastAsiaTheme="minorHAnsi" w:hAnsi="Arial" w:cs="Arial"/>
          <w:sz w:val="24"/>
          <w:szCs w:val="24"/>
          <w:vertAlign w:val="baseline"/>
        </w:rPr>
        <w:t>a</w:t>
      </w:r>
      <w:proofErr w:type="gramEnd"/>
      <w:r w:rsidR="001B6D15">
        <w:rPr>
          <w:rFonts w:ascii="Arial" w:eastAsiaTheme="minorHAnsi" w:hAnsi="Arial" w:cs="Arial"/>
          <w:sz w:val="24"/>
          <w:szCs w:val="24"/>
          <w:vertAlign w:val="baseline"/>
        </w:rPr>
        <w:t xml:space="preserve"> </w:t>
      </w:r>
      <w:r w:rsidR="00E959C8" w:rsidRPr="005F5BC9">
        <w:rPr>
          <w:rFonts w:ascii="Arial" w:eastAsiaTheme="minorHAnsi" w:hAnsi="Arial" w:cs="Arial"/>
          <w:sz w:val="24"/>
          <w:szCs w:val="24"/>
          <w:vertAlign w:val="baseline"/>
        </w:rPr>
        <w:t xml:space="preserve">forma encontrada para garantir os gastos numa área considerada prioritária. </w:t>
      </w:r>
      <w:r w:rsidR="00277EB0">
        <w:rPr>
          <w:rFonts w:ascii="Arial" w:eastAsiaTheme="minorHAnsi" w:hAnsi="Arial" w:cs="Arial"/>
          <w:sz w:val="24"/>
          <w:szCs w:val="24"/>
          <w:vertAlign w:val="baseline"/>
        </w:rPr>
        <w:t>Porém, s</w:t>
      </w:r>
      <w:r w:rsidR="00277EB0" w:rsidRPr="00EF2AE1">
        <w:rPr>
          <w:rFonts w:ascii="Arial" w:eastAsiaTheme="minorHAnsi" w:hAnsi="Arial" w:cs="Arial"/>
          <w:sz w:val="24"/>
          <w:szCs w:val="24"/>
          <w:vertAlign w:val="baseline"/>
        </w:rPr>
        <w:t>e a parcela dos gastos financiada com recursos próprios do município é maior do que a transferência con</w:t>
      </w:r>
      <w:r w:rsidR="00277EB0">
        <w:rPr>
          <w:rFonts w:ascii="Arial" w:eastAsiaTheme="minorHAnsi" w:hAnsi="Arial" w:cs="Arial"/>
          <w:sz w:val="24"/>
          <w:szCs w:val="24"/>
          <w:vertAlign w:val="baseline"/>
        </w:rPr>
        <w:t xml:space="preserve">dicional que o município recebe a </w:t>
      </w:r>
      <w:r w:rsidR="00277EB0" w:rsidRPr="00EF2AE1">
        <w:rPr>
          <w:rFonts w:ascii="Arial" w:eastAsiaTheme="minorHAnsi" w:hAnsi="Arial" w:cs="Arial"/>
          <w:sz w:val="24"/>
          <w:szCs w:val="24"/>
          <w:vertAlign w:val="baseline"/>
        </w:rPr>
        <w:t>condicionalidade da transferência pode ter impacto sobre o comportamento de gasto, mas também pode não afetá-lo de forma nenhuma</w:t>
      </w:r>
      <w:r w:rsidR="00277EB0">
        <w:rPr>
          <w:rFonts w:ascii="Arial" w:eastAsiaTheme="minorHAnsi" w:hAnsi="Arial" w:cs="Arial"/>
          <w:sz w:val="24"/>
          <w:szCs w:val="24"/>
          <w:vertAlign w:val="baseline"/>
        </w:rPr>
        <w:t>.</w:t>
      </w:r>
    </w:p>
    <w:p w:rsidR="00DB78EB" w:rsidRPr="005F5BC9" w:rsidRDefault="00277EB0" w:rsidP="00291764">
      <w:pPr>
        <w:autoSpaceDE w:val="0"/>
        <w:autoSpaceDN w:val="0"/>
        <w:adjustRightInd w:val="0"/>
        <w:spacing w:after="0" w:line="240" w:lineRule="auto"/>
        <w:ind w:firstLine="360"/>
        <w:rPr>
          <w:rFonts w:ascii="Arial" w:eastAsiaTheme="minorHAnsi" w:hAnsi="Arial" w:cs="Arial"/>
          <w:sz w:val="24"/>
          <w:szCs w:val="24"/>
          <w:vertAlign w:val="baseline"/>
        </w:rPr>
      </w:pPr>
      <w:r>
        <w:rPr>
          <w:rFonts w:ascii="Arial" w:eastAsiaTheme="minorHAnsi" w:hAnsi="Arial" w:cs="Arial"/>
          <w:sz w:val="24"/>
          <w:szCs w:val="24"/>
          <w:vertAlign w:val="baseline"/>
        </w:rPr>
        <w:t xml:space="preserve"> Além disso</w:t>
      </w:r>
      <w:r w:rsidR="00E959C8" w:rsidRPr="005F5BC9">
        <w:rPr>
          <w:rFonts w:ascii="Arial" w:eastAsiaTheme="minorHAnsi" w:hAnsi="Arial" w:cs="Arial"/>
          <w:sz w:val="24"/>
          <w:szCs w:val="24"/>
          <w:vertAlign w:val="baseline"/>
        </w:rPr>
        <w:t xml:space="preserve">, existe evidência de que o gasto na área escolhida aumenta menos do que a quantidade da transferência, sendo o restante dos recursos </w:t>
      </w:r>
      <w:r w:rsidR="00E959C8" w:rsidRPr="00E34615">
        <w:rPr>
          <w:rFonts w:ascii="Arial" w:eastAsiaTheme="minorHAnsi" w:hAnsi="Arial" w:cs="Arial"/>
          <w:sz w:val="24"/>
          <w:szCs w:val="24"/>
          <w:vertAlign w:val="baseline"/>
        </w:rPr>
        <w:t>destinados a outros bens e serviços públicos. Este resultado ficou conhecido como efeito fungibilidade (</w:t>
      </w:r>
      <w:proofErr w:type="spellStart"/>
      <w:r w:rsidR="00E959C8" w:rsidRPr="00E34615">
        <w:rPr>
          <w:rFonts w:ascii="Arial" w:eastAsiaTheme="minorHAnsi" w:hAnsi="Arial" w:cs="Arial"/>
          <w:i/>
          <w:sz w:val="24"/>
          <w:szCs w:val="24"/>
          <w:vertAlign w:val="baseline"/>
        </w:rPr>
        <w:t>fungibility</w:t>
      </w:r>
      <w:proofErr w:type="spellEnd"/>
      <w:r w:rsidR="00BA0650" w:rsidRPr="00E34615">
        <w:rPr>
          <w:rFonts w:ascii="Arial" w:eastAsiaTheme="minorHAnsi" w:hAnsi="Arial" w:cs="Arial"/>
          <w:i/>
          <w:sz w:val="24"/>
          <w:szCs w:val="24"/>
          <w:vertAlign w:val="baseline"/>
        </w:rPr>
        <w:t xml:space="preserve"> </w:t>
      </w:r>
      <w:proofErr w:type="spellStart"/>
      <w:r w:rsidR="00E959C8" w:rsidRPr="00E34615">
        <w:rPr>
          <w:rFonts w:ascii="Arial" w:eastAsiaTheme="minorHAnsi" w:hAnsi="Arial" w:cs="Arial"/>
          <w:i/>
          <w:sz w:val="24"/>
          <w:szCs w:val="24"/>
          <w:vertAlign w:val="baseline"/>
        </w:rPr>
        <w:t>effect</w:t>
      </w:r>
      <w:proofErr w:type="spellEnd"/>
      <w:r w:rsidR="00E959C8" w:rsidRPr="00E34615">
        <w:rPr>
          <w:rFonts w:ascii="Arial" w:eastAsiaTheme="minorHAnsi" w:hAnsi="Arial" w:cs="Arial"/>
          <w:sz w:val="24"/>
          <w:szCs w:val="24"/>
          <w:vertAlign w:val="baseline"/>
        </w:rPr>
        <w:t>)</w:t>
      </w:r>
      <w:r w:rsidR="00BA0650" w:rsidRPr="00E34615">
        <w:rPr>
          <w:rFonts w:ascii="Arial" w:eastAsiaTheme="minorHAnsi" w:hAnsi="Arial" w:cs="Arial"/>
          <w:sz w:val="24"/>
          <w:szCs w:val="24"/>
          <w:vertAlign w:val="baseline"/>
        </w:rPr>
        <w:t xml:space="preserve"> </w:t>
      </w:r>
      <w:r w:rsidR="00E959C8" w:rsidRPr="00E34615">
        <w:rPr>
          <w:rFonts w:ascii="Arial" w:eastAsiaTheme="minorHAnsi" w:hAnsi="Arial" w:cs="Arial"/>
          <w:sz w:val="24"/>
          <w:szCs w:val="24"/>
          <w:vertAlign w:val="baseline"/>
        </w:rPr>
        <w:t>das transferências.</w:t>
      </w:r>
      <w:r w:rsidR="00E86254" w:rsidRPr="00E34615">
        <w:rPr>
          <w:rFonts w:ascii="Arial" w:eastAsiaTheme="minorHAnsi" w:hAnsi="Arial" w:cs="Arial"/>
          <w:sz w:val="24"/>
          <w:szCs w:val="24"/>
          <w:vertAlign w:val="baseline"/>
        </w:rPr>
        <w:t xml:space="preserve"> De forma genérica fungibilidade pode ser definida como a substituição do financiamento público pela transferência obrigatória, passando aquele a ser usado para gastos em outros setores ou para a redução de impostos. Implica que recursos </w:t>
      </w:r>
      <w:r w:rsidR="00E86254" w:rsidRPr="00E34615">
        <w:rPr>
          <w:rFonts w:ascii="Arial" w:eastAsiaTheme="minorHAnsi" w:hAnsi="Arial" w:cs="Arial"/>
          <w:sz w:val="24"/>
          <w:szCs w:val="24"/>
          <w:vertAlign w:val="baseline"/>
        </w:rPr>
        <w:lastRenderedPageBreak/>
        <w:t>carimbados substituem, ao invés de complementar, os gastos locais destinados para um determinado propósito.</w:t>
      </w:r>
      <w:r w:rsidR="00BA0650" w:rsidRPr="00E34615">
        <w:rPr>
          <w:rFonts w:ascii="Arial" w:eastAsiaTheme="minorHAnsi" w:hAnsi="Arial" w:cs="Arial"/>
          <w:sz w:val="24"/>
          <w:szCs w:val="24"/>
          <w:vertAlign w:val="baseline"/>
        </w:rPr>
        <w:t xml:space="preserve"> </w:t>
      </w:r>
      <w:proofErr w:type="spellStart"/>
      <w:r w:rsidR="00C749B6" w:rsidRPr="00E34615">
        <w:rPr>
          <w:rFonts w:ascii="Arial" w:eastAsiaTheme="minorHAnsi" w:hAnsi="Arial" w:cs="Arial"/>
          <w:sz w:val="24"/>
          <w:szCs w:val="24"/>
          <w:vertAlign w:val="baseline"/>
        </w:rPr>
        <w:t>Shah</w:t>
      </w:r>
      <w:proofErr w:type="spellEnd"/>
      <w:r w:rsidR="00C749B6" w:rsidRPr="00E34615">
        <w:rPr>
          <w:rFonts w:ascii="Arial" w:eastAsiaTheme="minorHAnsi" w:hAnsi="Arial" w:cs="Arial"/>
          <w:sz w:val="24"/>
          <w:szCs w:val="24"/>
          <w:vertAlign w:val="baseline"/>
        </w:rPr>
        <w:t xml:space="preserve"> (1985, 1988</w:t>
      </w:r>
      <w:r w:rsidR="00E959C8" w:rsidRPr="00E34615">
        <w:rPr>
          <w:rFonts w:ascii="Arial" w:eastAsiaTheme="minorHAnsi" w:hAnsi="Arial" w:cs="Arial"/>
          <w:sz w:val="24"/>
          <w:szCs w:val="24"/>
          <w:vertAlign w:val="baseline"/>
        </w:rPr>
        <w:t>, 1989)</w:t>
      </w:r>
      <w:r w:rsidR="00E86254" w:rsidRPr="00E34615">
        <w:rPr>
          <w:rFonts w:ascii="Arial" w:eastAsiaTheme="minorHAnsi" w:hAnsi="Arial" w:cs="Arial"/>
          <w:sz w:val="24"/>
          <w:szCs w:val="24"/>
          <w:vertAlign w:val="baseline"/>
        </w:rPr>
        <w:t>, por exemplo,</w:t>
      </w:r>
      <w:r w:rsidR="00E959C8" w:rsidRPr="00E34615">
        <w:rPr>
          <w:rFonts w:ascii="Arial" w:eastAsiaTheme="minorHAnsi" w:hAnsi="Arial" w:cs="Arial"/>
          <w:sz w:val="24"/>
          <w:szCs w:val="24"/>
          <w:vertAlign w:val="baseline"/>
        </w:rPr>
        <w:t xml:space="preserve"> encontrou evidência de que as transferências estaduais para os municípios em Alberta</w:t>
      </w:r>
      <w:r w:rsidR="00C569B6" w:rsidRPr="00E34615">
        <w:rPr>
          <w:rFonts w:ascii="Arial" w:eastAsiaTheme="minorHAnsi" w:hAnsi="Arial" w:cs="Arial"/>
          <w:sz w:val="24"/>
          <w:szCs w:val="24"/>
          <w:vertAlign w:val="baseline"/>
        </w:rPr>
        <w:t xml:space="preserve"> destinadas ao transporte público</w:t>
      </w:r>
      <w:r w:rsidR="00C569B6" w:rsidRPr="005F5BC9">
        <w:rPr>
          <w:rFonts w:ascii="Arial" w:eastAsiaTheme="minorHAnsi" w:hAnsi="Arial" w:cs="Arial"/>
          <w:sz w:val="24"/>
          <w:szCs w:val="24"/>
          <w:vertAlign w:val="baseline"/>
        </w:rPr>
        <w:t xml:space="preserve"> foram parcialmente desviadas para financiar outros serviços, mas o mesmo não ocorreu com a ajuda para a melhora do transporte rodoviário.</w:t>
      </w:r>
    </w:p>
    <w:p w:rsidR="00BA4308" w:rsidRDefault="00A4480D" w:rsidP="00291764">
      <w:pPr>
        <w:autoSpaceDE w:val="0"/>
        <w:autoSpaceDN w:val="0"/>
        <w:adjustRightInd w:val="0"/>
        <w:spacing w:after="0" w:line="240" w:lineRule="auto"/>
        <w:ind w:firstLine="360"/>
        <w:rPr>
          <w:rFonts w:ascii="Arial" w:eastAsiaTheme="minorHAnsi" w:hAnsi="Arial" w:cs="Arial"/>
          <w:sz w:val="24"/>
          <w:szCs w:val="24"/>
          <w:vertAlign w:val="baseline"/>
        </w:rPr>
      </w:pPr>
      <w:r w:rsidRPr="005F5BC9">
        <w:rPr>
          <w:rFonts w:ascii="Arial" w:eastAsiaTheme="minorHAnsi" w:hAnsi="Arial" w:cs="Arial"/>
          <w:sz w:val="24"/>
          <w:szCs w:val="24"/>
          <w:vertAlign w:val="baseline"/>
        </w:rPr>
        <w:t>O objetivo deste artigo é avaliar o impacto das transferências do SUS sobre os gastos em saúde, procurando verificar se a maior parte dos recursos transferidos pelo</w:t>
      </w:r>
      <w:r w:rsidR="00B94CA0" w:rsidRPr="005F5BC9">
        <w:rPr>
          <w:rFonts w:ascii="Arial" w:eastAsiaTheme="minorHAnsi" w:hAnsi="Arial" w:cs="Arial"/>
          <w:sz w:val="24"/>
          <w:szCs w:val="24"/>
          <w:vertAlign w:val="baseline"/>
        </w:rPr>
        <w:t xml:space="preserve"> gov</w:t>
      </w:r>
      <w:r w:rsidR="00BA4308">
        <w:rPr>
          <w:rFonts w:ascii="Arial" w:eastAsiaTheme="minorHAnsi" w:hAnsi="Arial" w:cs="Arial"/>
          <w:sz w:val="24"/>
          <w:szCs w:val="24"/>
          <w:vertAlign w:val="baseline"/>
        </w:rPr>
        <w:t>erno</w:t>
      </w:r>
      <w:r w:rsidR="00B94CA0" w:rsidRPr="005F5BC9">
        <w:rPr>
          <w:rFonts w:ascii="Arial" w:eastAsiaTheme="minorHAnsi" w:hAnsi="Arial" w:cs="Arial"/>
          <w:sz w:val="24"/>
          <w:szCs w:val="24"/>
          <w:vertAlign w:val="baseline"/>
        </w:rPr>
        <w:t xml:space="preserve"> está sendo utilizada</w:t>
      </w:r>
      <w:r w:rsidRPr="005F5BC9">
        <w:rPr>
          <w:rFonts w:ascii="Arial" w:eastAsiaTheme="minorHAnsi" w:hAnsi="Arial" w:cs="Arial"/>
          <w:sz w:val="24"/>
          <w:szCs w:val="24"/>
          <w:vertAlign w:val="baseline"/>
        </w:rPr>
        <w:t xml:space="preserve"> para serviços</w:t>
      </w:r>
      <w:r w:rsidR="00BA4308">
        <w:rPr>
          <w:rFonts w:ascii="Arial" w:eastAsiaTheme="minorHAnsi" w:hAnsi="Arial" w:cs="Arial"/>
          <w:sz w:val="24"/>
          <w:szCs w:val="24"/>
          <w:vertAlign w:val="baseline"/>
        </w:rPr>
        <w:t xml:space="preserve"> de saúde ou para serviços</w:t>
      </w:r>
      <w:r w:rsidRPr="005F5BC9">
        <w:rPr>
          <w:rFonts w:ascii="Arial" w:eastAsiaTheme="minorHAnsi" w:hAnsi="Arial" w:cs="Arial"/>
          <w:sz w:val="24"/>
          <w:szCs w:val="24"/>
          <w:vertAlign w:val="baseline"/>
        </w:rPr>
        <w:t xml:space="preserve"> outros que não a saúde a nível local. Esta questão é de particular intere</w:t>
      </w:r>
      <w:r w:rsidR="00261292" w:rsidRPr="005F5BC9">
        <w:rPr>
          <w:rFonts w:ascii="Arial" w:eastAsiaTheme="minorHAnsi" w:hAnsi="Arial" w:cs="Arial"/>
          <w:sz w:val="24"/>
          <w:szCs w:val="24"/>
          <w:vertAlign w:val="baseline"/>
        </w:rPr>
        <w:t xml:space="preserve">sse dada </w:t>
      </w:r>
      <w:r w:rsidR="008C7E98" w:rsidRPr="005F5BC9">
        <w:rPr>
          <w:rFonts w:ascii="Arial" w:eastAsiaTheme="minorHAnsi" w:hAnsi="Arial" w:cs="Arial"/>
          <w:sz w:val="24"/>
          <w:szCs w:val="24"/>
          <w:vertAlign w:val="baseline"/>
        </w:rPr>
        <w:t xml:space="preserve">a </w:t>
      </w:r>
      <w:r w:rsidR="00BA4308">
        <w:rPr>
          <w:rFonts w:ascii="Arial" w:eastAsiaTheme="minorHAnsi" w:hAnsi="Arial" w:cs="Arial"/>
          <w:sz w:val="24"/>
          <w:szCs w:val="24"/>
          <w:vertAlign w:val="baseline"/>
        </w:rPr>
        <w:t xml:space="preserve">constante percepção de que o país gasta pouco em saúde. Uma das inovações no contexto do SUS foi </w:t>
      </w:r>
      <w:proofErr w:type="gramStart"/>
      <w:r w:rsidR="00BA4308">
        <w:rPr>
          <w:rFonts w:ascii="Arial" w:eastAsiaTheme="minorHAnsi" w:hAnsi="Arial" w:cs="Arial"/>
          <w:sz w:val="24"/>
          <w:szCs w:val="24"/>
          <w:vertAlign w:val="baseline"/>
        </w:rPr>
        <w:t>a</w:t>
      </w:r>
      <w:proofErr w:type="gramEnd"/>
      <w:r w:rsidR="00BA4308">
        <w:rPr>
          <w:rFonts w:ascii="Arial" w:eastAsiaTheme="minorHAnsi" w:hAnsi="Arial" w:cs="Arial"/>
          <w:sz w:val="24"/>
          <w:szCs w:val="24"/>
          <w:vertAlign w:val="baseline"/>
        </w:rPr>
        <w:t xml:space="preserve"> definição de uma estratégia de financiamento da atenção básica, através da substituição do pagamento por prestação de serviços pela transferência de recursos direta aos municípios de acordo com as responsabilidades assumidas (PAB – Programa de Atenção Básica).  Diante disso, é fundamental avaliar se os recursos transferidos foram empregados no destino esperado.</w:t>
      </w:r>
    </w:p>
    <w:p w:rsidR="00322509" w:rsidRPr="005F5BC9" w:rsidRDefault="00322509" w:rsidP="00291764">
      <w:pPr>
        <w:autoSpaceDE w:val="0"/>
        <w:autoSpaceDN w:val="0"/>
        <w:adjustRightInd w:val="0"/>
        <w:spacing w:after="0" w:line="240" w:lineRule="auto"/>
        <w:ind w:firstLine="360"/>
        <w:rPr>
          <w:rFonts w:ascii="Arial" w:eastAsiaTheme="minorHAnsi" w:hAnsi="Arial" w:cs="Arial"/>
          <w:sz w:val="24"/>
          <w:szCs w:val="24"/>
          <w:vertAlign w:val="baseline"/>
        </w:rPr>
      </w:pPr>
      <w:r w:rsidRPr="005F5BC9">
        <w:rPr>
          <w:rFonts w:ascii="Arial" w:eastAsiaTheme="minorHAnsi" w:hAnsi="Arial" w:cs="Arial"/>
          <w:sz w:val="24"/>
          <w:szCs w:val="24"/>
          <w:vertAlign w:val="baseline"/>
        </w:rPr>
        <w:t xml:space="preserve">O artigo está organizado em </w:t>
      </w:r>
      <w:r w:rsidR="00886A50">
        <w:rPr>
          <w:rFonts w:ascii="Arial" w:eastAsiaTheme="minorHAnsi" w:hAnsi="Arial" w:cs="Arial"/>
          <w:sz w:val="24"/>
          <w:szCs w:val="24"/>
          <w:vertAlign w:val="baseline"/>
        </w:rPr>
        <w:t>quatro</w:t>
      </w:r>
      <w:r w:rsidRPr="005F5BC9">
        <w:rPr>
          <w:rFonts w:ascii="Arial" w:eastAsiaTheme="minorHAnsi" w:hAnsi="Arial" w:cs="Arial"/>
          <w:sz w:val="24"/>
          <w:szCs w:val="24"/>
          <w:vertAlign w:val="baseline"/>
        </w:rPr>
        <w:t xml:space="preserve"> seções, além desta introdução. A segunda seção descreve o sistema de transferências para saúde no Brasil</w:t>
      </w:r>
      <w:r w:rsidR="00B94CA0" w:rsidRPr="005F5BC9">
        <w:rPr>
          <w:rFonts w:ascii="Arial" w:eastAsiaTheme="minorHAnsi" w:hAnsi="Arial" w:cs="Arial"/>
          <w:sz w:val="24"/>
          <w:szCs w:val="24"/>
          <w:vertAlign w:val="baseline"/>
        </w:rPr>
        <w:t>. A terceira seção faz uma breve discussão da literatura empírica que avalia o efeito de transferências condicionais sobre o gasto dos governos receptores. A quarta seção apresenta os dados e discute os modelos a serem estimados. A quinta seção analisa os principais resultados obtidos. Finalmente, a sexta seção resume as principais conclusões.</w:t>
      </w:r>
    </w:p>
    <w:p w:rsidR="00291764" w:rsidRPr="005F5BC9" w:rsidRDefault="00291764" w:rsidP="00291764">
      <w:pPr>
        <w:spacing w:after="0" w:line="240" w:lineRule="auto"/>
        <w:outlineLvl w:val="0"/>
        <w:rPr>
          <w:rFonts w:ascii="Arial" w:hAnsi="Arial" w:cs="Arial"/>
          <w:b/>
          <w:sz w:val="24"/>
          <w:szCs w:val="24"/>
        </w:rPr>
      </w:pPr>
    </w:p>
    <w:p w:rsidR="003E6AD7" w:rsidRPr="00047661" w:rsidRDefault="003E6AD7" w:rsidP="00047661">
      <w:pPr>
        <w:pStyle w:val="PargrafodaLista"/>
        <w:numPr>
          <w:ilvl w:val="0"/>
          <w:numId w:val="4"/>
        </w:numPr>
        <w:spacing w:after="0" w:line="240" w:lineRule="auto"/>
        <w:outlineLvl w:val="0"/>
        <w:rPr>
          <w:rFonts w:ascii="Arial" w:hAnsi="Arial" w:cs="Arial"/>
          <w:b/>
          <w:sz w:val="24"/>
          <w:szCs w:val="24"/>
          <w:vertAlign w:val="baseline"/>
        </w:rPr>
      </w:pPr>
      <w:r w:rsidRPr="00047661">
        <w:rPr>
          <w:rFonts w:ascii="Arial" w:hAnsi="Arial" w:cs="Arial"/>
          <w:b/>
          <w:sz w:val="24"/>
          <w:szCs w:val="24"/>
          <w:vertAlign w:val="baseline"/>
        </w:rPr>
        <w:t>Transferências para a saúde</w:t>
      </w:r>
    </w:p>
    <w:p w:rsidR="00047661" w:rsidRPr="00047661" w:rsidRDefault="00047661" w:rsidP="00047661">
      <w:pPr>
        <w:pStyle w:val="PargrafodaLista"/>
        <w:spacing w:after="0" w:line="240" w:lineRule="auto"/>
        <w:outlineLvl w:val="0"/>
        <w:rPr>
          <w:rFonts w:ascii="Arial" w:hAnsi="Arial" w:cs="Arial"/>
          <w:b/>
          <w:sz w:val="24"/>
          <w:szCs w:val="24"/>
          <w:vertAlign w:val="baseline"/>
        </w:rPr>
      </w:pPr>
    </w:p>
    <w:p w:rsidR="003E6AD7" w:rsidRPr="005F5BC9" w:rsidRDefault="003E6AD7" w:rsidP="00022B78">
      <w:pPr>
        <w:spacing w:after="0" w:line="240" w:lineRule="auto"/>
        <w:outlineLvl w:val="0"/>
        <w:rPr>
          <w:rFonts w:ascii="Arial" w:hAnsi="Arial" w:cs="Arial"/>
          <w:sz w:val="24"/>
          <w:szCs w:val="24"/>
          <w:vertAlign w:val="baseline"/>
        </w:rPr>
      </w:pPr>
      <w:r w:rsidRPr="005F5BC9">
        <w:rPr>
          <w:rFonts w:ascii="Arial" w:hAnsi="Arial" w:cs="Arial"/>
          <w:b/>
          <w:sz w:val="24"/>
          <w:szCs w:val="24"/>
          <w:vertAlign w:val="baseline"/>
        </w:rPr>
        <w:tab/>
      </w:r>
      <w:r w:rsidRPr="005F5BC9">
        <w:rPr>
          <w:rFonts w:ascii="Arial" w:hAnsi="Arial" w:cs="Arial"/>
          <w:sz w:val="24"/>
          <w:szCs w:val="24"/>
          <w:vertAlign w:val="baseline"/>
        </w:rPr>
        <w:t xml:space="preserve">O Sistema Único de Saúde (SUS) foi concebido seguindo uma organização descentralizada e hierarquizada, em que os municípios são responsáveis pela atenção primária de saúde e os municípios maiores e os Estados pelos procedimentos de maior complexidade. </w:t>
      </w:r>
    </w:p>
    <w:p w:rsidR="003E6AD7" w:rsidRPr="005F5BC9" w:rsidRDefault="003E6AD7" w:rsidP="00022B78">
      <w:pPr>
        <w:spacing w:after="0" w:line="240" w:lineRule="auto"/>
        <w:outlineLvl w:val="0"/>
        <w:rPr>
          <w:rFonts w:ascii="Arial" w:hAnsi="Arial" w:cs="Arial"/>
          <w:sz w:val="24"/>
          <w:szCs w:val="24"/>
          <w:vertAlign w:val="baseline"/>
        </w:rPr>
      </w:pPr>
      <w:r w:rsidRPr="005F5BC9">
        <w:rPr>
          <w:rFonts w:ascii="Arial" w:hAnsi="Arial" w:cs="Arial"/>
          <w:sz w:val="24"/>
          <w:szCs w:val="24"/>
          <w:vertAlign w:val="baseline"/>
        </w:rPr>
        <w:tab/>
        <w:t>Entre a promulgação da Constituição e o começo dos anos 90 pouco se progrediu em direção a esses princípios de organização. Várias razões contribuíram para isso, entre elas o processo hiperinflacionário que o país vivia e que dificultava o acordo em torno das transferências de recursos e o próprio processo orçamentário.</w:t>
      </w:r>
    </w:p>
    <w:p w:rsidR="003E6AD7" w:rsidRPr="005F5BC9" w:rsidRDefault="003E6AD7" w:rsidP="00022B78">
      <w:pPr>
        <w:spacing w:after="0" w:line="240" w:lineRule="auto"/>
        <w:outlineLvl w:val="0"/>
        <w:rPr>
          <w:rFonts w:ascii="Arial" w:hAnsi="Arial" w:cs="Arial"/>
          <w:sz w:val="24"/>
          <w:szCs w:val="24"/>
          <w:vertAlign w:val="baseline"/>
        </w:rPr>
      </w:pPr>
      <w:r w:rsidRPr="005F5BC9">
        <w:rPr>
          <w:rFonts w:ascii="Arial" w:hAnsi="Arial" w:cs="Arial"/>
          <w:sz w:val="24"/>
          <w:szCs w:val="24"/>
          <w:vertAlign w:val="baseline"/>
        </w:rPr>
        <w:tab/>
        <w:t xml:space="preserve">Na verdade, </w:t>
      </w:r>
      <w:r w:rsidR="00C12E46" w:rsidRPr="005F5BC9">
        <w:rPr>
          <w:rFonts w:ascii="Arial" w:hAnsi="Arial" w:cs="Arial"/>
          <w:sz w:val="24"/>
          <w:szCs w:val="24"/>
          <w:vertAlign w:val="baseline"/>
        </w:rPr>
        <w:t xml:space="preserve">somente </w:t>
      </w:r>
      <w:r w:rsidRPr="005F5BC9">
        <w:rPr>
          <w:rFonts w:ascii="Arial" w:hAnsi="Arial" w:cs="Arial"/>
          <w:sz w:val="24"/>
          <w:szCs w:val="24"/>
          <w:vertAlign w:val="baseline"/>
        </w:rPr>
        <w:t>com a NOB 96 (Norma Operacional Básica 01/96)</w:t>
      </w:r>
      <w:r w:rsidR="00C12E46" w:rsidRPr="005F5BC9">
        <w:rPr>
          <w:rFonts w:ascii="Arial" w:hAnsi="Arial" w:cs="Arial"/>
          <w:sz w:val="24"/>
          <w:szCs w:val="24"/>
          <w:vertAlign w:val="baseline"/>
        </w:rPr>
        <w:t xml:space="preserve"> que se conseguiu definir com mais clareza o papel dos gestores dos três níveis de governo na gestão do SUS.</w:t>
      </w:r>
    </w:p>
    <w:p w:rsidR="003E6AD7" w:rsidRPr="005F5BC9" w:rsidRDefault="003E6AD7" w:rsidP="00C12E46">
      <w:pPr>
        <w:spacing w:after="0" w:line="240" w:lineRule="auto"/>
        <w:ind w:firstLine="708"/>
        <w:rPr>
          <w:rFonts w:ascii="Arial" w:hAnsi="Arial" w:cs="Arial"/>
          <w:sz w:val="24"/>
          <w:szCs w:val="24"/>
          <w:vertAlign w:val="baseline"/>
        </w:rPr>
      </w:pPr>
      <w:r w:rsidRPr="005F5BC9">
        <w:rPr>
          <w:rFonts w:ascii="Arial" w:hAnsi="Arial" w:cs="Arial"/>
          <w:sz w:val="24"/>
          <w:szCs w:val="24"/>
          <w:vertAlign w:val="baseline"/>
        </w:rPr>
        <w:t xml:space="preserve">Ela aumentou ainda o valor das transferências de recursos federais para os Estados e municípios e estabeleceu uma programação integrada dos orçamentos, definindo os gastos em saúde a serem feitos pelas três esferas de governo. Concebeu também um mecanismo automático de repasse de recursos do governo federal para Estados e municípios para que esses pudessem adotar uma série de ações de saúde básicas. Estas transferências são feitas de forma automática “fundo a fundo” (diretamente do Fundo Nacional de Saúde para os fundos estaduais e municipais) em contraposição ao esquema anterior em que prevalecia o financiamento por prestação de serviços. Os Estados e municípios também destinam recursos próprios aos </w:t>
      </w:r>
      <w:r w:rsidRPr="005F5BC9">
        <w:rPr>
          <w:rFonts w:ascii="Arial" w:hAnsi="Arial" w:cs="Arial"/>
          <w:sz w:val="24"/>
          <w:szCs w:val="24"/>
          <w:vertAlign w:val="baseline"/>
        </w:rPr>
        <w:lastRenderedPageBreak/>
        <w:t xml:space="preserve">seus fundos de saúde, garantindo o </w:t>
      </w:r>
      <w:proofErr w:type="spellStart"/>
      <w:proofErr w:type="gramStart"/>
      <w:r w:rsidRPr="005F5BC9">
        <w:rPr>
          <w:rFonts w:ascii="Arial" w:hAnsi="Arial" w:cs="Arial"/>
          <w:sz w:val="24"/>
          <w:szCs w:val="24"/>
          <w:vertAlign w:val="baseline"/>
        </w:rPr>
        <w:t>co-financiamento</w:t>
      </w:r>
      <w:proofErr w:type="spellEnd"/>
      <w:proofErr w:type="gramEnd"/>
      <w:r w:rsidRPr="005F5BC9">
        <w:rPr>
          <w:rFonts w:ascii="Arial" w:hAnsi="Arial" w:cs="Arial"/>
          <w:sz w:val="24"/>
          <w:szCs w:val="24"/>
          <w:vertAlign w:val="baseline"/>
        </w:rPr>
        <w:t xml:space="preserve"> do setor saúde pelas três esferas de governo. </w:t>
      </w:r>
    </w:p>
    <w:p w:rsidR="000137BA" w:rsidRPr="005F5BC9" w:rsidRDefault="000137BA" w:rsidP="000137BA">
      <w:pPr>
        <w:autoSpaceDE w:val="0"/>
        <w:autoSpaceDN w:val="0"/>
        <w:adjustRightInd w:val="0"/>
        <w:spacing w:after="0" w:line="240" w:lineRule="auto"/>
        <w:ind w:firstLine="360"/>
        <w:outlineLvl w:val="0"/>
        <w:rPr>
          <w:rFonts w:ascii="Arial" w:eastAsiaTheme="minorHAnsi" w:hAnsi="Arial" w:cs="Arial"/>
          <w:sz w:val="24"/>
          <w:szCs w:val="24"/>
          <w:vertAlign w:val="baseline"/>
        </w:rPr>
      </w:pPr>
      <w:r w:rsidRPr="005F5BC9">
        <w:rPr>
          <w:rFonts w:ascii="Arial" w:eastAsiaTheme="minorHAnsi" w:hAnsi="Arial" w:cs="Arial"/>
          <w:sz w:val="24"/>
          <w:szCs w:val="24"/>
          <w:vertAlign w:val="baseline"/>
        </w:rPr>
        <w:t xml:space="preserve">Na verdade, as transferências feitas pelo governo federal podem ser classificadas entre convênios e transferências fundo a fundo. </w:t>
      </w:r>
    </w:p>
    <w:p w:rsidR="000137BA" w:rsidRPr="005F5BC9" w:rsidRDefault="000137BA" w:rsidP="000137BA">
      <w:pPr>
        <w:autoSpaceDE w:val="0"/>
        <w:autoSpaceDN w:val="0"/>
        <w:adjustRightInd w:val="0"/>
        <w:spacing w:after="0" w:line="240" w:lineRule="auto"/>
        <w:ind w:firstLine="360"/>
        <w:outlineLvl w:val="0"/>
        <w:rPr>
          <w:rFonts w:ascii="Arial" w:eastAsiaTheme="minorHAnsi" w:hAnsi="Arial" w:cs="Arial"/>
          <w:sz w:val="24"/>
          <w:szCs w:val="24"/>
          <w:vertAlign w:val="baseline"/>
        </w:rPr>
      </w:pPr>
      <w:r w:rsidRPr="005F5BC9">
        <w:rPr>
          <w:rFonts w:ascii="Arial" w:eastAsiaTheme="minorHAnsi" w:hAnsi="Arial" w:cs="Arial"/>
          <w:sz w:val="24"/>
          <w:szCs w:val="24"/>
          <w:vertAlign w:val="baseline"/>
        </w:rPr>
        <w:t xml:space="preserve">Os convênios representam os recursos resultantes de acordos entre o governo federal e os governos municipais, sendo, portanto, voluntários; tem propósitos específicos, devendo ser usados nas atividades definidas; podem ou não exigir contrapartida dos municípios que os celebram. </w:t>
      </w:r>
    </w:p>
    <w:p w:rsidR="000137BA" w:rsidRPr="005F5BC9" w:rsidRDefault="000137BA" w:rsidP="000137BA">
      <w:pPr>
        <w:autoSpaceDE w:val="0"/>
        <w:autoSpaceDN w:val="0"/>
        <w:adjustRightInd w:val="0"/>
        <w:spacing w:after="0" w:line="240" w:lineRule="auto"/>
        <w:ind w:firstLine="360"/>
        <w:outlineLvl w:val="0"/>
        <w:rPr>
          <w:rFonts w:ascii="Arial" w:eastAsiaTheme="minorHAnsi" w:hAnsi="Arial" w:cs="Arial"/>
          <w:sz w:val="24"/>
          <w:szCs w:val="24"/>
          <w:vertAlign w:val="baseline"/>
        </w:rPr>
      </w:pPr>
      <w:r w:rsidRPr="005F5BC9">
        <w:rPr>
          <w:rFonts w:ascii="Arial" w:eastAsiaTheme="minorHAnsi" w:hAnsi="Arial" w:cs="Arial"/>
          <w:sz w:val="24"/>
          <w:szCs w:val="24"/>
          <w:vertAlign w:val="baseline"/>
        </w:rPr>
        <w:t>As transferências fundo a fundo, por sua vez, correspondem a transferências realizadas automaticamente do Fundo Nacional de Saúde para os fundos estaduais e municipais de saúde. São utilizadas pelo governo federal para complementar os recursos municipais e estaduais destinados ao financiamento da saúde uma vez que os governos subnacionais também aportam recursos próprios aos seus fundos de saúde.</w:t>
      </w:r>
    </w:p>
    <w:p w:rsidR="000137BA" w:rsidRPr="005F5BC9" w:rsidRDefault="000137BA" w:rsidP="000137BA">
      <w:pPr>
        <w:autoSpaceDE w:val="0"/>
        <w:autoSpaceDN w:val="0"/>
        <w:adjustRightInd w:val="0"/>
        <w:spacing w:after="0" w:line="240" w:lineRule="auto"/>
        <w:ind w:firstLine="708"/>
        <w:outlineLvl w:val="0"/>
        <w:rPr>
          <w:rFonts w:ascii="Arial" w:eastAsiaTheme="minorHAnsi" w:hAnsi="Arial" w:cs="Arial"/>
          <w:sz w:val="24"/>
          <w:szCs w:val="24"/>
          <w:vertAlign w:val="baseline"/>
        </w:rPr>
      </w:pPr>
      <w:r w:rsidRPr="005F5BC9">
        <w:rPr>
          <w:rFonts w:ascii="Arial" w:eastAsiaTheme="minorHAnsi" w:hAnsi="Arial" w:cs="Arial"/>
          <w:sz w:val="24"/>
          <w:szCs w:val="24"/>
          <w:vertAlign w:val="baseline"/>
        </w:rPr>
        <w:t xml:space="preserve">A primeira categoria de transferências fundo a fundo é o Piso de Atenção Básico Fixo Ampliado. Este é obrigatório e condicional, o que significa que os recursos devem ser usados obrigatoriamente nos programas de saúde estabelecidos. É atribuído um valor fixo </w:t>
      </w:r>
      <w:r w:rsidRPr="005F5BC9">
        <w:rPr>
          <w:rFonts w:ascii="Arial" w:eastAsiaTheme="minorHAnsi" w:hAnsi="Arial" w:cs="Arial"/>
          <w:i/>
          <w:sz w:val="24"/>
          <w:szCs w:val="24"/>
          <w:vertAlign w:val="baseline"/>
        </w:rPr>
        <w:t>per capita</w:t>
      </w:r>
      <w:r w:rsidRPr="005F5BC9">
        <w:rPr>
          <w:rFonts w:ascii="Arial" w:eastAsiaTheme="minorHAnsi" w:hAnsi="Arial" w:cs="Arial"/>
          <w:sz w:val="24"/>
          <w:szCs w:val="24"/>
          <w:vertAlign w:val="baseline"/>
        </w:rPr>
        <w:t xml:space="preserve"> a cada governo subnacional</w:t>
      </w:r>
      <w:r w:rsidR="004D5AC1" w:rsidRPr="005F5BC9">
        <w:rPr>
          <w:rFonts w:ascii="Arial" w:eastAsiaTheme="minorHAnsi" w:hAnsi="Arial" w:cs="Arial"/>
          <w:sz w:val="24"/>
          <w:szCs w:val="24"/>
          <w:vertAlign w:val="baseline"/>
        </w:rPr>
        <w:t xml:space="preserve">. Na </w:t>
      </w:r>
      <w:r w:rsidR="001B6D15">
        <w:rPr>
          <w:rFonts w:ascii="Arial" w:eastAsiaTheme="minorHAnsi" w:hAnsi="Arial" w:cs="Arial"/>
          <w:sz w:val="24"/>
          <w:szCs w:val="24"/>
          <w:vertAlign w:val="baseline"/>
        </w:rPr>
        <w:t>T</w:t>
      </w:r>
      <w:r w:rsidR="004D5AC1" w:rsidRPr="00B10133">
        <w:rPr>
          <w:rFonts w:ascii="Arial" w:eastAsiaTheme="minorHAnsi" w:hAnsi="Arial" w:cs="Arial"/>
          <w:sz w:val="24"/>
          <w:szCs w:val="24"/>
          <w:vertAlign w:val="baseline"/>
        </w:rPr>
        <w:t xml:space="preserve">abela </w:t>
      </w:r>
      <w:r w:rsidR="00B10133">
        <w:rPr>
          <w:rFonts w:ascii="Arial" w:eastAsiaTheme="minorHAnsi" w:hAnsi="Arial" w:cs="Arial"/>
          <w:sz w:val="24"/>
          <w:szCs w:val="24"/>
          <w:vertAlign w:val="baseline"/>
        </w:rPr>
        <w:t>1</w:t>
      </w:r>
      <w:r w:rsidR="002E4062">
        <w:rPr>
          <w:rFonts w:ascii="Arial" w:eastAsiaTheme="minorHAnsi" w:hAnsi="Arial" w:cs="Arial"/>
          <w:sz w:val="24"/>
          <w:szCs w:val="24"/>
          <w:vertAlign w:val="baseline"/>
        </w:rPr>
        <w:t xml:space="preserve"> </w:t>
      </w:r>
      <w:r w:rsidR="004D5AC1" w:rsidRPr="005F5BC9">
        <w:rPr>
          <w:rFonts w:ascii="Arial" w:eastAsiaTheme="minorHAnsi" w:hAnsi="Arial" w:cs="Arial"/>
          <w:sz w:val="24"/>
          <w:szCs w:val="24"/>
          <w:vertAlign w:val="baseline"/>
        </w:rPr>
        <w:t xml:space="preserve">estão os valores </w:t>
      </w:r>
      <w:r w:rsidR="004D5AC1" w:rsidRPr="005F5BC9">
        <w:rPr>
          <w:rFonts w:ascii="Arial" w:eastAsiaTheme="minorHAnsi" w:hAnsi="Arial" w:cs="Arial"/>
          <w:i/>
          <w:sz w:val="24"/>
          <w:szCs w:val="24"/>
          <w:vertAlign w:val="baseline"/>
        </w:rPr>
        <w:t>per capita</w:t>
      </w:r>
      <w:r w:rsidR="004D5AC1" w:rsidRPr="005F5BC9">
        <w:rPr>
          <w:rFonts w:ascii="Arial" w:eastAsiaTheme="minorHAnsi" w:hAnsi="Arial" w:cs="Arial"/>
          <w:sz w:val="24"/>
          <w:szCs w:val="24"/>
          <w:vertAlign w:val="baseline"/>
        </w:rPr>
        <w:t xml:space="preserve"> do PAB fixo para o período analisado neste trabalho, de acordo com Portarias do Ministério da Saúde.</w:t>
      </w:r>
    </w:p>
    <w:p w:rsidR="004D5AC1" w:rsidRPr="005F5BC9" w:rsidRDefault="004D5AC1" w:rsidP="000137BA">
      <w:pPr>
        <w:autoSpaceDE w:val="0"/>
        <w:autoSpaceDN w:val="0"/>
        <w:adjustRightInd w:val="0"/>
        <w:spacing w:after="0" w:line="240" w:lineRule="auto"/>
        <w:ind w:firstLine="708"/>
        <w:outlineLvl w:val="0"/>
        <w:rPr>
          <w:rFonts w:ascii="Arial" w:eastAsiaTheme="minorHAnsi" w:hAnsi="Arial" w:cs="Arial"/>
          <w:sz w:val="24"/>
          <w:szCs w:val="24"/>
          <w:vertAlign w:val="baseline"/>
        </w:rPr>
      </w:pPr>
    </w:p>
    <w:tbl>
      <w:tblPr>
        <w:tblW w:w="7046" w:type="dxa"/>
        <w:tblInd w:w="55" w:type="dxa"/>
        <w:tblCellMar>
          <w:left w:w="70" w:type="dxa"/>
          <w:right w:w="70" w:type="dxa"/>
        </w:tblCellMar>
        <w:tblLook w:val="04A0" w:firstRow="1" w:lastRow="0" w:firstColumn="1" w:lastColumn="0" w:noHBand="0" w:noVBand="1"/>
      </w:tblPr>
      <w:tblGrid>
        <w:gridCol w:w="936"/>
        <w:gridCol w:w="1095"/>
        <w:gridCol w:w="5015"/>
      </w:tblGrid>
      <w:tr w:rsidR="004D5AC1" w:rsidRPr="005F5BC9" w:rsidTr="003C42AF">
        <w:trPr>
          <w:trHeight w:val="300"/>
        </w:trPr>
        <w:tc>
          <w:tcPr>
            <w:tcW w:w="7046" w:type="dxa"/>
            <w:gridSpan w:val="3"/>
            <w:tcBorders>
              <w:top w:val="nil"/>
              <w:left w:val="nil"/>
              <w:bottom w:val="nil"/>
              <w:right w:val="nil"/>
            </w:tcBorders>
            <w:shd w:val="clear" w:color="auto" w:fill="auto"/>
            <w:noWrap/>
            <w:vAlign w:val="bottom"/>
            <w:hideMark/>
          </w:tcPr>
          <w:p w:rsidR="004D5AC1" w:rsidRPr="00ED12BD" w:rsidRDefault="004D5AC1" w:rsidP="00B10133">
            <w:pPr>
              <w:spacing w:after="0" w:line="240" w:lineRule="auto"/>
              <w:jc w:val="left"/>
              <w:rPr>
                <w:rFonts w:ascii="Arial" w:eastAsia="Times New Roman" w:hAnsi="Arial" w:cs="Arial"/>
                <w:b/>
                <w:color w:val="000000"/>
                <w:sz w:val="22"/>
                <w:szCs w:val="22"/>
                <w:vertAlign w:val="baseline"/>
                <w:lang w:eastAsia="pt-BR"/>
              </w:rPr>
            </w:pPr>
            <w:r w:rsidRPr="00ED12BD">
              <w:rPr>
                <w:rFonts w:ascii="Arial" w:eastAsia="Times New Roman" w:hAnsi="Arial" w:cs="Arial"/>
                <w:b/>
                <w:color w:val="000000"/>
                <w:sz w:val="22"/>
                <w:szCs w:val="22"/>
                <w:vertAlign w:val="baseline"/>
                <w:lang w:eastAsia="pt-BR"/>
              </w:rPr>
              <w:t xml:space="preserve">Tabela </w:t>
            </w:r>
            <w:r w:rsidR="00B10133" w:rsidRPr="00ED12BD">
              <w:rPr>
                <w:rFonts w:ascii="Arial" w:eastAsia="Times New Roman" w:hAnsi="Arial" w:cs="Arial"/>
                <w:b/>
                <w:color w:val="000000"/>
                <w:sz w:val="22"/>
                <w:szCs w:val="22"/>
                <w:vertAlign w:val="baseline"/>
                <w:lang w:eastAsia="pt-BR"/>
              </w:rPr>
              <w:t>1</w:t>
            </w:r>
            <w:r w:rsidRPr="00ED12BD">
              <w:rPr>
                <w:rFonts w:ascii="Arial" w:eastAsia="Times New Roman" w:hAnsi="Arial" w:cs="Arial"/>
                <w:b/>
                <w:color w:val="000000"/>
                <w:sz w:val="22"/>
                <w:szCs w:val="22"/>
                <w:vertAlign w:val="baseline"/>
                <w:lang w:eastAsia="pt-BR"/>
              </w:rPr>
              <w:t xml:space="preserve"> - Valores PAB fixo</w:t>
            </w:r>
          </w:p>
        </w:tc>
      </w:tr>
      <w:tr w:rsidR="004D5AC1" w:rsidRPr="005F5BC9" w:rsidTr="003C42AF">
        <w:trPr>
          <w:trHeight w:val="300"/>
        </w:trPr>
        <w:tc>
          <w:tcPr>
            <w:tcW w:w="936" w:type="dxa"/>
            <w:tcBorders>
              <w:top w:val="single" w:sz="4" w:space="0" w:color="auto"/>
              <w:left w:val="nil"/>
              <w:bottom w:val="single" w:sz="4" w:space="0" w:color="auto"/>
              <w:right w:val="nil"/>
            </w:tcBorders>
            <w:shd w:val="clear" w:color="auto" w:fill="auto"/>
            <w:noWrap/>
            <w:vAlign w:val="bottom"/>
            <w:hideMark/>
          </w:tcPr>
          <w:p w:rsidR="004D5AC1" w:rsidRPr="00ED12BD" w:rsidRDefault="004D5AC1" w:rsidP="004D5AC1">
            <w:pPr>
              <w:spacing w:after="0" w:line="240" w:lineRule="auto"/>
              <w:jc w:val="left"/>
              <w:rPr>
                <w:rFonts w:ascii="Arial" w:eastAsia="Times New Roman" w:hAnsi="Arial" w:cs="Arial"/>
                <w:b/>
                <w:color w:val="000000"/>
                <w:sz w:val="22"/>
                <w:szCs w:val="22"/>
                <w:vertAlign w:val="baseline"/>
                <w:lang w:eastAsia="pt-BR"/>
              </w:rPr>
            </w:pPr>
            <w:r w:rsidRPr="00ED12BD">
              <w:rPr>
                <w:rFonts w:ascii="Arial" w:eastAsia="Times New Roman" w:hAnsi="Arial" w:cs="Arial"/>
                <w:b/>
                <w:color w:val="000000"/>
                <w:sz w:val="22"/>
                <w:szCs w:val="22"/>
                <w:vertAlign w:val="baseline"/>
                <w:lang w:eastAsia="pt-BR"/>
              </w:rPr>
              <w:t>Data</w:t>
            </w:r>
          </w:p>
        </w:tc>
        <w:tc>
          <w:tcPr>
            <w:tcW w:w="1095" w:type="dxa"/>
            <w:tcBorders>
              <w:top w:val="single" w:sz="4" w:space="0" w:color="auto"/>
              <w:left w:val="nil"/>
              <w:bottom w:val="single" w:sz="4" w:space="0" w:color="auto"/>
              <w:right w:val="nil"/>
            </w:tcBorders>
            <w:shd w:val="clear" w:color="auto" w:fill="auto"/>
            <w:noWrap/>
            <w:vAlign w:val="bottom"/>
            <w:hideMark/>
          </w:tcPr>
          <w:p w:rsidR="004D5AC1" w:rsidRPr="00ED12BD" w:rsidRDefault="004D5AC1" w:rsidP="004D5AC1">
            <w:pPr>
              <w:spacing w:after="0" w:line="240" w:lineRule="auto"/>
              <w:jc w:val="left"/>
              <w:rPr>
                <w:rFonts w:ascii="Arial" w:eastAsia="Times New Roman" w:hAnsi="Arial" w:cs="Arial"/>
                <w:b/>
                <w:color w:val="000000"/>
                <w:sz w:val="22"/>
                <w:szCs w:val="22"/>
                <w:vertAlign w:val="baseline"/>
                <w:lang w:eastAsia="pt-BR"/>
              </w:rPr>
            </w:pPr>
            <w:r w:rsidRPr="00ED12BD">
              <w:rPr>
                <w:rFonts w:ascii="Arial" w:eastAsia="Times New Roman" w:hAnsi="Arial" w:cs="Arial"/>
                <w:b/>
                <w:color w:val="000000"/>
                <w:sz w:val="22"/>
                <w:szCs w:val="22"/>
                <w:vertAlign w:val="baseline"/>
                <w:lang w:eastAsia="pt-BR"/>
              </w:rPr>
              <w:t>Valor</w:t>
            </w:r>
          </w:p>
        </w:tc>
        <w:tc>
          <w:tcPr>
            <w:tcW w:w="5015" w:type="dxa"/>
            <w:tcBorders>
              <w:top w:val="single" w:sz="4" w:space="0" w:color="auto"/>
              <w:left w:val="nil"/>
              <w:bottom w:val="single" w:sz="4" w:space="0" w:color="auto"/>
              <w:right w:val="nil"/>
            </w:tcBorders>
            <w:shd w:val="clear" w:color="auto" w:fill="auto"/>
            <w:noWrap/>
            <w:vAlign w:val="bottom"/>
            <w:hideMark/>
          </w:tcPr>
          <w:p w:rsidR="004D5AC1" w:rsidRPr="00ED12BD" w:rsidRDefault="004D5AC1" w:rsidP="004D5AC1">
            <w:pPr>
              <w:spacing w:after="0" w:line="240" w:lineRule="auto"/>
              <w:jc w:val="left"/>
              <w:rPr>
                <w:rFonts w:ascii="Arial" w:eastAsia="Times New Roman" w:hAnsi="Arial" w:cs="Arial"/>
                <w:b/>
                <w:color w:val="000000"/>
                <w:sz w:val="22"/>
                <w:szCs w:val="22"/>
                <w:vertAlign w:val="baseline"/>
                <w:lang w:eastAsia="pt-BR"/>
              </w:rPr>
            </w:pPr>
            <w:r w:rsidRPr="00ED12BD">
              <w:rPr>
                <w:rFonts w:ascii="Arial" w:eastAsia="Times New Roman" w:hAnsi="Arial" w:cs="Arial"/>
                <w:b/>
                <w:color w:val="000000"/>
                <w:sz w:val="22"/>
                <w:szCs w:val="22"/>
                <w:vertAlign w:val="baseline"/>
                <w:lang w:eastAsia="pt-BR"/>
              </w:rPr>
              <w:t>Portaria</w:t>
            </w:r>
          </w:p>
        </w:tc>
      </w:tr>
      <w:tr w:rsidR="004D5AC1" w:rsidRPr="005F5BC9" w:rsidTr="003C42AF">
        <w:trPr>
          <w:trHeight w:val="300"/>
        </w:trPr>
        <w:tc>
          <w:tcPr>
            <w:tcW w:w="936" w:type="dxa"/>
            <w:tcBorders>
              <w:top w:val="nil"/>
              <w:left w:val="nil"/>
              <w:bottom w:val="nil"/>
              <w:right w:val="nil"/>
            </w:tcBorders>
            <w:shd w:val="clear" w:color="auto" w:fill="auto"/>
            <w:noWrap/>
            <w:vAlign w:val="bottom"/>
            <w:hideMark/>
          </w:tcPr>
          <w:p w:rsidR="004D5AC1" w:rsidRPr="005F5BC9" w:rsidRDefault="004D5AC1" w:rsidP="004D5AC1">
            <w:pPr>
              <w:spacing w:after="0" w:line="240" w:lineRule="auto"/>
              <w:jc w:val="left"/>
              <w:rPr>
                <w:rFonts w:ascii="Arial" w:eastAsia="Times New Roman" w:hAnsi="Arial" w:cs="Arial"/>
                <w:color w:val="000000"/>
                <w:sz w:val="22"/>
                <w:szCs w:val="22"/>
                <w:vertAlign w:val="baseline"/>
                <w:lang w:eastAsia="pt-BR"/>
              </w:rPr>
            </w:pPr>
            <w:proofErr w:type="gramStart"/>
            <w:r w:rsidRPr="005F5BC9">
              <w:rPr>
                <w:rFonts w:ascii="Arial" w:eastAsia="Times New Roman" w:hAnsi="Arial" w:cs="Arial"/>
                <w:color w:val="000000"/>
                <w:sz w:val="22"/>
                <w:szCs w:val="22"/>
                <w:vertAlign w:val="baseline"/>
                <w:lang w:eastAsia="pt-BR"/>
              </w:rPr>
              <w:t>jan</w:t>
            </w:r>
            <w:proofErr w:type="gramEnd"/>
            <w:r w:rsidRPr="005F5BC9">
              <w:rPr>
                <w:rFonts w:ascii="Arial" w:eastAsia="Times New Roman" w:hAnsi="Arial" w:cs="Arial"/>
                <w:color w:val="000000"/>
                <w:sz w:val="22"/>
                <w:szCs w:val="22"/>
                <w:vertAlign w:val="baseline"/>
                <w:lang w:eastAsia="pt-BR"/>
              </w:rPr>
              <w:t>/02</w:t>
            </w:r>
          </w:p>
        </w:tc>
        <w:tc>
          <w:tcPr>
            <w:tcW w:w="1095" w:type="dxa"/>
            <w:tcBorders>
              <w:top w:val="nil"/>
              <w:left w:val="nil"/>
              <w:bottom w:val="nil"/>
              <w:right w:val="nil"/>
            </w:tcBorders>
            <w:shd w:val="clear" w:color="auto" w:fill="auto"/>
            <w:noWrap/>
            <w:vAlign w:val="bottom"/>
            <w:hideMark/>
          </w:tcPr>
          <w:p w:rsidR="004D5AC1" w:rsidRPr="005F5BC9" w:rsidRDefault="004D5AC1" w:rsidP="004D5AC1">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R$10,50</w:t>
            </w:r>
          </w:p>
        </w:tc>
        <w:tc>
          <w:tcPr>
            <w:tcW w:w="5015" w:type="dxa"/>
            <w:tcBorders>
              <w:top w:val="nil"/>
              <w:left w:val="nil"/>
              <w:bottom w:val="nil"/>
              <w:right w:val="nil"/>
            </w:tcBorders>
            <w:shd w:val="clear" w:color="auto" w:fill="auto"/>
            <w:noWrap/>
            <w:vAlign w:val="bottom"/>
            <w:hideMark/>
          </w:tcPr>
          <w:p w:rsidR="004D5AC1" w:rsidRPr="005F5BC9" w:rsidRDefault="004D5AC1" w:rsidP="004D5AC1">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Portaria nº2034/GM de 07 de novembro de 2001</w:t>
            </w:r>
          </w:p>
        </w:tc>
      </w:tr>
      <w:tr w:rsidR="004D5AC1" w:rsidRPr="005F5BC9" w:rsidTr="003C42AF">
        <w:trPr>
          <w:trHeight w:val="300"/>
        </w:trPr>
        <w:tc>
          <w:tcPr>
            <w:tcW w:w="936" w:type="dxa"/>
            <w:tcBorders>
              <w:top w:val="nil"/>
              <w:left w:val="nil"/>
              <w:bottom w:val="nil"/>
              <w:right w:val="nil"/>
            </w:tcBorders>
            <w:shd w:val="clear" w:color="auto" w:fill="auto"/>
            <w:noWrap/>
            <w:vAlign w:val="bottom"/>
            <w:hideMark/>
          </w:tcPr>
          <w:p w:rsidR="004D5AC1" w:rsidRPr="005F5BC9" w:rsidRDefault="004D5AC1" w:rsidP="004D5AC1">
            <w:pPr>
              <w:spacing w:after="0" w:line="240" w:lineRule="auto"/>
              <w:jc w:val="left"/>
              <w:rPr>
                <w:rFonts w:ascii="Arial" w:eastAsia="Times New Roman" w:hAnsi="Arial" w:cs="Arial"/>
                <w:color w:val="000000"/>
                <w:sz w:val="22"/>
                <w:szCs w:val="22"/>
                <w:vertAlign w:val="baseline"/>
                <w:lang w:eastAsia="pt-BR"/>
              </w:rPr>
            </w:pPr>
            <w:proofErr w:type="gramStart"/>
            <w:r w:rsidRPr="005F5BC9">
              <w:rPr>
                <w:rFonts w:ascii="Arial" w:eastAsia="Times New Roman" w:hAnsi="Arial" w:cs="Arial"/>
                <w:color w:val="000000"/>
                <w:sz w:val="22"/>
                <w:szCs w:val="22"/>
                <w:vertAlign w:val="baseline"/>
                <w:lang w:eastAsia="pt-BR"/>
              </w:rPr>
              <w:t>abr</w:t>
            </w:r>
            <w:proofErr w:type="gramEnd"/>
            <w:r w:rsidRPr="005F5BC9">
              <w:rPr>
                <w:rFonts w:ascii="Arial" w:eastAsia="Times New Roman" w:hAnsi="Arial" w:cs="Arial"/>
                <w:color w:val="000000"/>
                <w:sz w:val="22"/>
                <w:szCs w:val="22"/>
                <w:vertAlign w:val="baseline"/>
                <w:lang w:eastAsia="pt-BR"/>
              </w:rPr>
              <w:t>/03</w:t>
            </w:r>
          </w:p>
        </w:tc>
        <w:tc>
          <w:tcPr>
            <w:tcW w:w="1095" w:type="dxa"/>
            <w:tcBorders>
              <w:top w:val="nil"/>
              <w:left w:val="nil"/>
              <w:bottom w:val="nil"/>
              <w:right w:val="nil"/>
            </w:tcBorders>
            <w:shd w:val="clear" w:color="auto" w:fill="auto"/>
            <w:noWrap/>
            <w:vAlign w:val="bottom"/>
            <w:hideMark/>
          </w:tcPr>
          <w:p w:rsidR="004D5AC1" w:rsidRPr="005F5BC9" w:rsidRDefault="004D5AC1" w:rsidP="004D5AC1">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R$ 12</w:t>
            </w:r>
          </w:p>
        </w:tc>
        <w:tc>
          <w:tcPr>
            <w:tcW w:w="5015" w:type="dxa"/>
            <w:tcBorders>
              <w:top w:val="nil"/>
              <w:left w:val="nil"/>
              <w:bottom w:val="nil"/>
              <w:right w:val="nil"/>
            </w:tcBorders>
            <w:shd w:val="clear" w:color="auto" w:fill="auto"/>
            <w:noWrap/>
            <w:vAlign w:val="bottom"/>
            <w:hideMark/>
          </w:tcPr>
          <w:p w:rsidR="004D5AC1" w:rsidRPr="005F5BC9" w:rsidRDefault="004D5AC1" w:rsidP="004D5AC1">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Portaria nº398/GM de 04 de abril de 2003</w:t>
            </w:r>
          </w:p>
        </w:tc>
      </w:tr>
      <w:tr w:rsidR="004D5AC1" w:rsidRPr="005F5BC9" w:rsidTr="003C42AF">
        <w:trPr>
          <w:trHeight w:val="300"/>
        </w:trPr>
        <w:tc>
          <w:tcPr>
            <w:tcW w:w="936" w:type="dxa"/>
            <w:tcBorders>
              <w:top w:val="nil"/>
              <w:left w:val="nil"/>
              <w:bottom w:val="nil"/>
              <w:right w:val="nil"/>
            </w:tcBorders>
            <w:shd w:val="clear" w:color="auto" w:fill="auto"/>
            <w:noWrap/>
            <w:vAlign w:val="bottom"/>
            <w:hideMark/>
          </w:tcPr>
          <w:p w:rsidR="004D5AC1" w:rsidRPr="005F5BC9" w:rsidRDefault="004D5AC1" w:rsidP="004D5AC1">
            <w:pPr>
              <w:spacing w:after="0" w:line="240" w:lineRule="auto"/>
              <w:jc w:val="left"/>
              <w:rPr>
                <w:rFonts w:ascii="Arial" w:eastAsia="Times New Roman" w:hAnsi="Arial" w:cs="Arial"/>
                <w:color w:val="000000"/>
                <w:sz w:val="22"/>
                <w:szCs w:val="22"/>
                <w:vertAlign w:val="baseline"/>
                <w:lang w:eastAsia="pt-BR"/>
              </w:rPr>
            </w:pPr>
            <w:proofErr w:type="gramStart"/>
            <w:r w:rsidRPr="005F5BC9">
              <w:rPr>
                <w:rFonts w:ascii="Arial" w:eastAsia="Times New Roman" w:hAnsi="Arial" w:cs="Arial"/>
                <w:color w:val="000000"/>
                <w:sz w:val="22"/>
                <w:szCs w:val="22"/>
                <w:vertAlign w:val="baseline"/>
                <w:lang w:eastAsia="pt-BR"/>
              </w:rPr>
              <w:t>abr</w:t>
            </w:r>
            <w:proofErr w:type="gramEnd"/>
            <w:r w:rsidRPr="005F5BC9">
              <w:rPr>
                <w:rFonts w:ascii="Arial" w:eastAsia="Times New Roman" w:hAnsi="Arial" w:cs="Arial"/>
                <w:color w:val="000000"/>
                <w:sz w:val="22"/>
                <w:szCs w:val="22"/>
                <w:vertAlign w:val="baseline"/>
                <w:lang w:eastAsia="pt-BR"/>
              </w:rPr>
              <w:t>/06</w:t>
            </w:r>
          </w:p>
        </w:tc>
        <w:tc>
          <w:tcPr>
            <w:tcW w:w="1095" w:type="dxa"/>
            <w:tcBorders>
              <w:top w:val="nil"/>
              <w:left w:val="nil"/>
              <w:bottom w:val="nil"/>
              <w:right w:val="nil"/>
            </w:tcBorders>
            <w:shd w:val="clear" w:color="auto" w:fill="auto"/>
            <w:noWrap/>
            <w:vAlign w:val="bottom"/>
            <w:hideMark/>
          </w:tcPr>
          <w:p w:rsidR="004D5AC1" w:rsidRPr="005F5BC9" w:rsidRDefault="004D5AC1" w:rsidP="004D5AC1">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R$ 13</w:t>
            </w:r>
          </w:p>
        </w:tc>
        <w:tc>
          <w:tcPr>
            <w:tcW w:w="5015" w:type="dxa"/>
            <w:tcBorders>
              <w:top w:val="nil"/>
              <w:left w:val="nil"/>
              <w:bottom w:val="nil"/>
              <w:right w:val="nil"/>
            </w:tcBorders>
            <w:shd w:val="clear" w:color="auto" w:fill="auto"/>
            <w:noWrap/>
            <w:vAlign w:val="bottom"/>
            <w:hideMark/>
          </w:tcPr>
          <w:p w:rsidR="004D5AC1" w:rsidRPr="005F5BC9" w:rsidRDefault="004D5AC1" w:rsidP="004D5AC1">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Portaria nº650/GM de 28 de março de 2006</w:t>
            </w:r>
          </w:p>
        </w:tc>
      </w:tr>
      <w:tr w:rsidR="004D5AC1" w:rsidRPr="005F5BC9" w:rsidTr="003C42AF">
        <w:trPr>
          <w:trHeight w:val="300"/>
        </w:trPr>
        <w:tc>
          <w:tcPr>
            <w:tcW w:w="936" w:type="dxa"/>
            <w:tcBorders>
              <w:top w:val="nil"/>
              <w:left w:val="nil"/>
              <w:bottom w:val="nil"/>
              <w:right w:val="nil"/>
            </w:tcBorders>
            <w:shd w:val="clear" w:color="auto" w:fill="auto"/>
            <w:noWrap/>
            <w:vAlign w:val="bottom"/>
            <w:hideMark/>
          </w:tcPr>
          <w:p w:rsidR="004D5AC1" w:rsidRPr="005F5BC9" w:rsidRDefault="004D5AC1" w:rsidP="004D5AC1">
            <w:pPr>
              <w:spacing w:after="0" w:line="240" w:lineRule="auto"/>
              <w:jc w:val="left"/>
              <w:rPr>
                <w:rFonts w:ascii="Arial" w:eastAsia="Times New Roman" w:hAnsi="Arial" w:cs="Arial"/>
                <w:color w:val="000000"/>
                <w:sz w:val="22"/>
                <w:szCs w:val="22"/>
                <w:vertAlign w:val="baseline"/>
                <w:lang w:eastAsia="pt-BR"/>
              </w:rPr>
            </w:pPr>
            <w:proofErr w:type="gramStart"/>
            <w:r w:rsidRPr="005F5BC9">
              <w:rPr>
                <w:rFonts w:ascii="Arial" w:eastAsia="Times New Roman" w:hAnsi="Arial" w:cs="Arial"/>
                <w:color w:val="000000"/>
                <w:sz w:val="22"/>
                <w:szCs w:val="22"/>
                <w:vertAlign w:val="baseline"/>
                <w:lang w:eastAsia="pt-BR"/>
              </w:rPr>
              <w:t>ago</w:t>
            </w:r>
            <w:proofErr w:type="gramEnd"/>
            <w:r w:rsidRPr="005F5BC9">
              <w:rPr>
                <w:rFonts w:ascii="Arial" w:eastAsia="Times New Roman" w:hAnsi="Arial" w:cs="Arial"/>
                <w:color w:val="000000"/>
                <w:sz w:val="22"/>
                <w:szCs w:val="22"/>
                <w:vertAlign w:val="baseline"/>
                <w:lang w:eastAsia="pt-BR"/>
              </w:rPr>
              <w:t>/06</w:t>
            </w:r>
          </w:p>
        </w:tc>
        <w:tc>
          <w:tcPr>
            <w:tcW w:w="1095" w:type="dxa"/>
            <w:tcBorders>
              <w:top w:val="nil"/>
              <w:left w:val="nil"/>
              <w:bottom w:val="nil"/>
              <w:right w:val="nil"/>
            </w:tcBorders>
            <w:shd w:val="clear" w:color="auto" w:fill="auto"/>
            <w:noWrap/>
            <w:vAlign w:val="bottom"/>
            <w:hideMark/>
          </w:tcPr>
          <w:p w:rsidR="004D5AC1" w:rsidRPr="005F5BC9" w:rsidRDefault="004D5AC1" w:rsidP="004D5AC1">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R$ 15</w:t>
            </w:r>
          </w:p>
        </w:tc>
        <w:tc>
          <w:tcPr>
            <w:tcW w:w="5015" w:type="dxa"/>
            <w:tcBorders>
              <w:top w:val="nil"/>
              <w:left w:val="nil"/>
              <w:bottom w:val="nil"/>
              <w:right w:val="nil"/>
            </w:tcBorders>
            <w:shd w:val="clear" w:color="auto" w:fill="auto"/>
            <w:noWrap/>
            <w:vAlign w:val="bottom"/>
            <w:hideMark/>
          </w:tcPr>
          <w:p w:rsidR="004D5AC1" w:rsidRPr="005F5BC9" w:rsidRDefault="004D5AC1" w:rsidP="004D5AC1">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Portaria nº2133/GM de 11 de setembro de 2006</w:t>
            </w:r>
          </w:p>
        </w:tc>
      </w:tr>
      <w:tr w:rsidR="004D5AC1" w:rsidRPr="005F5BC9" w:rsidTr="003C42AF">
        <w:trPr>
          <w:trHeight w:val="300"/>
        </w:trPr>
        <w:tc>
          <w:tcPr>
            <w:tcW w:w="936" w:type="dxa"/>
            <w:tcBorders>
              <w:top w:val="nil"/>
              <w:left w:val="nil"/>
              <w:bottom w:val="single" w:sz="4" w:space="0" w:color="auto"/>
              <w:right w:val="nil"/>
            </w:tcBorders>
            <w:shd w:val="clear" w:color="auto" w:fill="auto"/>
            <w:noWrap/>
            <w:vAlign w:val="bottom"/>
            <w:hideMark/>
          </w:tcPr>
          <w:p w:rsidR="004D5AC1" w:rsidRPr="005F5BC9" w:rsidRDefault="004D5AC1" w:rsidP="004D5AC1">
            <w:pPr>
              <w:spacing w:after="0" w:line="240" w:lineRule="auto"/>
              <w:jc w:val="left"/>
              <w:rPr>
                <w:rFonts w:ascii="Arial" w:eastAsia="Times New Roman" w:hAnsi="Arial" w:cs="Arial"/>
                <w:color w:val="000000"/>
                <w:sz w:val="22"/>
                <w:szCs w:val="22"/>
                <w:vertAlign w:val="baseline"/>
                <w:lang w:eastAsia="pt-BR"/>
              </w:rPr>
            </w:pPr>
            <w:proofErr w:type="gramStart"/>
            <w:r w:rsidRPr="005F5BC9">
              <w:rPr>
                <w:rFonts w:ascii="Arial" w:eastAsia="Times New Roman" w:hAnsi="Arial" w:cs="Arial"/>
                <w:color w:val="000000"/>
                <w:sz w:val="22"/>
                <w:szCs w:val="22"/>
                <w:vertAlign w:val="baseline"/>
                <w:lang w:eastAsia="pt-BR"/>
              </w:rPr>
              <w:t>set</w:t>
            </w:r>
            <w:proofErr w:type="gramEnd"/>
            <w:r w:rsidRPr="005F5BC9">
              <w:rPr>
                <w:rFonts w:ascii="Arial" w:eastAsia="Times New Roman" w:hAnsi="Arial" w:cs="Arial"/>
                <w:color w:val="000000"/>
                <w:sz w:val="22"/>
                <w:szCs w:val="22"/>
                <w:vertAlign w:val="baseline"/>
                <w:lang w:eastAsia="pt-BR"/>
              </w:rPr>
              <w:t>/08</w:t>
            </w:r>
          </w:p>
        </w:tc>
        <w:tc>
          <w:tcPr>
            <w:tcW w:w="1095" w:type="dxa"/>
            <w:tcBorders>
              <w:top w:val="nil"/>
              <w:left w:val="nil"/>
              <w:bottom w:val="single" w:sz="4" w:space="0" w:color="auto"/>
              <w:right w:val="nil"/>
            </w:tcBorders>
            <w:shd w:val="clear" w:color="auto" w:fill="auto"/>
            <w:noWrap/>
            <w:vAlign w:val="bottom"/>
            <w:hideMark/>
          </w:tcPr>
          <w:p w:rsidR="004D5AC1" w:rsidRPr="005F5BC9" w:rsidRDefault="004D5AC1" w:rsidP="004D5AC1">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R$ 16</w:t>
            </w:r>
          </w:p>
        </w:tc>
        <w:tc>
          <w:tcPr>
            <w:tcW w:w="5015" w:type="dxa"/>
            <w:tcBorders>
              <w:top w:val="nil"/>
              <w:left w:val="nil"/>
              <w:bottom w:val="single" w:sz="4" w:space="0" w:color="auto"/>
              <w:right w:val="nil"/>
            </w:tcBorders>
            <w:shd w:val="clear" w:color="auto" w:fill="auto"/>
            <w:noWrap/>
            <w:vAlign w:val="bottom"/>
            <w:hideMark/>
          </w:tcPr>
          <w:p w:rsidR="004D5AC1" w:rsidRPr="005F5BC9" w:rsidRDefault="004D5AC1" w:rsidP="004D5AC1">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Portaria nº2133/GM de 21 de outubro de 2006</w:t>
            </w:r>
          </w:p>
        </w:tc>
      </w:tr>
    </w:tbl>
    <w:p w:rsidR="004D5AC1" w:rsidRPr="005F5BC9" w:rsidRDefault="004D5AC1" w:rsidP="000137BA">
      <w:pPr>
        <w:autoSpaceDE w:val="0"/>
        <w:autoSpaceDN w:val="0"/>
        <w:adjustRightInd w:val="0"/>
        <w:spacing w:after="0" w:line="240" w:lineRule="auto"/>
        <w:ind w:firstLine="708"/>
        <w:outlineLvl w:val="0"/>
        <w:rPr>
          <w:rFonts w:ascii="Arial" w:eastAsiaTheme="minorHAnsi" w:hAnsi="Arial" w:cs="Arial"/>
          <w:sz w:val="24"/>
          <w:szCs w:val="24"/>
          <w:vertAlign w:val="baseline"/>
        </w:rPr>
      </w:pPr>
    </w:p>
    <w:p w:rsidR="000137BA" w:rsidRPr="005F5BC9" w:rsidRDefault="000137BA" w:rsidP="000137BA">
      <w:pPr>
        <w:autoSpaceDE w:val="0"/>
        <w:autoSpaceDN w:val="0"/>
        <w:adjustRightInd w:val="0"/>
        <w:spacing w:after="0" w:line="240" w:lineRule="auto"/>
        <w:ind w:firstLine="708"/>
        <w:outlineLvl w:val="0"/>
        <w:rPr>
          <w:rFonts w:ascii="Arial" w:eastAsiaTheme="minorHAnsi" w:hAnsi="Arial" w:cs="Arial"/>
          <w:sz w:val="24"/>
          <w:szCs w:val="24"/>
          <w:vertAlign w:val="baseline"/>
        </w:rPr>
      </w:pPr>
      <w:r w:rsidRPr="005F5BC9">
        <w:rPr>
          <w:rFonts w:ascii="Arial" w:eastAsiaTheme="minorHAnsi" w:hAnsi="Arial" w:cs="Arial"/>
          <w:sz w:val="24"/>
          <w:szCs w:val="24"/>
          <w:vertAlign w:val="baseline"/>
        </w:rPr>
        <w:t>A segunda categoria de transferência fundo a fundo é o Piso de Atenção Básica Variável. Neste caso os recursos devem ser usados para desenvolver programas específicos (Programa Saúde da Família, Programa de Agentes Comunitários de Saúde, Combate às Carências Nutricionais, entre outros) o que implica que o montante transferido depende do nível de produção ou de cobertura dos programas aos quais os estados e municípios resolvem aderir. Existe, no entanto, um limite máximo (teto) por Estado ou município.</w:t>
      </w:r>
    </w:p>
    <w:p w:rsidR="000137BA" w:rsidRPr="005F5BC9" w:rsidRDefault="000137BA" w:rsidP="000137BA">
      <w:pPr>
        <w:autoSpaceDE w:val="0"/>
        <w:autoSpaceDN w:val="0"/>
        <w:adjustRightInd w:val="0"/>
        <w:spacing w:after="0" w:line="240" w:lineRule="auto"/>
        <w:ind w:firstLine="708"/>
        <w:outlineLvl w:val="0"/>
        <w:rPr>
          <w:rFonts w:ascii="Arial" w:eastAsiaTheme="minorHAnsi" w:hAnsi="Arial" w:cs="Arial"/>
          <w:sz w:val="24"/>
          <w:szCs w:val="24"/>
          <w:vertAlign w:val="baseline"/>
        </w:rPr>
      </w:pPr>
      <w:r w:rsidRPr="005F5BC9">
        <w:rPr>
          <w:rFonts w:ascii="Arial" w:eastAsiaTheme="minorHAnsi" w:hAnsi="Arial" w:cs="Arial"/>
          <w:sz w:val="24"/>
          <w:szCs w:val="24"/>
          <w:vertAlign w:val="baseline"/>
        </w:rPr>
        <w:t>As transferências para vigilância sanitária e controle epidemiológico constituiriam a terceira categoria de transferência fundo a fundo. O total repassado também depende da cobertura e/ou a produção dos programas, assim como existe um determinado limite estabelecido por estados ou município.</w:t>
      </w:r>
    </w:p>
    <w:p w:rsidR="000137BA" w:rsidRPr="005F5BC9" w:rsidRDefault="000137BA" w:rsidP="000137BA">
      <w:pPr>
        <w:autoSpaceDE w:val="0"/>
        <w:autoSpaceDN w:val="0"/>
        <w:adjustRightInd w:val="0"/>
        <w:spacing w:after="0" w:line="240" w:lineRule="auto"/>
        <w:ind w:firstLine="708"/>
        <w:outlineLvl w:val="0"/>
        <w:rPr>
          <w:rFonts w:ascii="Arial" w:eastAsiaTheme="minorHAnsi" w:hAnsi="Arial" w:cs="Arial"/>
          <w:sz w:val="24"/>
          <w:szCs w:val="24"/>
          <w:vertAlign w:val="baseline"/>
        </w:rPr>
      </w:pPr>
      <w:r w:rsidRPr="005F5BC9">
        <w:rPr>
          <w:rFonts w:ascii="Arial" w:eastAsiaTheme="minorHAnsi" w:hAnsi="Arial" w:cs="Arial"/>
          <w:sz w:val="24"/>
          <w:szCs w:val="24"/>
          <w:vertAlign w:val="baseline"/>
        </w:rPr>
        <w:t>Finalmente, existem as transferências fundo a fundo para procedimentos de média e alta complexidade (atendimentos ambulatoriais e hospitalares mais avançados). Estas também são obrigatórias, condicionais, sujeitas a um limite máximo e dependentes da produção.</w:t>
      </w:r>
    </w:p>
    <w:p w:rsidR="003E6AD7" w:rsidRPr="005F5BC9" w:rsidRDefault="003E6AD7" w:rsidP="00022B78">
      <w:pPr>
        <w:spacing w:after="0" w:line="240" w:lineRule="auto"/>
        <w:ind w:firstLine="708"/>
        <w:outlineLvl w:val="0"/>
        <w:rPr>
          <w:rFonts w:ascii="Arial" w:hAnsi="Arial" w:cs="Arial"/>
          <w:sz w:val="24"/>
          <w:szCs w:val="24"/>
          <w:vertAlign w:val="baseline"/>
        </w:rPr>
      </w:pPr>
      <w:r w:rsidRPr="005F5BC9">
        <w:rPr>
          <w:rFonts w:ascii="Arial" w:hAnsi="Arial" w:cs="Arial"/>
          <w:sz w:val="24"/>
          <w:szCs w:val="24"/>
          <w:vertAlign w:val="baseline"/>
        </w:rPr>
        <w:t xml:space="preserve">A ampliação das transferências fundo a fundo conferiu maior agilidade aos fluxos de recursos entre as diferentes esferas de governo, facilitando o processo de gestão dos mesmos. Uma vez que os Estados e municípios passaram a receber e administrar mais dinheiro foi possível também uma diminuição progressiva dos pagamentos diretos. Os pagamentos diretos </w:t>
      </w:r>
      <w:r w:rsidRPr="005F5BC9">
        <w:rPr>
          <w:rFonts w:ascii="Arial" w:hAnsi="Arial" w:cs="Arial"/>
          <w:sz w:val="24"/>
          <w:szCs w:val="24"/>
          <w:vertAlign w:val="baseline"/>
        </w:rPr>
        <w:lastRenderedPageBreak/>
        <w:t>apresentaram uma tendência decrescente ao longo do tempo, sendo gradativamente substituídos pelas transferências a Estados e municípios que permitem a contratação e pagamento direto dos prestadores de serviço de forma descentralizada. Assim, em 1994 as transferências a municípios representavam cerca de 5% dos recursos federais do SUS. Em 2001 as transferências a Estados e municípios passaram a representar 47% das despesas do Ministério da Saúde, enquanto em 2006 já representam 61% dos recursos transferidos (Mendes et. al. (2008) a partir de dados do SIAFI).</w:t>
      </w:r>
    </w:p>
    <w:p w:rsidR="003E6AD7" w:rsidRDefault="003E6AD7" w:rsidP="00261292">
      <w:pPr>
        <w:spacing w:after="0" w:line="240" w:lineRule="auto"/>
        <w:ind w:firstLine="709"/>
        <w:outlineLvl w:val="0"/>
        <w:rPr>
          <w:rFonts w:ascii="Arial" w:eastAsiaTheme="minorHAnsi" w:hAnsi="Arial" w:cs="Arial"/>
          <w:sz w:val="24"/>
          <w:szCs w:val="24"/>
          <w:vertAlign w:val="baseline"/>
        </w:rPr>
      </w:pPr>
      <w:r w:rsidRPr="005F5BC9">
        <w:rPr>
          <w:rFonts w:ascii="Arial" w:hAnsi="Arial" w:cs="Arial"/>
          <w:sz w:val="24"/>
          <w:szCs w:val="24"/>
          <w:vertAlign w:val="baseline"/>
        </w:rPr>
        <w:t xml:space="preserve">O importante a ser observado é que uma vez que todas as categorias de transferências do SUS são condicionais, ou seja, devem ser destinadas a ações e programas pré-estabelecidos, elas implicam uma redução na autonomia subnacional para escolher e executar os serviços e ações em saúde levando em consideração as especificidades regionais ou locais. </w:t>
      </w:r>
      <w:r w:rsidR="00DE55A0">
        <w:rPr>
          <w:rFonts w:ascii="Arial" w:hAnsi="Arial" w:cs="Arial"/>
          <w:sz w:val="24"/>
          <w:szCs w:val="24"/>
          <w:vertAlign w:val="baseline"/>
        </w:rPr>
        <w:tab/>
      </w:r>
      <w:r w:rsidRPr="005F5BC9">
        <w:rPr>
          <w:rFonts w:ascii="Arial" w:hAnsi="Arial" w:cs="Arial"/>
          <w:sz w:val="24"/>
          <w:szCs w:val="24"/>
          <w:vertAlign w:val="baseline"/>
        </w:rPr>
        <w:t xml:space="preserve"> </w:t>
      </w:r>
      <w:proofErr w:type="gramStart"/>
      <w:r w:rsidRPr="005F5BC9">
        <w:rPr>
          <w:rFonts w:ascii="Arial" w:hAnsi="Arial" w:cs="Arial"/>
          <w:sz w:val="24"/>
          <w:szCs w:val="24"/>
          <w:vertAlign w:val="baseline"/>
        </w:rPr>
        <w:t>et.</w:t>
      </w:r>
      <w:proofErr w:type="gramEnd"/>
      <w:r w:rsidRPr="005F5BC9">
        <w:rPr>
          <w:rFonts w:ascii="Arial" w:hAnsi="Arial" w:cs="Arial"/>
          <w:sz w:val="24"/>
          <w:szCs w:val="24"/>
          <w:vertAlign w:val="baseline"/>
        </w:rPr>
        <w:t xml:space="preserve"> al. (2009) observam, contudo, que “nas transferências fundo da fundo há um pouco mais de flexibilidade, visto que cada estado e município tem liberdade para alocar os recursos, dentro de cada módulo (atenção básica, piso variável, etc.), </w:t>
      </w:r>
      <w:r w:rsidRPr="005F5BC9">
        <w:rPr>
          <w:rFonts w:ascii="Arial" w:eastAsiaTheme="minorHAnsi" w:hAnsi="Arial" w:cs="Arial"/>
          <w:sz w:val="24"/>
          <w:szCs w:val="24"/>
          <w:vertAlign w:val="baseline"/>
        </w:rPr>
        <w:t>em diferentes tipos</w:t>
      </w:r>
      <w:r w:rsidR="00EF2AE1">
        <w:rPr>
          <w:rFonts w:ascii="Arial" w:eastAsiaTheme="minorHAnsi" w:hAnsi="Arial" w:cs="Arial"/>
          <w:sz w:val="24"/>
          <w:szCs w:val="24"/>
          <w:vertAlign w:val="baseline"/>
        </w:rPr>
        <w:t xml:space="preserve"> </w:t>
      </w:r>
      <w:r w:rsidRPr="005F5BC9">
        <w:rPr>
          <w:rFonts w:ascii="Arial" w:eastAsiaTheme="minorHAnsi" w:hAnsi="Arial" w:cs="Arial"/>
          <w:sz w:val="24"/>
          <w:szCs w:val="24"/>
          <w:vertAlign w:val="baseline"/>
        </w:rPr>
        <w:t>de ação. Por exemplo, na atenção básica, pode-se optar por dar mais atenção ao controle</w:t>
      </w:r>
      <w:r w:rsidR="00EF2AE1">
        <w:rPr>
          <w:rFonts w:ascii="Arial" w:eastAsiaTheme="minorHAnsi" w:hAnsi="Arial" w:cs="Arial"/>
          <w:sz w:val="24"/>
          <w:szCs w:val="24"/>
          <w:vertAlign w:val="baseline"/>
        </w:rPr>
        <w:t xml:space="preserve"> </w:t>
      </w:r>
      <w:r w:rsidRPr="005F5BC9">
        <w:rPr>
          <w:rFonts w:ascii="Arial" w:eastAsiaTheme="minorHAnsi" w:hAnsi="Arial" w:cs="Arial"/>
          <w:sz w:val="24"/>
          <w:szCs w:val="24"/>
          <w:vertAlign w:val="baseline"/>
        </w:rPr>
        <w:t>da tuberculose, à saúde da mulher ou ao controle da hanseníase, conforme o perfil das</w:t>
      </w:r>
      <w:r w:rsidR="00EF2AE1">
        <w:rPr>
          <w:rFonts w:ascii="Arial" w:eastAsiaTheme="minorHAnsi" w:hAnsi="Arial" w:cs="Arial"/>
          <w:sz w:val="24"/>
          <w:szCs w:val="24"/>
          <w:vertAlign w:val="baseline"/>
        </w:rPr>
        <w:t xml:space="preserve"> </w:t>
      </w:r>
      <w:r w:rsidRPr="005F5BC9">
        <w:rPr>
          <w:rFonts w:ascii="Arial" w:eastAsiaTheme="minorHAnsi" w:hAnsi="Arial" w:cs="Arial"/>
          <w:sz w:val="24"/>
          <w:szCs w:val="24"/>
          <w:vertAlign w:val="baseline"/>
        </w:rPr>
        <w:t xml:space="preserve">necessidades de saúde locais” (págs. 64 e 65). </w:t>
      </w:r>
    </w:p>
    <w:p w:rsidR="00047661" w:rsidRPr="005F5BC9" w:rsidRDefault="00047661" w:rsidP="00261292">
      <w:pPr>
        <w:spacing w:after="0" w:line="240" w:lineRule="auto"/>
        <w:ind w:firstLine="709"/>
        <w:outlineLvl w:val="0"/>
        <w:rPr>
          <w:rFonts w:ascii="Arial" w:eastAsiaTheme="minorHAnsi" w:hAnsi="Arial" w:cs="Arial"/>
          <w:sz w:val="24"/>
          <w:szCs w:val="24"/>
          <w:vertAlign w:val="baseline"/>
        </w:rPr>
      </w:pPr>
    </w:p>
    <w:p w:rsidR="00D52807" w:rsidRDefault="00220A62" w:rsidP="00D52807">
      <w:pPr>
        <w:pStyle w:val="PargrafodaLista"/>
        <w:numPr>
          <w:ilvl w:val="0"/>
          <w:numId w:val="5"/>
        </w:numPr>
        <w:spacing w:after="0" w:line="240" w:lineRule="auto"/>
        <w:rPr>
          <w:rFonts w:ascii="Arial" w:hAnsi="Arial" w:cs="Arial"/>
          <w:b/>
          <w:sz w:val="22"/>
          <w:szCs w:val="22"/>
          <w:vertAlign w:val="baseline"/>
        </w:rPr>
      </w:pPr>
      <w:r w:rsidRPr="005F5BC9">
        <w:rPr>
          <w:rFonts w:ascii="Arial" w:hAnsi="Arial" w:cs="Arial"/>
          <w:b/>
          <w:sz w:val="22"/>
          <w:szCs w:val="22"/>
          <w:vertAlign w:val="baseline"/>
        </w:rPr>
        <w:t>Evidência empírica sobre o impacto de transferências condicionais</w:t>
      </w:r>
    </w:p>
    <w:p w:rsidR="00047661" w:rsidRPr="005F5BC9" w:rsidRDefault="00047661" w:rsidP="00047661">
      <w:pPr>
        <w:pStyle w:val="PargrafodaLista"/>
        <w:spacing w:after="0" w:line="240" w:lineRule="auto"/>
        <w:rPr>
          <w:rFonts w:ascii="Arial" w:hAnsi="Arial" w:cs="Arial"/>
          <w:b/>
          <w:sz w:val="22"/>
          <w:szCs w:val="22"/>
          <w:vertAlign w:val="baseline"/>
        </w:rPr>
      </w:pPr>
    </w:p>
    <w:p w:rsidR="00A63287" w:rsidRPr="005F5BC9" w:rsidRDefault="0044544D" w:rsidP="00261292">
      <w:pPr>
        <w:spacing w:after="0" w:line="240" w:lineRule="auto"/>
        <w:ind w:firstLine="357"/>
        <w:rPr>
          <w:rFonts w:ascii="Arial" w:hAnsi="Arial" w:cs="Arial"/>
          <w:sz w:val="24"/>
          <w:szCs w:val="24"/>
          <w:vertAlign w:val="baseline"/>
        </w:rPr>
      </w:pPr>
      <w:r w:rsidRPr="005F5BC9">
        <w:rPr>
          <w:rFonts w:ascii="Arial" w:hAnsi="Arial" w:cs="Arial"/>
          <w:sz w:val="24"/>
          <w:szCs w:val="24"/>
          <w:vertAlign w:val="baseline"/>
        </w:rPr>
        <w:t>A e</w:t>
      </w:r>
      <w:r w:rsidR="00A63287" w:rsidRPr="005F5BC9">
        <w:rPr>
          <w:rFonts w:ascii="Arial" w:hAnsi="Arial" w:cs="Arial"/>
          <w:sz w:val="24"/>
          <w:szCs w:val="24"/>
          <w:vertAlign w:val="baseline"/>
        </w:rPr>
        <w:t>vidência internacional sobre o impacto de transferências condicionais sobre os gastos</w:t>
      </w:r>
      <w:r w:rsidRPr="005F5BC9">
        <w:rPr>
          <w:rFonts w:ascii="Arial" w:hAnsi="Arial" w:cs="Arial"/>
          <w:sz w:val="24"/>
          <w:szCs w:val="24"/>
          <w:vertAlign w:val="baseline"/>
        </w:rPr>
        <w:t xml:space="preserve"> não é muito extensa</w:t>
      </w:r>
      <w:r w:rsidR="00A63287" w:rsidRPr="005F5BC9">
        <w:rPr>
          <w:rFonts w:ascii="Arial" w:hAnsi="Arial" w:cs="Arial"/>
          <w:sz w:val="24"/>
          <w:szCs w:val="24"/>
          <w:vertAlign w:val="baseline"/>
        </w:rPr>
        <w:t>.</w:t>
      </w:r>
    </w:p>
    <w:p w:rsidR="00A63287" w:rsidRPr="005F5BC9" w:rsidRDefault="00916966" w:rsidP="00261292">
      <w:pPr>
        <w:spacing w:after="0" w:line="240" w:lineRule="auto"/>
        <w:ind w:firstLine="357"/>
        <w:rPr>
          <w:rFonts w:ascii="Arial" w:hAnsi="Arial" w:cs="Arial"/>
          <w:sz w:val="24"/>
          <w:szCs w:val="24"/>
          <w:vertAlign w:val="baseline"/>
        </w:rPr>
      </w:pPr>
      <w:r w:rsidRPr="005F5BC9">
        <w:rPr>
          <w:rFonts w:ascii="Arial" w:hAnsi="Arial" w:cs="Arial"/>
          <w:sz w:val="24"/>
          <w:szCs w:val="24"/>
          <w:vertAlign w:val="baseline"/>
        </w:rPr>
        <w:t>Fis</w:t>
      </w:r>
      <w:r w:rsidR="00A63287" w:rsidRPr="005F5BC9">
        <w:rPr>
          <w:rFonts w:ascii="Arial" w:hAnsi="Arial" w:cs="Arial"/>
          <w:sz w:val="24"/>
          <w:szCs w:val="24"/>
          <w:vertAlign w:val="baseline"/>
        </w:rPr>
        <w:t xml:space="preserve">her e </w:t>
      </w:r>
      <w:proofErr w:type="spellStart"/>
      <w:r w:rsidR="00A63287" w:rsidRPr="005F5BC9">
        <w:rPr>
          <w:rFonts w:ascii="Arial" w:hAnsi="Arial" w:cs="Arial"/>
          <w:sz w:val="24"/>
          <w:szCs w:val="24"/>
          <w:vertAlign w:val="baseline"/>
        </w:rPr>
        <w:t>Papke</w:t>
      </w:r>
      <w:proofErr w:type="spellEnd"/>
      <w:r w:rsidR="00A63287" w:rsidRPr="005F5BC9">
        <w:rPr>
          <w:rFonts w:ascii="Arial" w:hAnsi="Arial" w:cs="Arial"/>
          <w:sz w:val="24"/>
          <w:szCs w:val="24"/>
          <w:vertAlign w:val="baseline"/>
        </w:rPr>
        <w:t xml:space="preserve"> (2000) realizaram um</w:t>
      </w:r>
      <w:r w:rsidR="0044544D" w:rsidRPr="005F5BC9">
        <w:rPr>
          <w:rFonts w:ascii="Arial" w:hAnsi="Arial" w:cs="Arial"/>
          <w:sz w:val="24"/>
          <w:szCs w:val="24"/>
          <w:vertAlign w:val="baseline"/>
        </w:rPr>
        <w:t xml:space="preserve"> resumo de várias questões e resultados relacionados ao financiamento em educação, incluindo </w:t>
      </w:r>
      <w:r w:rsidR="00A63287" w:rsidRPr="005F5BC9">
        <w:rPr>
          <w:rFonts w:ascii="Arial" w:hAnsi="Arial" w:cs="Arial"/>
          <w:sz w:val="24"/>
          <w:szCs w:val="24"/>
          <w:vertAlign w:val="baseline"/>
        </w:rPr>
        <w:t>as respostas dos gastos às transferências para educação</w:t>
      </w:r>
      <w:r w:rsidR="0044544D" w:rsidRPr="005F5BC9">
        <w:rPr>
          <w:rFonts w:ascii="Arial" w:hAnsi="Arial" w:cs="Arial"/>
          <w:sz w:val="24"/>
          <w:szCs w:val="24"/>
          <w:vertAlign w:val="baseline"/>
        </w:rPr>
        <w:t>,</w:t>
      </w:r>
      <w:r w:rsidR="00A63287" w:rsidRPr="005F5BC9">
        <w:rPr>
          <w:rFonts w:ascii="Arial" w:hAnsi="Arial" w:cs="Arial"/>
          <w:sz w:val="24"/>
          <w:szCs w:val="24"/>
          <w:vertAlign w:val="baseline"/>
        </w:rPr>
        <w:t xml:space="preserve"> e encontraram</w:t>
      </w:r>
      <w:r w:rsidR="0044544D" w:rsidRPr="005F5BC9">
        <w:rPr>
          <w:rFonts w:ascii="Arial" w:hAnsi="Arial" w:cs="Arial"/>
          <w:sz w:val="24"/>
          <w:szCs w:val="24"/>
          <w:vertAlign w:val="baseline"/>
        </w:rPr>
        <w:t xml:space="preserve"> evidência de</w:t>
      </w:r>
      <w:r w:rsidR="00A63287" w:rsidRPr="005F5BC9">
        <w:rPr>
          <w:rFonts w:ascii="Arial" w:hAnsi="Arial" w:cs="Arial"/>
          <w:sz w:val="24"/>
          <w:szCs w:val="24"/>
          <w:vertAlign w:val="baseline"/>
        </w:rPr>
        <w:t xml:space="preserve"> que a</w:t>
      </w:r>
      <w:r w:rsidR="00B83488" w:rsidRPr="005F5BC9">
        <w:rPr>
          <w:rFonts w:ascii="Arial" w:hAnsi="Arial" w:cs="Arial"/>
          <w:sz w:val="24"/>
          <w:szCs w:val="24"/>
          <w:vertAlign w:val="baseline"/>
        </w:rPr>
        <w:t xml:space="preserve"> resposta dos gastos locais </w:t>
      </w:r>
      <w:r w:rsidR="00A63287" w:rsidRPr="005F5BC9">
        <w:rPr>
          <w:rFonts w:ascii="Arial" w:hAnsi="Arial" w:cs="Arial"/>
          <w:sz w:val="24"/>
          <w:szCs w:val="24"/>
          <w:vertAlign w:val="baseline"/>
        </w:rPr>
        <w:t>a transferências em bloco dos estados variam entre $0,30 e $0,70 por dólar de transferência. Por outro lado, o impacto de aumentos na renda privada é de apenas $0,10.</w:t>
      </w:r>
      <w:r w:rsidR="003637A6" w:rsidRPr="005F5BC9">
        <w:rPr>
          <w:rStyle w:val="Refdenotaderodap"/>
          <w:rFonts w:ascii="Arial" w:hAnsi="Arial" w:cs="Arial"/>
          <w:sz w:val="24"/>
          <w:szCs w:val="24"/>
        </w:rPr>
        <w:footnoteReference w:id="1"/>
      </w:r>
      <w:r w:rsidR="00B83488" w:rsidRPr="005F5BC9">
        <w:rPr>
          <w:rFonts w:ascii="Arial" w:hAnsi="Arial" w:cs="Arial"/>
          <w:sz w:val="24"/>
          <w:szCs w:val="24"/>
          <w:vertAlign w:val="baseline"/>
        </w:rPr>
        <w:t>Nos Estados Unidos transferências federais para educação (majoritariamente transferências sem contrapartida com propósitos específicos) correspondem a uma parcela pequena das receitas dos distritos escolares.</w:t>
      </w:r>
      <w:r w:rsidR="002E4062">
        <w:rPr>
          <w:rFonts w:ascii="Arial" w:hAnsi="Arial" w:cs="Arial"/>
          <w:sz w:val="24"/>
          <w:szCs w:val="24"/>
          <w:vertAlign w:val="baseline"/>
        </w:rPr>
        <w:t xml:space="preserve"> </w:t>
      </w:r>
      <w:r w:rsidR="00B83488" w:rsidRPr="005F5BC9">
        <w:rPr>
          <w:rFonts w:ascii="Arial" w:hAnsi="Arial" w:cs="Arial"/>
          <w:sz w:val="24"/>
          <w:szCs w:val="24"/>
          <w:vertAlign w:val="baseline"/>
        </w:rPr>
        <w:t>No entanto, uma vez que as transf</w:t>
      </w:r>
      <w:r w:rsidR="000441E9" w:rsidRPr="005F5BC9">
        <w:rPr>
          <w:rFonts w:ascii="Arial" w:hAnsi="Arial" w:cs="Arial"/>
          <w:sz w:val="24"/>
          <w:szCs w:val="24"/>
          <w:vertAlign w:val="baseline"/>
        </w:rPr>
        <w:t>erências federais em educação tê</w:t>
      </w:r>
      <w:r w:rsidR="00B83488" w:rsidRPr="005F5BC9">
        <w:rPr>
          <w:rFonts w:ascii="Arial" w:hAnsi="Arial" w:cs="Arial"/>
          <w:sz w:val="24"/>
          <w:szCs w:val="24"/>
          <w:vertAlign w:val="baseline"/>
        </w:rPr>
        <w:t xml:space="preserve">m como objetivo famílias com baixa renda, estas transferências são mais relevantes nos distritos mais pobres. Fisher e </w:t>
      </w:r>
      <w:proofErr w:type="spellStart"/>
      <w:r w:rsidR="00B83488" w:rsidRPr="005F5BC9">
        <w:rPr>
          <w:rFonts w:ascii="Arial" w:hAnsi="Arial" w:cs="Arial"/>
          <w:sz w:val="24"/>
          <w:szCs w:val="24"/>
          <w:vertAlign w:val="baseline"/>
        </w:rPr>
        <w:t>Papke</w:t>
      </w:r>
      <w:proofErr w:type="spellEnd"/>
      <w:r w:rsidR="00B83488" w:rsidRPr="005F5BC9">
        <w:rPr>
          <w:rFonts w:ascii="Arial" w:hAnsi="Arial" w:cs="Arial"/>
          <w:sz w:val="24"/>
          <w:szCs w:val="24"/>
          <w:vertAlign w:val="baseline"/>
        </w:rPr>
        <w:t xml:space="preserve"> (2000) encontram evidência de que o impacto das transferências federais para educação sobre o gasto </w:t>
      </w:r>
      <w:r w:rsidR="000441E9" w:rsidRPr="005F5BC9">
        <w:rPr>
          <w:rFonts w:ascii="Arial" w:hAnsi="Arial" w:cs="Arial"/>
          <w:sz w:val="24"/>
          <w:szCs w:val="24"/>
          <w:vertAlign w:val="baseline"/>
        </w:rPr>
        <w:t xml:space="preserve">local varia entre $0,20 a $0,90. Assim, na média os efeitos os impactos são pequenos. Isto implica que a maior parte dos recursos recebidos através de transferências para educação está sendo usada na provisão de outros serviços públicos locais que não educação ou para redução de impostos. Em outros termos, o efeito </w:t>
      </w:r>
      <w:proofErr w:type="spellStart"/>
      <w:r w:rsidR="000441E9" w:rsidRPr="005F5BC9">
        <w:rPr>
          <w:rFonts w:ascii="Arial" w:hAnsi="Arial" w:cs="Arial"/>
          <w:i/>
          <w:sz w:val="24"/>
          <w:szCs w:val="24"/>
          <w:vertAlign w:val="baseline"/>
        </w:rPr>
        <w:t>flypaper</w:t>
      </w:r>
      <w:proofErr w:type="spellEnd"/>
      <w:r w:rsidR="000441E9" w:rsidRPr="005F5BC9">
        <w:rPr>
          <w:rFonts w:ascii="Arial" w:hAnsi="Arial" w:cs="Arial"/>
          <w:sz w:val="24"/>
          <w:szCs w:val="24"/>
          <w:vertAlign w:val="baseline"/>
        </w:rPr>
        <w:t xml:space="preserve"> explica grande parte do efeito das transferências sobre o gasto.</w:t>
      </w:r>
      <w:proofErr w:type="gramStart"/>
      <w:r w:rsidR="00641306" w:rsidRPr="005F5BC9">
        <w:rPr>
          <w:rStyle w:val="Refdenotaderodap"/>
          <w:rFonts w:ascii="Arial" w:hAnsi="Arial" w:cs="Arial"/>
          <w:sz w:val="24"/>
          <w:szCs w:val="24"/>
        </w:rPr>
        <w:footnoteReference w:id="2"/>
      </w:r>
      <w:proofErr w:type="gramEnd"/>
    </w:p>
    <w:p w:rsidR="000441E9" w:rsidRPr="005F5BC9" w:rsidRDefault="000441E9" w:rsidP="00261292">
      <w:pPr>
        <w:spacing w:after="0" w:line="240" w:lineRule="auto"/>
        <w:ind w:firstLine="357"/>
        <w:rPr>
          <w:rFonts w:ascii="Arial" w:hAnsi="Arial" w:cs="Arial"/>
          <w:sz w:val="24"/>
          <w:szCs w:val="24"/>
          <w:vertAlign w:val="baseline"/>
        </w:rPr>
      </w:pPr>
      <w:r w:rsidRPr="005F5BC9">
        <w:rPr>
          <w:rFonts w:ascii="Arial" w:hAnsi="Arial" w:cs="Arial"/>
          <w:sz w:val="24"/>
          <w:szCs w:val="24"/>
          <w:vertAlign w:val="baseline"/>
        </w:rPr>
        <w:lastRenderedPageBreak/>
        <w:t xml:space="preserve">Craig e </w:t>
      </w:r>
      <w:proofErr w:type="spellStart"/>
      <w:r w:rsidRPr="005F5BC9">
        <w:rPr>
          <w:rFonts w:ascii="Arial" w:hAnsi="Arial" w:cs="Arial"/>
          <w:sz w:val="24"/>
          <w:szCs w:val="24"/>
          <w:vertAlign w:val="baseline"/>
        </w:rPr>
        <w:t>Inman</w:t>
      </w:r>
      <w:proofErr w:type="spellEnd"/>
      <w:r w:rsidRPr="005F5BC9">
        <w:rPr>
          <w:rFonts w:ascii="Arial" w:hAnsi="Arial" w:cs="Arial"/>
          <w:sz w:val="24"/>
          <w:szCs w:val="24"/>
          <w:vertAlign w:val="baseline"/>
        </w:rPr>
        <w:t xml:space="preserve"> (1982) também concluem q</w:t>
      </w:r>
      <w:r w:rsidR="00C32353" w:rsidRPr="005F5BC9">
        <w:rPr>
          <w:rFonts w:ascii="Arial" w:hAnsi="Arial" w:cs="Arial"/>
          <w:sz w:val="24"/>
          <w:szCs w:val="24"/>
          <w:vertAlign w:val="baseline"/>
        </w:rPr>
        <w:t>ue as transferências em educação “</w:t>
      </w:r>
      <w:r w:rsidRPr="005F5BC9">
        <w:rPr>
          <w:rFonts w:ascii="Arial" w:hAnsi="Arial" w:cs="Arial"/>
          <w:sz w:val="24"/>
          <w:szCs w:val="24"/>
          <w:vertAlign w:val="baseline"/>
        </w:rPr>
        <w:t xml:space="preserve">liberam” recursos </w:t>
      </w:r>
      <w:r w:rsidR="00C32353" w:rsidRPr="005F5BC9">
        <w:rPr>
          <w:rFonts w:ascii="Arial" w:hAnsi="Arial" w:cs="Arial"/>
          <w:sz w:val="24"/>
          <w:szCs w:val="24"/>
          <w:vertAlign w:val="baseline"/>
        </w:rPr>
        <w:t xml:space="preserve">para serem utilizados em outros serviços públicos e redução de impostos. As estimativas obtidas indicam que transferências federais </w:t>
      </w:r>
      <w:proofErr w:type="spellStart"/>
      <w:r w:rsidR="00C32353" w:rsidRPr="005F5BC9">
        <w:rPr>
          <w:rFonts w:ascii="Arial" w:hAnsi="Arial" w:cs="Arial"/>
          <w:sz w:val="24"/>
          <w:szCs w:val="24"/>
          <w:vertAlign w:val="baseline"/>
        </w:rPr>
        <w:t>lump</w:t>
      </w:r>
      <w:proofErr w:type="spellEnd"/>
      <w:r w:rsidR="00C32353" w:rsidRPr="005F5BC9">
        <w:rPr>
          <w:rFonts w:ascii="Arial" w:hAnsi="Arial" w:cs="Arial"/>
          <w:sz w:val="24"/>
          <w:szCs w:val="24"/>
          <w:vertAlign w:val="baseline"/>
        </w:rPr>
        <w:t>-sum para os estados tem um impacto marginal de $0,43. O</w:t>
      </w:r>
      <w:r w:rsidR="00AE17C0" w:rsidRPr="005F5BC9">
        <w:rPr>
          <w:rFonts w:ascii="Arial" w:hAnsi="Arial" w:cs="Arial"/>
          <w:sz w:val="24"/>
          <w:szCs w:val="24"/>
          <w:vertAlign w:val="baseline"/>
        </w:rPr>
        <w:t xml:space="preserve"> restante das transferências é destinado a gastos em bem estar ($0,09), a</w:t>
      </w:r>
      <w:r w:rsidR="00C32353" w:rsidRPr="005F5BC9">
        <w:rPr>
          <w:rFonts w:ascii="Arial" w:hAnsi="Arial" w:cs="Arial"/>
          <w:sz w:val="24"/>
          <w:szCs w:val="24"/>
          <w:vertAlign w:val="baseline"/>
        </w:rPr>
        <w:t xml:space="preserve"> ou</w:t>
      </w:r>
      <w:r w:rsidR="00AE17C0" w:rsidRPr="005F5BC9">
        <w:rPr>
          <w:rFonts w:ascii="Arial" w:hAnsi="Arial" w:cs="Arial"/>
          <w:sz w:val="24"/>
          <w:szCs w:val="24"/>
          <w:vertAlign w:val="baseline"/>
        </w:rPr>
        <w:t>tros gastos ($0,09) e à</w:t>
      </w:r>
      <w:r w:rsidR="00C32353" w:rsidRPr="005F5BC9">
        <w:rPr>
          <w:rFonts w:ascii="Arial" w:hAnsi="Arial" w:cs="Arial"/>
          <w:sz w:val="24"/>
          <w:szCs w:val="24"/>
          <w:vertAlign w:val="baseline"/>
        </w:rPr>
        <w:t xml:space="preserve"> redução de impostos ($0,39).</w:t>
      </w:r>
    </w:p>
    <w:p w:rsidR="00C32353" w:rsidRPr="005F5BC9" w:rsidRDefault="00C32353" w:rsidP="00261292">
      <w:pPr>
        <w:spacing w:after="0" w:line="240" w:lineRule="auto"/>
        <w:ind w:firstLine="357"/>
        <w:rPr>
          <w:rFonts w:ascii="Arial" w:hAnsi="Arial" w:cs="Arial"/>
          <w:sz w:val="24"/>
          <w:szCs w:val="24"/>
          <w:vertAlign w:val="baseline"/>
        </w:rPr>
      </w:pPr>
      <w:r w:rsidRPr="005F5BC9">
        <w:rPr>
          <w:rFonts w:ascii="Arial" w:hAnsi="Arial" w:cs="Arial"/>
          <w:sz w:val="24"/>
          <w:szCs w:val="24"/>
          <w:vertAlign w:val="baseline"/>
        </w:rPr>
        <w:t>Gordon (2004) encontra evidência de que as transferências federais para educação de alunos de baixa renda (</w:t>
      </w:r>
      <w:proofErr w:type="spellStart"/>
      <w:r w:rsidRPr="005F5BC9">
        <w:rPr>
          <w:rFonts w:ascii="Arial" w:hAnsi="Arial" w:cs="Arial"/>
          <w:sz w:val="24"/>
          <w:szCs w:val="24"/>
          <w:vertAlign w:val="baseline"/>
        </w:rPr>
        <w:t>Title</w:t>
      </w:r>
      <w:proofErr w:type="spellEnd"/>
      <w:r w:rsidRPr="005F5BC9">
        <w:rPr>
          <w:rFonts w:ascii="Arial" w:hAnsi="Arial" w:cs="Arial"/>
          <w:sz w:val="24"/>
          <w:szCs w:val="24"/>
          <w:vertAlign w:val="baseline"/>
        </w:rPr>
        <w:t xml:space="preserve"> I) resultam inicialmente num aumento da receita total do distrito escolar e em ampliação do gasto em educação.</w:t>
      </w:r>
      <w:r w:rsidR="00EB04EF" w:rsidRPr="005F5BC9">
        <w:rPr>
          <w:rStyle w:val="Refdenotaderodap"/>
          <w:rFonts w:ascii="Arial" w:hAnsi="Arial" w:cs="Arial"/>
          <w:sz w:val="24"/>
          <w:szCs w:val="24"/>
        </w:rPr>
        <w:footnoteReference w:id="3"/>
      </w:r>
      <w:r w:rsidRPr="005F5BC9">
        <w:rPr>
          <w:rFonts w:ascii="Arial" w:hAnsi="Arial" w:cs="Arial"/>
          <w:sz w:val="24"/>
          <w:szCs w:val="24"/>
          <w:vertAlign w:val="baseline"/>
        </w:rPr>
        <w:t xml:space="preserve"> O coeficiente estimado é igual a $1,41. Contudo, no terceiro ano o coeficiente estimado passa a não ser estatisticamente significante refletindo a substituição dos recursos próprios do distrito escolar pelas transferências.</w:t>
      </w:r>
    </w:p>
    <w:p w:rsidR="003E002B" w:rsidRDefault="00C32353" w:rsidP="003E002B">
      <w:pPr>
        <w:spacing w:after="0" w:line="240" w:lineRule="auto"/>
        <w:ind w:firstLine="357"/>
        <w:rPr>
          <w:rFonts w:ascii="Arial" w:hAnsi="Arial" w:cs="Arial"/>
          <w:sz w:val="24"/>
          <w:szCs w:val="24"/>
          <w:vertAlign w:val="baseline"/>
        </w:rPr>
      </w:pPr>
      <w:r w:rsidRPr="005F5BC9">
        <w:rPr>
          <w:rFonts w:ascii="Arial" w:hAnsi="Arial" w:cs="Arial"/>
          <w:sz w:val="24"/>
          <w:szCs w:val="24"/>
          <w:vertAlign w:val="baseline"/>
        </w:rPr>
        <w:t xml:space="preserve">Finalmente, </w:t>
      </w:r>
      <w:proofErr w:type="spellStart"/>
      <w:r w:rsidRPr="005F5BC9">
        <w:rPr>
          <w:rFonts w:ascii="Arial" w:hAnsi="Arial" w:cs="Arial"/>
          <w:sz w:val="24"/>
          <w:szCs w:val="24"/>
          <w:vertAlign w:val="baseline"/>
        </w:rPr>
        <w:t>Levaggi</w:t>
      </w:r>
      <w:proofErr w:type="spellEnd"/>
      <w:r w:rsidRPr="005F5BC9">
        <w:rPr>
          <w:rFonts w:ascii="Arial" w:hAnsi="Arial" w:cs="Arial"/>
          <w:sz w:val="24"/>
          <w:szCs w:val="24"/>
          <w:vertAlign w:val="baseline"/>
        </w:rPr>
        <w:t xml:space="preserve"> e </w:t>
      </w:r>
      <w:proofErr w:type="spellStart"/>
      <w:r w:rsidRPr="005F5BC9">
        <w:rPr>
          <w:rFonts w:ascii="Arial" w:hAnsi="Arial" w:cs="Arial"/>
          <w:sz w:val="24"/>
          <w:szCs w:val="24"/>
          <w:vertAlign w:val="baseline"/>
        </w:rPr>
        <w:t>Zanola</w:t>
      </w:r>
      <w:proofErr w:type="spellEnd"/>
      <w:r w:rsidRPr="005F5BC9">
        <w:rPr>
          <w:rFonts w:ascii="Arial" w:hAnsi="Arial" w:cs="Arial"/>
          <w:sz w:val="24"/>
          <w:szCs w:val="24"/>
          <w:vertAlign w:val="baseline"/>
        </w:rPr>
        <w:t xml:space="preserve"> (2003) estimam a resposta dos gastos regionais em cuidados de saúde na Itália a</w:t>
      </w:r>
      <w:r w:rsidR="00AE17C0" w:rsidRPr="005F5BC9">
        <w:rPr>
          <w:rFonts w:ascii="Arial" w:hAnsi="Arial" w:cs="Arial"/>
          <w:sz w:val="24"/>
          <w:szCs w:val="24"/>
          <w:vertAlign w:val="baseline"/>
        </w:rPr>
        <w:t xml:space="preserve"> transferências sem contrapartida para cuidados de saúde e outras fontes de financiamento. Verificam ainda se esta resposta é assimétrica, ou seja, se a resposta a aumentos e diminuições ne</w:t>
      </w:r>
      <w:r w:rsidR="00E54602" w:rsidRPr="005F5BC9">
        <w:rPr>
          <w:rFonts w:ascii="Arial" w:hAnsi="Arial" w:cs="Arial"/>
          <w:sz w:val="24"/>
          <w:szCs w:val="24"/>
          <w:vertAlign w:val="baseline"/>
        </w:rPr>
        <w:t>stas transferências é igual</w:t>
      </w:r>
      <w:r w:rsidR="00AE17C0" w:rsidRPr="005F5BC9">
        <w:rPr>
          <w:rFonts w:ascii="Arial" w:hAnsi="Arial" w:cs="Arial"/>
          <w:sz w:val="24"/>
          <w:szCs w:val="24"/>
          <w:vertAlign w:val="baseline"/>
        </w:rPr>
        <w:t xml:space="preserve"> e se a restrição orçamentária fraca afeta a resposta dos gastos.</w:t>
      </w:r>
      <w:r w:rsidR="00E54602" w:rsidRPr="005F5BC9">
        <w:rPr>
          <w:rStyle w:val="Refdenotaderodap"/>
          <w:rFonts w:ascii="Arial" w:hAnsi="Arial" w:cs="Arial"/>
          <w:sz w:val="24"/>
          <w:szCs w:val="24"/>
        </w:rPr>
        <w:footnoteReference w:id="4"/>
      </w:r>
      <w:r w:rsidR="00352E47" w:rsidRPr="005F5BC9">
        <w:rPr>
          <w:rFonts w:ascii="Arial" w:hAnsi="Arial" w:cs="Arial"/>
          <w:sz w:val="24"/>
          <w:szCs w:val="24"/>
          <w:vertAlign w:val="baseline"/>
        </w:rPr>
        <w:t xml:space="preserve"> Eles estimam dois modelos diferentes, de acordo com diferentes regras de equilíbrio orçamentário: um com a presença de regras orçamentárias fortes e outro onde as regiões podem incorrer em algum déficit (regras orça</w:t>
      </w:r>
      <w:r w:rsidR="009A0A79">
        <w:rPr>
          <w:rFonts w:ascii="Arial" w:hAnsi="Arial" w:cs="Arial"/>
          <w:sz w:val="24"/>
          <w:szCs w:val="24"/>
          <w:vertAlign w:val="baseline"/>
        </w:rPr>
        <w:t xml:space="preserve">mentárias fracas). </w:t>
      </w:r>
      <w:r w:rsidR="00352E47" w:rsidRPr="005F5BC9">
        <w:rPr>
          <w:rFonts w:ascii="Arial" w:hAnsi="Arial" w:cs="Arial"/>
          <w:sz w:val="24"/>
          <w:szCs w:val="24"/>
          <w:vertAlign w:val="baseline"/>
        </w:rPr>
        <w:t xml:space="preserve">Na presença de uma restrição orçamentária fraca, encontram evidência de que o efeito marginal é igual a $0,84 para transferências e $0,01 para renda privada, o que implica um efeito </w:t>
      </w:r>
      <w:proofErr w:type="spellStart"/>
      <w:r w:rsidR="00352E47" w:rsidRPr="005F5BC9">
        <w:rPr>
          <w:rFonts w:ascii="Arial" w:hAnsi="Arial" w:cs="Arial"/>
          <w:i/>
          <w:sz w:val="24"/>
          <w:szCs w:val="24"/>
          <w:vertAlign w:val="baseline"/>
        </w:rPr>
        <w:t>flypaper</w:t>
      </w:r>
      <w:proofErr w:type="spellEnd"/>
      <w:r w:rsidR="00352E47" w:rsidRPr="005F5BC9">
        <w:rPr>
          <w:rFonts w:ascii="Arial" w:hAnsi="Arial" w:cs="Arial"/>
          <w:sz w:val="24"/>
          <w:szCs w:val="24"/>
          <w:vertAlign w:val="baseline"/>
        </w:rPr>
        <w:t xml:space="preserve"> substancial. Na verdade, para ambos os modelos é obtida evidência de um efeito </w:t>
      </w:r>
      <w:proofErr w:type="spellStart"/>
      <w:r w:rsidR="00352E47" w:rsidRPr="005F5BC9">
        <w:rPr>
          <w:rFonts w:ascii="Arial" w:hAnsi="Arial" w:cs="Arial"/>
          <w:i/>
          <w:sz w:val="24"/>
          <w:szCs w:val="24"/>
          <w:vertAlign w:val="baseline"/>
        </w:rPr>
        <w:t>flypaper</w:t>
      </w:r>
      <w:proofErr w:type="spellEnd"/>
      <w:r w:rsidR="00352E47" w:rsidRPr="005F5BC9">
        <w:rPr>
          <w:rFonts w:ascii="Arial" w:hAnsi="Arial" w:cs="Arial"/>
          <w:sz w:val="24"/>
          <w:szCs w:val="24"/>
          <w:vertAlign w:val="baseline"/>
        </w:rPr>
        <w:t xml:space="preserve"> padrão e de um </w:t>
      </w:r>
      <w:proofErr w:type="spellStart"/>
      <w:proofErr w:type="gramStart"/>
      <w:r w:rsidR="00352E47" w:rsidRPr="005F5BC9">
        <w:rPr>
          <w:rFonts w:ascii="Arial" w:hAnsi="Arial" w:cs="Arial"/>
          <w:sz w:val="24"/>
          <w:szCs w:val="24"/>
          <w:vertAlign w:val="baseline"/>
        </w:rPr>
        <w:t>super</w:t>
      </w:r>
      <w:proofErr w:type="spellEnd"/>
      <w:r w:rsidR="00352E47" w:rsidRPr="005F5BC9">
        <w:rPr>
          <w:rFonts w:ascii="Arial" w:hAnsi="Arial" w:cs="Arial"/>
          <w:sz w:val="24"/>
          <w:szCs w:val="24"/>
          <w:vertAlign w:val="baseline"/>
        </w:rPr>
        <w:t xml:space="preserve"> efeito</w:t>
      </w:r>
      <w:proofErr w:type="gramEnd"/>
      <w:r w:rsidR="003E002B">
        <w:rPr>
          <w:rFonts w:ascii="Arial" w:hAnsi="Arial" w:cs="Arial"/>
          <w:sz w:val="24"/>
          <w:szCs w:val="24"/>
          <w:vertAlign w:val="baseline"/>
        </w:rPr>
        <w:t xml:space="preserve"> </w:t>
      </w:r>
      <w:proofErr w:type="spellStart"/>
      <w:r w:rsidR="00352E47" w:rsidRPr="005F5BC9">
        <w:rPr>
          <w:rFonts w:ascii="Arial" w:hAnsi="Arial" w:cs="Arial"/>
          <w:i/>
          <w:sz w:val="24"/>
          <w:szCs w:val="24"/>
          <w:vertAlign w:val="baseline"/>
        </w:rPr>
        <w:t>flypaper</w:t>
      </w:r>
      <w:proofErr w:type="spellEnd"/>
      <w:r w:rsidR="00352E47" w:rsidRPr="005F5BC9">
        <w:rPr>
          <w:rFonts w:ascii="Arial" w:hAnsi="Arial" w:cs="Arial"/>
          <w:sz w:val="24"/>
          <w:szCs w:val="24"/>
          <w:vertAlign w:val="baseline"/>
        </w:rPr>
        <w:t>. Neste último, quando as transferências caem, os gastos do governo recipiente c</w:t>
      </w:r>
      <w:r w:rsidR="0042606F" w:rsidRPr="005F5BC9">
        <w:rPr>
          <w:rFonts w:ascii="Arial" w:hAnsi="Arial" w:cs="Arial"/>
          <w:sz w:val="24"/>
          <w:szCs w:val="24"/>
          <w:vertAlign w:val="baseline"/>
        </w:rPr>
        <w:t xml:space="preserve">aem mais do que o decréscimo das transferências. Quando controlem para a </w:t>
      </w:r>
      <w:r w:rsidR="0028435A" w:rsidRPr="005F5BC9">
        <w:rPr>
          <w:rFonts w:ascii="Arial" w:hAnsi="Arial" w:cs="Arial"/>
          <w:sz w:val="24"/>
          <w:szCs w:val="24"/>
          <w:vertAlign w:val="baseline"/>
        </w:rPr>
        <w:t>restrição orçamentária fraca, contudo, é observado um efeito mais moderado, em que o</w:t>
      </w:r>
      <w:r w:rsidR="0042606F" w:rsidRPr="005F5BC9">
        <w:rPr>
          <w:rFonts w:ascii="Arial" w:hAnsi="Arial" w:cs="Arial"/>
          <w:sz w:val="24"/>
          <w:szCs w:val="24"/>
          <w:vertAlign w:val="baseline"/>
        </w:rPr>
        <w:t>s</w:t>
      </w:r>
      <w:r w:rsidR="0028435A" w:rsidRPr="005F5BC9">
        <w:rPr>
          <w:rFonts w:ascii="Arial" w:hAnsi="Arial" w:cs="Arial"/>
          <w:sz w:val="24"/>
          <w:szCs w:val="24"/>
          <w:vertAlign w:val="baseline"/>
        </w:rPr>
        <w:t xml:space="preserve"> gastos do governo recipiente caem mais do que no caso do efeito simétrico, mas menos do que a redução nas transferências.</w:t>
      </w:r>
    </w:p>
    <w:p w:rsidR="005B505A" w:rsidRPr="003E002B" w:rsidRDefault="005B505A" w:rsidP="003E002B">
      <w:pPr>
        <w:spacing w:after="0" w:line="240" w:lineRule="auto"/>
        <w:ind w:firstLine="357"/>
        <w:rPr>
          <w:rFonts w:ascii="Arial" w:hAnsi="Arial" w:cs="Arial"/>
          <w:sz w:val="24"/>
          <w:szCs w:val="24"/>
          <w:vertAlign w:val="baseline"/>
        </w:rPr>
      </w:pPr>
      <w:r w:rsidRPr="003E002B">
        <w:rPr>
          <w:rFonts w:ascii="Arial" w:hAnsi="Arial" w:cs="Arial"/>
          <w:sz w:val="24"/>
          <w:szCs w:val="24"/>
          <w:vertAlign w:val="baseline"/>
        </w:rPr>
        <w:t xml:space="preserve">Assim, baseado na literatura, é possível afirmar que a despeito de vários países, inclusive o Brasil, tentarem equalizar e prover recursos </w:t>
      </w:r>
      <w:r w:rsidR="00E54602" w:rsidRPr="003E002B">
        <w:rPr>
          <w:rFonts w:ascii="Arial" w:hAnsi="Arial" w:cs="Arial"/>
          <w:sz w:val="24"/>
          <w:szCs w:val="24"/>
          <w:vertAlign w:val="baseline"/>
        </w:rPr>
        <w:t xml:space="preserve">específicos para algumas áreas, caso haja </w:t>
      </w:r>
      <w:r w:rsidRPr="003E002B">
        <w:rPr>
          <w:rFonts w:ascii="Arial" w:hAnsi="Arial" w:cs="Arial"/>
          <w:sz w:val="24"/>
          <w:szCs w:val="24"/>
          <w:vertAlign w:val="baseline"/>
        </w:rPr>
        <w:t xml:space="preserve">uma substituição dos recursos próprios locais pelas transferências, o gasto efetivo nestas áreas pode ainda permanecer abaixo do desejável. Obviamente o objetivo final do ente governamental que concede a transferência é estimular novo gasto na área financiada pela transferência, mas este resultado somente será alcançado se forem </w:t>
      </w:r>
      <w:r w:rsidR="00E54602" w:rsidRPr="003E002B">
        <w:rPr>
          <w:rFonts w:ascii="Arial" w:hAnsi="Arial" w:cs="Arial"/>
          <w:sz w:val="24"/>
          <w:szCs w:val="24"/>
          <w:vertAlign w:val="baseline"/>
        </w:rPr>
        <w:t>estabelecidas condições críveis (incentivos corretos ao estímulo do gasto específico), assim como cobrança efetiva do cumprimento destas condições.</w:t>
      </w:r>
    </w:p>
    <w:p w:rsidR="00A63287" w:rsidRDefault="00A63287" w:rsidP="00A63287">
      <w:pPr>
        <w:spacing w:after="0" w:line="240" w:lineRule="auto"/>
        <w:rPr>
          <w:rFonts w:ascii="Arial" w:hAnsi="Arial" w:cs="Arial"/>
          <w:sz w:val="22"/>
          <w:szCs w:val="22"/>
          <w:vertAlign w:val="baseline"/>
        </w:rPr>
      </w:pPr>
    </w:p>
    <w:p w:rsidR="003A22A6" w:rsidRDefault="003A22A6" w:rsidP="00A63287">
      <w:pPr>
        <w:spacing w:after="0" w:line="240" w:lineRule="auto"/>
        <w:rPr>
          <w:rFonts w:ascii="Arial" w:hAnsi="Arial" w:cs="Arial"/>
          <w:sz w:val="22"/>
          <w:szCs w:val="22"/>
          <w:vertAlign w:val="baseline"/>
        </w:rPr>
      </w:pPr>
    </w:p>
    <w:p w:rsidR="003A22A6" w:rsidRDefault="003A22A6" w:rsidP="00A63287">
      <w:pPr>
        <w:spacing w:after="0" w:line="240" w:lineRule="auto"/>
        <w:rPr>
          <w:rFonts w:ascii="Arial" w:hAnsi="Arial" w:cs="Arial"/>
          <w:sz w:val="22"/>
          <w:szCs w:val="22"/>
          <w:vertAlign w:val="baseline"/>
        </w:rPr>
      </w:pPr>
    </w:p>
    <w:p w:rsidR="003A22A6" w:rsidRDefault="003A22A6" w:rsidP="00A63287">
      <w:pPr>
        <w:spacing w:after="0" w:line="240" w:lineRule="auto"/>
        <w:rPr>
          <w:rFonts w:ascii="Arial" w:hAnsi="Arial" w:cs="Arial"/>
          <w:sz w:val="22"/>
          <w:szCs w:val="22"/>
          <w:vertAlign w:val="baseline"/>
        </w:rPr>
      </w:pPr>
    </w:p>
    <w:p w:rsidR="003A22A6" w:rsidRDefault="003A22A6" w:rsidP="00A63287">
      <w:pPr>
        <w:spacing w:after="0" w:line="240" w:lineRule="auto"/>
        <w:rPr>
          <w:rFonts w:ascii="Arial" w:hAnsi="Arial" w:cs="Arial"/>
          <w:sz w:val="22"/>
          <w:szCs w:val="22"/>
          <w:vertAlign w:val="baseline"/>
        </w:rPr>
      </w:pPr>
    </w:p>
    <w:p w:rsidR="003A22A6" w:rsidRDefault="003A22A6" w:rsidP="00A63287">
      <w:pPr>
        <w:spacing w:after="0" w:line="240" w:lineRule="auto"/>
        <w:rPr>
          <w:rFonts w:ascii="Arial" w:hAnsi="Arial" w:cs="Arial"/>
          <w:sz w:val="22"/>
          <w:szCs w:val="22"/>
          <w:vertAlign w:val="baseline"/>
        </w:rPr>
      </w:pPr>
    </w:p>
    <w:p w:rsidR="003A22A6" w:rsidRPr="005F5BC9" w:rsidRDefault="003A22A6" w:rsidP="00A63287">
      <w:pPr>
        <w:spacing w:after="0" w:line="240" w:lineRule="auto"/>
        <w:rPr>
          <w:rFonts w:ascii="Arial" w:hAnsi="Arial" w:cs="Arial"/>
          <w:sz w:val="22"/>
          <w:szCs w:val="22"/>
          <w:vertAlign w:val="baseline"/>
        </w:rPr>
      </w:pPr>
    </w:p>
    <w:p w:rsidR="00220A62" w:rsidRPr="005F5BC9" w:rsidRDefault="00220A62" w:rsidP="00D52807">
      <w:pPr>
        <w:pStyle w:val="PargrafodaLista"/>
        <w:spacing w:after="0" w:line="240" w:lineRule="auto"/>
        <w:rPr>
          <w:rFonts w:ascii="Arial" w:hAnsi="Arial" w:cs="Arial"/>
          <w:b/>
          <w:sz w:val="22"/>
          <w:szCs w:val="22"/>
          <w:vertAlign w:val="baseline"/>
        </w:rPr>
      </w:pPr>
    </w:p>
    <w:p w:rsidR="00B94CA0" w:rsidRDefault="00AE2026" w:rsidP="00B94CA0">
      <w:pPr>
        <w:pStyle w:val="Ttulo1"/>
        <w:numPr>
          <w:ilvl w:val="0"/>
          <w:numId w:val="5"/>
        </w:numPr>
        <w:autoSpaceDE w:val="0"/>
        <w:autoSpaceDN w:val="0"/>
        <w:adjustRightInd w:val="0"/>
        <w:spacing w:before="0" w:after="0"/>
        <w:jc w:val="both"/>
        <w:rPr>
          <w:sz w:val="24"/>
          <w:szCs w:val="24"/>
          <w:lang w:val="pt-BR"/>
        </w:rPr>
      </w:pPr>
      <w:r w:rsidRPr="005F5BC9">
        <w:rPr>
          <w:sz w:val="24"/>
          <w:szCs w:val="24"/>
          <w:lang w:val="pt-BR"/>
        </w:rPr>
        <w:t>Dados e metodologia</w:t>
      </w:r>
    </w:p>
    <w:p w:rsidR="00047661" w:rsidRPr="00047661" w:rsidRDefault="00047661" w:rsidP="00047661"/>
    <w:p w:rsidR="00B94CA0" w:rsidRDefault="00B94CA0" w:rsidP="00B94CA0">
      <w:pPr>
        <w:pStyle w:val="PargrafodaLista"/>
        <w:numPr>
          <w:ilvl w:val="1"/>
          <w:numId w:val="5"/>
        </w:numPr>
        <w:spacing w:after="0" w:line="240" w:lineRule="auto"/>
        <w:rPr>
          <w:rFonts w:ascii="Arial" w:hAnsi="Arial" w:cs="Arial"/>
          <w:b/>
          <w:sz w:val="24"/>
          <w:szCs w:val="24"/>
          <w:vertAlign w:val="baseline"/>
        </w:rPr>
      </w:pPr>
      <w:r w:rsidRPr="005F5BC9">
        <w:rPr>
          <w:rFonts w:ascii="Arial" w:hAnsi="Arial" w:cs="Arial"/>
          <w:b/>
          <w:sz w:val="24"/>
          <w:szCs w:val="24"/>
          <w:vertAlign w:val="baseline"/>
        </w:rPr>
        <w:t>Dados</w:t>
      </w:r>
    </w:p>
    <w:p w:rsidR="00B10133" w:rsidRDefault="00B10133" w:rsidP="00B10133">
      <w:pPr>
        <w:pStyle w:val="PargrafodaLista"/>
        <w:spacing w:after="0" w:line="240" w:lineRule="auto"/>
        <w:ind w:left="780"/>
        <w:rPr>
          <w:rFonts w:ascii="Arial" w:hAnsi="Arial" w:cs="Arial"/>
          <w:b/>
          <w:sz w:val="24"/>
          <w:szCs w:val="24"/>
          <w:vertAlign w:val="baseline"/>
        </w:rPr>
      </w:pPr>
    </w:p>
    <w:p w:rsidR="00AE2026" w:rsidRPr="005F5BC9" w:rsidRDefault="00B94CA0" w:rsidP="00B94CA0">
      <w:pPr>
        <w:spacing w:after="0" w:line="240" w:lineRule="auto"/>
        <w:ind w:firstLine="420"/>
        <w:rPr>
          <w:rFonts w:ascii="Arial" w:hAnsi="Arial" w:cs="Arial"/>
          <w:sz w:val="24"/>
          <w:szCs w:val="24"/>
          <w:vertAlign w:val="baseline"/>
        </w:rPr>
      </w:pPr>
      <w:r w:rsidRPr="005F5BC9">
        <w:rPr>
          <w:rFonts w:ascii="Arial" w:hAnsi="Arial" w:cs="Arial"/>
          <w:sz w:val="24"/>
          <w:szCs w:val="24"/>
          <w:vertAlign w:val="baseline"/>
        </w:rPr>
        <w:t xml:space="preserve">A base de dados é composta pelos </w:t>
      </w:r>
      <w:r w:rsidR="00AE2026" w:rsidRPr="005F5BC9">
        <w:rPr>
          <w:rFonts w:ascii="Arial" w:hAnsi="Arial" w:cs="Arial"/>
          <w:sz w:val="24"/>
          <w:szCs w:val="24"/>
          <w:vertAlign w:val="baseline"/>
        </w:rPr>
        <w:t>5565 municípios brasileiro</w:t>
      </w:r>
      <w:r w:rsidR="001B6D15">
        <w:rPr>
          <w:rFonts w:ascii="Arial" w:hAnsi="Arial" w:cs="Arial"/>
          <w:sz w:val="24"/>
          <w:szCs w:val="24"/>
          <w:vertAlign w:val="baseline"/>
        </w:rPr>
        <w:t xml:space="preserve">s durante o período 2002 a </w:t>
      </w:r>
      <w:proofErr w:type="gramStart"/>
      <w:r w:rsidRPr="005F5BC9">
        <w:rPr>
          <w:rFonts w:ascii="Arial" w:hAnsi="Arial" w:cs="Arial"/>
          <w:sz w:val="24"/>
          <w:szCs w:val="24"/>
          <w:vertAlign w:val="baseline"/>
        </w:rPr>
        <w:t>2008.</w:t>
      </w:r>
      <w:proofErr w:type="gramEnd"/>
      <w:r w:rsidR="003C05A8" w:rsidRPr="005F5BC9">
        <w:rPr>
          <w:rFonts w:ascii="Arial" w:hAnsi="Arial" w:cs="Arial"/>
          <w:sz w:val="24"/>
          <w:szCs w:val="24"/>
          <w:vertAlign w:val="baseline"/>
        </w:rPr>
        <w:t>Todas as variáveis descritas em unidades monetárias foram deflacionadas pelo IGP-DI de 2002. Além disso, as variáveis foram divididas pela população para permitir uma melhor comparabilidade entre os municípios, seguindo padrão adotado pela literatura.</w:t>
      </w:r>
    </w:p>
    <w:tbl>
      <w:tblPr>
        <w:tblW w:w="9920" w:type="dxa"/>
        <w:tblInd w:w="55" w:type="dxa"/>
        <w:tblCellMar>
          <w:left w:w="70" w:type="dxa"/>
          <w:right w:w="70" w:type="dxa"/>
        </w:tblCellMar>
        <w:tblLook w:val="04A0" w:firstRow="1" w:lastRow="0" w:firstColumn="1" w:lastColumn="0" w:noHBand="0" w:noVBand="1"/>
      </w:tblPr>
      <w:tblGrid>
        <w:gridCol w:w="2326"/>
        <w:gridCol w:w="5790"/>
        <w:gridCol w:w="1804"/>
      </w:tblGrid>
      <w:tr w:rsidR="00B10133" w:rsidRPr="005F5BC9" w:rsidTr="00B7505E">
        <w:trPr>
          <w:trHeight w:val="315"/>
        </w:trPr>
        <w:tc>
          <w:tcPr>
            <w:tcW w:w="9920" w:type="dxa"/>
            <w:gridSpan w:val="3"/>
            <w:tcBorders>
              <w:top w:val="nil"/>
              <w:left w:val="nil"/>
              <w:bottom w:val="single" w:sz="8" w:space="0" w:color="auto"/>
              <w:right w:val="nil"/>
            </w:tcBorders>
            <w:shd w:val="clear" w:color="auto" w:fill="auto"/>
            <w:noWrap/>
            <w:vAlign w:val="bottom"/>
            <w:hideMark/>
          </w:tcPr>
          <w:p w:rsidR="001B6D15" w:rsidRDefault="001B6D15" w:rsidP="00B7505E">
            <w:pPr>
              <w:spacing w:after="0" w:line="240" w:lineRule="auto"/>
              <w:jc w:val="center"/>
              <w:rPr>
                <w:rFonts w:ascii="Arial" w:eastAsia="Times New Roman" w:hAnsi="Arial" w:cs="Arial"/>
                <w:b/>
                <w:bCs/>
                <w:color w:val="000000"/>
                <w:vertAlign w:val="baseline"/>
                <w:lang w:eastAsia="pt-BR"/>
              </w:rPr>
            </w:pPr>
          </w:p>
          <w:p w:rsidR="00B10133" w:rsidRPr="005F5BC9" w:rsidRDefault="00B10133" w:rsidP="00B7505E">
            <w:pPr>
              <w:spacing w:after="0" w:line="240" w:lineRule="auto"/>
              <w:jc w:val="center"/>
              <w:rPr>
                <w:rFonts w:ascii="Arial" w:eastAsia="Times New Roman" w:hAnsi="Arial" w:cs="Arial"/>
                <w:b/>
                <w:bCs/>
                <w:color w:val="000000"/>
                <w:vertAlign w:val="baseline"/>
                <w:lang w:eastAsia="pt-BR"/>
              </w:rPr>
            </w:pPr>
            <w:r>
              <w:rPr>
                <w:rFonts w:ascii="Arial" w:eastAsia="Times New Roman" w:hAnsi="Arial" w:cs="Arial"/>
                <w:b/>
                <w:bCs/>
                <w:color w:val="000000"/>
                <w:vertAlign w:val="baseline"/>
                <w:lang w:eastAsia="pt-BR"/>
              </w:rPr>
              <w:t>Tabela 2</w:t>
            </w:r>
            <w:r w:rsidRPr="005F5BC9">
              <w:rPr>
                <w:rFonts w:ascii="Arial" w:eastAsia="Times New Roman" w:hAnsi="Arial" w:cs="Arial"/>
                <w:b/>
                <w:bCs/>
                <w:color w:val="000000"/>
                <w:vertAlign w:val="baseline"/>
                <w:lang w:eastAsia="pt-BR"/>
              </w:rPr>
              <w:t xml:space="preserve"> - Variáveis explicativas: definição e fontes</w:t>
            </w:r>
          </w:p>
        </w:tc>
      </w:tr>
      <w:tr w:rsidR="00B10133" w:rsidRPr="005F5BC9" w:rsidTr="00B7505E">
        <w:trPr>
          <w:trHeight w:val="31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b/>
                <w:bCs/>
                <w:color w:val="000000"/>
                <w:vertAlign w:val="baseline"/>
                <w:lang w:eastAsia="pt-BR"/>
              </w:rPr>
            </w:pPr>
            <w:r w:rsidRPr="005F5BC9">
              <w:rPr>
                <w:rFonts w:ascii="Arial" w:eastAsia="Times New Roman" w:hAnsi="Arial" w:cs="Arial"/>
                <w:b/>
                <w:bCs/>
                <w:color w:val="000000"/>
                <w:vertAlign w:val="baseline"/>
                <w:lang w:eastAsia="pt-BR"/>
              </w:rPr>
              <w:t>Variável</w:t>
            </w:r>
          </w:p>
        </w:tc>
        <w:tc>
          <w:tcPr>
            <w:tcW w:w="5790"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b/>
                <w:bCs/>
                <w:color w:val="000000"/>
                <w:vertAlign w:val="baseline"/>
                <w:lang w:eastAsia="pt-BR"/>
              </w:rPr>
            </w:pPr>
            <w:r w:rsidRPr="005F5BC9">
              <w:rPr>
                <w:rFonts w:ascii="Arial" w:eastAsia="Times New Roman" w:hAnsi="Arial" w:cs="Arial"/>
                <w:b/>
                <w:bCs/>
                <w:color w:val="000000"/>
                <w:vertAlign w:val="baseline"/>
                <w:lang w:eastAsia="pt-BR"/>
              </w:rPr>
              <w:t>Descrição</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b/>
                <w:bCs/>
                <w:color w:val="000000"/>
                <w:vertAlign w:val="baseline"/>
                <w:lang w:eastAsia="pt-BR"/>
              </w:rPr>
            </w:pPr>
            <w:r w:rsidRPr="005F5BC9">
              <w:rPr>
                <w:rFonts w:ascii="Arial" w:eastAsia="Times New Roman" w:hAnsi="Arial" w:cs="Arial"/>
                <w:b/>
                <w:bCs/>
                <w:color w:val="000000"/>
                <w:vertAlign w:val="baseline"/>
                <w:lang w:eastAsia="pt-BR"/>
              </w:rPr>
              <w:t>Fonte</w:t>
            </w:r>
          </w:p>
        </w:tc>
      </w:tr>
      <w:tr w:rsidR="00B10133" w:rsidRPr="005F5BC9" w:rsidTr="00B7505E">
        <w:trPr>
          <w:trHeight w:val="31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PIB</w:t>
            </w:r>
          </w:p>
        </w:tc>
        <w:tc>
          <w:tcPr>
            <w:tcW w:w="5790"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PIB municipal deduzido de impostos</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IBGE</w:t>
            </w:r>
          </w:p>
        </w:tc>
      </w:tr>
      <w:tr w:rsidR="00B10133" w:rsidRPr="005F5BC9" w:rsidTr="00B7505E">
        <w:trPr>
          <w:trHeight w:val="31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PAB</w:t>
            </w:r>
          </w:p>
        </w:tc>
        <w:tc>
          <w:tcPr>
            <w:tcW w:w="5790"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Transferências do PAB Fixo</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35317B">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Ministério</w:t>
            </w:r>
            <w:r w:rsidR="0035317B">
              <w:rPr>
                <w:rFonts w:ascii="Arial" w:eastAsia="Times New Roman" w:hAnsi="Arial" w:cs="Arial"/>
                <w:color w:val="000000"/>
                <w:vertAlign w:val="baseline"/>
                <w:lang w:eastAsia="pt-BR"/>
              </w:rPr>
              <w:t xml:space="preserve"> </w:t>
            </w:r>
            <w:r w:rsidRPr="005F5BC9">
              <w:rPr>
                <w:rFonts w:ascii="Arial" w:eastAsia="Times New Roman" w:hAnsi="Arial" w:cs="Arial"/>
                <w:color w:val="000000"/>
                <w:vertAlign w:val="baseline"/>
                <w:lang w:eastAsia="pt-BR"/>
              </w:rPr>
              <w:t>da Saúde</w:t>
            </w:r>
          </w:p>
        </w:tc>
      </w:tr>
      <w:tr w:rsidR="00B10133" w:rsidRPr="005F5BC9" w:rsidTr="00B7505E">
        <w:trPr>
          <w:trHeight w:val="52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Outras </w:t>
            </w:r>
            <w:proofErr w:type="spellStart"/>
            <w:r w:rsidRPr="005F5BC9">
              <w:rPr>
                <w:rFonts w:ascii="Arial" w:eastAsia="Times New Roman" w:hAnsi="Arial" w:cs="Arial"/>
                <w:color w:val="000000"/>
                <w:vertAlign w:val="baseline"/>
                <w:lang w:eastAsia="pt-BR"/>
              </w:rPr>
              <w:t>transf</w:t>
            </w:r>
            <w:proofErr w:type="spellEnd"/>
            <w:r w:rsidRPr="005F5BC9">
              <w:rPr>
                <w:rFonts w:ascii="Arial" w:eastAsia="Times New Roman" w:hAnsi="Arial" w:cs="Arial"/>
                <w:color w:val="000000"/>
                <w:vertAlign w:val="baseline"/>
                <w:lang w:eastAsia="pt-BR"/>
              </w:rPr>
              <w:t>. SUS</w:t>
            </w:r>
          </w:p>
        </w:tc>
        <w:tc>
          <w:tcPr>
            <w:tcW w:w="5790" w:type="dxa"/>
            <w:tcBorders>
              <w:top w:val="nil"/>
              <w:left w:val="nil"/>
              <w:bottom w:val="single" w:sz="8" w:space="0" w:color="auto"/>
              <w:right w:val="single" w:sz="8" w:space="0" w:color="auto"/>
            </w:tcBorders>
            <w:shd w:val="clear" w:color="auto" w:fill="auto"/>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Transferências Fundo a Fundo do SUS deduzidas das transferências do PAB fixo.</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FINBRA</w:t>
            </w:r>
          </w:p>
        </w:tc>
      </w:tr>
      <w:tr w:rsidR="00B10133" w:rsidRPr="005F5BC9" w:rsidTr="00B7505E">
        <w:trPr>
          <w:trHeight w:val="31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FPM</w:t>
            </w:r>
          </w:p>
        </w:tc>
        <w:tc>
          <w:tcPr>
            <w:tcW w:w="5790"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Transferências de Recursos do FPM</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FINBRA</w:t>
            </w:r>
          </w:p>
        </w:tc>
      </w:tr>
      <w:tr w:rsidR="00B10133" w:rsidRPr="005F5BC9" w:rsidTr="00B7505E">
        <w:trPr>
          <w:trHeight w:val="31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Royalties</w:t>
            </w:r>
          </w:p>
        </w:tc>
        <w:tc>
          <w:tcPr>
            <w:tcW w:w="5790"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Transferências de </w:t>
            </w:r>
            <w:r w:rsidRPr="005F5BC9">
              <w:rPr>
                <w:rFonts w:ascii="Arial" w:eastAsia="Times New Roman" w:hAnsi="Arial" w:cs="Arial"/>
                <w:i/>
                <w:iCs/>
                <w:color w:val="000000"/>
                <w:vertAlign w:val="baseline"/>
                <w:lang w:eastAsia="pt-BR"/>
              </w:rPr>
              <w:t>Royalties</w:t>
            </w:r>
            <w:r w:rsidRPr="005F5BC9">
              <w:rPr>
                <w:rFonts w:ascii="Arial" w:eastAsia="Times New Roman" w:hAnsi="Arial" w:cs="Arial"/>
                <w:color w:val="000000"/>
                <w:vertAlign w:val="baseline"/>
                <w:lang w:eastAsia="pt-BR"/>
              </w:rPr>
              <w:t xml:space="preserve"> do Petróleo</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FINBRA</w:t>
            </w:r>
          </w:p>
        </w:tc>
      </w:tr>
      <w:tr w:rsidR="00B10133" w:rsidRPr="005F5BC9" w:rsidTr="00B7505E">
        <w:trPr>
          <w:trHeight w:val="52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Outras </w:t>
            </w:r>
            <w:proofErr w:type="spellStart"/>
            <w:r w:rsidRPr="005F5BC9">
              <w:rPr>
                <w:rFonts w:ascii="Arial" w:eastAsia="Times New Roman" w:hAnsi="Arial" w:cs="Arial"/>
                <w:color w:val="000000"/>
                <w:vertAlign w:val="baseline"/>
                <w:lang w:eastAsia="pt-BR"/>
              </w:rPr>
              <w:t>transf</w:t>
            </w:r>
            <w:proofErr w:type="spellEnd"/>
            <w:r w:rsidRPr="005F5BC9">
              <w:rPr>
                <w:rFonts w:ascii="Arial" w:eastAsia="Times New Roman" w:hAnsi="Arial" w:cs="Arial"/>
                <w:color w:val="000000"/>
                <w:vertAlign w:val="baseline"/>
                <w:lang w:eastAsia="pt-BR"/>
              </w:rPr>
              <w:t>.</w:t>
            </w:r>
          </w:p>
        </w:tc>
        <w:tc>
          <w:tcPr>
            <w:tcW w:w="5790" w:type="dxa"/>
            <w:tcBorders>
              <w:top w:val="nil"/>
              <w:left w:val="nil"/>
              <w:bottom w:val="single" w:sz="8" w:space="0" w:color="auto"/>
              <w:right w:val="single" w:sz="8" w:space="0" w:color="auto"/>
            </w:tcBorders>
            <w:shd w:val="clear" w:color="auto" w:fill="auto"/>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Transferências correntes deduzidas de todas as transferências acima.</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FINBRA</w:t>
            </w:r>
          </w:p>
        </w:tc>
      </w:tr>
      <w:tr w:rsidR="00B10133" w:rsidRPr="005F5BC9" w:rsidTr="00B7505E">
        <w:trPr>
          <w:trHeight w:val="31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proofErr w:type="spellStart"/>
            <w:r w:rsidRPr="005F5BC9">
              <w:rPr>
                <w:rFonts w:ascii="Arial" w:eastAsia="Times New Roman" w:hAnsi="Arial" w:cs="Arial"/>
                <w:color w:val="000000"/>
                <w:vertAlign w:val="baseline"/>
                <w:lang w:eastAsia="pt-BR"/>
              </w:rPr>
              <w:t>Dependencia</w:t>
            </w:r>
            <w:proofErr w:type="spellEnd"/>
          </w:p>
        </w:tc>
        <w:tc>
          <w:tcPr>
            <w:tcW w:w="5790"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Razão entre transferências correntes e receitas correntes.</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FINBRA</w:t>
            </w:r>
          </w:p>
        </w:tc>
      </w:tr>
      <w:tr w:rsidR="00B10133" w:rsidRPr="005F5BC9" w:rsidTr="00B7505E">
        <w:trPr>
          <w:trHeight w:val="31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Pop</w:t>
            </w:r>
          </w:p>
        </w:tc>
        <w:tc>
          <w:tcPr>
            <w:tcW w:w="5790"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População total</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DATASUS</w:t>
            </w:r>
          </w:p>
        </w:tc>
      </w:tr>
      <w:tr w:rsidR="00B10133" w:rsidRPr="005F5BC9" w:rsidTr="00B7505E">
        <w:trPr>
          <w:trHeight w:val="31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Jovens</w:t>
            </w:r>
          </w:p>
        </w:tc>
        <w:tc>
          <w:tcPr>
            <w:tcW w:w="5790" w:type="dxa"/>
            <w:tcBorders>
              <w:top w:val="nil"/>
              <w:left w:val="nil"/>
              <w:bottom w:val="single" w:sz="8" w:space="0" w:color="auto"/>
              <w:right w:val="single" w:sz="8" w:space="0" w:color="auto"/>
            </w:tcBorders>
            <w:shd w:val="clear" w:color="auto" w:fill="auto"/>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Proporção de </w:t>
            </w:r>
            <w:proofErr w:type="spellStart"/>
            <w:r w:rsidRPr="005F5BC9">
              <w:rPr>
                <w:rFonts w:ascii="Arial" w:eastAsia="Times New Roman" w:hAnsi="Arial" w:cs="Arial"/>
                <w:color w:val="000000"/>
                <w:vertAlign w:val="baseline"/>
                <w:lang w:eastAsia="pt-BR"/>
              </w:rPr>
              <w:t>indíviduos</w:t>
            </w:r>
            <w:proofErr w:type="spellEnd"/>
            <w:r w:rsidRPr="005F5BC9">
              <w:rPr>
                <w:rFonts w:ascii="Arial" w:eastAsia="Times New Roman" w:hAnsi="Arial" w:cs="Arial"/>
                <w:color w:val="000000"/>
                <w:vertAlign w:val="baseline"/>
                <w:lang w:eastAsia="pt-BR"/>
              </w:rPr>
              <w:t xml:space="preserve"> com idade até 14 anos na população total</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DATASUS</w:t>
            </w:r>
          </w:p>
        </w:tc>
      </w:tr>
      <w:tr w:rsidR="00B10133" w:rsidRPr="005F5BC9" w:rsidTr="00B7505E">
        <w:trPr>
          <w:trHeight w:val="52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Idosos</w:t>
            </w:r>
          </w:p>
        </w:tc>
        <w:tc>
          <w:tcPr>
            <w:tcW w:w="5790" w:type="dxa"/>
            <w:tcBorders>
              <w:top w:val="nil"/>
              <w:left w:val="nil"/>
              <w:bottom w:val="single" w:sz="8" w:space="0" w:color="auto"/>
              <w:right w:val="single" w:sz="8" w:space="0" w:color="auto"/>
            </w:tcBorders>
            <w:shd w:val="clear" w:color="auto" w:fill="auto"/>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Proporção de </w:t>
            </w:r>
            <w:proofErr w:type="spellStart"/>
            <w:r w:rsidRPr="005F5BC9">
              <w:rPr>
                <w:rFonts w:ascii="Arial" w:eastAsia="Times New Roman" w:hAnsi="Arial" w:cs="Arial"/>
                <w:color w:val="000000"/>
                <w:vertAlign w:val="baseline"/>
                <w:lang w:eastAsia="pt-BR"/>
              </w:rPr>
              <w:t>indíviduos</w:t>
            </w:r>
            <w:proofErr w:type="spellEnd"/>
            <w:r w:rsidRPr="005F5BC9">
              <w:rPr>
                <w:rFonts w:ascii="Arial" w:eastAsia="Times New Roman" w:hAnsi="Arial" w:cs="Arial"/>
                <w:color w:val="000000"/>
                <w:vertAlign w:val="baseline"/>
                <w:lang w:eastAsia="pt-BR"/>
              </w:rPr>
              <w:t xml:space="preserve"> com idade acima de 60 anos na população total</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DATASUS</w:t>
            </w:r>
          </w:p>
        </w:tc>
      </w:tr>
      <w:tr w:rsidR="00B10133" w:rsidRPr="005F5BC9" w:rsidTr="00B7505E">
        <w:trPr>
          <w:trHeight w:val="31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Mulheres</w:t>
            </w:r>
          </w:p>
        </w:tc>
        <w:tc>
          <w:tcPr>
            <w:tcW w:w="5790"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Proporção de mulheres na população total</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DATASUS</w:t>
            </w:r>
          </w:p>
        </w:tc>
      </w:tr>
      <w:tr w:rsidR="00B10133" w:rsidRPr="005F5BC9" w:rsidTr="00B7505E">
        <w:trPr>
          <w:trHeight w:val="52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PSF</w:t>
            </w:r>
          </w:p>
        </w:tc>
        <w:tc>
          <w:tcPr>
            <w:tcW w:w="5790" w:type="dxa"/>
            <w:tcBorders>
              <w:top w:val="nil"/>
              <w:left w:val="nil"/>
              <w:bottom w:val="single" w:sz="8" w:space="0" w:color="auto"/>
              <w:right w:val="single" w:sz="8" w:space="0" w:color="auto"/>
            </w:tcBorders>
            <w:shd w:val="clear" w:color="auto" w:fill="auto"/>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Razão entre famílias atendidas pelo Programa de Saúde da Família e Agentes Comunitários de Saúde por População Total</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DATASUS</w:t>
            </w:r>
          </w:p>
        </w:tc>
      </w:tr>
      <w:tr w:rsidR="00B10133" w:rsidRPr="005F5BC9" w:rsidTr="00B7505E">
        <w:trPr>
          <w:trHeight w:val="31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Água</w:t>
            </w:r>
          </w:p>
        </w:tc>
        <w:tc>
          <w:tcPr>
            <w:tcW w:w="5790"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Proporção de Domicílios com Abastecimento de Água</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DATASUS</w:t>
            </w:r>
          </w:p>
        </w:tc>
      </w:tr>
      <w:tr w:rsidR="00B10133" w:rsidRPr="005F5BC9" w:rsidTr="00B7505E">
        <w:trPr>
          <w:trHeight w:val="52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Coleta de lixo</w:t>
            </w:r>
          </w:p>
        </w:tc>
        <w:tc>
          <w:tcPr>
            <w:tcW w:w="5790" w:type="dxa"/>
            <w:tcBorders>
              <w:top w:val="nil"/>
              <w:left w:val="nil"/>
              <w:bottom w:val="single" w:sz="8" w:space="0" w:color="auto"/>
              <w:right w:val="single" w:sz="8" w:space="0" w:color="auto"/>
            </w:tcBorders>
            <w:shd w:val="clear" w:color="auto" w:fill="auto"/>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Proporção de Domicílios com Coleta de Lixo por serviço, empresa pública ou </w:t>
            </w:r>
            <w:proofErr w:type="gramStart"/>
            <w:r w:rsidRPr="005F5BC9">
              <w:rPr>
                <w:rFonts w:ascii="Arial" w:eastAsia="Times New Roman" w:hAnsi="Arial" w:cs="Arial"/>
                <w:color w:val="000000"/>
                <w:vertAlign w:val="baseline"/>
                <w:lang w:eastAsia="pt-BR"/>
              </w:rPr>
              <w:t>particular</w:t>
            </w:r>
            <w:proofErr w:type="gramEnd"/>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DATASUS</w:t>
            </w:r>
          </w:p>
        </w:tc>
      </w:tr>
      <w:tr w:rsidR="00B10133" w:rsidRPr="005F5BC9" w:rsidTr="00B7505E">
        <w:trPr>
          <w:trHeight w:val="52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Esgoto</w:t>
            </w:r>
          </w:p>
        </w:tc>
        <w:tc>
          <w:tcPr>
            <w:tcW w:w="5790" w:type="dxa"/>
            <w:tcBorders>
              <w:top w:val="nil"/>
              <w:left w:val="nil"/>
              <w:bottom w:val="single" w:sz="8" w:space="0" w:color="auto"/>
              <w:right w:val="single" w:sz="8" w:space="0" w:color="auto"/>
            </w:tcBorders>
            <w:shd w:val="clear" w:color="auto" w:fill="auto"/>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Proporção de Domicílios cujo </w:t>
            </w:r>
            <w:proofErr w:type="spellStart"/>
            <w:r w:rsidRPr="005F5BC9">
              <w:rPr>
                <w:rFonts w:ascii="Arial" w:eastAsia="Times New Roman" w:hAnsi="Arial" w:cs="Arial"/>
                <w:color w:val="000000"/>
                <w:vertAlign w:val="baseline"/>
                <w:lang w:eastAsia="pt-BR"/>
              </w:rPr>
              <w:t>egosto</w:t>
            </w:r>
            <w:proofErr w:type="spellEnd"/>
            <w:r w:rsidRPr="005F5BC9">
              <w:rPr>
                <w:rFonts w:ascii="Arial" w:eastAsia="Times New Roman" w:hAnsi="Arial" w:cs="Arial"/>
                <w:color w:val="000000"/>
                <w:vertAlign w:val="baseline"/>
                <w:lang w:eastAsia="pt-BR"/>
              </w:rPr>
              <w:t xml:space="preserve"> é destinado para uma rede pública geral</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DATASUS</w:t>
            </w:r>
          </w:p>
        </w:tc>
      </w:tr>
      <w:tr w:rsidR="00B10133" w:rsidRPr="005F5BC9" w:rsidTr="00B7505E">
        <w:trPr>
          <w:trHeight w:val="780"/>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Água domicílio</w:t>
            </w:r>
          </w:p>
        </w:tc>
        <w:tc>
          <w:tcPr>
            <w:tcW w:w="5790" w:type="dxa"/>
            <w:tcBorders>
              <w:top w:val="nil"/>
              <w:left w:val="nil"/>
              <w:bottom w:val="single" w:sz="8" w:space="0" w:color="auto"/>
              <w:right w:val="single" w:sz="8" w:space="0" w:color="auto"/>
            </w:tcBorders>
            <w:shd w:val="clear" w:color="auto" w:fill="auto"/>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Proporção de Domicílios com tratamento de água feito continuamente no domicílio, sem considerar aquele realizado pela empresa </w:t>
            </w:r>
            <w:proofErr w:type="gramStart"/>
            <w:r w:rsidRPr="005F5BC9">
              <w:rPr>
                <w:rFonts w:ascii="Arial" w:eastAsia="Times New Roman" w:hAnsi="Arial" w:cs="Arial"/>
                <w:color w:val="000000"/>
                <w:vertAlign w:val="baseline"/>
                <w:lang w:eastAsia="pt-BR"/>
              </w:rPr>
              <w:t>fornecedora</w:t>
            </w:r>
            <w:proofErr w:type="gramEnd"/>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DATASUS</w:t>
            </w:r>
          </w:p>
        </w:tc>
      </w:tr>
      <w:tr w:rsidR="00B10133" w:rsidRPr="005F5BC9" w:rsidTr="00B7505E">
        <w:trPr>
          <w:trHeight w:val="780"/>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Energia elétrica</w:t>
            </w:r>
          </w:p>
        </w:tc>
        <w:tc>
          <w:tcPr>
            <w:tcW w:w="5790" w:type="dxa"/>
            <w:tcBorders>
              <w:top w:val="nil"/>
              <w:left w:val="nil"/>
              <w:bottom w:val="single" w:sz="8" w:space="0" w:color="auto"/>
              <w:right w:val="single" w:sz="8" w:space="0" w:color="auto"/>
            </w:tcBorders>
            <w:shd w:val="clear" w:color="auto" w:fill="auto"/>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Proporção </w:t>
            </w:r>
            <w:proofErr w:type="spellStart"/>
            <w:r w:rsidRPr="005F5BC9">
              <w:rPr>
                <w:rFonts w:ascii="Arial" w:eastAsia="Times New Roman" w:hAnsi="Arial" w:cs="Arial"/>
                <w:color w:val="000000"/>
                <w:vertAlign w:val="baseline"/>
                <w:lang w:eastAsia="pt-BR"/>
              </w:rPr>
              <w:t>dedomicílios</w:t>
            </w:r>
            <w:proofErr w:type="spellEnd"/>
            <w:r w:rsidRPr="005F5BC9">
              <w:rPr>
                <w:rFonts w:ascii="Arial" w:eastAsia="Times New Roman" w:hAnsi="Arial" w:cs="Arial"/>
                <w:color w:val="000000"/>
                <w:vertAlign w:val="baseline"/>
                <w:lang w:eastAsia="pt-BR"/>
              </w:rPr>
              <w:t xml:space="preserve"> que possuem energia elétrica, mesmo que o fornecimento não seja contínuo ou que a instalação não seja </w:t>
            </w:r>
            <w:proofErr w:type="gramStart"/>
            <w:r w:rsidRPr="005F5BC9">
              <w:rPr>
                <w:rFonts w:ascii="Arial" w:eastAsia="Times New Roman" w:hAnsi="Arial" w:cs="Arial"/>
                <w:color w:val="000000"/>
                <w:vertAlign w:val="baseline"/>
                <w:lang w:eastAsia="pt-BR"/>
              </w:rPr>
              <w:t>regularizada</w:t>
            </w:r>
            <w:proofErr w:type="gramEnd"/>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DATASUS</w:t>
            </w:r>
          </w:p>
        </w:tc>
      </w:tr>
      <w:tr w:rsidR="00B10133" w:rsidRPr="005F5BC9" w:rsidTr="00B7505E">
        <w:trPr>
          <w:trHeight w:val="52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proofErr w:type="spellStart"/>
            <w:r w:rsidRPr="005F5BC9">
              <w:rPr>
                <w:rFonts w:ascii="Arial" w:eastAsia="Times New Roman" w:hAnsi="Arial" w:cs="Arial"/>
                <w:color w:val="000000"/>
                <w:vertAlign w:val="baseline"/>
                <w:lang w:eastAsia="pt-BR"/>
              </w:rPr>
              <w:t>Pref-gov</w:t>
            </w:r>
            <w:proofErr w:type="spellEnd"/>
          </w:p>
        </w:tc>
        <w:tc>
          <w:tcPr>
            <w:tcW w:w="5790" w:type="dxa"/>
            <w:tcBorders>
              <w:top w:val="nil"/>
              <w:left w:val="nil"/>
              <w:bottom w:val="single" w:sz="8" w:space="0" w:color="auto"/>
              <w:right w:val="single" w:sz="8" w:space="0" w:color="auto"/>
            </w:tcBorders>
            <w:shd w:val="clear" w:color="auto" w:fill="auto"/>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proofErr w:type="spellStart"/>
            <w:r w:rsidRPr="005F5BC9">
              <w:rPr>
                <w:rFonts w:ascii="Arial" w:eastAsia="Times New Roman" w:hAnsi="Arial" w:cs="Arial"/>
                <w:color w:val="000000"/>
                <w:vertAlign w:val="baseline"/>
                <w:lang w:eastAsia="pt-BR"/>
              </w:rPr>
              <w:t>Dummy</w:t>
            </w:r>
            <w:proofErr w:type="spellEnd"/>
            <w:r w:rsidRPr="005F5BC9">
              <w:rPr>
                <w:rFonts w:ascii="Arial" w:eastAsia="Times New Roman" w:hAnsi="Arial" w:cs="Arial"/>
                <w:color w:val="000000"/>
                <w:vertAlign w:val="baseline"/>
                <w:lang w:eastAsia="pt-BR"/>
              </w:rPr>
              <w:t xml:space="preserve"> igual a 1 se o partido do prefeito e do governador são os mesmos.</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IPEADATA e TSE</w:t>
            </w:r>
          </w:p>
        </w:tc>
      </w:tr>
      <w:tr w:rsidR="00B10133" w:rsidRPr="005F5BC9" w:rsidTr="00B7505E">
        <w:trPr>
          <w:trHeight w:val="52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proofErr w:type="spellStart"/>
            <w:r w:rsidRPr="005F5BC9">
              <w:rPr>
                <w:rFonts w:ascii="Arial" w:eastAsia="Times New Roman" w:hAnsi="Arial" w:cs="Arial"/>
                <w:color w:val="000000"/>
                <w:vertAlign w:val="baseline"/>
                <w:lang w:eastAsia="pt-BR"/>
              </w:rPr>
              <w:t>Pref-pres</w:t>
            </w:r>
            <w:proofErr w:type="spellEnd"/>
          </w:p>
        </w:tc>
        <w:tc>
          <w:tcPr>
            <w:tcW w:w="5790" w:type="dxa"/>
            <w:tcBorders>
              <w:top w:val="nil"/>
              <w:left w:val="nil"/>
              <w:bottom w:val="single" w:sz="8" w:space="0" w:color="auto"/>
              <w:right w:val="single" w:sz="8" w:space="0" w:color="auto"/>
            </w:tcBorders>
            <w:shd w:val="clear" w:color="auto" w:fill="auto"/>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proofErr w:type="spellStart"/>
            <w:r w:rsidRPr="005F5BC9">
              <w:rPr>
                <w:rFonts w:ascii="Arial" w:eastAsia="Times New Roman" w:hAnsi="Arial" w:cs="Arial"/>
                <w:color w:val="000000"/>
                <w:vertAlign w:val="baseline"/>
                <w:lang w:eastAsia="pt-BR"/>
              </w:rPr>
              <w:t>Dummy</w:t>
            </w:r>
            <w:proofErr w:type="spellEnd"/>
            <w:r w:rsidRPr="005F5BC9">
              <w:rPr>
                <w:rFonts w:ascii="Arial" w:eastAsia="Times New Roman" w:hAnsi="Arial" w:cs="Arial"/>
                <w:color w:val="000000"/>
                <w:vertAlign w:val="baseline"/>
                <w:lang w:eastAsia="pt-BR"/>
              </w:rPr>
              <w:t xml:space="preserve"> igual a 1 se o partido do prefeito e do presidente são os mesmos.</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IPEADATA e TSE</w:t>
            </w:r>
          </w:p>
        </w:tc>
      </w:tr>
      <w:tr w:rsidR="00B10133" w:rsidRPr="005F5BC9" w:rsidTr="00B7505E">
        <w:trPr>
          <w:trHeight w:val="52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proofErr w:type="spellStart"/>
            <w:r w:rsidRPr="005F5BC9">
              <w:rPr>
                <w:rFonts w:ascii="Arial" w:eastAsia="Times New Roman" w:hAnsi="Arial" w:cs="Arial"/>
                <w:color w:val="000000"/>
                <w:vertAlign w:val="baseline"/>
                <w:lang w:eastAsia="pt-BR"/>
              </w:rPr>
              <w:lastRenderedPageBreak/>
              <w:t>Pref-gov-pres</w:t>
            </w:r>
            <w:proofErr w:type="spellEnd"/>
          </w:p>
        </w:tc>
        <w:tc>
          <w:tcPr>
            <w:tcW w:w="5790" w:type="dxa"/>
            <w:tcBorders>
              <w:top w:val="nil"/>
              <w:left w:val="nil"/>
              <w:bottom w:val="single" w:sz="8" w:space="0" w:color="auto"/>
              <w:right w:val="single" w:sz="8" w:space="0" w:color="auto"/>
            </w:tcBorders>
            <w:shd w:val="clear" w:color="auto" w:fill="auto"/>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proofErr w:type="spellStart"/>
            <w:r w:rsidRPr="005F5BC9">
              <w:rPr>
                <w:rFonts w:ascii="Arial" w:eastAsia="Times New Roman" w:hAnsi="Arial" w:cs="Arial"/>
                <w:color w:val="000000"/>
                <w:vertAlign w:val="baseline"/>
                <w:lang w:eastAsia="pt-BR"/>
              </w:rPr>
              <w:t>Dummy</w:t>
            </w:r>
            <w:proofErr w:type="spellEnd"/>
            <w:r w:rsidRPr="005F5BC9">
              <w:rPr>
                <w:rFonts w:ascii="Arial" w:eastAsia="Times New Roman" w:hAnsi="Arial" w:cs="Arial"/>
                <w:color w:val="000000"/>
                <w:vertAlign w:val="baseline"/>
                <w:lang w:eastAsia="pt-BR"/>
              </w:rPr>
              <w:t xml:space="preserve"> igual a 1 se o partido do prefeito, do governador e do presidente são os mesmos.</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IPEADATA e TSE</w:t>
            </w:r>
          </w:p>
        </w:tc>
      </w:tr>
      <w:tr w:rsidR="00B10133" w:rsidRPr="005F5BC9" w:rsidTr="00B7505E">
        <w:trPr>
          <w:trHeight w:val="315"/>
        </w:trPr>
        <w:tc>
          <w:tcPr>
            <w:tcW w:w="2326" w:type="dxa"/>
            <w:tcBorders>
              <w:top w:val="nil"/>
              <w:left w:val="single" w:sz="8" w:space="0" w:color="auto"/>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Propor vereadores</w:t>
            </w:r>
          </w:p>
        </w:tc>
        <w:tc>
          <w:tcPr>
            <w:tcW w:w="5790"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Proporção de vereadores do mesmo partido do prefeito.</w:t>
            </w:r>
          </w:p>
        </w:tc>
        <w:tc>
          <w:tcPr>
            <w:tcW w:w="1804" w:type="dxa"/>
            <w:tcBorders>
              <w:top w:val="nil"/>
              <w:left w:val="nil"/>
              <w:bottom w:val="single" w:sz="8" w:space="0" w:color="auto"/>
              <w:right w:val="single" w:sz="8" w:space="0" w:color="auto"/>
            </w:tcBorders>
            <w:shd w:val="clear" w:color="auto" w:fill="auto"/>
            <w:noWrap/>
            <w:vAlign w:val="center"/>
            <w:hideMark/>
          </w:tcPr>
          <w:p w:rsidR="00B10133" w:rsidRPr="005F5BC9" w:rsidRDefault="00B10133" w:rsidP="00B7505E">
            <w:pPr>
              <w:spacing w:after="0" w:line="240" w:lineRule="auto"/>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IPEADATA e TSE</w:t>
            </w:r>
          </w:p>
        </w:tc>
      </w:tr>
    </w:tbl>
    <w:p w:rsidR="00B10133" w:rsidRPr="005F5BC9" w:rsidRDefault="00B10133" w:rsidP="00B94CA0">
      <w:pPr>
        <w:spacing w:after="0" w:line="240" w:lineRule="auto"/>
        <w:ind w:firstLine="420"/>
        <w:rPr>
          <w:rFonts w:ascii="Arial" w:hAnsi="Arial" w:cs="Arial"/>
          <w:sz w:val="24"/>
          <w:szCs w:val="24"/>
          <w:vertAlign w:val="baseline"/>
        </w:rPr>
      </w:pPr>
    </w:p>
    <w:p w:rsidR="00B10133" w:rsidRDefault="00B10133" w:rsidP="00B10133">
      <w:pPr>
        <w:spacing w:after="0" w:line="240" w:lineRule="auto"/>
        <w:ind w:firstLine="420"/>
        <w:rPr>
          <w:rFonts w:ascii="Arial" w:hAnsi="Arial" w:cs="Arial"/>
          <w:sz w:val="24"/>
          <w:szCs w:val="24"/>
          <w:vertAlign w:val="baseline"/>
        </w:rPr>
      </w:pPr>
      <w:r w:rsidRPr="005F5BC9">
        <w:rPr>
          <w:rFonts w:ascii="Arial" w:hAnsi="Arial" w:cs="Arial"/>
          <w:sz w:val="24"/>
          <w:szCs w:val="24"/>
          <w:vertAlign w:val="baseline"/>
        </w:rPr>
        <w:t>A variável dependente é a despesa total em saúde (corrente e de capital) obtida do DATASUS, em termos per capita.</w:t>
      </w:r>
    </w:p>
    <w:p w:rsidR="001251B4" w:rsidRPr="005F5BC9" w:rsidRDefault="001251B4" w:rsidP="001251B4">
      <w:pPr>
        <w:spacing w:after="0" w:line="240" w:lineRule="auto"/>
        <w:ind w:firstLine="420"/>
        <w:rPr>
          <w:rFonts w:ascii="Arial" w:hAnsi="Arial" w:cs="Arial"/>
          <w:sz w:val="24"/>
          <w:szCs w:val="24"/>
          <w:vertAlign w:val="baseline"/>
        </w:rPr>
      </w:pPr>
      <w:r w:rsidRPr="005F5BC9">
        <w:rPr>
          <w:rFonts w:ascii="Arial" w:hAnsi="Arial" w:cs="Arial"/>
          <w:sz w:val="24"/>
          <w:szCs w:val="24"/>
          <w:vertAlign w:val="baseline"/>
        </w:rPr>
        <w:t xml:space="preserve">As principais variáveis de interesse são as transferências do SUS. Estas transferências estão separadas em dois grupos. O primeiro corresponde ao Piso de Atenção Básica Fixo Ampliado (PAB </w:t>
      </w:r>
      <w:proofErr w:type="gramStart"/>
      <w:r w:rsidRPr="005F5BC9">
        <w:rPr>
          <w:rFonts w:ascii="Arial" w:hAnsi="Arial" w:cs="Arial"/>
          <w:sz w:val="24"/>
          <w:szCs w:val="24"/>
          <w:vertAlign w:val="baseline"/>
        </w:rPr>
        <w:t>fixo</w:t>
      </w:r>
      <w:proofErr w:type="gramEnd"/>
      <w:r w:rsidRPr="005F5BC9">
        <w:rPr>
          <w:rFonts w:ascii="Arial" w:hAnsi="Arial" w:cs="Arial"/>
          <w:sz w:val="24"/>
          <w:szCs w:val="24"/>
          <w:vertAlign w:val="baseline"/>
        </w:rPr>
        <w:t xml:space="preserve">). Esta é uma transferência obrigatória e condicional, cujos recursos são destinados à assistência básica de saúde da população e correspondente a um valor fixo </w:t>
      </w:r>
      <w:r w:rsidRPr="005F5BC9">
        <w:rPr>
          <w:rFonts w:ascii="Arial" w:hAnsi="Arial" w:cs="Arial"/>
          <w:i/>
          <w:sz w:val="24"/>
          <w:szCs w:val="24"/>
          <w:vertAlign w:val="baseline"/>
        </w:rPr>
        <w:t>per capita</w:t>
      </w:r>
      <w:r w:rsidRPr="005F5BC9">
        <w:rPr>
          <w:rFonts w:ascii="Arial" w:hAnsi="Arial" w:cs="Arial"/>
          <w:sz w:val="24"/>
          <w:szCs w:val="24"/>
          <w:vertAlign w:val="baseline"/>
        </w:rPr>
        <w:t xml:space="preserve"> a cada governo subnacional. As demais transferências à saúde foram agrupadas</w:t>
      </w:r>
      <w:r w:rsidR="009A0A79">
        <w:rPr>
          <w:rFonts w:ascii="Arial" w:hAnsi="Arial" w:cs="Arial"/>
          <w:sz w:val="24"/>
          <w:szCs w:val="24"/>
          <w:vertAlign w:val="baseline"/>
        </w:rPr>
        <w:t xml:space="preserve"> </w:t>
      </w:r>
      <w:r w:rsidRPr="005F5BC9">
        <w:rPr>
          <w:rFonts w:ascii="Arial" w:hAnsi="Arial" w:cs="Arial"/>
          <w:sz w:val="24"/>
          <w:szCs w:val="24"/>
          <w:vertAlign w:val="baseline"/>
        </w:rPr>
        <w:t xml:space="preserve">(Outras </w:t>
      </w:r>
      <w:proofErr w:type="spellStart"/>
      <w:r w:rsidRPr="005F5BC9">
        <w:rPr>
          <w:rFonts w:ascii="Arial" w:hAnsi="Arial" w:cs="Arial"/>
          <w:sz w:val="24"/>
          <w:szCs w:val="24"/>
          <w:vertAlign w:val="baseline"/>
        </w:rPr>
        <w:t>transf</w:t>
      </w:r>
      <w:proofErr w:type="spellEnd"/>
      <w:r w:rsidRPr="005F5BC9">
        <w:rPr>
          <w:rFonts w:ascii="Arial" w:hAnsi="Arial" w:cs="Arial"/>
          <w:sz w:val="24"/>
          <w:szCs w:val="24"/>
          <w:vertAlign w:val="baseline"/>
        </w:rPr>
        <w:t>. SUS) e incluem as demais transferências fundo a fundo do SUS (o Piso de Atenção Básica Variável, transferências referentes à vigilância sanitária e controle epidemiológico e transferências para procedimentos de alta e média complexidade), além dos convênios.</w:t>
      </w:r>
    </w:p>
    <w:p w:rsidR="00F779E4" w:rsidRPr="005F5BC9" w:rsidRDefault="001251B4" w:rsidP="00F779E4">
      <w:pPr>
        <w:spacing w:after="0" w:line="240" w:lineRule="auto"/>
        <w:ind w:firstLine="420"/>
        <w:rPr>
          <w:rFonts w:ascii="Arial" w:hAnsi="Arial" w:cs="Arial"/>
          <w:sz w:val="24"/>
          <w:szCs w:val="24"/>
          <w:vertAlign w:val="baseline"/>
        </w:rPr>
      </w:pPr>
      <w:r w:rsidRPr="005F5BC9">
        <w:rPr>
          <w:rFonts w:ascii="Arial" w:hAnsi="Arial" w:cs="Arial"/>
          <w:sz w:val="24"/>
          <w:szCs w:val="24"/>
          <w:vertAlign w:val="baseline"/>
        </w:rPr>
        <w:t>Além disso, foram consid</w:t>
      </w:r>
      <w:r w:rsidR="00A44B63" w:rsidRPr="005F5BC9">
        <w:rPr>
          <w:rFonts w:ascii="Arial" w:hAnsi="Arial" w:cs="Arial"/>
          <w:sz w:val="24"/>
          <w:szCs w:val="24"/>
          <w:vertAlign w:val="baseline"/>
        </w:rPr>
        <w:t>erada</w:t>
      </w:r>
      <w:r w:rsidRPr="005F5BC9">
        <w:rPr>
          <w:rFonts w:ascii="Arial" w:hAnsi="Arial" w:cs="Arial"/>
          <w:sz w:val="24"/>
          <w:szCs w:val="24"/>
          <w:vertAlign w:val="baseline"/>
        </w:rPr>
        <w:t xml:space="preserve">s as transferências do FPM (FPM) e as transferências dos royalties (royalties). </w:t>
      </w:r>
      <w:r w:rsidR="00A44B63" w:rsidRPr="005F5BC9">
        <w:rPr>
          <w:rFonts w:ascii="Arial" w:hAnsi="Arial" w:cs="Arial"/>
          <w:sz w:val="24"/>
          <w:szCs w:val="24"/>
          <w:vertAlign w:val="baseline"/>
        </w:rPr>
        <w:t>As transferências do FPM são obrigatórias, incondicionais e sem contrapartidas. Assim, o município tem plena autonomia na alocação dos recursos recebidos, podendo aproveitar do seu maior conhecimento das necessidades locais para atender a população de forma mais adequada. Os royalties representam compensações financeiras pela exploração de recursos naturais</w:t>
      </w:r>
      <w:r w:rsidR="000002EF" w:rsidRPr="005F5BC9">
        <w:rPr>
          <w:rFonts w:ascii="Arial" w:hAnsi="Arial" w:cs="Arial"/>
          <w:sz w:val="24"/>
          <w:szCs w:val="24"/>
          <w:vertAlign w:val="baseline"/>
        </w:rPr>
        <w:t xml:space="preserve"> e também são obrigatórios, não condicionais e sem contrapartidas.</w:t>
      </w:r>
      <w:r w:rsidR="00F779E4" w:rsidRPr="005F5BC9">
        <w:rPr>
          <w:rFonts w:ascii="Arial" w:hAnsi="Arial" w:cs="Arial"/>
          <w:sz w:val="24"/>
          <w:szCs w:val="24"/>
          <w:vertAlign w:val="baseline"/>
        </w:rPr>
        <w:t xml:space="preserve"> Teoricamente o aumento de </w:t>
      </w:r>
      <w:proofErr w:type="gramStart"/>
      <w:r w:rsidR="00F779E4" w:rsidRPr="005F5BC9">
        <w:rPr>
          <w:rFonts w:ascii="Arial" w:hAnsi="Arial" w:cs="Arial"/>
          <w:sz w:val="24"/>
          <w:szCs w:val="24"/>
          <w:vertAlign w:val="baseline"/>
        </w:rPr>
        <w:t>1</w:t>
      </w:r>
      <w:proofErr w:type="gramEnd"/>
      <w:r w:rsidR="00F779E4" w:rsidRPr="005F5BC9">
        <w:rPr>
          <w:rFonts w:ascii="Arial" w:hAnsi="Arial" w:cs="Arial"/>
          <w:sz w:val="24"/>
          <w:szCs w:val="24"/>
          <w:vertAlign w:val="baseline"/>
        </w:rPr>
        <w:t xml:space="preserve"> real na renda dos residentes de um município deveria ter o mesmo impacto de um aumento de 1 real em transferências de propósito geral, como o FPM e os royalties, uma vez que ambos representam um relaxamento idêntico na restrição orçamentária local. No entanto, a evidência empírica mostra que as transferências tendem a aumentar o gasto público local em mais de </w:t>
      </w:r>
      <w:proofErr w:type="gramStart"/>
      <w:r w:rsidR="00F779E4" w:rsidRPr="005F5BC9">
        <w:rPr>
          <w:rFonts w:ascii="Arial" w:hAnsi="Arial" w:cs="Arial"/>
          <w:sz w:val="24"/>
          <w:szCs w:val="24"/>
          <w:vertAlign w:val="baseline"/>
        </w:rPr>
        <w:t>1</w:t>
      </w:r>
      <w:proofErr w:type="gramEnd"/>
      <w:r w:rsidR="00F779E4" w:rsidRPr="005F5BC9">
        <w:rPr>
          <w:rFonts w:ascii="Arial" w:hAnsi="Arial" w:cs="Arial"/>
          <w:sz w:val="24"/>
          <w:szCs w:val="24"/>
          <w:vertAlign w:val="baseline"/>
        </w:rPr>
        <w:t xml:space="preserve"> real, fenômeno que ficou conhecido como efeito </w:t>
      </w:r>
      <w:proofErr w:type="spellStart"/>
      <w:r w:rsidR="00F779E4" w:rsidRPr="005F5BC9">
        <w:rPr>
          <w:rFonts w:ascii="Arial" w:hAnsi="Arial" w:cs="Arial"/>
          <w:i/>
          <w:sz w:val="24"/>
          <w:szCs w:val="24"/>
          <w:vertAlign w:val="baseline"/>
        </w:rPr>
        <w:t>flypaper</w:t>
      </w:r>
      <w:proofErr w:type="spellEnd"/>
      <w:r w:rsidR="00F779E4" w:rsidRPr="005F5BC9">
        <w:rPr>
          <w:rFonts w:ascii="Arial" w:hAnsi="Arial" w:cs="Arial"/>
          <w:sz w:val="24"/>
          <w:szCs w:val="24"/>
          <w:vertAlign w:val="baseline"/>
        </w:rPr>
        <w:t>.</w:t>
      </w:r>
      <w:r w:rsidR="00E32FBC">
        <w:rPr>
          <w:rFonts w:ascii="Arial" w:hAnsi="Arial" w:cs="Arial"/>
          <w:sz w:val="24"/>
          <w:szCs w:val="24"/>
          <w:vertAlign w:val="baseline"/>
        </w:rPr>
        <w:t xml:space="preserve"> </w:t>
      </w:r>
      <w:r w:rsidR="000002EF" w:rsidRPr="005F5BC9">
        <w:rPr>
          <w:rFonts w:ascii="Arial" w:hAnsi="Arial" w:cs="Arial"/>
          <w:sz w:val="24"/>
          <w:szCs w:val="24"/>
          <w:vertAlign w:val="baseline"/>
        </w:rPr>
        <w:t xml:space="preserve">Como variável de interesse aparece ainda </w:t>
      </w:r>
      <w:proofErr w:type="gramStart"/>
      <w:r w:rsidR="000002EF" w:rsidRPr="005F5BC9">
        <w:rPr>
          <w:rFonts w:ascii="Arial" w:hAnsi="Arial" w:cs="Arial"/>
          <w:sz w:val="24"/>
          <w:szCs w:val="24"/>
          <w:vertAlign w:val="baseline"/>
        </w:rPr>
        <w:t>a</w:t>
      </w:r>
      <w:proofErr w:type="gramEnd"/>
      <w:r w:rsidR="000002EF" w:rsidRPr="005F5BC9">
        <w:rPr>
          <w:rFonts w:ascii="Arial" w:hAnsi="Arial" w:cs="Arial"/>
          <w:sz w:val="24"/>
          <w:szCs w:val="24"/>
          <w:vertAlign w:val="baseline"/>
        </w:rPr>
        <w:t xml:space="preserve"> renda. </w:t>
      </w:r>
    </w:p>
    <w:p w:rsidR="007008D4" w:rsidRPr="005F5BC9" w:rsidRDefault="00F779E4" w:rsidP="00F779E4">
      <w:pPr>
        <w:spacing w:after="0" w:line="240" w:lineRule="auto"/>
        <w:ind w:firstLine="420"/>
        <w:rPr>
          <w:rFonts w:ascii="Arial" w:hAnsi="Arial" w:cs="Arial"/>
          <w:sz w:val="24"/>
          <w:szCs w:val="24"/>
          <w:vertAlign w:val="baseline"/>
        </w:rPr>
      </w:pPr>
      <w:r w:rsidRPr="005F5BC9">
        <w:rPr>
          <w:rFonts w:ascii="Arial" w:hAnsi="Arial" w:cs="Arial"/>
          <w:sz w:val="24"/>
          <w:szCs w:val="24"/>
          <w:vertAlign w:val="baseline"/>
        </w:rPr>
        <w:t>F</w:t>
      </w:r>
      <w:r w:rsidR="00AE2026" w:rsidRPr="005F5BC9">
        <w:rPr>
          <w:rFonts w:ascii="Arial" w:hAnsi="Arial" w:cs="Arial"/>
          <w:sz w:val="24"/>
          <w:szCs w:val="24"/>
          <w:vertAlign w:val="baseline"/>
        </w:rPr>
        <w:t>oram incluídas nas regres</w:t>
      </w:r>
      <w:r w:rsidRPr="005F5BC9">
        <w:rPr>
          <w:rFonts w:ascii="Arial" w:hAnsi="Arial" w:cs="Arial"/>
          <w:sz w:val="24"/>
          <w:szCs w:val="24"/>
          <w:vertAlign w:val="baseline"/>
        </w:rPr>
        <w:t>sões variáveis para captar as</w:t>
      </w:r>
      <w:r w:rsidR="00AE2026" w:rsidRPr="005F5BC9">
        <w:rPr>
          <w:rFonts w:ascii="Arial" w:hAnsi="Arial" w:cs="Arial"/>
          <w:sz w:val="24"/>
          <w:szCs w:val="24"/>
          <w:vertAlign w:val="baseline"/>
        </w:rPr>
        <w:t xml:space="preserve"> características populacionais, socioeconômicas, sanitárias e políticas que podem explicar as despesas em saúde dos municípios</w:t>
      </w:r>
      <w:r w:rsidRPr="005F5BC9">
        <w:rPr>
          <w:rFonts w:ascii="Arial" w:hAnsi="Arial" w:cs="Arial"/>
          <w:sz w:val="24"/>
          <w:szCs w:val="24"/>
          <w:vertAlign w:val="baseline"/>
        </w:rPr>
        <w:t>. Todas as variáveis explicativas, assim como suas fon</w:t>
      </w:r>
      <w:r w:rsidR="001B6D15">
        <w:rPr>
          <w:rFonts w:ascii="Arial" w:hAnsi="Arial" w:cs="Arial"/>
          <w:sz w:val="24"/>
          <w:szCs w:val="24"/>
          <w:vertAlign w:val="baseline"/>
        </w:rPr>
        <w:t>tes, estão descritas na Tabela 2</w:t>
      </w:r>
      <w:r w:rsidRPr="005F5BC9">
        <w:rPr>
          <w:rFonts w:ascii="Arial" w:hAnsi="Arial" w:cs="Arial"/>
          <w:sz w:val="24"/>
          <w:szCs w:val="24"/>
          <w:vertAlign w:val="baseline"/>
        </w:rPr>
        <w:t>.</w:t>
      </w:r>
    </w:p>
    <w:p w:rsidR="00CB4A78" w:rsidRPr="005F5BC9" w:rsidRDefault="001B6D15" w:rsidP="00315CB4">
      <w:pPr>
        <w:spacing w:after="0" w:line="240" w:lineRule="auto"/>
        <w:ind w:firstLine="420"/>
        <w:rPr>
          <w:rFonts w:ascii="Arial" w:hAnsi="Arial" w:cs="Arial"/>
          <w:sz w:val="24"/>
          <w:szCs w:val="24"/>
          <w:vertAlign w:val="baseline"/>
        </w:rPr>
      </w:pPr>
      <w:r>
        <w:rPr>
          <w:rFonts w:ascii="Arial" w:hAnsi="Arial" w:cs="Arial"/>
          <w:sz w:val="24"/>
          <w:szCs w:val="24"/>
          <w:vertAlign w:val="baseline"/>
        </w:rPr>
        <w:t>Na T</w:t>
      </w:r>
      <w:r w:rsidR="00CB4A78" w:rsidRPr="00B10133">
        <w:rPr>
          <w:rFonts w:ascii="Arial" w:hAnsi="Arial" w:cs="Arial"/>
          <w:sz w:val="24"/>
          <w:szCs w:val="24"/>
          <w:vertAlign w:val="baseline"/>
        </w:rPr>
        <w:t xml:space="preserve">abela </w:t>
      </w:r>
      <w:r w:rsidR="00B10133">
        <w:rPr>
          <w:rFonts w:ascii="Arial" w:hAnsi="Arial" w:cs="Arial"/>
          <w:sz w:val="24"/>
          <w:szCs w:val="24"/>
          <w:vertAlign w:val="baseline"/>
        </w:rPr>
        <w:t>3</w:t>
      </w:r>
      <w:r>
        <w:rPr>
          <w:rFonts w:ascii="Arial" w:hAnsi="Arial" w:cs="Arial"/>
          <w:sz w:val="24"/>
          <w:szCs w:val="24"/>
          <w:vertAlign w:val="baseline"/>
        </w:rPr>
        <w:t xml:space="preserve"> se encontram</w:t>
      </w:r>
      <w:r w:rsidR="00CB4A78" w:rsidRPr="00B10133">
        <w:rPr>
          <w:rFonts w:ascii="Arial" w:hAnsi="Arial" w:cs="Arial"/>
          <w:sz w:val="24"/>
          <w:szCs w:val="24"/>
          <w:vertAlign w:val="baseline"/>
        </w:rPr>
        <w:t xml:space="preserve"> as estatísticas descritivas</w:t>
      </w:r>
      <w:r>
        <w:rPr>
          <w:rFonts w:ascii="Arial" w:hAnsi="Arial" w:cs="Arial"/>
          <w:sz w:val="24"/>
          <w:szCs w:val="24"/>
          <w:vertAlign w:val="baseline"/>
        </w:rPr>
        <w:t xml:space="preserve"> básicas</w:t>
      </w:r>
      <w:r w:rsidR="00CB4A78" w:rsidRPr="00B10133">
        <w:rPr>
          <w:rFonts w:ascii="Arial" w:hAnsi="Arial" w:cs="Arial"/>
          <w:sz w:val="24"/>
          <w:szCs w:val="24"/>
          <w:vertAlign w:val="baseline"/>
        </w:rPr>
        <w:t xml:space="preserve"> das principais variáveis explicativas </w:t>
      </w:r>
      <w:r>
        <w:rPr>
          <w:rFonts w:ascii="Arial" w:hAnsi="Arial" w:cs="Arial"/>
          <w:sz w:val="24"/>
          <w:szCs w:val="24"/>
          <w:vertAlign w:val="baseline"/>
        </w:rPr>
        <w:t>para a amostra inteira. Já nas T</w:t>
      </w:r>
      <w:r w:rsidR="00CB4A78" w:rsidRPr="00B10133">
        <w:rPr>
          <w:rFonts w:ascii="Arial" w:hAnsi="Arial" w:cs="Arial"/>
          <w:sz w:val="24"/>
          <w:szCs w:val="24"/>
          <w:vertAlign w:val="baseline"/>
        </w:rPr>
        <w:t xml:space="preserve">abelas </w:t>
      </w:r>
      <w:r w:rsidR="00B10133">
        <w:rPr>
          <w:rFonts w:ascii="Arial" w:hAnsi="Arial" w:cs="Arial"/>
          <w:sz w:val="24"/>
          <w:szCs w:val="24"/>
          <w:vertAlign w:val="baseline"/>
        </w:rPr>
        <w:t>4</w:t>
      </w:r>
      <w:r w:rsidR="00CB4A78" w:rsidRPr="00B10133">
        <w:rPr>
          <w:rFonts w:ascii="Arial" w:hAnsi="Arial" w:cs="Arial"/>
          <w:sz w:val="24"/>
          <w:szCs w:val="24"/>
          <w:vertAlign w:val="baseline"/>
        </w:rPr>
        <w:t xml:space="preserve">, </w:t>
      </w:r>
      <w:r w:rsidR="00B10133">
        <w:rPr>
          <w:rFonts w:ascii="Arial" w:hAnsi="Arial" w:cs="Arial"/>
          <w:sz w:val="24"/>
          <w:szCs w:val="24"/>
          <w:vertAlign w:val="baseline"/>
        </w:rPr>
        <w:t>5 e 6</w:t>
      </w:r>
      <w:r w:rsidR="00CB4A78" w:rsidRPr="00B10133">
        <w:rPr>
          <w:rFonts w:ascii="Arial" w:hAnsi="Arial" w:cs="Arial"/>
          <w:sz w:val="24"/>
          <w:szCs w:val="24"/>
          <w:vertAlign w:val="baseline"/>
        </w:rPr>
        <w:t>, estão as estatísticas descr</w:t>
      </w:r>
      <w:r>
        <w:rPr>
          <w:rFonts w:ascii="Arial" w:hAnsi="Arial" w:cs="Arial"/>
          <w:sz w:val="24"/>
          <w:szCs w:val="24"/>
          <w:vertAlign w:val="baseline"/>
        </w:rPr>
        <w:t xml:space="preserve">itivas para as mesmas variáveis, </w:t>
      </w:r>
      <w:r w:rsidR="00CB4A78" w:rsidRPr="00B10133">
        <w:rPr>
          <w:rFonts w:ascii="Arial" w:hAnsi="Arial" w:cs="Arial"/>
          <w:sz w:val="24"/>
          <w:szCs w:val="24"/>
          <w:vertAlign w:val="baseline"/>
        </w:rPr>
        <w:t>mas</w:t>
      </w:r>
      <w:r w:rsidR="00047661" w:rsidRPr="00B10133">
        <w:rPr>
          <w:rFonts w:ascii="Arial" w:hAnsi="Arial" w:cs="Arial"/>
          <w:sz w:val="24"/>
          <w:szCs w:val="24"/>
          <w:vertAlign w:val="baseline"/>
        </w:rPr>
        <w:t xml:space="preserve"> </w:t>
      </w:r>
      <w:r>
        <w:rPr>
          <w:rFonts w:ascii="Arial" w:hAnsi="Arial" w:cs="Arial"/>
          <w:sz w:val="24"/>
          <w:szCs w:val="24"/>
          <w:vertAlign w:val="baseline"/>
        </w:rPr>
        <w:t>separando-as as observações de acordo com quartis (</w:t>
      </w:r>
      <w:r w:rsidR="00315CB4" w:rsidRPr="00B10133">
        <w:rPr>
          <w:rFonts w:ascii="Arial" w:hAnsi="Arial" w:cs="Arial"/>
          <w:sz w:val="24"/>
          <w:szCs w:val="24"/>
          <w:vertAlign w:val="baseline"/>
        </w:rPr>
        <w:t>25%, 50% e 75%</w:t>
      </w:r>
      <w:r>
        <w:rPr>
          <w:rFonts w:ascii="Arial" w:hAnsi="Arial" w:cs="Arial"/>
          <w:sz w:val="24"/>
          <w:szCs w:val="24"/>
          <w:vertAlign w:val="baseline"/>
        </w:rPr>
        <w:t>)</w:t>
      </w:r>
      <w:r w:rsidR="00315CB4" w:rsidRPr="00B10133">
        <w:rPr>
          <w:rFonts w:ascii="Arial" w:hAnsi="Arial" w:cs="Arial"/>
          <w:sz w:val="24"/>
          <w:szCs w:val="24"/>
          <w:vertAlign w:val="baseline"/>
        </w:rPr>
        <w:t xml:space="preserve"> de gastos em saúde, para explorar a heterogeneidade da amostra.</w:t>
      </w:r>
    </w:p>
    <w:p w:rsidR="00F779E4" w:rsidRPr="005F5BC9" w:rsidRDefault="00F779E4" w:rsidP="00F779E4">
      <w:pPr>
        <w:spacing w:after="0" w:line="240" w:lineRule="auto"/>
        <w:ind w:firstLine="420"/>
        <w:rPr>
          <w:rFonts w:ascii="Arial" w:hAnsi="Arial" w:cs="Arial"/>
          <w:sz w:val="24"/>
          <w:szCs w:val="24"/>
          <w:vertAlign w:val="baseline"/>
        </w:rPr>
      </w:pPr>
    </w:p>
    <w:tbl>
      <w:tblPr>
        <w:tblW w:w="8740" w:type="dxa"/>
        <w:tblInd w:w="55" w:type="dxa"/>
        <w:tblCellMar>
          <w:left w:w="70" w:type="dxa"/>
          <w:right w:w="70" w:type="dxa"/>
        </w:tblCellMar>
        <w:tblLook w:val="04A0" w:firstRow="1" w:lastRow="0" w:firstColumn="1" w:lastColumn="0" w:noHBand="0" w:noVBand="1"/>
      </w:tblPr>
      <w:tblGrid>
        <w:gridCol w:w="2003"/>
        <w:gridCol w:w="63"/>
        <w:gridCol w:w="1007"/>
        <w:gridCol w:w="95"/>
        <w:gridCol w:w="1342"/>
        <w:gridCol w:w="144"/>
        <w:gridCol w:w="792"/>
        <w:gridCol w:w="165"/>
        <w:gridCol w:w="1002"/>
        <w:gridCol w:w="197"/>
        <w:gridCol w:w="680"/>
        <w:gridCol w:w="231"/>
        <w:gridCol w:w="949"/>
        <w:gridCol w:w="260"/>
      </w:tblGrid>
      <w:tr w:rsidR="00CB4A78" w:rsidRPr="005F5BC9" w:rsidTr="00CB4A78">
        <w:trPr>
          <w:trHeight w:val="300"/>
        </w:trPr>
        <w:tc>
          <w:tcPr>
            <w:tcW w:w="8740" w:type="dxa"/>
            <w:gridSpan w:val="14"/>
            <w:tcBorders>
              <w:top w:val="nil"/>
              <w:left w:val="nil"/>
              <w:bottom w:val="nil"/>
              <w:right w:val="nil"/>
            </w:tcBorders>
            <w:shd w:val="clear" w:color="auto" w:fill="auto"/>
            <w:vAlign w:val="center"/>
            <w:hideMark/>
          </w:tcPr>
          <w:p w:rsidR="00CB4A78" w:rsidRPr="005F5BC9" w:rsidRDefault="00CB4A78" w:rsidP="00B10133">
            <w:pPr>
              <w:spacing w:after="0" w:line="240" w:lineRule="auto"/>
              <w:jc w:val="center"/>
              <w:rPr>
                <w:rFonts w:ascii="Arial" w:eastAsia="Times New Roman" w:hAnsi="Arial" w:cs="Arial"/>
                <w:b/>
                <w:bCs/>
                <w:vertAlign w:val="baseline"/>
                <w:lang w:eastAsia="pt-BR"/>
              </w:rPr>
            </w:pPr>
            <w:r w:rsidRPr="00B10133">
              <w:rPr>
                <w:rFonts w:ascii="Arial" w:eastAsia="Times New Roman" w:hAnsi="Arial" w:cs="Arial"/>
                <w:b/>
                <w:bCs/>
                <w:vertAlign w:val="baseline"/>
                <w:lang w:eastAsia="pt-BR"/>
              </w:rPr>
              <w:t xml:space="preserve">Tabela </w:t>
            </w:r>
            <w:r w:rsidR="00B10133" w:rsidRPr="00B10133">
              <w:rPr>
                <w:rFonts w:ascii="Arial" w:eastAsia="Times New Roman" w:hAnsi="Arial" w:cs="Arial"/>
                <w:b/>
                <w:bCs/>
                <w:vertAlign w:val="baseline"/>
                <w:lang w:eastAsia="pt-BR"/>
              </w:rPr>
              <w:t>4</w:t>
            </w:r>
            <w:r w:rsidRPr="00B10133">
              <w:rPr>
                <w:rFonts w:ascii="Arial" w:eastAsia="Times New Roman" w:hAnsi="Arial" w:cs="Arial"/>
                <w:b/>
                <w:bCs/>
                <w:vertAlign w:val="baseline"/>
                <w:lang w:eastAsia="pt-BR"/>
              </w:rPr>
              <w:t xml:space="preserve"> - Estatísticas descritivas</w:t>
            </w:r>
          </w:p>
        </w:tc>
      </w:tr>
      <w:tr w:rsidR="00CB4A78" w:rsidRPr="005F5BC9" w:rsidTr="00CB4A78">
        <w:trPr>
          <w:trHeight w:val="600"/>
        </w:trPr>
        <w:tc>
          <w:tcPr>
            <w:tcW w:w="2064" w:type="dxa"/>
            <w:gridSpan w:val="2"/>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Variável</w:t>
            </w:r>
          </w:p>
        </w:tc>
        <w:tc>
          <w:tcPr>
            <w:tcW w:w="1069" w:type="dxa"/>
            <w:gridSpan w:val="2"/>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Medida</w:t>
            </w:r>
          </w:p>
        </w:tc>
        <w:tc>
          <w:tcPr>
            <w:tcW w:w="1412" w:type="dxa"/>
            <w:gridSpan w:val="2"/>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Observações</w:t>
            </w:r>
          </w:p>
        </w:tc>
        <w:tc>
          <w:tcPr>
            <w:tcW w:w="911" w:type="dxa"/>
            <w:gridSpan w:val="2"/>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Média</w:t>
            </w:r>
          </w:p>
        </w:tc>
        <w:tc>
          <w:tcPr>
            <w:tcW w:w="1199" w:type="dxa"/>
            <w:gridSpan w:val="2"/>
            <w:tcBorders>
              <w:top w:val="single" w:sz="4" w:space="0" w:color="auto"/>
              <w:left w:val="nil"/>
              <w:bottom w:val="single" w:sz="4" w:space="0" w:color="auto"/>
              <w:right w:val="nil"/>
            </w:tcBorders>
            <w:shd w:val="clear" w:color="auto" w:fill="auto"/>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Desvio Padrão</w:t>
            </w:r>
          </w:p>
        </w:tc>
        <w:tc>
          <w:tcPr>
            <w:tcW w:w="904" w:type="dxa"/>
            <w:gridSpan w:val="2"/>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Mínimo</w:t>
            </w:r>
          </w:p>
        </w:tc>
        <w:tc>
          <w:tcPr>
            <w:tcW w:w="1181" w:type="dxa"/>
            <w:gridSpan w:val="2"/>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Máximo</w:t>
            </w:r>
          </w:p>
        </w:tc>
      </w:tr>
      <w:tr w:rsidR="00CB4A78" w:rsidRPr="005F5BC9" w:rsidTr="00CB4A78">
        <w:trPr>
          <w:trHeight w:val="300"/>
        </w:trPr>
        <w:tc>
          <w:tcPr>
            <w:tcW w:w="206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Gasto em Saúde</w:t>
            </w:r>
          </w:p>
        </w:tc>
        <w:tc>
          <w:tcPr>
            <w:tcW w:w="1069"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412"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38503</w:t>
            </w:r>
          </w:p>
        </w:tc>
        <w:tc>
          <w:tcPr>
            <w:tcW w:w="911"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173.26</w:t>
            </w:r>
          </w:p>
        </w:tc>
        <w:tc>
          <w:tcPr>
            <w:tcW w:w="1199"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105.82</w:t>
            </w:r>
          </w:p>
        </w:tc>
        <w:tc>
          <w:tcPr>
            <w:tcW w:w="90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0.12</w:t>
            </w:r>
          </w:p>
        </w:tc>
        <w:tc>
          <w:tcPr>
            <w:tcW w:w="1181"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6501.36</w:t>
            </w:r>
          </w:p>
        </w:tc>
      </w:tr>
      <w:tr w:rsidR="00CB4A78" w:rsidRPr="005F5BC9" w:rsidTr="00CB4A78">
        <w:trPr>
          <w:trHeight w:val="300"/>
        </w:trPr>
        <w:tc>
          <w:tcPr>
            <w:tcW w:w="206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PIB</w:t>
            </w:r>
          </w:p>
        </w:tc>
        <w:tc>
          <w:tcPr>
            <w:tcW w:w="1069"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412"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38501</w:t>
            </w:r>
          </w:p>
        </w:tc>
        <w:tc>
          <w:tcPr>
            <w:tcW w:w="911"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5777.54</w:t>
            </w:r>
          </w:p>
        </w:tc>
        <w:tc>
          <w:tcPr>
            <w:tcW w:w="1199"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6331.31</w:t>
            </w:r>
          </w:p>
        </w:tc>
        <w:tc>
          <w:tcPr>
            <w:tcW w:w="90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865.34</w:t>
            </w:r>
          </w:p>
        </w:tc>
        <w:tc>
          <w:tcPr>
            <w:tcW w:w="1181"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164776.00</w:t>
            </w:r>
          </w:p>
        </w:tc>
      </w:tr>
      <w:tr w:rsidR="00CB4A78" w:rsidRPr="005F5BC9" w:rsidTr="00CB4A78">
        <w:trPr>
          <w:trHeight w:val="300"/>
        </w:trPr>
        <w:tc>
          <w:tcPr>
            <w:tcW w:w="206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PAB</w:t>
            </w:r>
          </w:p>
        </w:tc>
        <w:tc>
          <w:tcPr>
            <w:tcW w:w="1069"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412"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38346</w:t>
            </w:r>
          </w:p>
        </w:tc>
        <w:tc>
          <w:tcPr>
            <w:tcW w:w="911"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11.03</w:t>
            </w:r>
          </w:p>
        </w:tc>
        <w:tc>
          <w:tcPr>
            <w:tcW w:w="1199"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3.36</w:t>
            </w:r>
          </w:p>
        </w:tc>
        <w:tc>
          <w:tcPr>
            <w:tcW w:w="90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0.01</w:t>
            </w:r>
          </w:p>
        </w:tc>
        <w:tc>
          <w:tcPr>
            <w:tcW w:w="1181"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163.58</w:t>
            </w:r>
          </w:p>
        </w:tc>
      </w:tr>
      <w:tr w:rsidR="00CB4A78" w:rsidRPr="005F5BC9" w:rsidTr="00CB4A78">
        <w:trPr>
          <w:trHeight w:val="300"/>
        </w:trPr>
        <w:tc>
          <w:tcPr>
            <w:tcW w:w="206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 xml:space="preserve">Outras </w:t>
            </w:r>
            <w:proofErr w:type="spellStart"/>
            <w:r w:rsidRPr="005F5BC9">
              <w:rPr>
                <w:rFonts w:ascii="Arial" w:eastAsia="Times New Roman" w:hAnsi="Arial" w:cs="Arial"/>
                <w:color w:val="000000"/>
                <w:sz w:val="22"/>
                <w:szCs w:val="22"/>
                <w:vertAlign w:val="baseline"/>
                <w:lang w:eastAsia="pt-BR"/>
              </w:rPr>
              <w:t>transf</w:t>
            </w:r>
            <w:proofErr w:type="spellEnd"/>
            <w:r w:rsidRPr="005F5BC9">
              <w:rPr>
                <w:rFonts w:ascii="Arial" w:eastAsia="Times New Roman" w:hAnsi="Arial" w:cs="Arial"/>
                <w:color w:val="000000"/>
                <w:sz w:val="22"/>
                <w:szCs w:val="22"/>
                <w:vertAlign w:val="baseline"/>
                <w:lang w:eastAsia="pt-BR"/>
              </w:rPr>
              <w:t>. SUS</w:t>
            </w:r>
          </w:p>
        </w:tc>
        <w:tc>
          <w:tcPr>
            <w:tcW w:w="1069"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412"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38345</w:t>
            </w:r>
          </w:p>
        </w:tc>
        <w:tc>
          <w:tcPr>
            <w:tcW w:w="911"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44.64</w:t>
            </w:r>
          </w:p>
        </w:tc>
        <w:tc>
          <w:tcPr>
            <w:tcW w:w="1199"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32.69</w:t>
            </w:r>
          </w:p>
        </w:tc>
        <w:tc>
          <w:tcPr>
            <w:tcW w:w="90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0.00</w:t>
            </w:r>
          </w:p>
        </w:tc>
        <w:tc>
          <w:tcPr>
            <w:tcW w:w="1181"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2094.15</w:t>
            </w:r>
          </w:p>
        </w:tc>
      </w:tr>
      <w:tr w:rsidR="00CB4A78" w:rsidRPr="005F5BC9" w:rsidTr="00CB4A78">
        <w:trPr>
          <w:trHeight w:val="300"/>
        </w:trPr>
        <w:tc>
          <w:tcPr>
            <w:tcW w:w="206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FPM</w:t>
            </w:r>
          </w:p>
        </w:tc>
        <w:tc>
          <w:tcPr>
            <w:tcW w:w="1069"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412"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38503</w:t>
            </w:r>
          </w:p>
        </w:tc>
        <w:tc>
          <w:tcPr>
            <w:tcW w:w="911"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358.43</w:t>
            </w:r>
          </w:p>
        </w:tc>
        <w:tc>
          <w:tcPr>
            <w:tcW w:w="1199"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265.26</w:t>
            </w:r>
          </w:p>
        </w:tc>
        <w:tc>
          <w:tcPr>
            <w:tcW w:w="90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0.28</w:t>
            </w:r>
          </w:p>
        </w:tc>
        <w:tc>
          <w:tcPr>
            <w:tcW w:w="1181"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3579.49</w:t>
            </w:r>
          </w:p>
        </w:tc>
      </w:tr>
      <w:tr w:rsidR="00CB4A78" w:rsidRPr="005F5BC9" w:rsidTr="00CB4A78">
        <w:trPr>
          <w:trHeight w:val="300"/>
        </w:trPr>
        <w:tc>
          <w:tcPr>
            <w:tcW w:w="206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lastRenderedPageBreak/>
              <w:t>Royalties</w:t>
            </w:r>
          </w:p>
        </w:tc>
        <w:tc>
          <w:tcPr>
            <w:tcW w:w="1069"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412"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38503</w:t>
            </w:r>
          </w:p>
        </w:tc>
        <w:tc>
          <w:tcPr>
            <w:tcW w:w="911"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9.02</w:t>
            </w:r>
          </w:p>
        </w:tc>
        <w:tc>
          <w:tcPr>
            <w:tcW w:w="1199"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111.32</w:t>
            </w:r>
          </w:p>
        </w:tc>
        <w:tc>
          <w:tcPr>
            <w:tcW w:w="90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0.00</w:t>
            </w:r>
          </w:p>
        </w:tc>
        <w:tc>
          <w:tcPr>
            <w:tcW w:w="1181"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5230.41</w:t>
            </w:r>
          </w:p>
        </w:tc>
      </w:tr>
      <w:tr w:rsidR="00CB4A78" w:rsidRPr="005F5BC9" w:rsidTr="00CB4A78">
        <w:trPr>
          <w:trHeight w:val="300"/>
        </w:trPr>
        <w:tc>
          <w:tcPr>
            <w:tcW w:w="2064" w:type="dxa"/>
            <w:gridSpan w:val="2"/>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Outras </w:t>
            </w:r>
            <w:proofErr w:type="spellStart"/>
            <w:r w:rsidRPr="005F5BC9">
              <w:rPr>
                <w:rFonts w:ascii="Arial" w:eastAsia="Times New Roman" w:hAnsi="Arial" w:cs="Arial"/>
                <w:color w:val="000000"/>
                <w:vertAlign w:val="baseline"/>
                <w:lang w:eastAsia="pt-BR"/>
              </w:rPr>
              <w:t>transf</w:t>
            </w:r>
            <w:proofErr w:type="spellEnd"/>
            <w:r w:rsidRPr="005F5BC9">
              <w:rPr>
                <w:rFonts w:ascii="Arial" w:eastAsia="Times New Roman" w:hAnsi="Arial" w:cs="Arial"/>
                <w:color w:val="000000"/>
                <w:vertAlign w:val="baseline"/>
                <w:lang w:eastAsia="pt-BR"/>
              </w:rPr>
              <w:t>.</w:t>
            </w:r>
          </w:p>
        </w:tc>
        <w:tc>
          <w:tcPr>
            <w:tcW w:w="1069" w:type="dxa"/>
            <w:gridSpan w:val="2"/>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412" w:type="dxa"/>
            <w:gridSpan w:val="2"/>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36941</w:t>
            </w:r>
          </w:p>
        </w:tc>
        <w:tc>
          <w:tcPr>
            <w:tcW w:w="911" w:type="dxa"/>
            <w:gridSpan w:val="2"/>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356.28</w:t>
            </w:r>
          </w:p>
        </w:tc>
        <w:tc>
          <w:tcPr>
            <w:tcW w:w="1199" w:type="dxa"/>
            <w:gridSpan w:val="2"/>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262.49</w:t>
            </w:r>
          </w:p>
        </w:tc>
        <w:tc>
          <w:tcPr>
            <w:tcW w:w="904" w:type="dxa"/>
            <w:gridSpan w:val="2"/>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0.00</w:t>
            </w:r>
          </w:p>
        </w:tc>
        <w:tc>
          <w:tcPr>
            <w:tcW w:w="1181" w:type="dxa"/>
            <w:gridSpan w:val="2"/>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7215.11</w:t>
            </w:r>
          </w:p>
        </w:tc>
      </w:tr>
      <w:tr w:rsidR="00CB4A78" w:rsidRPr="005F5BC9" w:rsidTr="00CB4A78">
        <w:trPr>
          <w:gridAfter w:val="1"/>
          <w:wAfter w:w="260" w:type="dxa"/>
          <w:trHeight w:val="300"/>
        </w:trPr>
        <w:tc>
          <w:tcPr>
            <w:tcW w:w="8480" w:type="dxa"/>
            <w:gridSpan w:val="13"/>
            <w:tcBorders>
              <w:top w:val="nil"/>
              <w:left w:val="nil"/>
              <w:bottom w:val="nil"/>
              <w:right w:val="nil"/>
            </w:tcBorders>
            <w:shd w:val="clear" w:color="auto" w:fill="auto"/>
            <w:vAlign w:val="center"/>
            <w:hideMark/>
          </w:tcPr>
          <w:p w:rsidR="00CB4A78" w:rsidRDefault="00CB4A78" w:rsidP="00CB4A78">
            <w:pPr>
              <w:spacing w:after="0" w:line="240" w:lineRule="auto"/>
              <w:jc w:val="center"/>
              <w:rPr>
                <w:rFonts w:ascii="Arial" w:eastAsia="Times New Roman" w:hAnsi="Arial" w:cs="Arial"/>
                <w:b/>
                <w:bCs/>
                <w:vertAlign w:val="baseline"/>
                <w:lang w:eastAsia="pt-BR"/>
              </w:rPr>
            </w:pPr>
          </w:p>
          <w:p w:rsidR="00F84486" w:rsidRDefault="00F84486" w:rsidP="00CB4A78">
            <w:pPr>
              <w:spacing w:after="0" w:line="240" w:lineRule="auto"/>
              <w:jc w:val="center"/>
              <w:rPr>
                <w:rFonts w:ascii="Arial" w:eastAsia="Times New Roman" w:hAnsi="Arial" w:cs="Arial"/>
                <w:b/>
                <w:bCs/>
                <w:vertAlign w:val="baseline"/>
                <w:lang w:eastAsia="pt-BR"/>
              </w:rPr>
            </w:pPr>
          </w:p>
          <w:p w:rsidR="00F84486" w:rsidRPr="005F5BC9" w:rsidRDefault="00F84486" w:rsidP="00CB4A78">
            <w:pPr>
              <w:spacing w:after="0" w:line="240" w:lineRule="auto"/>
              <w:jc w:val="center"/>
              <w:rPr>
                <w:rFonts w:ascii="Arial" w:eastAsia="Times New Roman" w:hAnsi="Arial" w:cs="Arial"/>
                <w:b/>
                <w:bCs/>
                <w:vertAlign w:val="baseline"/>
                <w:lang w:eastAsia="pt-BR"/>
              </w:rPr>
            </w:pPr>
          </w:p>
          <w:p w:rsidR="00CB4A78" w:rsidRPr="005F5BC9" w:rsidRDefault="00CB4A78" w:rsidP="00B10133">
            <w:pPr>
              <w:spacing w:after="0" w:line="240" w:lineRule="auto"/>
              <w:jc w:val="center"/>
              <w:rPr>
                <w:rFonts w:ascii="Arial" w:eastAsia="Times New Roman" w:hAnsi="Arial" w:cs="Arial"/>
                <w:b/>
                <w:bCs/>
                <w:vertAlign w:val="baseline"/>
                <w:lang w:eastAsia="pt-BR"/>
              </w:rPr>
            </w:pPr>
            <w:r w:rsidRPr="00B10133">
              <w:rPr>
                <w:rFonts w:ascii="Arial" w:eastAsia="Times New Roman" w:hAnsi="Arial" w:cs="Arial"/>
                <w:b/>
                <w:bCs/>
                <w:vertAlign w:val="baseline"/>
                <w:lang w:eastAsia="pt-BR"/>
              </w:rPr>
              <w:t xml:space="preserve">Tabela </w:t>
            </w:r>
            <w:r w:rsidR="00B10133" w:rsidRPr="00B10133">
              <w:rPr>
                <w:rFonts w:ascii="Arial" w:eastAsia="Times New Roman" w:hAnsi="Arial" w:cs="Arial"/>
                <w:b/>
                <w:bCs/>
                <w:vertAlign w:val="baseline"/>
                <w:lang w:eastAsia="pt-BR"/>
              </w:rPr>
              <w:t>5</w:t>
            </w:r>
            <w:r w:rsidRPr="00B10133">
              <w:rPr>
                <w:rFonts w:ascii="Arial" w:eastAsia="Times New Roman" w:hAnsi="Arial" w:cs="Arial"/>
                <w:b/>
                <w:bCs/>
                <w:vertAlign w:val="baseline"/>
                <w:lang w:eastAsia="pt-BR"/>
              </w:rPr>
              <w:t xml:space="preserve"> - Estatísticas descritivas do Quartil 25% de Gastos em Saúde</w:t>
            </w:r>
          </w:p>
        </w:tc>
      </w:tr>
      <w:tr w:rsidR="00CB4A78" w:rsidRPr="005F5BC9" w:rsidTr="00CB4A78">
        <w:trPr>
          <w:gridAfter w:val="1"/>
          <w:wAfter w:w="260" w:type="dxa"/>
          <w:trHeight w:val="600"/>
        </w:trPr>
        <w:tc>
          <w:tcPr>
            <w:tcW w:w="2003" w:type="dxa"/>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Variável</w:t>
            </w:r>
          </w:p>
        </w:tc>
        <w:tc>
          <w:tcPr>
            <w:tcW w:w="1038" w:type="dxa"/>
            <w:gridSpan w:val="2"/>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Medida</w:t>
            </w:r>
          </w:p>
        </w:tc>
        <w:tc>
          <w:tcPr>
            <w:tcW w:w="1370" w:type="dxa"/>
            <w:gridSpan w:val="2"/>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Observações</w:t>
            </w:r>
          </w:p>
        </w:tc>
        <w:tc>
          <w:tcPr>
            <w:tcW w:w="884" w:type="dxa"/>
            <w:gridSpan w:val="2"/>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Média</w:t>
            </w:r>
          </w:p>
        </w:tc>
        <w:tc>
          <w:tcPr>
            <w:tcW w:w="1163" w:type="dxa"/>
            <w:gridSpan w:val="2"/>
            <w:tcBorders>
              <w:top w:val="single" w:sz="4" w:space="0" w:color="auto"/>
              <w:left w:val="nil"/>
              <w:bottom w:val="single" w:sz="4" w:space="0" w:color="auto"/>
              <w:right w:val="nil"/>
            </w:tcBorders>
            <w:shd w:val="clear" w:color="auto" w:fill="auto"/>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Desvio Padrão</w:t>
            </w:r>
          </w:p>
        </w:tc>
        <w:tc>
          <w:tcPr>
            <w:tcW w:w="877" w:type="dxa"/>
            <w:gridSpan w:val="2"/>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Mínimo</w:t>
            </w:r>
          </w:p>
        </w:tc>
        <w:tc>
          <w:tcPr>
            <w:tcW w:w="1145" w:type="dxa"/>
            <w:gridSpan w:val="2"/>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Máximo</w:t>
            </w:r>
          </w:p>
        </w:tc>
      </w:tr>
      <w:tr w:rsidR="00CB4A78" w:rsidRPr="005F5BC9" w:rsidTr="00CB4A78">
        <w:trPr>
          <w:gridAfter w:val="1"/>
          <w:wAfter w:w="260" w:type="dxa"/>
          <w:trHeight w:val="300"/>
        </w:trPr>
        <w:tc>
          <w:tcPr>
            <w:tcW w:w="200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Gasto em Saúde</w:t>
            </w:r>
          </w:p>
        </w:tc>
        <w:tc>
          <w:tcPr>
            <w:tcW w:w="1038"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370"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38503</w:t>
            </w:r>
          </w:p>
        </w:tc>
        <w:tc>
          <w:tcPr>
            <w:tcW w:w="88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173.26</w:t>
            </w:r>
          </w:p>
        </w:tc>
        <w:tc>
          <w:tcPr>
            <w:tcW w:w="1163"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105.82</w:t>
            </w:r>
          </w:p>
        </w:tc>
        <w:tc>
          <w:tcPr>
            <w:tcW w:w="877"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0.12</w:t>
            </w:r>
          </w:p>
        </w:tc>
        <w:tc>
          <w:tcPr>
            <w:tcW w:w="1145"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6501.36</w:t>
            </w:r>
          </w:p>
        </w:tc>
      </w:tr>
      <w:tr w:rsidR="00CB4A78" w:rsidRPr="005F5BC9" w:rsidTr="00CB4A78">
        <w:trPr>
          <w:gridAfter w:val="1"/>
          <w:wAfter w:w="260" w:type="dxa"/>
          <w:trHeight w:val="300"/>
        </w:trPr>
        <w:tc>
          <w:tcPr>
            <w:tcW w:w="200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PIB</w:t>
            </w:r>
          </w:p>
        </w:tc>
        <w:tc>
          <w:tcPr>
            <w:tcW w:w="1038"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370"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38501</w:t>
            </w:r>
          </w:p>
        </w:tc>
        <w:tc>
          <w:tcPr>
            <w:tcW w:w="88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5777.54</w:t>
            </w:r>
          </w:p>
        </w:tc>
        <w:tc>
          <w:tcPr>
            <w:tcW w:w="1163"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6331.31</w:t>
            </w:r>
          </w:p>
        </w:tc>
        <w:tc>
          <w:tcPr>
            <w:tcW w:w="877"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865.34</w:t>
            </w:r>
          </w:p>
        </w:tc>
        <w:tc>
          <w:tcPr>
            <w:tcW w:w="1145"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164776.00</w:t>
            </w:r>
          </w:p>
        </w:tc>
      </w:tr>
      <w:tr w:rsidR="00CB4A78" w:rsidRPr="005F5BC9" w:rsidTr="00CB4A78">
        <w:trPr>
          <w:gridAfter w:val="1"/>
          <w:wAfter w:w="260" w:type="dxa"/>
          <w:trHeight w:val="300"/>
        </w:trPr>
        <w:tc>
          <w:tcPr>
            <w:tcW w:w="200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PAB</w:t>
            </w:r>
          </w:p>
        </w:tc>
        <w:tc>
          <w:tcPr>
            <w:tcW w:w="1038"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370"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38346</w:t>
            </w:r>
          </w:p>
        </w:tc>
        <w:tc>
          <w:tcPr>
            <w:tcW w:w="88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11.03</w:t>
            </w:r>
          </w:p>
        </w:tc>
        <w:tc>
          <w:tcPr>
            <w:tcW w:w="1163"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3.36</w:t>
            </w:r>
          </w:p>
        </w:tc>
        <w:tc>
          <w:tcPr>
            <w:tcW w:w="877"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0.01</w:t>
            </w:r>
          </w:p>
        </w:tc>
        <w:tc>
          <w:tcPr>
            <w:tcW w:w="1145"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163.58</w:t>
            </w:r>
          </w:p>
        </w:tc>
      </w:tr>
      <w:tr w:rsidR="00CB4A78" w:rsidRPr="005F5BC9" w:rsidTr="00CB4A78">
        <w:trPr>
          <w:gridAfter w:val="1"/>
          <w:wAfter w:w="260" w:type="dxa"/>
          <w:trHeight w:val="300"/>
        </w:trPr>
        <w:tc>
          <w:tcPr>
            <w:tcW w:w="200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 xml:space="preserve">Outras </w:t>
            </w:r>
            <w:proofErr w:type="spellStart"/>
            <w:r w:rsidRPr="005F5BC9">
              <w:rPr>
                <w:rFonts w:ascii="Arial" w:eastAsia="Times New Roman" w:hAnsi="Arial" w:cs="Arial"/>
                <w:color w:val="000000"/>
                <w:sz w:val="22"/>
                <w:szCs w:val="22"/>
                <w:vertAlign w:val="baseline"/>
                <w:lang w:eastAsia="pt-BR"/>
              </w:rPr>
              <w:t>transf</w:t>
            </w:r>
            <w:proofErr w:type="spellEnd"/>
            <w:r w:rsidRPr="005F5BC9">
              <w:rPr>
                <w:rFonts w:ascii="Arial" w:eastAsia="Times New Roman" w:hAnsi="Arial" w:cs="Arial"/>
                <w:color w:val="000000"/>
                <w:sz w:val="22"/>
                <w:szCs w:val="22"/>
                <w:vertAlign w:val="baseline"/>
                <w:lang w:eastAsia="pt-BR"/>
              </w:rPr>
              <w:t>. SUS</w:t>
            </w:r>
          </w:p>
        </w:tc>
        <w:tc>
          <w:tcPr>
            <w:tcW w:w="1038"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370"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38345</w:t>
            </w:r>
          </w:p>
        </w:tc>
        <w:tc>
          <w:tcPr>
            <w:tcW w:w="88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44.64</w:t>
            </w:r>
          </w:p>
        </w:tc>
        <w:tc>
          <w:tcPr>
            <w:tcW w:w="1163"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32.69</w:t>
            </w:r>
          </w:p>
        </w:tc>
        <w:tc>
          <w:tcPr>
            <w:tcW w:w="877"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0.00</w:t>
            </w:r>
          </w:p>
        </w:tc>
        <w:tc>
          <w:tcPr>
            <w:tcW w:w="1145"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2094.15</w:t>
            </w:r>
          </w:p>
        </w:tc>
      </w:tr>
      <w:tr w:rsidR="00CB4A78" w:rsidRPr="005F5BC9" w:rsidTr="00CB4A78">
        <w:trPr>
          <w:gridAfter w:val="1"/>
          <w:wAfter w:w="260" w:type="dxa"/>
          <w:trHeight w:val="300"/>
        </w:trPr>
        <w:tc>
          <w:tcPr>
            <w:tcW w:w="200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FPM</w:t>
            </w:r>
          </w:p>
        </w:tc>
        <w:tc>
          <w:tcPr>
            <w:tcW w:w="1038"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370"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38503</w:t>
            </w:r>
          </w:p>
        </w:tc>
        <w:tc>
          <w:tcPr>
            <w:tcW w:w="88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358.43</w:t>
            </w:r>
          </w:p>
        </w:tc>
        <w:tc>
          <w:tcPr>
            <w:tcW w:w="1163"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265.26</w:t>
            </w:r>
          </w:p>
        </w:tc>
        <w:tc>
          <w:tcPr>
            <w:tcW w:w="877"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0.28</w:t>
            </w:r>
          </w:p>
        </w:tc>
        <w:tc>
          <w:tcPr>
            <w:tcW w:w="1145"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3579.49</w:t>
            </w:r>
          </w:p>
        </w:tc>
      </w:tr>
      <w:tr w:rsidR="00CB4A78" w:rsidRPr="005F5BC9" w:rsidTr="00CB4A78">
        <w:trPr>
          <w:gridAfter w:val="1"/>
          <w:wAfter w:w="260" w:type="dxa"/>
          <w:trHeight w:val="300"/>
        </w:trPr>
        <w:tc>
          <w:tcPr>
            <w:tcW w:w="200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Royalties</w:t>
            </w:r>
          </w:p>
        </w:tc>
        <w:tc>
          <w:tcPr>
            <w:tcW w:w="1038"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370"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38503</w:t>
            </w:r>
          </w:p>
        </w:tc>
        <w:tc>
          <w:tcPr>
            <w:tcW w:w="884"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9.02</w:t>
            </w:r>
          </w:p>
        </w:tc>
        <w:tc>
          <w:tcPr>
            <w:tcW w:w="1163"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111.32</w:t>
            </w:r>
          </w:p>
        </w:tc>
        <w:tc>
          <w:tcPr>
            <w:tcW w:w="877"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0.00</w:t>
            </w:r>
          </w:p>
        </w:tc>
        <w:tc>
          <w:tcPr>
            <w:tcW w:w="1145" w:type="dxa"/>
            <w:gridSpan w:val="2"/>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5230.41</w:t>
            </w:r>
          </w:p>
        </w:tc>
      </w:tr>
      <w:tr w:rsidR="00CB4A78" w:rsidRPr="005F5BC9" w:rsidTr="00CB4A78">
        <w:trPr>
          <w:gridAfter w:val="1"/>
          <w:wAfter w:w="260" w:type="dxa"/>
          <w:trHeight w:val="300"/>
        </w:trPr>
        <w:tc>
          <w:tcPr>
            <w:tcW w:w="2003" w:type="dxa"/>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Outras </w:t>
            </w:r>
            <w:proofErr w:type="spellStart"/>
            <w:r w:rsidRPr="005F5BC9">
              <w:rPr>
                <w:rFonts w:ascii="Arial" w:eastAsia="Times New Roman" w:hAnsi="Arial" w:cs="Arial"/>
                <w:color w:val="000000"/>
                <w:vertAlign w:val="baseline"/>
                <w:lang w:eastAsia="pt-BR"/>
              </w:rPr>
              <w:t>transf</w:t>
            </w:r>
            <w:proofErr w:type="spellEnd"/>
            <w:r w:rsidRPr="005F5BC9">
              <w:rPr>
                <w:rFonts w:ascii="Arial" w:eastAsia="Times New Roman" w:hAnsi="Arial" w:cs="Arial"/>
                <w:color w:val="000000"/>
                <w:vertAlign w:val="baseline"/>
                <w:lang w:eastAsia="pt-BR"/>
              </w:rPr>
              <w:t>.</w:t>
            </w:r>
          </w:p>
        </w:tc>
        <w:tc>
          <w:tcPr>
            <w:tcW w:w="1038" w:type="dxa"/>
            <w:gridSpan w:val="2"/>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370" w:type="dxa"/>
            <w:gridSpan w:val="2"/>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36941</w:t>
            </w:r>
          </w:p>
        </w:tc>
        <w:tc>
          <w:tcPr>
            <w:tcW w:w="884" w:type="dxa"/>
            <w:gridSpan w:val="2"/>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356.28</w:t>
            </w:r>
          </w:p>
        </w:tc>
        <w:tc>
          <w:tcPr>
            <w:tcW w:w="1163" w:type="dxa"/>
            <w:gridSpan w:val="2"/>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262.49</w:t>
            </w:r>
          </w:p>
        </w:tc>
        <w:tc>
          <w:tcPr>
            <w:tcW w:w="877" w:type="dxa"/>
            <w:gridSpan w:val="2"/>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0.00</w:t>
            </w:r>
          </w:p>
        </w:tc>
        <w:tc>
          <w:tcPr>
            <w:tcW w:w="1145" w:type="dxa"/>
            <w:gridSpan w:val="2"/>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7215.11</w:t>
            </w:r>
          </w:p>
        </w:tc>
      </w:tr>
    </w:tbl>
    <w:p w:rsidR="00CB4A78" w:rsidRPr="005F5BC9" w:rsidRDefault="00CB4A78" w:rsidP="00B94CA0">
      <w:pPr>
        <w:pStyle w:val="PargrafodaLista"/>
        <w:spacing w:after="0" w:line="240" w:lineRule="auto"/>
        <w:ind w:left="780"/>
        <w:rPr>
          <w:rFonts w:ascii="Arial" w:hAnsi="Arial" w:cs="Arial"/>
          <w:b/>
          <w:sz w:val="24"/>
          <w:szCs w:val="24"/>
          <w:vertAlign w:val="baseline"/>
        </w:rPr>
      </w:pPr>
    </w:p>
    <w:p w:rsidR="00CB4A78" w:rsidRPr="005F5BC9" w:rsidRDefault="00CB4A78" w:rsidP="00B94CA0">
      <w:pPr>
        <w:pStyle w:val="PargrafodaLista"/>
        <w:spacing w:after="0" w:line="240" w:lineRule="auto"/>
        <w:ind w:left="780"/>
        <w:rPr>
          <w:rFonts w:ascii="Arial" w:hAnsi="Arial" w:cs="Arial"/>
          <w:b/>
          <w:sz w:val="24"/>
          <w:szCs w:val="24"/>
          <w:vertAlign w:val="baseline"/>
        </w:rPr>
      </w:pPr>
    </w:p>
    <w:tbl>
      <w:tblPr>
        <w:tblW w:w="9040" w:type="dxa"/>
        <w:tblInd w:w="55" w:type="dxa"/>
        <w:tblCellMar>
          <w:left w:w="70" w:type="dxa"/>
          <w:right w:w="70" w:type="dxa"/>
        </w:tblCellMar>
        <w:tblLook w:val="04A0" w:firstRow="1" w:lastRow="0" w:firstColumn="1" w:lastColumn="0" w:noHBand="0" w:noVBand="1"/>
      </w:tblPr>
      <w:tblGrid>
        <w:gridCol w:w="2169"/>
        <w:gridCol w:w="1123"/>
        <w:gridCol w:w="1483"/>
        <w:gridCol w:w="957"/>
        <w:gridCol w:w="1259"/>
        <w:gridCol w:w="950"/>
        <w:gridCol w:w="1099"/>
      </w:tblGrid>
      <w:tr w:rsidR="00CB4A78" w:rsidRPr="005F5BC9" w:rsidTr="00CB4A78">
        <w:trPr>
          <w:trHeight w:val="300"/>
        </w:trPr>
        <w:tc>
          <w:tcPr>
            <w:tcW w:w="9040" w:type="dxa"/>
            <w:gridSpan w:val="7"/>
            <w:tcBorders>
              <w:top w:val="nil"/>
              <w:left w:val="nil"/>
              <w:bottom w:val="nil"/>
              <w:right w:val="nil"/>
            </w:tcBorders>
            <w:shd w:val="clear" w:color="auto" w:fill="auto"/>
            <w:vAlign w:val="center"/>
            <w:hideMark/>
          </w:tcPr>
          <w:p w:rsidR="00CB4A78" w:rsidRPr="005F5BC9" w:rsidRDefault="00CB4A78" w:rsidP="00B10133">
            <w:pPr>
              <w:spacing w:after="0" w:line="240" w:lineRule="auto"/>
              <w:jc w:val="center"/>
              <w:rPr>
                <w:rFonts w:ascii="Arial" w:eastAsia="Times New Roman" w:hAnsi="Arial" w:cs="Arial"/>
                <w:b/>
                <w:bCs/>
                <w:vertAlign w:val="baseline"/>
                <w:lang w:eastAsia="pt-BR"/>
              </w:rPr>
            </w:pPr>
            <w:r w:rsidRPr="00B10133">
              <w:rPr>
                <w:rFonts w:ascii="Arial" w:eastAsia="Times New Roman" w:hAnsi="Arial" w:cs="Arial"/>
                <w:b/>
                <w:bCs/>
                <w:vertAlign w:val="baseline"/>
                <w:lang w:eastAsia="pt-BR"/>
              </w:rPr>
              <w:t xml:space="preserve">Tabela </w:t>
            </w:r>
            <w:r w:rsidR="00B10133" w:rsidRPr="00B10133">
              <w:rPr>
                <w:rFonts w:ascii="Arial" w:eastAsia="Times New Roman" w:hAnsi="Arial" w:cs="Arial"/>
                <w:b/>
                <w:bCs/>
                <w:vertAlign w:val="baseline"/>
                <w:lang w:eastAsia="pt-BR"/>
              </w:rPr>
              <w:t>6</w:t>
            </w:r>
            <w:r w:rsidRPr="00B10133">
              <w:rPr>
                <w:rFonts w:ascii="Arial" w:eastAsia="Times New Roman" w:hAnsi="Arial" w:cs="Arial"/>
                <w:b/>
                <w:bCs/>
                <w:vertAlign w:val="baseline"/>
                <w:lang w:eastAsia="pt-BR"/>
              </w:rPr>
              <w:t xml:space="preserve"> - Estatísticas descritivas entre o quartil de 25% e 50% de Gastos em Saúde</w:t>
            </w:r>
          </w:p>
        </w:tc>
      </w:tr>
      <w:tr w:rsidR="00CB4A78" w:rsidRPr="005F5BC9" w:rsidTr="00CB4A78">
        <w:trPr>
          <w:trHeight w:val="600"/>
        </w:trPr>
        <w:tc>
          <w:tcPr>
            <w:tcW w:w="2169" w:type="dxa"/>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Variável</w:t>
            </w:r>
          </w:p>
        </w:tc>
        <w:tc>
          <w:tcPr>
            <w:tcW w:w="1123" w:type="dxa"/>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Medida</w:t>
            </w:r>
          </w:p>
        </w:tc>
        <w:tc>
          <w:tcPr>
            <w:tcW w:w="1483" w:type="dxa"/>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Observações</w:t>
            </w:r>
          </w:p>
        </w:tc>
        <w:tc>
          <w:tcPr>
            <w:tcW w:w="957" w:type="dxa"/>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Média</w:t>
            </w:r>
          </w:p>
        </w:tc>
        <w:tc>
          <w:tcPr>
            <w:tcW w:w="1259" w:type="dxa"/>
            <w:tcBorders>
              <w:top w:val="single" w:sz="4" w:space="0" w:color="auto"/>
              <w:left w:val="nil"/>
              <w:bottom w:val="single" w:sz="4" w:space="0" w:color="auto"/>
              <w:right w:val="nil"/>
            </w:tcBorders>
            <w:shd w:val="clear" w:color="auto" w:fill="auto"/>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Desvio Padrão</w:t>
            </w:r>
          </w:p>
        </w:tc>
        <w:tc>
          <w:tcPr>
            <w:tcW w:w="950" w:type="dxa"/>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Mínimo</w:t>
            </w:r>
          </w:p>
        </w:tc>
        <w:tc>
          <w:tcPr>
            <w:tcW w:w="1099" w:type="dxa"/>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Máximo</w:t>
            </w:r>
          </w:p>
        </w:tc>
      </w:tr>
      <w:tr w:rsidR="00CB4A78" w:rsidRPr="005F5BC9" w:rsidTr="00CB4A78">
        <w:trPr>
          <w:trHeight w:val="300"/>
        </w:trPr>
        <w:tc>
          <w:tcPr>
            <w:tcW w:w="216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Gasto em Saúde</w:t>
            </w:r>
          </w:p>
        </w:tc>
        <w:tc>
          <w:tcPr>
            <w:tcW w:w="112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48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9626</w:t>
            </w:r>
          </w:p>
        </w:tc>
        <w:tc>
          <w:tcPr>
            <w:tcW w:w="957"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130.79</w:t>
            </w:r>
          </w:p>
        </w:tc>
        <w:tc>
          <w:tcPr>
            <w:tcW w:w="125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11.33</w:t>
            </w:r>
          </w:p>
        </w:tc>
        <w:tc>
          <w:tcPr>
            <w:tcW w:w="950"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111.27</w:t>
            </w:r>
          </w:p>
        </w:tc>
        <w:tc>
          <w:tcPr>
            <w:tcW w:w="109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150.92</w:t>
            </w:r>
          </w:p>
        </w:tc>
      </w:tr>
      <w:tr w:rsidR="00CB4A78" w:rsidRPr="005F5BC9" w:rsidTr="00CB4A78">
        <w:trPr>
          <w:trHeight w:val="300"/>
        </w:trPr>
        <w:tc>
          <w:tcPr>
            <w:tcW w:w="216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PIB</w:t>
            </w:r>
          </w:p>
        </w:tc>
        <w:tc>
          <w:tcPr>
            <w:tcW w:w="112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48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9625</w:t>
            </w:r>
          </w:p>
        </w:tc>
        <w:tc>
          <w:tcPr>
            <w:tcW w:w="957"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4602.66</w:t>
            </w:r>
          </w:p>
        </w:tc>
        <w:tc>
          <w:tcPr>
            <w:tcW w:w="125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3204.39</w:t>
            </w:r>
          </w:p>
        </w:tc>
        <w:tc>
          <w:tcPr>
            <w:tcW w:w="950"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865.34</w:t>
            </w:r>
          </w:p>
        </w:tc>
        <w:tc>
          <w:tcPr>
            <w:tcW w:w="109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39553.00</w:t>
            </w:r>
          </w:p>
        </w:tc>
      </w:tr>
      <w:tr w:rsidR="00CB4A78" w:rsidRPr="005F5BC9" w:rsidTr="00CB4A78">
        <w:trPr>
          <w:trHeight w:val="300"/>
        </w:trPr>
        <w:tc>
          <w:tcPr>
            <w:tcW w:w="216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PAB</w:t>
            </w:r>
          </w:p>
        </w:tc>
        <w:tc>
          <w:tcPr>
            <w:tcW w:w="112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48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9593</w:t>
            </w:r>
          </w:p>
        </w:tc>
        <w:tc>
          <w:tcPr>
            <w:tcW w:w="957"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11.00</w:t>
            </w:r>
          </w:p>
        </w:tc>
        <w:tc>
          <w:tcPr>
            <w:tcW w:w="125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3.15</w:t>
            </w:r>
          </w:p>
        </w:tc>
        <w:tc>
          <w:tcPr>
            <w:tcW w:w="950"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1.16</w:t>
            </w:r>
          </w:p>
        </w:tc>
        <w:tc>
          <w:tcPr>
            <w:tcW w:w="109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69.78</w:t>
            </w:r>
          </w:p>
        </w:tc>
      </w:tr>
      <w:tr w:rsidR="00CB4A78" w:rsidRPr="005F5BC9" w:rsidTr="00CB4A78">
        <w:trPr>
          <w:trHeight w:val="300"/>
        </w:trPr>
        <w:tc>
          <w:tcPr>
            <w:tcW w:w="216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 xml:space="preserve">Outras </w:t>
            </w:r>
            <w:proofErr w:type="spellStart"/>
            <w:r w:rsidRPr="005F5BC9">
              <w:rPr>
                <w:rFonts w:ascii="Arial" w:eastAsia="Times New Roman" w:hAnsi="Arial" w:cs="Arial"/>
                <w:color w:val="000000"/>
                <w:sz w:val="22"/>
                <w:szCs w:val="22"/>
                <w:vertAlign w:val="baseline"/>
                <w:lang w:eastAsia="pt-BR"/>
              </w:rPr>
              <w:t>transf</w:t>
            </w:r>
            <w:proofErr w:type="spellEnd"/>
            <w:r w:rsidRPr="005F5BC9">
              <w:rPr>
                <w:rFonts w:ascii="Arial" w:eastAsia="Times New Roman" w:hAnsi="Arial" w:cs="Arial"/>
                <w:color w:val="000000"/>
                <w:sz w:val="22"/>
                <w:szCs w:val="22"/>
                <w:vertAlign w:val="baseline"/>
                <w:lang w:eastAsia="pt-BR"/>
              </w:rPr>
              <w:t>. SUS</w:t>
            </w:r>
          </w:p>
        </w:tc>
        <w:tc>
          <w:tcPr>
            <w:tcW w:w="112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48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9593</w:t>
            </w:r>
          </w:p>
        </w:tc>
        <w:tc>
          <w:tcPr>
            <w:tcW w:w="957"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39.17</w:t>
            </w:r>
          </w:p>
        </w:tc>
        <w:tc>
          <w:tcPr>
            <w:tcW w:w="125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19.83</w:t>
            </w:r>
          </w:p>
        </w:tc>
        <w:tc>
          <w:tcPr>
            <w:tcW w:w="950"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0.00</w:t>
            </w:r>
          </w:p>
        </w:tc>
        <w:tc>
          <w:tcPr>
            <w:tcW w:w="109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157.37</w:t>
            </w:r>
          </w:p>
        </w:tc>
      </w:tr>
      <w:tr w:rsidR="00CB4A78" w:rsidRPr="005F5BC9" w:rsidTr="00CB4A78">
        <w:trPr>
          <w:trHeight w:val="300"/>
        </w:trPr>
        <w:tc>
          <w:tcPr>
            <w:tcW w:w="216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FPM</w:t>
            </w:r>
          </w:p>
        </w:tc>
        <w:tc>
          <w:tcPr>
            <w:tcW w:w="112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48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9626</w:t>
            </w:r>
          </w:p>
        </w:tc>
        <w:tc>
          <w:tcPr>
            <w:tcW w:w="957"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268.13</w:t>
            </w:r>
          </w:p>
        </w:tc>
        <w:tc>
          <w:tcPr>
            <w:tcW w:w="125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104.44</w:t>
            </w:r>
          </w:p>
        </w:tc>
        <w:tc>
          <w:tcPr>
            <w:tcW w:w="950"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4.25</w:t>
            </w:r>
          </w:p>
        </w:tc>
        <w:tc>
          <w:tcPr>
            <w:tcW w:w="109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1168.39</w:t>
            </w:r>
          </w:p>
        </w:tc>
      </w:tr>
      <w:tr w:rsidR="00CB4A78" w:rsidRPr="005F5BC9" w:rsidTr="00CB4A78">
        <w:trPr>
          <w:trHeight w:val="300"/>
        </w:trPr>
        <w:tc>
          <w:tcPr>
            <w:tcW w:w="216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Royalties</w:t>
            </w:r>
          </w:p>
        </w:tc>
        <w:tc>
          <w:tcPr>
            <w:tcW w:w="112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483"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9626</w:t>
            </w:r>
          </w:p>
        </w:tc>
        <w:tc>
          <w:tcPr>
            <w:tcW w:w="957"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2.37</w:t>
            </w:r>
          </w:p>
        </w:tc>
        <w:tc>
          <w:tcPr>
            <w:tcW w:w="125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21.99</w:t>
            </w:r>
          </w:p>
        </w:tc>
        <w:tc>
          <w:tcPr>
            <w:tcW w:w="950"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0.00</w:t>
            </w:r>
          </w:p>
        </w:tc>
        <w:tc>
          <w:tcPr>
            <w:tcW w:w="109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1052.34</w:t>
            </w:r>
          </w:p>
        </w:tc>
      </w:tr>
      <w:tr w:rsidR="00CB4A78" w:rsidRPr="005F5BC9" w:rsidTr="00CB4A78">
        <w:trPr>
          <w:trHeight w:val="300"/>
        </w:trPr>
        <w:tc>
          <w:tcPr>
            <w:tcW w:w="2169" w:type="dxa"/>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Outras </w:t>
            </w:r>
            <w:proofErr w:type="spellStart"/>
            <w:r w:rsidRPr="005F5BC9">
              <w:rPr>
                <w:rFonts w:ascii="Arial" w:eastAsia="Times New Roman" w:hAnsi="Arial" w:cs="Arial"/>
                <w:color w:val="000000"/>
                <w:vertAlign w:val="baseline"/>
                <w:lang w:eastAsia="pt-BR"/>
              </w:rPr>
              <w:t>transf</w:t>
            </w:r>
            <w:proofErr w:type="spellEnd"/>
            <w:r w:rsidRPr="005F5BC9">
              <w:rPr>
                <w:rFonts w:ascii="Arial" w:eastAsia="Times New Roman" w:hAnsi="Arial" w:cs="Arial"/>
                <w:color w:val="000000"/>
                <w:vertAlign w:val="baseline"/>
                <w:lang w:eastAsia="pt-BR"/>
              </w:rPr>
              <w:t>.</w:t>
            </w:r>
          </w:p>
        </w:tc>
        <w:tc>
          <w:tcPr>
            <w:tcW w:w="1123" w:type="dxa"/>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483" w:type="dxa"/>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9204</w:t>
            </w:r>
          </w:p>
        </w:tc>
        <w:tc>
          <w:tcPr>
            <w:tcW w:w="957" w:type="dxa"/>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279.18</w:t>
            </w:r>
          </w:p>
        </w:tc>
        <w:tc>
          <w:tcPr>
            <w:tcW w:w="1259" w:type="dxa"/>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102.80</w:t>
            </w:r>
          </w:p>
        </w:tc>
        <w:tc>
          <w:tcPr>
            <w:tcW w:w="950" w:type="dxa"/>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-212.69</w:t>
            </w:r>
          </w:p>
        </w:tc>
        <w:tc>
          <w:tcPr>
            <w:tcW w:w="1099" w:type="dxa"/>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1233.11</w:t>
            </w:r>
          </w:p>
        </w:tc>
      </w:tr>
    </w:tbl>
    <w:p w:rsidR="00CB4A78" w:rsidRPr="005F5BC9" w:rsidRDefault="00CB4A78" w:rsidP="00B94CA0">
      <w:pPr>
        <w:pStyle w:val="PargrafodaLista"/>
        <w:spacing w:after="0" w:line="240" w:lineRule="auto"/>
        <w:ind w:left="780"/>
        <w:rPr>
          <w:rFonts w:ascii="Arial" w:hAnsi="Arial" w:cs="Arial"/>
          <w:b/>
          <w:sz w:val="24"/>
          <w:szCs w:val="24"/>
          <w:vertAlign w:val="baseline"/>
        </w:rPr>
      </w:pPr>
    </w:p>
    <w:p w:rsidR="00CB4A78" w:rsidRPr="005F5BC9" w:rsidRDefault="00CB4A78" w:rsidP="00B94CA0">
      <w:pPr>
        <w:pStyle w:val="PargrafodaLista"/>
        <w:spacing w:after="0" w:line="240" w:lineRule="auto"/>
        <w:ind w:left="780"/>
        <w:rPr>
          <w:rFonts w:ascii="Arial" w:hAnsi="Arial" w:cs="Arial"/>
          <w:b/>
          <w:sz w:val="24"/>
          <w:szCs w:val="24"/>
          <w:vertAlign w:val="baseline"/>
        </w:rPr>
      </w:pPr>
    </w:p>
    <w:tbl>
      <w:tblPr>
        <w:tblW w:w="9940" w:type="dxa"/>
        <w:tblInd w:w="55" w:type="dxa"/>
        <w:tblCellMar>
          <w:left w:w="70" w:type="dxa"/>
          <w:right w:w="70" w:type="dxa"/>
        </w:tblCellMar>
        <w:tblLook w:val="04A0" w:firstRow="1" w:lastRow="0" w:firstColumn="1" w:lastColumn="0" w:noHBand="0" w:noVBand="1"/>
      </w:tblPr>
      <w:tblGrid>
        <w:gridCol w:w="2286"/>
        <w:gridCol w:w="1185"/>
        <w:gridCol w:w="1564"/>
        <w:gridCol w:w="1159"/>
        <w:gridCol w:w="1328"/>
        <w:gridCol w:w="1110"/>
        <w:gridCol w:w="1308"/>
      </w:tblGrid>
      <w:tr w:rsidR="00CB4A78" w:rsidRPr="005F5BC9" w:rsidTr="00CB4A78">
        <w:trPr>
          <w:trHeight w:val="300"/>
        </w:trPr>
        <w:tc>
          <w:tcPr>
            <w:tcW w:w="9940" w:type="dxa"/>
            <w:gridSpan w:val="7"/>
            <w:tcBorders>
              <w:top w:val="nil"/>
              <w:left w:val="nil"/>
              <w:bottom w:val="nil"/>
              <w:right w:val="nil"/>
            </w:tcBorders>
            <w:shd w:val="clear" w:color="auto" w:fill="auto"/>
            <w:vAlign w:val="center"/>
            <w:hideMark/>
          </w:tcPr>
          <w:p w:rsidR="00CB4A78" w:rsidRPr="005F5BC9" w:rsidRDefault="00CB4A78" w:rsidP="00B10133">
            <w:pPr>
              <w:spacing w:after="0" w:line="240" w:lineRule="auto"/>
              <w:jc w:val="center"/>
              <w:rPr>
                <w:rFonts w:ascii="Arial" w:eastAsia="Times New Roman" w:hAnsi="Arial" w:cs="Arial"/>
                <w:b/>
                <w:bCs/>
                <w:vertAlign w:val="baseline"/>
                <w:lang w:eastAsia="pt-BR"/>
              </w:rPr>
            </w:pPr>
            <w:r w:rsidRPr="00B10133">
              <w:rPr>
                <w:rFonts w:ascii="Arial" w:eastAsia="Times New Roman" w:hAnsi="Arial" w:cs="Arial"/>
                <w:b/>
                <w:bCs/>
                <w:vertAlign w:val="baseline"/>
                <w:lang w:eastAsia="pt-BR"/>
              </w:rPr>
              <w:t xml:space="preserve">Tabela </w:t>
            </w:r>
            <w:r w:rsidR="00B10133" w:rsidRPr="00B10133">
              <w:rPr>
                <w:rFonts w:ascii="Arial" w:eastAsia="Times New Roman" w:hAnsi="Arial" w:cs="Arial"/>
                <w:b/>
                <w:bCs/>
                <w:vertAlign w:val="baseline"/>
                <w:lang w:eastAsia="pt-BR"/>
              </w:rPr>
              <w:t>7</w:t>
            </w:r>
            <w:r w:rsidRPr="00B10133">
              <w:rPr>
                <w:rFonts w:ascii="Arial" w:eastAsia="Times New Roman" w:hAnsi="Arial" w:cs="Arial"/>
                <w:b/>
                <w:bCs/>
                <w:vertAlign w:val="baseline"/>
                <w:lang w:eastAsia="pt-BR"/>
              </w:rPr>
              <w:t xml:space="preserve"> - Estatísticas descritivas acima do quartil de 75% de Gastos em Saúde</w:t>
            </w:r>
          </w:p>
        </w:tc>
      </w:tr>
      <w:tr w:rsidR="00CB4A78" w:rsidRPr="005F5BC9" w:rsidTr="00CB4A78">
        <w:trPr>
          <w:trHeight w:val="600"/>
        </w:trPr>
        <w:tc>
          <w:tcPr>
            <w:tcW w:w="2286" w:type="dxa"/>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Variável</w:t>
            </w:r>
          </w:p>
        </w:tc>
        <w:tc>
          <w:tcPr>
            <w:tcW w:w="1185" w:type="dxa"/>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Medida</w:t>
            </w:r>
          </w:p>
        </w:tc>
        <w:tc>
          <w:tcPr>
            <w:tcW w:w="1564" w:type="dxa"/>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Observações</w:t>
            </w:r>
          </w:p>
        </w:tc>
        <w:tc>
          <w:tcPr>
            <w:tcW w:w="1159" w:type="dxa"/>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Média</w:t>
            </w:r>
          </w:p>
        </w:tc>
        <w:tc>
          <w:tcPr>
            <w:tcW w:w="1328" w:type="dxa"/>
            <w:tcBorders>
              <w:top w:val="single" w:sz="4" w:space="0" w:color="auto"/>
              <w:left w:val="nil"/>
              <w:bottom w:val="single" w:sz="4" w:space="0" w:color="auto"/>
              <w:right w:val="nil"/>
            </w:tcBorders>
            <w:shd w:val="clear" w:color="auto" w:fill="auto"/>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Desvio Padrão</w:t>
            </w:r>
          </w:p>
        </w:tc>
        <w:tc>
          <w:tcPr>
            <w:tcW w:w="1110" w:type="dxa"/>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Mínimo</w:t>
            </w:r>
          </w:p>
        </w:tc>
        <w:tc>
          <w:tcPr>
            <w:tcW w:w="1308" w:type="dxa"/>
            <w:tcBorders>
              <w:top w:val="single" w:sz="4" w:space="0" w:color="auto"/>
              <w:left w:val="nil"/>
              <w:bottom w:val="single" w:sz="4" w:space="0" w:color="auto"/>
              <w:right w:val="nil"/>
            </w:tcBorders>
            <w:shd w:val="clear" w:color="auto" w:fill="auto"/>
            <w:noWrap/>
            <w:vAlign w:val="center"/>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Máximo</w:t>
            </w:r>
          </w:p>
        </w:tc>
      </w:tr>
      <w:tr w:rsidR="00CB4A78" w:rsidRPr="005F5BC9" w:rsidTr="00CB4A78">
        <w:trPr>
          <w:trHeight w:val="300"/>
        </w:trPr>
        <w:tc>
          <w:tcPr>
            <w:tcW w:w="2286"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Gasto em Saúde</w:t>
            </w:r>
          </w:p>
        </w:tc>
        <w:tc>
          <w:tcPr>
            <w:tcW w:w="1185"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564"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9625</w:t>
            </w:r>
          </w:p>
        </w:tc>
        <w:tc>
          <w:tcPr>
            <w:tcW w:w="115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299.06</w:t>
            </w:r>
          </w:p>
        </w:tc>
        <w:tc>
          <w:tcPr>
            <w:tcW w:w="1328"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137.65</w:t>
            </w:r>
          </w:p>
        </w:tc>
        <w:tc>
          <w:tcPr>
            <w:tcW w:w="1110"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208.50</w:t>
            </w:r>
          </w:p>
        </w:tc>
        <w:tc>
          <w:tcPr>
            <w:tcW w:w="1308"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6501.36</w:t>
            </w:r>
          </w:p>
        </w:tc>
      </w:tr>
      <w:tr w:rsidR="00CB4A78" w:rsidRPr="005F5BC9" w:rsidTr="00CB4A78">
        <w:trPr>
          <w:trHeight w:val="300"/>
        </w:trPr>
        <w:tc>
          <w:tcPr>
            <w:tcW w:w="2286"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PIB</w:t>
            </w:r>
          </w:p>
        </w:tc>
        <w:tc>
          <w:tcPr>
            <w:tcW w:w="1185"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564"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9625</w:t>
            </w:r>
          </w:p>
        </w:tc>
        <w:tc>
          <w:tcPr>
            <w:tcW w:w="115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9159.53</w:t>
            </w:r>
          </w:p>
        </w:tc>
        <w:tc>
          <w:tcPr>
            <w:tcW w:w="1328"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10411.85</w:t>
            </w:r>
          </w:p>
        </w:tc>
        <w:tc>
          <w:tcPr>
            <w:tcW w:w="1110"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1046.13</w:t>
            </w:r>
          </w:p>
        </w:tc>
        <w:tc>
          <w:tcPr>
            <w:tcW w:w="1308"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164776.00</w:t>
            </w:r>
          </w:p>
        </w:tc>
      </w:tr>
      <w:tr w:rsidR="00CB4A78" w:rsidRPr="005F5BC9" w:rsidTr="00CB4A78">
        <w:trPr>
          <w:trHeight w:val="300"/>
        </w:trPr>
        <w:tc>
          <w:tcPr>
            <w:tcW w:w="2286"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PAB</w:t>
            </w:r>
          </w:p>
        </w:tc>
        <w:tc>
          <w:tcPr>
            <w:tcW w:w="1185"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564"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9573</w:t>
            </w:r>
          </w:p>
        </w:tc>
        <w:tc>
          <w:tcPr>
            <w:tcW w:w="115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11.46</w:t>
            </w:r>
          </w:p>
        </w:tc>
        <w:tc>
          <w:tcPr>
            <w:tcW w:w="1328"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3.97</w:t>
            </w:r>
          </w:p>
        </w:tc>
        <w:tc>
          <w:tcPr>
            <w:tcW w:w="1110"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0.07</w:t>
            </w:r>
          </w:p>
        </w:tc>
        <w:tc>
          <w:tcPr>
            <w:tcW w:w="1308"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163.58</w:t>
            </w:r>
          </w:p>
        </w:tc>
      </w:tr>
      <w:tr w:rsidR="00CB4A78" w:rsidRPr="005F5BC9" w:rsidTr="00CB4A78">
        <w:trPr>
          <w:trHeight w:val="300"/>
        </w:trPr>
        <w:tc>
          <w:tcPr>
            <w:tcW w:w="2286"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 xml:space="preserve">Outras </w:t>
            </w:r>
            <w:proofErr w:type="spellStart"/>
            <w:r w:rsidRPr="005F5BC9">
              <w:rPr>
                <w:rFonts w:ascii="Arial" w:eastAsia="Times New Roman" w:hAnsi="Arial" w:cs="Arial"/>
                <w:color w:val="000000"/>
                <w:sz w:val="22"/>
                <w:szCs w:val="22"/>
                <w:vertAlign w:val="baseline"/>
                <w:lang w:eastAsia="pt-BR"/>
              </w:rPr>
              <w:t>transf</w:t>
            </w:r>
            <w:proofErr w:type="spellEnd"/>
            <w:r w:rsidRPr="005F5BC9">
              <w:rPr>
                <w:rFonts w:ascii="Arial" w:eastAsia="Times New Roman" w:hAnsi="Arial" w:cs="Arial"/>
                <w:color w:val="000000"/>
                <w:sz w:val="22"/>
                <w:szCs w:val="22"/>
                <w:vertAlign w:val="baseline"/>
                <w:lang w:eastAsia="pt-BR"/>
              </w:rPr>
              <w:t>. SUS</w:t>
            </w:r>
          </w:p>
        </w:tc>
        <w:tc>
          <w:tcPr>
            <w:tcW w:w="1185"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564"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9573</w:t>
            </w:r>
          </w:p>
        </w:tc>
        <w:tc>
          <w:tcPr>
            <w:tcW w:w="115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63.89</w:t>
            </w:r>
          </w:p>
        </w:tc>
        <w:tc>
          <w:tcPr>
            <w:tcW w:w="1328"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46.62</w:t>
            </w:r>
          </w:p>
        </w:tc>
        <w:tc>
          <w:tcPr>
            <w:tcW w:w="1110"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0.00</w:t>
            </w:r>
          </w:p>
        </w:tc>
        <w:tc>
          <w:tcPr>
            <w:tcW w:w="1308"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2094.15</w:t>
            </w:r>
          </w:p>
        </w:tc>
      </w:tr>
      <w:tr w:rsidR="00CB4A78" w:rsidRPr="005F5BC9" w:rsidTr="00CB4A78">
        <w:trPr>
          <w:trHeight w:val="300"/>
        </w:trPr>
        <w:tc>
          <w:tcPr>
            <w:tcW w:w="2286"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FPM</w:t>
            </w:r>
          </w:p>
        </w:tc>
        <w:tc>
          <w:tcPr>
            <w:tcW w:w="1185"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564"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9625</w:t>
            </w:r>
          </w:p>
        </w:tc>
        <w:tc>
          <w:tcPr>
            <w:tcW w:w="115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613.96</w:t>
            </w:r>
          </w:p>
        </w:tc>
        <w:tc>
          <w:tcPr>
            <w:tcW w:w="1328"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377.04</w:t>
            </w:r>
          </w:p>
        </w:tc>
        <w:tc>
          <w:tcPr>
            <w:tcW w:w="1110"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6.81</w:t>
            </w:r>
          </w:p>
        </w:tc>
        <w:tc>
          <w:tcPr>
            <w:tcW w:w="1308"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3579.49</w:t>
            </w:r>
          </w:p>
        </w:tc>
      </w:tr>
      <w:tr w:rsidR="00CB4A78" w:rsidRPr="005F5BC9" w:rsidTr="00CB4A78">
        <w:trPr>
          <w:trHeight w:val="300"/>
        </w:trPr>
        <w:tc>
          <w:tcPr>
            <w:tcW w:w="2286"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Royalties</w:t>
            </w:r>
          </w:p>
        </w:tc>
        <w:tc>
          <w:tcPr>
            <w:tcW w:w="1185"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564"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9625</w:t>
            </w:r>
          </w:p>
        </w:tc>
        <w:tc>
          <w:tcPr>
            <w:tcW w:w="1159"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27.52</w:t>
            </w:r>
          </w:p>
        </w:tc>
        <w:tc>
          <w:tcPr>
            <w:tcW w:w="1328"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216.44</w:t>
            </w:r>
          </w:p>
        </w:tc>
        <w:tc>
          <w:tcPr>
            <w:tcW w:w="1110"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0.00</w:t>
            </w:r>
          </w:p>
        </w:tc>
        <w:tc>
          <w:tcPr>
            <w:tcW w:w="1308" w:type="dxa"/>
            <w:tcBorders>
              <w:top w:val="nil"/>
              <w:left w:val="nil"/>
              <w:bottom w:val="nil"/>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5230.41</w:t>
            </w:r>
          </w:p>
        </w:tc>
      </w:tr>
      <w:tr w:rsidR="00CB4A78" w:rsidRPr="005F5BC9" w:rsidTr="00CB4A78">
        <w:trPr>
          <w:trHeight w:val="300"/>
        </w:trPr>
        <w:tc>
          <w:tcPr>
            <w:tcW w:w="2286" w:type="dxa"/>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Outras </w:t>
            </w:r>
            <w:proofErr w:type="spellStart"/>
            <w:r w:rsidRPr="005F5BC9">
              <w:rPr>
                <w:rFonts w:ascii="Arial" w:eastAsia="Times New Roman" w:hAnsi="Arial" w:cs="Arial"/>
                <w:color w:val="000000"/>
                <w:vertAlign w:val="baseline"/>
                <w:lang w:eastAsia="pt-BR"/>
              </w:rPr>
              <w:t>transf</w:t>
            </w:r>
            <w:proofErr w:type="spellEnd"/>
            <w:r w:rsidRPr="005F5BC9">
              <w:rPr>
                <w:rFonts w:ascii="Arial" w:eastAsia="Times New Roman" w:hAnsi="Arial" w:cs="Arial"/>
                <w:color w:val="000000"/>
                <w:vertAlign w:val="baseline"/>
                <w:lang w:eastAsia="pt-BR"/>
              </w:rPr>
              <w:t>.</w:t>
            </w:r>
          </w:p>
        </w:tc>
        <w:tc>
          <w:tcPr>
            <w:tcW w:w="1185" w:type="dxa"/>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lef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R$/capita</w:t>
            </w:r>
          </w:p>
        </w:tc>
        <w:tc>
          <w:tcPr>
            <w:tcW w:w="1564" w:type="dxa"/>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9297</w:t>
            </w:r>
          </w:p>
        </w:tc>
        <w:tc>
          <w:tcPr>
            <w:tcW w:w="1159" w:type="dxa"/>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574.6762</w:t>
            </w:r>
          </w:p>
        </w:tc>
        <w:tc>
          <w:tcPr>
            <w:tcW w:w="1328" w:type="dxa"/>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403.3087</w:t>
            </w:r>
          </w:p>
        </w:tc>
        <w:tc>
          <w:tcPr>
            <w:tcW w:w="1110" w:type="dxa"/>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-3693.85</w:t>
            </w:r>
          </w:p>
        </w:tc>
        <w:tc>
          <w:tcPr>
            <w:tcW w:w="1308" w:type="dxa"/>
            <w:tcBorders>
              <w:top w:val="nil"/>
              <w:left w:val="nil"/>
              <w:bottom w:val="single" w:sz="4" w:space="0" w:color="auto"/>
              <w:right w:val="nil"/>
            </w:tcBorders>
            <w:shd w:val="clear" w:color="auto" w:fill="auto"/>
            <w:noWrap/>
            <w:vAlign w:val="bottom"/>
            <w:hideMark/>
          </w:tcPr>
          <w:p w:rsidR="00CB4A78" w:rsidRPr="005F5BC9" w:rsidRDefault="00CB4A78" w:rsidP="00CB4A78">
            <w:pPr>
              <w:spacing w:after="0" w:line="240" w:lineRule="auto"/>
              <w:jc w:val="right"/>
              <w:rPr>
                <w:rFonts w:ascii="Arial" w:eastAsia="Times New Roman" w:hAnsi="Arial" w:cs="Arial"/>
                <w:color w:val="000000"/>
                <w:sz w:val="22"/>
                <w:szCs w:val="22"/>
                <w:vertAlign w:val="baseline"/>
                <w:lang w:eastAsia="pt-BR"/>
              </w:rPr>
            </w:pPr>
            <w:r w:rsidRPr="005F5BC9">
              <w:rPr>
                <w:rFonts w:ascii="Arial" w:eastAsia="Times New Roman" w:hAnsi="Arial" w:cs="Arial"/>
                <w:color w:val="000000"/>
                <w:sz w:val="22"/>
                <w:szCs w:val="22"/>
                <w:vertAlign w:val="baseline"/>
                <w:lang w:eastAsia="pt-BR"/>
              </w:rPr>
              <w:t>7215.105</w:t>
            </w:r>
          </w:p>
        </w:tc>
      </w:tr>
    </w:tbl>
    <w:p w:rsidR="00CB4A78" w:rsidRPr="005F5BC9" w:rsidRDefault="00CB4A78" w:rsidP="00B94CA0">
      <w:pPr>
        <w:pStyle w:val="PargrafodaLista"/>
        <w:spacing w:after="0" w:line="240" w:lineRule="auto"/>
        <w:ind w:left="780"/>
        <w:rPr>
          <w:rFonts w:ascii="Arial" w:hAnsi="Arial" w:cs="Arial"/>
          <w:b/>
          <w:sz w:val="24"/>
          <w:szCs w:val="24"/>
          <w:vertAlign w:val="baseline"/>
        </w:rPr>
      </w:pPr>
    </w:p>
    <w:p w:rsidR="00CB4A78" w:rsidRPr="005F5BC9" w:rsidRDefault="00CB4A78" w:rsidP="00B94CA0">
      <w:pPr>
        <w:pStyle w:val="PargrafodaLista"/>
        <w:spacing w:after="0" w:line="240" w:lineRule="auto"/>
        <w:ind w:left="780"/>
        <w:rPr>
          <w:rFonts w:ascii="Arial" w:hAnsi="Arial" w:cs="Arial"/>
          <w:b/>
          <w:sz w:val="24"/>
          <w:szCs w:val="24"/>
          <w:vertAlign w:val="baseline"/>
        </w:rPr>
      </w:pPr>
    </w:p>
    <w:p w:rsidR="00AE2026" w:rsidRDefault="003C05A8" w:rsidP="00047661">
      <w:pPr>
        <w:pStyle w:val="PargrafodaLista"/>
        <w:numPr>
          <w:ilvl w:val="1"/>
          <w:numId w:val="5"/>
        </w:numPr>
        <w:spacing w:after="0" w:line="240" w:lineRule="auto"/>
        <w:rPr>
          <w:rFonts w:ascii="Arial" w:hAnsi="Arial" w:cs="Arial"/>
          <w:b/>
          <w:sz w:val="24"/>
          <w:szCs w:val="24"/>
          <w:vertAlign w:val="baseline"/>
        </w:rPr>
      </w:pPr>
      <w:r w:rsidRPr="005F5BC9">
        <w:rPr>
          <w:rFonts w:ascii="Arial" w:hAnsi="Arial" w:cs="Arial"/>
          <w:b/>
          <w:sz w:val="24"/>
          <w:szCs w:val="24"/>
          <w:vertAlign w:val="baseline"/>
        </w:rPr>
        <w:t>Abordagem econométrica</w:t>
      </w:r>
    </w:p>
    <w:p w:rsidR="00047661" w:rsidRPr="005F5BC9" w:rsidRDefault="00047661" w:rsidP="00047661">
      <w:pPr>
        <w:pStyle w:val="PargrafodaLista"/>
        <w:spacing w:after="0" w:line="240" w:lineRule="auto"/>
        <w:ind w:left="780"/>
        <w:rPr>
          <w:rFonts w:ascii="Arial" w:hAnsi="Arial" w:cs="Arial"/>
          <w:b/>
          <w:sz w:val="24"/>
          <w:szCs w:val="24"/>
          <w:vertAlign w:val="baseline"/>
        </w:rPr>
      </w:pPr>
    </w:p>
    <w:p w:rsidR="00AE2026" w:rsidRPr="005F5BC9" w:rsidRDefault="00AE2026" w:rsidP="00200B1A">
      <w:pPr>
        <w:spacing w:after="0" w:line="240" w:lineRule="auto"/>
        <w:ind w:firstLine="708"/>
        <w:rPr>
          <w:rFonts w:ascii="Arial" w:hAnsi="Arial" w:cs="Arial"/>
          <w:sz w:val="24"/>
          <w:szCs w:val="24"/>
          <w:vertAlign w:val="baseline"/>
        </w:rPr>
      </w:pPr>
      <w:r w:rsidRPr="005F5BC9">
        <w:rPr>
          <w:rFonts w:ascii="Arial" w:hAnsi="Arial" w:cs="Arial"/>
          <w:sz w:val="24"/>
          <w:szCs w:val="24"/>
          <w:vertAlign w:val="baseline"/>
        </w:rPr>
        <w:t xml:space="preserve">Para avaliar a resposta de gastos municipais em saúde a transferências federais condicionadas a este setor, </w:t>
      </w:r>
      <w:r w:rsidR="00200B1A" w:rsidRPr="005F5BC9">
        <w:rPr>
          <w:rFonts w:ascii="Arial" w:hAnsi="Arial" w:cs="Arial"/>
          <w:sz w:val="24"/>
          <w:szCs w:val="24"/>
          <w:vertAlign w:val="baseline"/>
        </w:rPr>
        <w:t>foi estimado inicialmente um modelo de painel com efeitos fixos</w:t>
      </w:r>
      <w:r w:rsidR="001B6D15">
        <w:rPr>
          <w:rFonts w:ascii="Arial" w:hAnsi="Arial" w:cs="Arial"/>
          <w:sz w:val="24"/>
          <w:szCs w:val="24"/>
          <w:vertAlign w:val="baseline"/>
        </w:rPr>
        <w:t>. Como não é possível</w:t>
      </w:r>
      <w:r w:rsidR="00FE338F" w:rsidRPr="005F5BC9">
        <w:rPr>
          <w:rFonts w:ascii="Arial" w:hAnsi="Arial" w:cs="Arial"/>
          <w:sz w:val="24"/>
          <w:szCs w:val="24"/>
          <w:vertAlign w:val="baseline"/>
        </w:rPr>
        <w:t xml:space="preserve"> negligenciar a existência de um efeito específico (heterogeneidade não observada) e que, além disso, provavelmente, ele seja correlacionado com o erro, esta foi </w:t>
      </w:r>
      <w:proofErr w:type="gramStart"/>
      <w:r w:rsidR="00FE338F" w:rsidRPr="005F5BC9">
        <w:rPr>
          <w:rFonts w:ascii="Arial" w:hAnsi="Arial" w:cs="Arial"/>
          <w:sz w:val="24"/>
          <w:szCs w:val="24"/>
          <w:vertAlign w:val="baseline"/>
        </w:rPr>
        <w:t>a</w:t>
      </w:r>
      <w:proofErr w:type="gramEnd"/>
      <w:r w:rsidR="00FE338F" w:rsidRPr="005F5BC9">
        <w:rPr>
          <w:rFonts w:ascii="Arial" w:hAnsi="Arial" w:cs="Arial"/>
          <w:sz w:val="24"/>
          <w:szCs w:val="24"/>
          <w:vertAlign w:val="baseline"/>
        </w:rPr>
        <w:t xml:space="preserve"> alternativa </w:t>
      </w:r>
      <w:r w:rsidR="00FE338F" w:rsidRPr="005F5BC9">
        <w:rPr>
          <w:rFonts w:ascii="Arial" w:hAnsi="Arial" w:cs="Arial"/>
          <w:sz w:val="24"/>
          <w:szCs w:val="24"/>
          <w:vertAlign w:val="baseline"/>
        </w:rPr>
        <w:lastRenderedPageBreak/>
        <w:t>considerada a mais adequada. Além disso, foram incluídas</w:t>
      </w:r>
      <w:r w:rsidR="00047661">
        <w:rPr>
          <w:rFonts w:ascii="Arial" w:hAnsi="Arial" w:cs="Arial"/>
          <w:sz w:val="24"/>
          <w:szCs w:val="24"/>
          <w:vertAlign w:val="baseline"/>
        </w:rPr>
        <w:t xml:space="preserve"> </w:t>
      </w:r>
      <w:proofErr w:type="spellStart"/>
      <w:r w:rsidR="00FE338F" w:rsidRPr="005F5BC9">
        <w:rPr>
          <w:rFonts w:ascii="Arial" w:hAnsi="Arial" w:cs="Arial"/>
          <w:i/>
          <w:sz w:val="24"/>
          <w:szCs w:val="24"/>
          <w:vertAlign w:val="baseline"/>
        </w:rPr>
        <w:t>dummies</w:t>
      </w:r>
      <w:proofErr w:type="spellEnd"/>
      <w:r w:rsidR="00FE338F" w:rsidRPr="005F5BC9">
        <w:rPr>
          <w:rFonts w:ascii="Arial" w:hAnsi="Arial" w:cs="Arial"/>
          <w:sz w:val="24"/>
          <w:szCs w:val="24"/>
          <w:vertAlign w:val="baseline"/>
        </w:rPr>
        <w:t xml:space="preserve"> de tempo (</w:t>
      </w:r>
      <m:oMath>
        <m:sSub>
          <m:sSubPr>
            <m:ctrlPr>
              <w:rPr>
                <w:rFonts w:ascii="Cambria Math" w:hAnsi="Arial" w:cs="Arial"/>
                <w:i/>
                <w:sz w:val="24"/>
                <w:szCs w:val="24"/>
                <w:vertAlign w:val="baseline"/>
              </w:rPr>
            </m:ctrlPr>
          </m:sSubPr>
          <m:e>
            <m:r>
              <w:rPr>
                <w:rFonts w:ascii="Cambria Math" w:hAnsi="Cambria Math" w:cs="Arial"/>
                <w:sz w:val="24"/>
                <w:szCs w:val="24"/>
                <w:vertAlign w:val="baseline"/>
              </w:rPr>
              <m:t>θ</m:t>
            </m:r>
          </m:e>
          <m:sub>
            <m:r>
              <w:rPr>
                <w:rFonts w:ascii="Cambria Math" w:hAnsi="Cambria Math" w:cs="Arial"/>
                <w:sz w:val="24"/>
                <w:szCs w:val="24"/>
                <w:vertAlign w:val="baseline"/>
              </w:rPr>
              <m:t>t</m:t>
            </m:r>
          </m:sub>
        </m:sSub>
        <m:r>
          <w:rPr>
            <w:rFonts w:ascii="Cambria Math" w:hAnsi="Arial" w:cs="Arial"/>
            <w:sz w:val="24"/>
            <w:szCs w:val="24"/>
            <w:vertAlign w:val="baseline"/>
          </w:rPr>
          <m:t>)</m:t>
        </m:r>
      </m:oMath>
      <w:r w:rsidR="00FE338F" w:rsidRPr="005F5BC9">
        <w:rPr>
          <w:rFonts w:ascii="Arial" w:hAnsi="Arial" w:cs="Arial"/>
          <w:sz w:val="24"/>
          <w:szCs w:val="24"/>
          <w:vertAlign w:val="baseline"/>
        </w:rPr>
        <w:t xml:space="preserve"> com o objetivo de captar efeitos macroeconômicos, mudanças de unidades de medida ou outras mudanças que afetem a todos os municípios.</w:t>
      </w:r>
    </w:p>
    <w:p w:rsidR="00F84486" w:rsidRDefault="00F84486" w:rsidP="00200B1A">
      <w:pPr>
        <w:spacing w:after="0" w:line="240" w:lineRule="auto"/>
        <w:ind w:firstLine="708"/>
        <w:rPr>
          <w:rFonts w:ascii="Arial" w:hAnsi="Arial" w:cs="Arial"/>
          <w:sz w:val="24"/>
          <w:szCs w:val="24"/>
          <w:vertAlign w:val="baseline"/>
        </w:rPr>
      </w:pPr>
    </w:p>
    <w:p w:rsidR="00FE338F" w:rsidRPr="005F5BC9" w:rsidRDefault="00FE338F" w:rsidP="00200B1A">
      <w:pPr>
        <w:spacing w:after="0" w:line="240" w:lineRule="auto"/>
        <w:ind w:firstLine="708"/>
        <w:rPr>
          <w:rFonts w:ascii="Arial" w:hAnsi="Arial" w:cs="Arial"/>
          <w:sz w:val="24"/>
          <w:szCs w:val="24"/>
          <w:vertAlign w:val="baseline"/>
        </w:rPr>
      </w:pPr>
      <w:r w:rsidRPr="005F5BC9">
        <w:rPr>
          <w:rFonts w:ascii="Arial" w:hAnsi="Arial" w:cs="Arial"/>
          <w:sz w:val="24"/>
          <w:szCs w:val="24"/>
          <w:vertAlign w:val="baseline"/>
        </w:rPr>
        <w:t>O modelo estimado foi:</w:t>
      </w:r>
    </w:p>
    <w:p w:rsidR="00200B1A" w:rsidRPr="005F5BC9" w:rsidRDefault="00200B1A" w:rsidP="00200B1A">
      <w:pPr>
        <w:spacing w:after="0" w:line="240" w:lineRule="auto"/>
        <w:ind w:firstLine="708"/>
        <w:rPr>
          <w:rFonts w:ascii="Arial" w:hAnsi="Arial" w:cs="Arial"/>
          <w:sz w:val="24"/>
          <w:szCs w:val="24"/>
          <w:vertAlign w:val="baseline"/>
        </w:rPr>
      </w:pPr>
    </w:p>
    <w:p w:rsidR="00AE2026" w:rsidRPr="005F5BC9" w:rsidRDefault="00DD3A36" w:rsidP="00291764">
      <w:pPr>
        <w:spacing w:after="0" w:line="240" w:lineRule="auto"/>
        <w:rPr>
          <w:rFonts w:ascii="Arial" w:hAnsi="Arial" w:cs="Arial"/>
          <w:sz w:val="24"/>
          <w:szCs w:val="24"/>
          <w:vertAlign w:val="baseline"/>
        </w:rPr>
      </w:pPr>
      <m:oMath>
        <m:sSub>
          <m:sSubPr>
            <m:ctrlPr>
              <w:rPr>
                <w:rFonts w:ascii="Cambria Math" w:hAnsi="Arial" w:cs="Arial"/>
                <w:i/>
                <w:sz w:val="24"/>
                <w:szCs w:val="24"/>
                <w:vertAlign w:val="baseline"/>
              </w:rPr>
            </m:ctrlPr>
          </m:sSubPr>
          <m:e>
            <m:r>
              <w:rPr>
                <w:rFonts w:ascii="Cambria Math" w:hAnsi="Cambria Math" w:cs="Arial"/>
                <w:sz w:val="24"/>
                <w:szCs w:val="24"/>
                <w:vertAlign w:val="baseline"/>
              </w:rPr>
              <m:t>gsaude</m:t>
            </m:r>
          </m:e>
          <m:sub>
            <m:r>
              <w:rPr>
                <w:rFonts w:ascii="Cambria Math" w:hAnsi="Cambria Math" w:cs="Arial"/>
                <w:sz w:val="24"/>
                <w:szCs w:val="24"/>
                <w:vertAlign w:val="baseline"/>
              </w:rPr>
              <m:t>i</m:t>
            </m:r>
            <m:r>
              <w:rPr>
                <w:rFonts w:ascii="Cambria Math" w:hAnsi="Cambria Math" w:cs="Arial"/>
                <w:sz w:val="24"/>
                <w:szCs w:val="24"/>
                <w:vertAlign w:val="baseline"/>
              </w:rPr>
              <m:t>t</m:t>
            </m:r>
          </m:sub>
        </m:sSub>
        <m:r>
          <w:rPr>
            <w:rFonts w:ascii="Cambria Math" w:hAnsi="Arial" w:cs="Arial"/>
            <w:sz w:val="24"/>
            <w:szCs w:val="24"/>
            <w:vertAlign w:val="baseline"/>
          </w:rPr>
          <m:t>=</m:t>
        </m:r>
        <m:sSub>
          <m:sSubPr>
            <m:ctrlPr>
              <w:rPr>
                <w:rFonts w:ascii="Cambria Math" w:hAnsi="Arial" w:cs="Arial"/>
                <w:i/>
                <w:sz w:val="24"/>
                <w:szCs w:val="24"/>
                <w:vertAlign w:val="baseline"/>
              </w:rPr>
            </m:ctrlPr>
          </m:sSubPr>
          <m:e>
            <m:r>
              <w:rPr>
                <w:rFonts w:ascii="Cambria Math" w:hAnsi="Cambria Math" w:cs="Arial"/>
                <w:sz w:val="24"/>
                <w:szCs w:val="24"/>
                <w:vertAlign w:val="baseline"/>
              </w:rPr>
              <m:t>c</m:t>
            </m:r>
          </m:e>
          <m:sub>
            <m:r>
              <w:rPr>
                <w:rFonts w:ascii="Cambria Math" w:hAnsi="Cambria Math" w:cs="Arial"/>
                <w:sz w:val="24"/>
                <w:szCs w:val="24"/>
                <w:vertAlign w:val="baseline"/>
              </w:rPr>
              <m:t>i</m:t>
            </m:r>
          </m:sub>
        </m:sSub>
        <m:r>
          <w:rPr>
            <w:rFonts w:ascii="Cambria Math" w:hAnsi="Arial" w:cs="Arial"/>
            <w:sz w:val="24"/>
            <w:szCs w:val="24"/>
            <w:vertAlign w:val="baseline"/>
          </w:rPr>
          <m:t>+</m:t>
        </m:r>
        <m:sSub>
          <m:sSubPr>
            <m:ctrlPr>
              <w:rPr>
                <w:rFonts w:ascii="Cambria Math" w:hAnsi="Arial" w:cs="Arial"/>
                <w:i/>
                <w:sz w:val="24"/>
                <w:szCs w:val="24"/>
                <w:vertAlign w:val="baseline"/>
              </w:rPr>
            </m:ctrlPr>
          </m:sSubPr>
          <m:e>
            <m:r>
              <w:rPr>
                <w:rFonts w:ascii="Cambria Math" w:hAnsi="Cambria Math" w:cs="Arial"/>
                <w:sz w:val="24"/>
                <w:szCs w:val="24"/>
                <w:vertAlign w:val="baseline"/>
              </w:rPr>
              <m:t>θ</m:t>
            </m:r>
          </m:e>
          <m:sub>
            <m:r>
              <w:rPr>
                <w:rFonts w:ascii="Cambria Math" w:hAnsi="Cambria Math" w:cs="Arial"/>
                <w:sz w:val="24"/>
                <w:szCs w:val="24"/>
                <w:vertAlign w:val="baseline"/>
              </w:rPr>
              <m:t>t</m:t>
            </m:r>
          </m:sub>
        </m:sSub>
        <m:r>
          <w:rPr>
            <w:rFonts w:ascii="Cambria Math" w:hAnsi="Arial" w:cs="Arial"/>
            <w:sz w:val="24"/>
            <w:szCs w:val="24"/>
            <w:vertAlign w:val="baseline"/>
          </w:rPr>
          <m:t>+</m:t>
        </m:r>
        <m:sSub>
          <m:sSubPr>
            <m:ctrlPr>
              <w:rPr>
                <w:rFonts w:ascii="Cambria Math" w:hAnsi="Arial" w:cs="Arial"/>
                <w:i/>
                <w:sz w:val="24"/>
                <w:szCs w:val="24"/>
                <w:vertAlign w:val="baseline"/>
              </w:rPr>
            </m:ctrlPr>
          </m:sSubPr>
          <m:e>
            <m:r>
              <w:rPr>
                <w:rFonts w:ascii="Cambria Math" w:hAnsi="Cambria Math" w:cs="Arial"/>
                <w:sz w:val="24"/>
                <w:szCs w:val="24"/>
                <w:vertAlign w:val="baseline"/>
              </w:rPr>
              <m:t>β</m:t>
            </m:r>
          </m:e>
          <m:sub>
            <m:r>
              <w:rPr>
                <w:rFonts w:ascii="Cambria Math" w:hAnsi="Arial" w:cs="Arial"/>
                <w:sz w:val="24"/>
                <w:szCs w:val="24"/>
                <w:vertAlign w:val="baseline"/>
              </w:rPr>
              <m:t>0</m:t>
            </m:r>
          </m:sub>
        </m:sSub>
        <m:r>
          <w:rPr>
            <w:rFonts w:ascii="Cambria Math" w:hAnsi="Cambria Math" w:cs="Arial"/>
            <w:sz w:val="24"/>
            <w:szCs w:val="24"/>
            <w:vertAlign w:val="baseline"/>
          </w:rPr>
          <m:t>PIBit</m:t>
        </m:r>
        <m:r>
          <w:rPr>
            <w:rFonts w:ascii="Cambria Math" w:hAnsi="Arial" w:cs="Arial"/>
            <w:sz w:val="24"/>
            <w:szCs w:val="24"/>
            <w:vertAlign w:val="baseline"/>
          </w:rPr>
          <m:t>+</m:t>
        </m:r>
        <m:sSub>
          <m:sSubPr>
            <m:ctrlPr>
              <w:rPr>
                <w:rFonts w:ascii="Cambria Math" w:hAnsi="Arial" w:cs="Arial"/>
                <w:i/>
                <w:sz w:val="24"/>
                <w:szCs w:val="24"/>
                <w:vertAlign w:val="baseline"/>
              </w:rPr>
            </m:ctrlPr>
          </m:sSubPr>
          <m:e>
            <m:r>
              <w:rPr>
                <w:rFonts w:ascii="Cambria Math" w:hAnsi="Cambria Math" w:cs="Arial"/>
                <w:sz w:val="24"/>
                <w:szCs w:val="24"/>
                <w:vertAlign w:val="baseline"/>
              </w:rPr>
              <m:t>β</m:t>
            </m:r>
          </m:e>
          <m:sub>
            <m:r>
              <w:rPr>
                <w:rFonts w:ascii="Cambria Math" w:hAnsi="Arial" w:cs="Arial"/>
                <w:sz w:val="24"/>
                <w:szCs w:val="24"/>
                <w:vertAlign w:val="baseline"/>
              </w:rPr>
              <m:t>1</m:t>
            </m:r>
          </m:sub>
        </m:sSub>
        <m:sSub>
          <m:sSubPr>
            <m:ctrlPr>
              <w:rPr>
                <w:rFonts w:ascii="Cambria Math" w:eastAsia="Times New Roman" w:hAnsi="Arial" w:cs="Arial"/>
                <w:i/>
                <w:color w:val="000000"/>
                <w:sz w:val="24"/>
                <w:szCs w:val="24"/>
                <w:vertAlign w:val="baseline"/>
                <w:lang w:eastAsia="pt-BR"/>
              </w:rPr>
            </m:ctrlPr>
          </m:sSubPr>
          <m:e>
            <m:r>
              <w:rPr>
                <w:rFonts w:ascii="Cambria Math" w:eastAsia="Times New Roman" w:hAnsi="Cambria Math" w:cs="Arial"/>
                <w:color w:val="000000"/>
                <w:sz w:val="24"/>
                <w:szCs w:val="24"/>
                <w:vertAlign w:val="baseline"/>
                <w:lang w:eastAsia="pt-BR"/>
              </w:rPr>
              <m:t>PAB</m:t>
            </m:r>
          </m:e>
          <m:sub>
            <m:r>
              <w:rPr>
                <w:rFonts w:ascii="Cambria Math" w:eastAsia="Times New Roman" w:hAnsi="Cambria Math" w:cs="Arial"/>
                <w:color w:val="000000"/>
                <w:sz w:val="24"/>
                <w:szCs w:val="24"/>
                <w:vertAlign w:val="baseline"/>
                <w:lang w:eastAsia="pt-BR"/>
              </w:rPr>
              <m:t>it</m:t>
            </m:r>
          </m:sub>
        </m:sSub>
        <m:r>
          <m:rPr>
            <m:sty m:val="p"/>
          </m:rPr>
          <w:rPr>
            <w:rFonts w:ascii="Cambria Math" w:eastAsia="Times New Roman" w:hAnsi="Arial" w:cs="Arial"/>
            <w:color w:val="000000"/>
            <w:sz w:val="24"/>
            <w:szCs w:val="24"/>
            <w:vertAlign w:val="baseline"/>
            <w:lang w:eastAsia="pt-BR"/>
          </w:rPr>
          <m:t>+</m:t>
        </m:r>
        <m:sSub>
          <m:sSubPr>
            <m:ctrlPr>
              <w:rPr>
                <w:rFonts w:ascii="Cambria Math" w:hAnsi="Arial" w:cs="Arial"/>
                <w:i/>
                <w:sz w:val="24"/>
                <w:szCs w:val="24"/>
                <w:vertAlign w:val="baseline"/>
              </w:rPr>
            </m:ctrlPr>
          </m:sSubPr>
          <m:e>
            <m:r>
              <w:rPr>
                <w:rFonts w:ascii="Cambria Math" w:hAnsi="Cambria Math" w:cs="Arial"/>
                <w:sz w:val="24"/>
                <w:szCs w:val="24"/>
                <w:vertAlign w:val="baseline"/>
              </w:rPr>
              <m:t>β</m:t>
            </m:r>
          </m:e>
          <m:sub>
            <m:r>
              <w:rPr>
                <w:rFonts w:ascii="Cambria Math" w:hAnsi="Arial" w:cs="Arial"/>
                <w:sz w:val="24"/>
                <w:szCs w:val="24"/>
                <w:vertAlign w:val="baseline"/>
              </w:rPr>
              <m:t>2</m:t>
            </m:r>
          </m:sub>
        </m:sSub>
        <m:sSub>
          <m:sSubPr>
            <m:ctrlPr>
              <w:rPr>
                <w:rFonts w:ascii="Cambria Math" w:eastAsia="Times New Roman" w:hAnsi="Arial" w:cs="Arial"/>
                <w:i/>
                <w:color w:val="000000"/>
                <w:sz w:val="24"/>
                <w:szCs w:val="24"/>
                <w:vertAlign w:val="baseline"/>
                <w:lang w:eastAsia="pt-BR"/>
              </w:rPr>
            </m:ctrlPr>
          </m:sSubPr>
          <m:e>
            <m:r>
              <w:rPr>
                <w:rFonts w:ascii="Cambria Math" w:eastAsia="Times New Roman" w:hAnsi="Cambria Math" w:cs="Arial"/>
                <w:color w:val="000000"/>
                <w:sz w:val="24"/>
                <w:szCs w:val="24"/>
                <w:vertAlign w:val="baseline"/>
                <w:lang w:eastAsia="pt-BR"/>
              </w:rPr>
              <m:t>Outras</m:t>
            </m:r>
            <m:r>
              <w:rPr>
                <w:rFonts w:ascii="Cambria Math" w:eastAsia="Times New Roman" w:hAnsi="Arial" w:cs="Arial"/>
                <w:color w:val="000000"/>
                <w:sz w:val="24"/>
                <w:szCs w:val="24"/>
                <w:vertAlign w:val="baseline"/>
                <w:lang w:eastAsia="pt-BR"/>
              </w:rPr>
              <m:t xml:space="preserve"> </m:t>
            </m:r>
            <m:r>
              <w:rPr>
                <w:rFonts w:ascii="Cambria Math" w:eastAsia="Times New Roman" w:hAnsi="Cambria Math" w:cs="Arial"/>
                <w:color w:val="000000"/>
                <w:sz w:val="24"/>
                <w:szCs w:val="24"/>
                <w:vertAlign w:val="baseline"/>
                <w:lang w:eastAsia="pt-BR"/>
              </w:rPr>
              <m:t>transf</m:t>
            </m:r>
            <m:r>
              <w:rPr>
                <w:rFonts w:ascii="Cambria Math" w:eastAsia="Times New Roman" w:hAnsi="Arial" w:cs="Arial"/>
                <w:color w:val="000000"/>
                <w:sz w:val="24"/>
                <w:szCs w:val="24"/>
                <w:vertAlign w:val="baseline"/>
                <w:lang w:eastAsia="pt-BR"/>
              </w:rPr>
              <m:t xml:space="preserve"> </m:t>
            </m:r>
            <m:r>
              <w:rPr>
                <w:rFonts w:ascii="Cambria Math" w:eastAsia="Times New Roman" w:hAnsi="Cambria Math" w:cs="Arial"/>
                <w:color w:val="000000"/>
                <w:sz w:val="24"/>
                <w:szCs w:val="24"/>
                <w:vertAlign w:val="baseline"/>
                <w:lang w:eastAsia="pt-BR"/>
              </w:rPr>
              <m:t>sus</m:t>
            </m:r>
          </m:e>
          <m:sub>
            <m:r>
              <w:rPr>
                <w:rFonts w:ascii="Cambria Math" w:eastAsia="Times New Roman" w:hAnsi="Cambria Math" w:cs="Arial"/>
                <w:color w:val="000000"/>
                <w:sz w:val="24"/>
                <w:szCs w:val="24"/>
                <w:vertAlign w:val="baseline"/>
                <w:lang w:eastAsia="pt-BR"/>
              </w:rPr>
              <m:t>it</m:t>
            </m:r>
          </m:sub>
        </m:sSub>
        <m:r>
          <w:rPr>
            <w:rFonts w:ascii="Cambria Math" w:hAnsi="Arial" w:cs="Arial"/>
            <w:sz w:val="24"/>
            <w:szCs w:val="24"/>
            <w:vertAlign w:val="baseline"/>
          </w:rPr>
          <m:t>+</m:t>
        </m:r>
        <m:sSub>
          <m:sSubPr>
            <m:ctrlPr>
              <w:rPr>
                <w:rFonts w:ascii="Cambria Math" w:hAnsi="Arial" w:cs="Arial"/>
                <w:i/>
                <w:sz w:val="24"/>
                <w:szCs w:val="24"/>
                <w:vertAlign w:val="baseline"/>
              </w:rPr>
            </m:ctrlPr>
          </m:sSubPr>
          <m:e>
            <m:r>
              <w:rPr>
                <w:rFonts w:ascii="Cambria Math" w:hAnsi="Cambria Math" w:cs="Arial"/>
                <w:sz w:val="24"/>
                <w:szCs w:val="24"/>
                <w:vertAlign w:val="baseline"/>
              </w:rPr>
              <m:t>β</m:t>
            </m:r>
          </m:e>
          <m:sub>
            <m:r>
              <w:rPr>
                <w:rFonts w:ascii="Cambria Math" w:hAnsi="Arial" w:cs="Arial"/>
                <w:sz w:val="24"/>
                <w:szCs w:val="24"/>
                <w:vertAlign w:val="baseline"/>
              </w:rPr>
              <m:t>3</m:t>
            </m:r>
          </m:sub>
        </m:sSub>
        <m:sSub>
          <m:sSubPr>
            <m:ctrlPr>
              <w:rPr>
                <w:rFonts w:ascii="Cambria Math" w:eastAsia="Times New Roman" w:hAnsi="Arial" w:cs="Arial"/>
                <w:i/>
                <w:color w:val="000000"/>
                <w:sz w:val="24"/>
                <w:szCs w:val="24"/>
                <w:vertAlign w:val="baseline"/>
                <w:lang w:eastAsia="pt-BR"/>
              </w:rPr>
            </m:ctrlPr>
          </m:sSubPr>
          <m:e>
            <m:r>
              <w:rPr>
                <w:rFonts w:ascii="Cambria Math" w:eastAsia="Times New Roman" w:hAnsi="Cambria Math" w:cs="Arial"/>
                <w:color w:val="000000"/>
                <w:sz w:val="24"/>
                <w:szCs w:val="24"/>
                <w:vertAlign w:val="baseline"/>
                <w:lang w:eastAsia="pt-BR"/>
              </w:rPr>
              <m:t>FPM</m:t>
            </m:r>
          </m:e>
          <m:sub>
            <m:r>
              <w:rPr>
                <w:rFonts w:ascii="Cambria Math" w:eastAsia="Times New Roman" w:hAnsi="Cambria Math" w:cs="Arial"/>
                <w:color w:val="000000"/>
                <w:sz w:val="24"/>
                <w:szCs w:val="24"/>
                <w:vertAlign w:val="baseline"/>
                <w:lang w:eastAsia="pt-BR"/>
              </w:rPr>
              <m:t>it</m:t>
            </m:r>
          </m:sub>
        </m:sSub>
        <m:r>
          <m:rPr>
            <m:sty m:val="p"/>
          </m:rPr>
          <w:rPr>
            <w:rFonts w:ascii="Cambria Math" w:eastAsia="Times New Roman" w:hAnsi="Arial" w:cs="Arial"/>
            <w:color w:val="000000"/>
            <w:sz w:val="24"/>
            <w:szCs w:val="24"/>
            <w:vertAlign w:val="baseline"/>
            <w:lang w:eastAsia="pt-BR"/>
          </w:rPr>
          <m:t>+</m:t>
        </m:r>
        <m:sSub>
          <m:sSubPr>
            <m:ctrlPr>
              <w:rPr>
                <w:rFonts w:ascii="Cambria Math" w:hAnsi="Arial" w:cs="Arial"/>
                <w:i/>
                <w:sz w:val="24"/>
                <w:szCs w:val="24"/>
                <w:vertAlign w:val="baseline"/>
              </w:rPr>
            </m:ctrlPr>
          </m:sSubPr>
          <m:e>
            <m:r>
              <w:rPr>
                <w:rFonts w:ascii="Cambria Math" w:hAnsi="Cambria Math" w:cs="Arial"/>
                <w:sz w:val="24"/>
                <w:szCs w:val="24"/>
                <w:vertAlign w:val="baseline"/>
              </w:rPr>
              <m:t>β</m:t>
            </m:r>
          </m:e>
          <m:sub>
            <m:r>
              <w:rPr>
                <w:rFonts w:ascii="Cambria Math" w:hAnsi="Arial" w:cs="Arial"/>
                <w:sz w:val="24"/>
                <w:szCs w:val="24"/>
                <w:vertAlign w:val="baseline"/>
              </w:rPr>
              <m:t>4</m:t>
            </m:r>
          </m:sub>
        </m:sSub>
        <m:sSub>
          <m:sSubPr>
            <m:ctrlPr>
              <w:rPr>
                <w:rFonts w:ascii="Cambria Math" w:eastAsia="Times New Roman" w:hAnsi="Arial" w:cs="Arial"/>
                <w:i/>
                <w:color w:val="000000"/>
                <w:sz w:val="24"/>
                <w:szCs w:val="24"/>
                <w:vertAlign w:val="baseline"/>
                <w:lang w:eastAsia="pt-BR"/>
              </w:rPr>
            </m:ctrlPr>
          </m:sSubPr>
          <m:e>
            <m:r>
              <w:rPr>
                <w:rFonts w:ascii="Cambria Math" w:eastAsia="Times New Roman" w:hAnsi="Cambria Math" w:cs="Arial"/>
                <w:color w:val="000000"/>
                <w:sz w:val="24"/>
                <w:szCs w:val="24"/>
                <w:vertAlign w:val="baseline"/>
                <w:lang w:eastAsia="pt-BR"/>
              </w:rPr>
              <m:t>royalties</m:t>
            </m:r>
          </m:e>
          <m:sub>
            <m:r>
              <w:rPr>
                <w:rFonts w:ascii="Cambria Math" w:eastAsia="Times New Roman" w:hAnsi="Cambria Math" w:cs="Arial"/>
                <w:color w:val="000000"/>
                <w:sz w:val="24"/>
                <w:szCs w:val="24"/>
                <w:vertAlign w:val="baseline"/>
                <w:lang w:eastAsia="pt-BR"/>
              </w:rPr>
              <m:t>it</m:t>
            </m:r>
          </m:sub>
        </m:sSub>
        <m:r>
          <m:rPr>
            <m:sty m:val="p"/>
          </m:rPr>
          <w:rPr>
            <w:rFonts w:ascii="Cambria Math" w:eastAsia="Times New Roman" w:hAnsi="Arial" w:cs="Arial"/>
            <w:color w:val="000000"/>
            <w:sz w:val="24"/>
            <w:szCs w:val="24"/>
            <w:vertAlign w:val="baseline"/>
            <w:lang w:eastAsia="pt-BR"/>
          </w:rPr>
          <m:t>+</m:t>
        </m:r>
        <m:sSub>
          <m:sSubPr>
            <m:ctrlPr>
              <w:rPr>
                <w:rFonts w:ascii="Cambria Math" w:hAnsi="Arial" w:cs="Arial"/>
                <w:i/>
                <w:sz w:val="24"/>
                <w:szCs w:val="24"/>
                <w:vertAlign w:val="baseline"/>
              </w:rPr>
            </m:ctrlPr>
          </m:sSubPr>
          <m:e>
            <m:r>
              <w:rPr>
                <w:rFonts w:ascii="Cambria Math" w:hAnsi="Cambria Math" w:cs="Arial"/>
                <w:sz w:val="24"/>
                <w:szCs w:val="24"/>
                <w:vertAlign w:val="baseline"/>
              </w:rPr>
              <m:t>β</m:t>
            </m:r>
          </m:e>
          <m:sub>
            <m:r>
              <w:rPr>
                <w:rFonts w:ascii="Cambria Math" w:hAnsi="Arial" w:cs="Arial"/>
                <w:sz w:val="24"/>
                <w:szCs w:val="24"/>
                <w:vertAlign w:val="baseline"/>
              </w:rPr>
              <m:t>5</m:t>
            </m:r>
          </m:sub>
        </m:sSub>
        <m:r>
          <w:rPr>
            <w:rFonts w:ascii="Cambria Math" w:eastAsia="Times New Roman" w:hAnsi="Arial" w:cs="Arial"/>
            <w:color w:val="000000"/>
            <w:sz w:val="24"/>
            <w:szCs w:val="24"/>
            <w:vertAlign w:val="baseline"/>
            <w:lang w:eastAsia="pt-BR"/>
          </w:rPr>
          <m:t>Outras transf</m:t>
        </m:r>
        <m:r>
          <m:rPr>
            <m:sty m:val="p"/>
          </m:rPr>
          <w:rPr>
            <w:rFonts w:ascii="Cambria Math" w:eastAsia="Times New Roman" w:hAnsi="Arial" w:cs="Arial"/>
            <w:color w:val="000000"/>
            <w:sz w:val="24"/>
            <w:szCs w:val="24"/>
            <w:vertAlign w:val="baseline"/>
            <w:lang w:eastAsia="pt-BR"/>
          </w:rPr>
          <m:t xml:space="preserve"> +</m:t>
        </m:r>
        <m:sSub>
          <m:sSubPr>
            <m:ctrlPr>
              <w:rPr>
                <w:rFonts w:ascii="Cambria Math" w:hAnsi="Arial" w:cs="Arial"/>
                <w:i/>
                <w:sz w:val="24"/>
                <w:szCs w:val="24"/>
                <w:vertAlign w:val="baseline"/>
              </w:rPr>
            </m:ctrlPr>
          </m:sSubPr>
          <m:e>
            <m:sSub>
              <m:sSubPr>
                <m:ctrlPr>
                  <w:rPr>
                    <w:rFonts w:ascii="Cambria Math" w:hAnsi="Arial" w:cs="Arial"/>
                    <w:i/>
                    <w:sz w:val="24"/>
                    <w:szCs w:val="24"/>
                    <w:vertAlign w:val="baseline"/>
                  </w:rPr>
                </m:ctrlPr>
              </m:sSubPr>
              <m:e>
                <m:r>
                  <w:rPr>
                    <w:rFonts w:ascii="Cambria Math" w:hAnsi="Cambria Math" w:cs="Arial"/>
                    <w:sz w:val="24"/>
                    <w:szCs w:val="24"/>
                    <w:vertAlign w:val="baseline"/>
                  </w:rPr>
                  <m:t>β</m:t>
                </m:r>
              </m:e>
              <m:sub>
                <m:r>
                  <w:rPr>
                    <w:rFonts w:ascii="Cambria Math" w:hAnsi="Arial" w:cs="Arial"/>
                    <w:sz w:val="24"/>
                    <w:szCs w:val="24"/>
                    <w:vertAlign w:val="baseline"/>
                  </w:rPr>
                  <m:t>6</m:t>
                </m:r>
              </m:sub>
            </m:sSub>
            <m:r>
              <w:rPr>
                <w:rFonts w:ascii="Cambria Math" w:hAnsi="Cambria Math" w:cs="Arial"/>
                <w:sz w:val="24"/>
                <w:szCs w:val="24"/>
                <w:vertAlign w:val="baseline"/>
              </w:rPr>
              <m:t>Controles</m:t>
            </m:r>
            <m:r>
              <w:rPr>
                <w:rFonts w:ascii="Cambria Math" w:hAnsi="Arial" w:cs="Arial"/>
                <w:sz w:val="24"/>
                <w:szCs w:val="24"/>
                <w:vertAlign w:val="baseline"/>
              </w:rPr>
              <m:t xml:space="preserve">+  </m:t>
            </m:r>
            <m:r>
              <w:rPr>
                <w:rFonts w:ascii="Cambria Math" w:hAnsi="Cambria Math" w:cs="Arial"/>
                <w:sz w:val="24"/>
                <w:szCs w:val="24"/>
                <w:vertAlign w:val="baseline"/>
              </w:rPr>
              <m:t>u</m:t>
            </m:r>
          </m:e>
          <m:sub>
            <m:r>
              <w:rPr>
                <w:rFonts w:ascii="Cambria Math" w:hAnsi="Cambria Math" w:cs="Arial"/>
                <w:sz w:val="24"/>
                <w:szCs w:val="24"/>
                <w:vertAlign w:val="baseline"/>
              </w:rPr>
              <m:t>it</m:t>
            </m:r>
          </m:sub>
        </m:sSub>
      </m:oMath>
      <w:r w:rsidR="00200B1A" w:rsidRPr="005F5BC9">
        <w:rPr>
          <w:rFonts w:ascii="Arial" w:hAnsi="Arial" w:cs="Arial"/>
          <w:sz w:val="24"/>
          <w:szCs w:val="24"/>
          <w:vertAlign w:val="baseline"/>
        </w:rPr>
        <w:t>(</w:t>
      </w:r>
      <w:r w:rsidR="00AE2026" w:rsidRPr="005F5BC9">
        <w:rPr>
          <w:rFonts w:ascii="Arial" w:hAnsi="Arial" w:cs="Arial"/>
          <w:sz w:val="24"/>
          <w:szCs w:val="24"/>
          <w:vertAlign w:val="baseline"/>
        </w:rPr>
        <w:t>1)</w:t>
      </w:r>
    </w:p>
    <w:p w:rsidR="00AE2026" w:rsidRPr="005F5BC9" w:rsidRDefault="00AE2026" w:rsidP="00291764">
      <w:pPr>
        <w:spacing w:after="0" w:line="240" w:lineRule="auto"/>
        <w:ind w:firstLine="360"/>
        <w:rPr>
          <w:rFonts w:ascii="Arial" w:hAnsi="Arial" w:cs="Arial"/>
          <w:vertAlign w:val="baseline"/>
        </w:rPr>
      </w:pPr>
    </w:p>
    <w:p w:rsidR="00AE2026" w:rsidRPr="005F5BC9" w:rsidRDefault="00200B1A" w:rsidP="00291764">
      <w:pPr>
        <w:spacing w:after="0" w:line="240" w:lineRule="auto"/>
        <w:rPr>
          <w:rFonts w:ascii="Arial" w:hAnsi="Arial" w:cs="Arial"/>
          <w:sz w:val="24"/>
          <w:szCs w:val="24"/>
          <w:vertAlign w:val="baseline"/>
        </w:rPr>
      </w:pPr>
      <w:r w:rsidRPr="005F5BC9">
        <w:rPr>
          <w:rFonts w:ascii="Arial" w:hAnsi="Arial" w:cs="Arial"/>
          <w:sz w:val="24"/>
          <w:szCs w:val="24"/>
          <w:vertAlign w:val="baseline"/>
        </w:rPr>
        <w:t xml:space="preserve">. </w:t>
      </w:r>
      <w:r w:rsidR="00047661">
        <w:rPr>
          <w:rFonts w:ascii="Arial" w:hAnsi="Arial" w:cs="Arial"/>
          <w:sz w:val="24"/>
          <w:szCs w:val="24"/>
          <w:vertAlign w:val="baseline"/>
        </w:rPr>
        <w:tab/>
      </w:r>
      <w:r w:rsidRPr="005F5BC9">
        <w:rPr>
          <w:rFonts w:ascii="Arial" w:hAnsi="Arial" w:cs="Arial"/>
          <w:sz w:val="24"/>
          <w:szCs w:val="24"/>
          <w:vertAlign w:val="baseline"/>
        </w:rPr>
        <w:t>Este modelo básico é estimado usando-se</w:t>
      </w:r>
      <w:r w:rsidR="00AE2026" w:rsidRPr="005F5BC9">
        <w:rPr>
          <w:rFonts w:ascii="Arial" w:hAnsi="Arial" w:cs="Arial"/>
          <w:sz w:val="24"/>
          <w:szCs w:val="24"/>
          <w:vertAlign w:val="baseline"/>
        </w:rPr>
        <w:t xml:space="preserve"> </w:t>
      </w:r>
      <w:r w:rsidR="00210287" w:rsidRPr="005F5BC9">
        <w:rPr>
          <w:rFonts w:ascii="Arial" w:hAnsi="Arial" w:cs="Arial"/>
          <w:sz w:val="24"/>
          <w:szCs w:val="24"/>
          <w:vertAlign w:val="baseline"/>
        </w:rPr>
        <w:t>especificação linear e logarítmica</w:t>
      </w:r>
      <w:r w:rsidR="00AE2026" w:rsidRPr="005F5BC9">
        <w:rPr>
          <w:rFonts w:ascii="Arial" w:hAnsi="Arial" w:cs="Arial"/>
          <w:sz w:val="24"/>
          <w:szCs w:val="24"/>
          <w:vertAlign w:val="baseline"/>
        </w:rPr>
        <w:t xml:space="preserve"> </w:t>
      </w:r>
      <w:r w:rsidRPr="005F5BC9">
        <w:rPr>
          <w:rFonts w:ascii="Arial" w:hAnsi="Arial" w:cs="Arial"/>
          <w:sz w:val="24"/>
          <w:szCs w:val="24"/>
          <w:vertAlign w:val="baseline"/>
        </w:rPr>
        <w:t>dada</w:t>
      </w:r>
      <w:r w:rsidR="00047E3E">
        <w:rPr>
          <w:rFonts w:ascii="Arial" w:hAnsi="Arial" w:cs="Arial"/>
          <w:sz w:val="24"/>
          <w:szCs w:val="24"/>
          <w:vertAlign w:val="baseline"/>
        </w:rPr>
        <w:t xml:space="preserve"> </w:t>
      </w:r>
      <w:proofErr w:type="gramStart"/>
      <w:r w:rsidR="001B6D15">
        <w:rPr>
          <w:rFonts w:ascii="Arial" w:hAnsi="Arial" w:cs="Arial"/>
          <w:sz w:val="24"/>
          <w:szCs w:val="24"/>
          <w:vertAlign w:val="baseline"/>
        </w:rPr>
        <w:t>a</w:t>
      </w:r>
      <w:proofErr w:type="gramEnd"/>
      <w:r w:rsidR="001B6D15">
        <w:rPr>
          <w:rFonts w:ascii="Arial" w:hAnsi="Arial" w:cs="Arial"/>
          <w:sz w:val="24"/>
          <w:szCs w:val="24"/>
          <w:vertAlign w:val="baseline"/>
        </w:rPr>
        <w:t xml:space="preserve"> evidência existente de</w:t>
      </w:r>
      <w:r w:rsidRPr="005F5BC9">
        <w:rPr>
          <w:rFonts w:ascii="Arial" w:hAnsi="Arial" w:cs="Arial"/>
          <w:sz w:val="24"/>
          <w:szCs w:val="24"/>
          <w:vertAlign w:val="baseline"/>
        </w:rPr>
        <w:t xml:space="preserve"> que a </w:t>
      </w:r>
      <w:r w:rsidR="00AE2026" w:rsidRPr="005F5BC9">
        <w:rPr>
          <w:rFonts w:ascii="Arial" w:hAnsi="Arial" w:cs="Arial"/>
          <w:sz w:val="24"/>
          <w:szCs w:val="24"/>
          <w:vertAlign w:val="baseline"/>
        </w:rPr>
        <w:t>forma funcional</w:t>
      </w:r>
      <w:r w:rsidRPr="005F5BC9">
        <w:rPr>
          <w:rFonts w:ascii="Arial" w:hAnsi="Arial" w:cs="Arial"/>
          <w:sz w:val="24"/>
          <w:szCs w:val="24"/>
          <w:vertAlign w:val="baseline"/>
        </w:rPr>
        <w:t xml:space="preserve"> adotada implica resultados diferentes, ou seja, a estimação do efeito </w:t>
      </w:r>
      <w:proofErr w:type="spellStart"/>
      <w:r w:rsidRPr="001B6D15">
        <w:rPr>
          <w:rFonts w:ascii="Arial" w:hAnsi="Arial" w:cs="Arial"/>
          <w:i/>
          <w:sz w:val="24"/>
          <w:szCs w:val="24"/>
          <w:vertAlign w:val="baseline"/>
        </w:rPr>
        <w:t>flypaper</w:t>
      </w:r>
      <w:proofErr w:type="spellEnd"/>
      <w:r w:rsidRPr="005F5BC9">
        <w:rPr>
          <w:rFonts w:ascii="Arial" w:hAnsi="Arial" w:cs="Arial"/>
          <w:sz w:val="24"/>
          <w:szCs w:val="24"/>
          <w:vertAlign w:val="baseline"/>
        </w:rPr>
        <w:t xml:space="preserve"> é sensível à forma funcional da equação de gasto. </w:t>
      </w:r>
      <w:r w:rsidR="00AE2026" w:rsidRPr="005F5BC9">
        <w:rPr>
          <w:rFonts w:ascii="Arial" w:hAnsi="Arial" w:cs="Arial"/>
          <w:sz w:val="24"/>
          <w:szCs w:val="24"/>
          <w:vertAlign w:val="baseline"/>
        </w:rPr>
        <w:t xml:space="preserve"> (</w:t>
      </w:r>
      <w:proofErr w:type="spellStart"/>
      <w:r w:rsidR="00AE2026" w:rsidRPr="005F5BC9">
        <w:rPr>
          <w:rFonts w:ascii="Arial" w:hAnsi="Arial" w:cs="Arial"/>
          <w:sz w:val="24"/>
          <w:szCs w:val="24"/>
          <w:vertAlign w:val="baseline"/>
        </w:rPr>
        <w:t>Bailey</w:t>
      </w:r>
      <w:proofErr w:type="spellEnd"/>
      <w:r w:rsidR="00AE2026" w:rsidRPr="005F5BC9">
        <w:rPr>
          <w:rFonts w:ascii="Arial" w:hAnsi="Arial" w:cs="Arial"/>
          <w:sz w:val="24"/>
          <w:szCs w:val="24"/>
          <w:vertAlign w:val="baseline"/>
        </w:rPr>
        <w:t xml:space="preserve"> e </w:t>
      </w:r>
      <w:proofErr w:type="spellStart"/>
      <w:r w:rsidR="00AE2026" w:rsidRPr="005F5BC9">
        <w:rPr>
          <w:rFonts w:ascii="Arial" w:hAnsi="Arial" w:cs="Arial"/>
          <w:sz w:val="24"/>
          <w:szCs w:val="24"/>
          <w:vertAlign w:val="baseline"/>
        </w:rPr>
        <w:t>Co</w:t>
      </w:r>
      <w:r w:rsidR="001B6D15">
        <w:rPr>
          <w:rFonts w:ascii="Arial" w:hAnsi="Arial" w:cs="Arial"/>
          <w:sz w:val="24"/>
          <w:szCs w:val="24"/>
          <w:vertAlign w:val="baseline"/>
        </w:rPr>
        <w:t>nnoly</w:t>
      </w:r>
      <w:proofErr w:type="spellEnd"/>
      <w:r w:rsidR="001B6D15">
        <w:rPr>
          <w:rFonts w:ascii="Arial" w:hAnsi="Arial" w:cs="Arial"/>
          <w:sz w:val="24"/>
          <w:szCs w:val="24"/>
          <w:vertAlign w:val="baseline"/>
        </w:rPr>
        <w:t xml:space="preserve"> (</w:t>
      </w:r>
      <w:r w:rsidR="0075582A" w:rsidRPr="005F5BC9">
        <w:rPr>
          <w:rFonts w:ascii="Arial" w:hAnsi="Arial" w:cs="Arial"/>
          <w:sz w:val="24"/>
          <w:szCs w:val="24"/>
          <w:vertAlign w:val="baseline"/>
        </w:rPr>
        <w:t>1998</w:t>
      </w:r>
      <w:r w:rsidR="001B6D15">
        <w:rPr>
          <w:rFonts w:ascii="Arial" w:hAnsi="Arial" w:cs="Arial"/>
          <w:sz w:val="24"/>
          <w:szCs w:val="24"/>
          <w:vertAlign w:val="baseline"/>
        </w:rPr>
        <w:t>)</w:t>
      </w:r>
      <w:r w:rsidRPr="005F5BC9">
        <w:rPr>
          <w:rFonts w:ascii="Arial" w:hAnsi="Arial" w:cs="Arial"/>
          <w:sz w:val="24"/>
          <w:szCs w:val="24"/>
          <w:vertAlign w:val="baseline"/>
        </w:rPr>
        <w:t xml:space="preserve">). </w:t>
      </w:r>
    </w:p>
    <w:p w:rsidR="00AE2026" w:rsidRPr="005F5BC9" w:rsidRDefault="00FE338F" w:rsidP="00FE338F">
      <w:pPr>
        <w:spacing w:after="0" w:line="240" w:lineRule="auto"/>
        <w:ind w:firstLine="708"/>
        <w:rPr>
          <w:rFonts w:ascii="Arial" w:hAnsi="Arial" w:cs="Arial"/>
          <w:sz w:val="24"/>
          <w:szCs w:val="24"/>
          <w:vertAlign w:val="baseline"/>
        </w:rPr>
      </w:pPr>
      <w:r w:rsidRPr="005F5BC9">
        <w:rPr>
          <w:rFonts w:ascii="Arial" w:hAnsi="Arial" w:cs="Arial"/>
          <w:sz w:val="24"/>
          <w:szCs w:val="24"/>
          <w:vertAlign w:val="baseline"/>
        </w:rPr>
        <w:t>As</w:t>
      </w:r>
      <w:r w:rsidR="00AE2026" w:rsidRPr="005F5BC9">
        <w:rPr>
          <w:rFonts w:ascii="Arial" w:hAnsi="Arial" w:cs="Arial"/>
          <w:sz w:val="24"/>
          <w:szCs w:val="24"/>
          <w:vertAlign w:val="baseline"/>
        </w:rPr>
        <w:t xml:space="preserve"> regressões</w:t>
      </w:r>
      <w:r w:rsidRPr="005F5BC9">
        <w:rPr>
          <w:rFonts w:ascii="Arial" w:hAnsi="Arial" w:cs="Arial"/>
          <w:sz w:val="24"/>
          <w:szCs w:val="24"/>
          <w:vertAlign w:val="baseline"/>
        </w:rPr>
        <w:t xml:space="preserve"> foram estimadas</w:t>
      </w:r>
      <w:r w:rsidR="00AE2026" w:rsidRPr="005F5BC9">
        <w:rPr>
          <w:rFonts w:ascii="Arial" w:hAnsi="Arial" w:cs="Arial"/>
          <w:sz w:val="24"/>
          <w:szCs w:val="24"/>
          <w:vertAlign w:val="baseline"/>
        </w:rPr>
        <w:t xml:space="preserve"> utilizando</w:t>
      </w:r>
      <w:r w:rsidRPr="005F5BC9">
        <w:rPr>
          <w:rFonts w:ascii="Arial" w:hAnsi="Arial" w:cs="Arial"/>
          <w:sz w:val="24"/>
          <w:szCs w:val="24"/>
          <w:vertAlign w:val="baseline"/>
        </w:rPr>
        <w:t xml:space="preserve"> inferência robusta e controlando-se</w:t>
      </w:r>
      <w:r w:rsidR="00AE2026" w:rsidRPr="005F5BC9">
        <w:rPr>
          <w:rFonts w:ascii="Arial" w:hAnsi="Arial" w:cs="Arial"/>
          <w:sz w:val="24"/>
          <w:szCs w:val="24"/>
          <w:vertAlign w:val="baseline"/>
        </w:rPr>
        <w:t xml:space="preserve"> por </w:t>
      </w:r>
      <w:r w:rsidR="00AE2026" w:rsidRPr="005F5BC9">
        <w:rPr>
          <w:rFonts w:ascii="Arial" w:hAnsi="Arial" w:cs="Arial"/>
          <w:i/>
          <w:sz w:val="24"/>
          <w:szCs w:val="24"/>
          <w:vertAlign w:val="baseline"/>
        </w:rPr>
        <w:t>clusters</w:t>
      </w:r>
      <w:r w:rsidR="00AE2026" w:rsidRPr="005F5BC9">
        <w:rPr>
          <w:rFonts w:ascii="Arial" w:hAnsi="Arial" w:cs="Arial"/>
          <w:sz w:val="24"/>
          <w:szCs w:val="24"/>
          <w:vertAlign w:val="baseline"/>
        </w:rPr>
        <w:t xml:space="preserve"> para municípios de uma mesma microrregião (de acordo com definição do IBGE), para permitir </w:t>
      </w:r>
      <w:proofErr w:type="spellStart"/>
      <w:r w:rsidR="00AE2026" w:rsidRPr="005F5BC9">
        <w:rPr>
          <w:rFonts w:ascii="Arial" w:hAnsi="Arial" w:cs="Arial"/>
          <w:sz w:val="24"/>
          <w:szCs w:val="24"/>
          <w:vertAlign w:val="baseline"/>
        </w:rPr>
        <w:t>heteroscedasticidade</w:t>
      </w:r>
      <w:proofErr w:type="spellEnd"/>
      <w:r w:rsidR="00AE2026" w:rsidRPr="005F5BC9">
        <w:rPr>
          <w:rFonts w:ascii="Arial" w:hAnsi="Arial" w:cs="Arial"/>
          <w:sz w:val="24"/>
          <w:szCs w:val="24"/>
          <w:vertAlign w:val="baseline"/>
        </w:rPr>
        <w:t xml:space="preserve"> e alguma correlação dos erros ao longo </w:t>
      </w:r>
      <w:r w:rsidRPr="005F5BC9">
        <w:rPr>
          <w:rFonts w:ascii="Arial" w:hAnsi="Arial" w:cs="Arial"/>
          <w:sz w:val="24"/>
          <w:szCs w:val="24"/>
          <w:vertAlign w:val="baseline"/>
        </w:rPr>
        <w:t>do tempo para um mesmo município</w:t>
      </w:r>
      <w:r w:rsidR="00AE2026" w:rsidRPr="005F5BC9">
        <w:rPr>
          <w:rFonts w:ascii="Arial" w:hAnsi="Arial" w:cs="Arial"/>
          <w:sz w:val="24"/>
          <w:szCs w:val="24"/>
          <w:vertAlign w:val="baseline"/>
        </w:rPr>
        <w:t>. Adicionalmente, para que municípios com populações muito gran</w:t>
      </w:r>
      <w:r w:rsidRPr="005F5BC9">
        <w:rPr>
          <w:rFonts w:ascii="Arial" w:hAnsi="Arial" w:cs="Arial"/>
          <w:sz w:val="24"/>
          <w:szCs w:val="24"/>
          <w:vertAlign w:val="baseline"/>
        </w:rPr>
        <w:t>des ou muito pequenas não tivessem</w:t>
      </w:r>
      <w:r w:rsidR="00AE2026" w:rsidRPr="005F5BC9">
        <w:rPr>
          <w:rFonts w:ascii="Arial" w:hAnsi="Arial" w:cs="Arial"/>
          <w:sz w:val="24"/>
          <w:szCs w:val="24"/>
          <w:vertAlign w:val="baseline"/>
        </w:rPr>
        <w:t xml:space="preserve"> o mesmo pe</w:t>
      </w:r>
      <w:r w:rsidRPr="005F5BC9">
        <w:rPr>
          <w:rFonts w:ascii="Arial" w:hAnsi="Arial" w:cs="Arial"/>
          <w:sz w:val="24"/>
          <w:szCs w:val="24"/>
          <w:vertAlign w:val="baseline"/>
        </w:rPr>
        <w:t>so na regressão, foram utilizados</w:t>
      </w:r>
      <w:r w:rsidR="00AE2026" w:rsidRPr="005F5BC9">
        <w:rPr>
          <w:rFonts w:ascii="Arial" w:hAnsi="Arial" w:cs="Arial"/>
          <w:sz w:val="24"/>
          <w:szCs w:val="24"/>
          <w:vertAlign w:val="baseline"/>
        </w:rPr>
        <w:t xml:space="preserve"> mo</w:t>
      </w:r>
      <w:r w:rsidRPr="005F5BC9">
        <w:rPr>
          <w:rFonts w:ascii="Arial" w:hAnsi="Arial" w:cs="Arial"/>
          <w:sz w:val="24"/>
          <w:szCs w:val="24"/>
          <w:vertAlign w:val="baseline"/>
        </w:rPr>
        <w:t>delos ponderados pela</w:t>
      </w:r>
      <w:r w:rsidR="00AE2026" w:rsidRPr="005F5BC9">
        <w:rPr>
          <w:rFonts w:ascii="Arial" w:hAnsi="Arial" w:cs="Arial"/>
          <w:sz w:val="24"/>
          <w:szCs w:val="24"/>
          <w:vertAlign w:val="baseline"/>
        </w:rPr>
        <w:t xml:space="preserve"> população (os p</w:t>
      </w:r>
      <w:r w:rsidRPr="005F5BC9">
        <w:rPr>
          <w:rFonts w:ascii="Arial" w:hAnsi="Arial" w:cs="Arial"/>
          <w:sz w:val="24"/>
          <w:szCs w:val="24"/>
          <w:vertAlign w:val="baseline"/>
        </w:rPr>
        <w:t>esos utilizados são diretamente</w:t>
      </w:r>
      <w:r w:rsidR="00AE2026" w:rsidRPr="005F5BC9">
        <w:rPr>
          <w:rFonts w:ascii="Arial" w:hAnsi="Arial" w:cs="Arial"/>
          <w:sz w:val="24"/>
          <w:szCs w:val="24"/>
          <w:vertAlign w:val="baseline"/>
        </w:rPr>
        <w:t xml:space="preserve"> proporcionais à variância da observação). </w:t>
      </w:r>
    </w:p>
    <w:p w:rsidR="00A415C1" w:rsidRPr="005F5BC9" w:rsidRDefault="00FE338F" w:rsidP="00A415C1">
      <w:pPr>
        <w:spacing w:after="0" w:line="240" w:lineRule="auto"/>
        <w:rPr>
          <w:rFonts w:ascii="Arial" w:hAnsi="Arial" w:cs="Arial"/>
          <w:sz w:val="24"/>
          <w:szCs w:val="24"/>
          <w:vertAlign w:val="baseline"/>
        </w:rPr>
      </w:pPr>
      <w:r w:rsidRPr="005F5BC9">
        <w:rPr>
          <w:rFonts w:ascii="Arial" w:hAnsi="Arial" w:cs="Arial"/>
          <w:sz w:val="24"/>
          <w:szCs w:val="24"/>
          <w:vertAlign w:val="baseline"/>
        </w:rPr>
        <w:tab/>
      </w:r>
      <w:r w:rsidR="00A415C1" w:rsidRPr="005F5BC9">
        <w:rPr>
          <w:rFonts w:ascii="Arial" w:hAnsi="Arial" w:cs="Arial"/>
          <w:sz w:val="24"/>
          <w:szCs w:val="24"/>
          <w:vertAlign w:val="baseline"/>
        </w:rPr>
        <w:t xml:space="preserve">Dada </w:t>
      </w:r>
      <w:proofErr w:type="gramStart"/>
      <w:r w:rsidR="00A415C1" w:rsidRPr="005F5BC9">
        <w:rPr>
          <w:rFonts w:ascii="Arial" w:hAnsi="Arial" w:cs="Arial"/>
          <w:sz w:val="24"/>
          <w:szCs w:val="24"/>
          <w:vertAlign w:val="baseline"/>
        </w:rPr>
        <w:t>a</w:t>
      </w:r>
      <w:proofErr w:type="gramEnd"/>
      <w:r w:rsidR="00A415C1" w:rsidRPr="005F5BC9">
        <w:rPr>
          <w:rFonts w:ascii="Arial" w:hAnsi="Arial" w:cs="Arial"/>
          <w:sz w:val="24"/>
          <w:szCs w:val="24"/>
          <w:vertAlign w:val="baseline"/>
        </w:rPr>
        <w:t xml:space="preserve"> heterogeneidade da amostra,</w:t>
      </w:r>
      <w:r w:rsidR="005A644D">
        <w:rPr>
          <w:rFonts w:ascii="Arial" w:hAnsi="Arial" w:cs="Arial"/>
          <w:sz w:val="24"/>
          <w:szCs w:val="24"/>
          <w:vertAlign w:val="baseline"/>
        </w:rPr>
        <w:t xml:space="preserve"> observada anteriormente,</w:t>
      </w:r>
      <w:r w:rsidR="00A415C1" w:rsidRPr="005F5BC9">
        <w:rPr>
          <w:rFonts w:ascii="Arial" w:hAnsi="Arial" w:cs="Arial"/>
          <w:sz w:val="24"/>
          <w:szCs w:val="24"/>
          <w:vertAlign w:val="baseline"/>
        </w:rPr>
        <w:t xml:space="preserve"> foram utilizada</w:t>
      </w:r>
      <w:r w:rsidR="005A644D">
        <w:rPr>
          <w:rFonts w:ascii="Arial" w:hAnsi="Arial" w:cs="Arial"/>
          <w:sz w:val="24"/>
          <w:szCs w:val="24"/>
          <w:vertAlign w:val="baseline"/>
        </w:rPr>
        <w:t xml:space="preserve">s também regressões </w:t>
      </w:r>
      <w:proofErr w:type="spellStart"/>
      <w:r w:rsidR="005A644D">
        <w:rPr>
          <w:rFonts w:ascii="Arial" w:hAnsi="Arial" w:cs="Arial"/>
          <w:sz w:val="24"/>
          <w:szCs w:val="24"/>
          <w:vertAlign w:val="baseline"/>
        </w:rPr>
        <w:t>quantílicas</w:t>
      </w:r>
      <w:proofErr w:type="spellEnd"/>
      <w:r w:rsidR="005A644D">
        <w:rPr>
          <w:rFonts w:ascii="Arial" w:hAnsi="Arial" w:cs="Arial"/>
          <w:sz w:val="24"/>
          <w:szCs w:val="24"/>
          <w:vertAlign w:val="baseline"/>
        </w:rPr>
        <w:t>. Isto porque</w:t>
      </w:r>
      <w:r w:rsidR="00A415C1" w:rsidRPr="005F5BC9">
        <w:rPr>
          <w:rFonts w:ascii="Arial" w:hAnsi="Arial" w:cs="Arial"/>
          <w:sz w:val="24"/>
          <w:szCs w:val="24"/>
          <w:vertAlign w:val="baseline"/>
        </w:rPr>
        <w:t xml:space="preserve"> o impacto das transferências sobre os gastos pode ser diferente ao longo da distribuição dos gastos, ou seja, o efeito em municípios que gastam pouco pode ser diferente do efeito em municípios que têm um elevado nível de gastos. Assim, foram estimados os coeficientes associados às transferências para os quartis de 25%,</w:t>
      </w:r>
      <w:r w:rsidR="002E4062">
        <w:rPr>
          <w:rFonts w:ascii="Arial" w:hAnsi="Arial" w:cs="Arial"/>
          <w:sz w:val="24"/>
          <w:szCs w:val="24"/>
          <w:vertAlign w:val="baseline"/>
        </w:rPr>
        <w:t xml:space="preserve"> </w:t>
      </w:r>
      <w:r w:rsidR="00A415C1" w:rsidRPr="005F5BC9">
        <w:rPr>
          <w:rFonts w:ascii="Arial" w:hAnsi="Arial" w:cs="Arial"/>
          <w:sz w:val="24"/>
          <w:szCs w:val="24"/>
          <w:vertAlign w:val="baseline"/>
        </w:rPr>
        <w:t xml:space="preserve">50% e 75% dos gastos </w:t>
      </w:r>
      <w:r w:rsidR="00A415C1" w:rsidRPr="005A644D">
        <w:rPr>
          <w:rFonts w:ascii="Arial" w:hAnsi="Arial" w:cs="Arial"/>
          <w:i/>
          <w:sz w:val="24"/>
          <w:szCs w:val="24"/>
          <w:vertAlign w:val="baseline"/>
        </w:rPr>
        <w:t>per capita</w:t>
      </w:r>
      <w:r w:rsidR="005A644D">
        <w:rPr>
          <w:rFonts w:ascii="Arial" w:hAnsi="Arial" w:cs="Arial"/>
          <w:sz w:val="24"/>
          <w:szCs w:val="24"/>
          <w:vertAlign w:val="baseline"/>
        </w:rPr>
        <w:t xml:space="preserve"> em saúde. Inicialmente foi utilizada</w:t>
      </w:r>
      <w:r w:rsidR="00A415C1" w:rsidRPr="005F5BC9">
        <w:rPr>
          <w:rFonts w:ascii="Arial" w:hAnsi="Arial" w:cs="Arial"/>
          <w:sz w:val="24"/>
          <w:szCs w:val="24"/>
          <w:vertAlign w:val="baseline"/>
        </w:rPr>
        <w:t xml:space="preserve"> a regressão </w:t>
      </w:r>
      <w:proofErr w:type="spellStart"/>
      <w:r w:rsidR="00A415C1" w:rsidRPr="005F5BC9">
        <w:rPr>
          <w:rFonts w:ascii="Arial" w:hAnsi="Arial" w:cs="Arial"/>
          <w:sz w:val="24"/>
          <w:szCs w:val="24"/>
          <w:vertAlign w:val="baseline"/>
        </w:rPr>
        <w:t>quantílica</w:t>
      </w:r>
      <w:proofErr w:type="spellEnd"/>
      <w:r w:rsidR="00A415C1" w:rsidRPr="005F5BC9">
        <w:rPr>
          <w:rFonts w:ascii="Arial" w:hAnsi="Arial" w:cs="Arial"/>
          <w:sz w:val="24"/>
          <w:szCs w:val="24"/>
          <w:vertAlign w:val="baseline"/>
        </w:rPr>
        <w:t xml:space="preserve"> clássica, ignorando-se a existência de efeitos específic</w:t>
      </w:r>
      <w:r w:rsidR="005A644D">
        <w:rPr>
          <w:rFonts w:ascii="Arial" w:hAnsi="Arial" w:cs="Arial"/>
          <w:sz w:val="24"/>
          <w:szCs w:val="24"/>
          <w:vertAlign w:val="baseline"/>
        </w:rPr>
        <w:t>os para os</w:t>
      </w:r>
      <w:r w:rsidR="00A415C1" w:rsidRPr="005F5BC9">
        <w:rPr>
          <w:rFonts w:ascii="Arial" w:hAnsi="Arial" w:cs="Arial"/>
          <w:sz w:val="24"/>
          <w:szCs w:val="24"/>
          <w:vertAlign w:val="baseline"/>
        </w:rPr>
        <w:t xml:space="preserve"> municípi</w:t>
      </w:r>
      <w:r w:rsidR="005A644D">
        <w:rPr>
          <w:rFonts w:ascii="Arial" w:hAnsi="Arial" w:cs="Arial"/>
          <w:sz w:val="24"/>
          <w:szCs w:val="24"/>
          <w:vertAlign w:val="baseline"/>
        </w:rPr>
        <w:t>os e, posteriormente, foram empregados</w:t>
      </w:r>
      <w:r w:rsidR="00A415C1" w:rsidRPr="005F5BC9">
        <w:rPr>
          <w:rFonts w:ascii="Arial" w:hAnsi="Arial" w:cs="Arial"/>
          <w:sz w:val="24"/>
          <w:szCs w:val="24"/>
          <w:vertAlign w:val="baseline"/>
        </w:rPr>
        <w:t xml:space="preserve"> o modelo de regressões </w:t>
      </w:r>
      <w:proofErr w:type="spellStart"/>
      <w:r w:rsidR="00A415C1" w:rsidRPr="005F5BC9">
        <w:rPr>
          <w:rFonts w:ascii="Arial" w:hAnsi="Arial" w:cs="Arial"/>
          <w:sz w:val="24"/>
          <w:szCs w:val="24"/>
          <w:vertAlign w:val="baseline"/>
        </w:rPr>
        <w:t>quantílicas</w:t>
      </w:r>
      <w:proofErr w:type="spellEnd"/>
      <w:r w:rsidR="00A415C1" w:rsidRPr="005F5BC9">
        <w:rPr>
          <w:rFonts w:ascii="Arial" w:hAnsi="Arial" w:cs="Arial"/>
          <w:sz w:val="24"/>
          <w:szCs w:val="24"/>
          <w:vertAlign w:val="baseline"/>
        </w:rPr>
        <w:t xml:space="preserve"> com efeitos fixos e o modelo de regressões </w:t>
      </w:r>
      <w:proofErr w:type="spellStart"/>
      <w:r w:rsidR="00A415C1" w:rsidRPr="005F5BC9">
        <w:rPr>
          <w:rFonts w:ascii="Arial" w:hAnsi="Arial" w:cs="Arial"/>
          <w:sz w:val="24"/>
          <w:szCs w:val="24"/>
          <w:vertAlign w:val="baseline"/>
        </w:rPr>
        <w:t>quantílicas</w:t>
      </w:r>
      <w:proofErr w:type="spellEnd"/>
      <w:r w:rsidR="00A415C1" w:rsidRPr="005F5BC9">
        <w:rPr>
          <w:rFonts w:ascii="Arial" w:hAnsi="Arial" w:cs="Arial"/>
          <w:sz w:val="24"/>
          <w:szCs w:val="24"/>
          <w:vertAlign w:val="baseline"/>
        </w:rPr>
        <w:t xml:space="preserve"> penalizado com efeitos fixos, desenvolvidos por </w:t>
      </w:r>
      <w:proofErr w:type="spellStart"/>
      <w:r w:rsidR="00A415C1" w:rsidRPr="005F5BC9">
        <w:rPr>
          <w:rFonts w:ascii="Arial" w:hAnsi="Arial" w:cs="Arial"/>
          <w:sz w:val="24"/>
          <w:szCs w:val="24"/>
          <w:vertAlign w:val="baseline"/>
        </w:rPr>
        <w:t>Koenker</w:t>
      </w:r>
      <w:proofErr w:type="spellEnd"/>
      <w:r w:rsidR="00A415C1" w:rsidRPr="005F5BC9">
        <w:rPr>
          <w:rFonts w:ascii="Arial" w:hAnsi="Arial" w:cs="Arial"/>
          <w:sz w:val="24"/>
          <w:szCs w:val="24"/>
          <w:vertAlign w:val="baseline"/>
        </w:rPr>
        <w:t xml:space="preserve"> (2004). Tal abordagem surge</w:t>
      </w:r>
      <w:r w:rsidR="00AE5340">
        <w:rPr>
          <w:rFonts w:ascii="Arial" w:hAnsi="Arial" w:cs="Arial"/>
          <w:sz w:val="24"/>
          <w:szCs w:val="24"/>
          <w:vertAlign w:val="baseline"/>
        </w:rPr>
        <w:t xml:space="preserve"> </w:t>
      </w:r>
      <w:r w:rsidR="00A415C1" w:rsidRPr="005F5BC9">
        <w:rPr>
          <w:rFonts w:ascii="Arial" w:hAnsi="Arial" w:cs="Arial"/>
          <w:sz w:val="24"/>
          <w:szCs w:val="24"/>
          <w:vertAlign w:val="baseline"/>
        </w:rPr>
        <w:t xml:space="preserve">uma vez que, para o caso de regressões </w:t>
      </w:r>
      <w:proofErr w:type="spellStart"/>
      <w:proofErr w:type="gramStart"/>
      <w:r w:rsidR="00A415C1" w:rsidRPr="005F5BC9">
        <w:rPr>
          <w:rFonts w:ascii="Arial" w:hAnsi="Arial" w:cs="Arial"/>
          <w:sz w:val="24"/>
          <w:szCs w:val="24"/>
          <w:vertAlign w:val="baseline"/>
        </w:rPr>
        <w:t>quantílicas,</w:t>
      </w:r>
      <w:proofErr w:type="gramEnd"/>
      <w:r w:rsidR="00A415C1" w:rsidRPr="005F5BC9">
        <w:rPr>
          <w:rFonts w:ascii="Arial" w:hAnsi="Arial" w:cs="Arial"/>
          <w:sz w:val="24"/>
          <w:szCs w:val="24"/>
          <w:vertAlign w:val="baseline"/>
        </w:rPr>
        <w:t>não</w:t>
      </w:r>
      <w:proofErr w:type="spellEnd"/>
      <w:r w:rsidR="00A415C1" w:rsidRPr="005F5BC9">
        <w:rPr>
          <w:rFonts w:ascii="Arial" w:hAnsi="Arial" w:cs="Arial"/>
          <w:sz w:val="24"/>
          <w:szCs w:val="24"/>
          <w:vertAlign w:val="baseline"/>
        </w:rPr>
        <w:t xml:space="preserve"> é possível empregar as estratégias de diferenciação, tão familiares para o caso gaussiano, porque podem causar efeitos inesperados (</w:t>
      </w:r>
      <w:proofErr w:type="spellStart"/>
      <w:r w:rsidR="00A415C1" w:rsidRPr="005F5BC9">
        <w:rPr>
          <w:rFonts w:ascii="Arial" w:hAnsi="Arial" w:cs="Arial"/>
          <w:sz w:val="24"/>
          <w:szCs w:val="24"/>
          <w:vertAlign w:val="baseline"/>
        </w:rPr>
        <w:t>Koenker</w:t>
      </w:r>
      <w:proofErr w:type="spellEnd"/>
      <w:r w:rsidR="00A415C1" w:rsidRPr="005F5BC9">
        <w:rPr>
          <w:rFonts w:ascii="Arial" w:hAnsi="Arial" w:cs="Arial"/>
          <w:sz w:val="24"/>
          <w:szCs w:val="24"/>
          <w:vertAlign w:val="baseline"/>
        </w:rPr>
        <w:t xml:space="preserve"> </w:t>
      </w:r>
      <w:r w:rsidR="005A644D">
        <w:rPr>
          <w:rFonts w:ascii="Arial" w:hAnsi="Arial" w:cs="Arial"/>
          <w:sz w:val="24"/>
          <w:szCs w:val="24"/>
          <w:vertAlign w:val="baseline"/>
        </w:rPr>
        <w:t xml:space="preserve">e </w:t>
      </w:r>
      <w:proofErr w:type="spellStart"/>
      <w:r w:rsidR="005A644D">
        <w:rPr>
          <w:rFonts w:ascii="Arial" w:hAnsi="Arial" w:cs="Arial"/>
          <w:sz w:val="24"/>
          <w:szCs w:val="24"/>
          <w:vertAlign w:val="baseline"/>
        </w:rPr>
        <w:t>Hallock</w:t>
      </w:r>
      <w:proofErr w:type="spellEnd"/>
      <w:r w:rsidR="005A644D">
        <w:rPr>
          <w:rFonts w:ascii="Arial" w:hAnsi="Arial" w:cs="Arial"/>
          <w:sz w:val="24"/>
          <w:szCs w:val="24"/>
          <w:vertAlign w:val="baseline"/>
        </w:rPr>
        <w:t>, 2001).Diante disso</w:t>
      </w:r>
      <w:r w:rsidR="00A415C1" w:rsidRPr="005F5BC9">
        <w:rPr>
          <w:rFonts w:ascii="Arial" w:hAnsi="Arial" w:cs="Arial"/>
          <w:sz w:val="24"/>
          <w:szCs w:val="24"/>
          <w:vertAlign w:val="baseline"/>
        </w:rPr>
        <w:t xml:space="preserve">, os estimadores de regressões </w:t>
      </w:r>
      <w:proofErr w:type="spellStart"/>
      <w:r w:rsidR="005A644D">
        <w:rPr>
          <w:rFonts w:ascii="Arial" w:hAnsi="Arial" w:cs="Arial"/>
          <w:sz w:val="24"/>
          <w:szCs w:val="24"/>
          <w:vertAlign w:val="baseline"/>
        </w:rPr>
        <w:t>quantílicas</w:t>
      </w:r>
      <w:proofErr w:type="spellEnd"/>
      <w:r w:rsidR="005A644D">
        <w:rPr>
          <w:rFonts w:ascii="Arial" w:hAnsi="Arial" w:cs="Arial"/>
          <w:sz w:val="24"/>
          <w:szCs w:val="24"/>
          <w:vertAlign w:val="baseline"/>
        </w:rPr>
        <w:t xml:space="preserve"> com efeitos fixos </w:t>
      </w:r>
      <w:r w:rsidR="00A415C1" w:rsidRPr="005F5BC9">
        <w:rPr>
          <w:rFonts w:ascii="Arial" w:hAnsi="Arial" w:cs="Arial"/>
          <w:sz w:val="24"/>
          <w:szCs w:val="24"/>
          <w:vertAlign w:val="baseline"/>
        </w:rPr>
        <w:t xml:space="preserve"> se propõem a estimar de maneira direta o vetor de efeitos específicos. O problema é que com isso aumenta o</w:t>
      </w:r>
      <w:r w:rsidR="005A644D">
        <w:rPr>
          <w:rFonts w:ascii="Arial" w:hAnsi="Arial" w:cs="Arial"/>
          <w:sz w:val="24"/>
          <w:szCs w:val="24"/>
          <w:vertAlign w:val="baseline"/>
        </w:rPr>
        <w:t xml:space="preserve"> número de coeficientes a </w:t>
      </w:r>
      <w:proofErr w:type="gramStart"/>
      <w:r w:rsidR="005A644D">
        <w:rPr>
          <w:rFonts w:ascii="Arial" w:hAnsi="Arial" w:cs="Arial"/>
          <w:sz w:val="24"/>
          <w:szCs w:val="24"/>
          <w:vertAlign w:val="baseline"/>
        </w:rPr>
        <w:t>serem</w:t>
      </w:r>
      <w:proofErr w:type="gramEnd"/>
      <w:r w:rsidR="005A644D">
        <w:rPr>
          <w:rFonts w:ascii="Arial" w:hAnsi="Arial" w:cs="Arial"/>
          <w:sz w:val="24"/>
          <w:szCs w:val="24"/>
          <w:vertAlign w:val="baseline"/>
        </w:rPr>
        <w:t xml:space="preserve"> </w:t>
      </w:r>
      <w:r w:rsidR="00A415C1" w:rsidRPr="005F5BC9">
        <w:rPr>
          <w:rFonts w:ascii="Arial" w:hAnsi="Arial" w:cs="Arial"/>
          <w:sz w:val="24"/>
          <w:szCs w:val="24"/>
          <w:vertAlign w:val="baseline"/>
        </w:rPr>
        <w:t>estimados, o que por sua vez provoca um aumento da variabilidade das estimativas das variáveis independentes do modelo. Para corrigir isto, introduz-se um termo de penalidade, controlado por um parâmetro de ajuste (λ), sobre o vetor de efeitos específicos com o intuito de diminuí-lo</w:t>
      </w:r>
      <w:r w:rsidR="005A644D">
        <w:rPr>
          <w:rFonts w:ascii="Arial" w:hAnsi="Arial" w:cs="Arial"/>
          <w:sz w:val="24"/>
          <w:szCs w:val="24"/>
          <w:vertAlign w:val="baseline"/>
        </w:rPr>
        <w:t>s</w:t>
      </w:r>
      <w:r w:rsidR="00A415C1" w:rsidRPr="005F5BC9">
        <w:rPr>
          <w:rFonts w:ascii="Arial" w:hAnsi="Arial" w:cs="Arial"/>
          <w:sz w:val="24"/>
          <w:szCs w:val="24"/>
          <w:vertAlign w:val="baseline"/>
        </w:rPr>
        <w:t xml:space="preserve"> (</w:t>
      </w:r>
      <w:proofErr w:type="spellStart"/>
      <w:r w:rsidR="00A415C1" w:rsidRPr="005F5BC9">
        <w:rPr>
          <w:rFonts w:ascii="Arial" w:hAnsi="Arial" w:cs="Arial"/>
          <w:sz w:val="24"/>
          <w:szCs w:val="24"/>
          <w:vertAlign w:val="baseline"/>
        </w:rPr>
        <w:t>Lamarche</w:t>
      </w:r>
      <w:proofErr w:type="spellEnd"/>
      <w:r w:rsidR="00A415C1" w:rsidRPr="005F5BC9">
        <w:rPr>
          <w:rFonts w:ascii="Arial" w:hAnsi="Arial" w:cs="Arial"/>
          <w:sz w:val="24"/>
          <w:szCs w:val="24"/>
          <w:vertAlign w:val="baseline"/>
        </w:rPr>
        <w:t xml:space="preserve">, 2010). Serão apresentados modelos em que λ=0, ou seja, </w:t>
      </w:r>
      <w:r w:rsidR="005A644D">
        <w:rPr>
          <w:rFonts w:ascii="Arial" w:hAnsi="Arial" w:cs="Arial"/>
          <w:sz w:val="24"/>
          <w:szCs w:val="24"/>
          <w:vertAlign w:val="baseline"/>
        </w:rPr>
        <w:t xml:space="preserve">em </w:t>
      </w:r>
      <w:r w:rsidR="00A415C1" w:rsidRPr="005F5BC9">
        <w:rPr>
          <w:rFonts w:ascii="Arial" w:hAnsi="Arial" w:cs="Arial"/>
          <w:sz w:val="24"/>
          <w:szCs w:val="24"/>
          <w:vertAlign w:val="baseline"/>
        </w:rPr>
        <w:t>que não há penalidade e em que λ=1, com penalidade.</w:t>
      </w:r>
    </w:p>
    <w:p w:rsidR="00A415C1" w:rsidRPr="005F5BC9" w:rsidRDefault="005A644D" w:rsidP="00A415C1">
      <w:pPr>
        <w:spacing w:after="0" w:line="240" w:lineRule="auto"/>
        <w:ind w:firstLine="360"/>
        <w:rPr>
          <w:rFonts w:ascii="Arial" w:hAnsi="Arial" w:cs="Arial"/>
          <w:sz w:val="24"/>
          <w:szCs w:val="24"/>
          <w:vertAlign w:val="baseline"/>
        </w:rPr>
      </w:pPr>
      <w:r>
        <w:rPr>
          <w:rFonts w:ascii="Arial" w:hAnsi="Arial" w:cs="Arial"/>
          <w:sz w:val="24"/>
          <w:szCs w:val="24"/>
          <w:vertAlign w:val="baseline"/>
        </w:rPr>
        <w:t xml:space="preserve">Os intervalos de confiança nas regressões </w:t>
      </w:r>
      <w:proofErr w:type="spellStart"/>
      <w:r>
        <w:rPr>
          <w:rFonts w:ascii="Arial" w:hAnsi="Arial" w:cs="Arial"/>
          <w:sz w:val="24"/>
          <w:szCs w:val="24"/>
          <w:vertAlign w:val="baseline"/>
        </w:rPr>
        <w:t>quantílicas</w:t>
      </w:r>
      <w:proofErr w:type="spellEnd"/>
      <w:r w:rsidR="00A415C1" w:rsidRPr="005F5BC9">
        <w:rPr>
          <w:rFonts w:ascii="Arial" w:hAnsi="Arial" w:cs="Arial"/>
          <w:sz w:val="24"/>
          <w:szCs w:val="24"/>
          <w:vertAlign w:val="baseline"/>
        </w:rPr>
        <w:t xml:space="preserve"> s</w:t>
      </w:r>
      <w:r w:rsidR="0075582A" w:rsidRPr="005F5BC9">
        <w:rPr>
          <w:rFonts w:ascii="Arial" w:hAnsi="Arial" w:cs="Arial"/>
          <w:sz w:val="24"/>
          <w:szCs w:val="24"/>
          <w:vertAlign w:val="baseline"/>
        </w:rPr>
        <w:t xml:space="preserve">ão robustos e não </w:t>
      </w:r>
      <w:r w:rsidR="00EF2AE1" w:rsidRPr="005F5BC9">
        <w:rPr>
          <w:rFonts w:ascii="Arial" w:hAnsi="Arial" w:cs="Arial"/>
          <w:sz w:val="24"/>
          <w:szCs w:val="24"/>
          <w:vertAlign w:val="baseline"/>
        </w:rPr>
        <w:t>paramétricos construídos</w:t>
      </w:r>
      <w:r w:rsidR="00A415C1" w:rsidRPr="005F5BC9">
        <w:rPr>
          <w:rFonts w:ascii="Arial" w:hAnsi="Arial" w:cs="Arial"/>
          <w:sz w:val="24"/>
          <w:szCs w:val="24"/>
          <w:vertAlign w:val="baseline"/>
        </w:rPr>
        <w:t xml:space="preserve"> usando-se</w:t>
      </w:r>
      <w:r>
        <w:rPr>
          <w:rFonts w:ascii="Arial" w:hAnsi="Arial" w:cs="Arial"/>
          <w:sz w:val="24"/>
          <w:szCs w:val="24"/>
          <w:vertAlign w:val="baseline"/>
        </w:rPr>
        <w:t xml:space="preserve"> </w:t>
      </w:r>
      <w:proofErr w:type="spellStart"/>
      <w:r w:rsidR="00A415C1" w:rsidRPr="005F5BC9">
        <w:rPr>
          <w:rFonts w:ascii="Arial" w:hAnsi="Arial" w:cs="Arial"/>
          <w:i/>
          <w:sz w:val="24"/>
          <w:szCs w:val="24"/>
          <w:vertAlign w:val="baseline"/>
        </w:rPr>
        <w:t>bootstrap</w:t>
      </w:r>
      <w:proofErr w:type="spellEnd"/>
      <w:r>
        <w:rPr>
          <w:rFonts w:ascii="Arial" w:hAnsi="Arial" w:cs="Arial"/>
          <w:sz w:val="24"/>
          <w:szCs w:val="24"/>
          <w:vertAlign w:val="baseline"/>
        </w:rPr>
        <w:t>, dado</w:t>
      </w:r>
      <w:r w:rsidR="00A415C1" w:rsidRPr="005F5BC9">
        <w:rPr>
          <w:rFonts w:ascii="Arial" w:hAnsi="Arial" w:cs="Arial"/>
          <w:sz w:val="24"/>
          <w:szCs w:val="24"/>
          <w:vertAlign w:val="baseline"/>
        </w:rPr>
        <w:t xml:space="preserve"> que segundo </w:t>
      </w:r>
      <w:proofErr w:type="spellStart"/>
      <w:proofErr w:type="gramStart"/>
      <w:r w:rsidR="00A415C1" w:rsidRPr="005F5BC9">
        <w:rPr>
          <w:rFonts w:ascii="Arial" w:hAnsi="Arial" w:cs="Arial"/>
          <w:sz w:val="24"/>
          <w:szCs w:val="24"/>
          <w:vertAlign w:val="baseline"/>
        </w:rPr>
        <w:t>Hahn</w:t>
      </w:r>
      <w:proofErr w:type="spellEnd"/>
      <w:r w:rsidR="00A415C1" w:rsidRPr="005F5BC9">
        <w:rPr>
          <w:rFonts w:ascii="Arial" w:hAnsi="Arial" w:cs="Arial"/>
          <w:sz w:val="24"/>
          <w:szCs w:val="24"/>
          <w:vertAlign w:val="baseline"/>
        </w:rPr>
        <w:t>(</w:t>
      </w:r>
      <w:proofErr w:type="gramEnd"/>
      <w:r w:rsidR="00A415C1" w:rsidRPr="005F5BC9">
        <w:rPr>
          <w:rFonts w:ascii="Arial" w:hAnsi="Arial" w:cs="Arial"/>
          <w:sz w:val="24"/>
          <w:szCs w:val="24"/>
          <w:vertAlign w:val="baseline"/>
        </w:rPr>
        <w:t>1</w:t>
      </w:r>
      <w:r>
        <w:rPr>
          <w:rFonts w:ascii="Arial" w:hAnsi="Arial" w:cs="Arial"/>
          <w:sz w:val="24"/>
          <w:szCs w:val="24"/>
          <w:vertAlign w:val="baseline"/>
        </w:rPr>
        <w:t>995), a variância assintótica do estimador</w:t>
      </w:r>
      <w:r w:rsidR="00A415C1" w:rsidRPr="005F5BC9">
        <w:rPr>
          <w:rFonts w:ascii="Arial" w:hAnsi="Arial" w:cs="Arial"/>
          <w:sz w:val="24"/>
          <w:szCs w:val="24"/>
          <w:vertAlign w:val="baseline"/>
        </w:rPr>
        <w:t xml:space="preserve"> é dependente da densidade do termo de erro, e não fosse o </w:t>
      </w:r>
      <w:proofErr w:type="spellStart"/>
      <w:r w:rsidR="00A415C1" w:rsidRPr="005F5BC9">
        <w:rPr>
          <w:rFonts w:ascii="Arial" w:hAnsi="Arial" w:cs="Arial"/>
          <w:i/>
          <w:sz w:val="24"/>
          <w:szCs w:val="24"/>
          <w:vertAlign w:val="baseline"/>
        </w:rPr>
        <w:t>bootstrap</w:t>
      </w:r>
      <w:proofErr w:type="spellEnd"/>
      <w:r w:rsidR="00A415C1" w:rsidRPr="005F5BC9">
        <w:rPr>
          <w:rFonts w:ascii="Arial" w:hAnsi="Arial" w:cs="Arial"/>
          <w:sz w:val="24"/>
          <w:szCs w:val="24"/>
          <w:vertAlign w:val="baseline"/>
        </w:rPr>
        <w:t xml:space="preserve"> seria preciso uma estimação não-paramétrica da densidade. Além disso, nas regressões </w:t>
      </w:r>
      <w:proofErr w:type="spellStart"/>
      <w:r w:rsidR="00A415C1" w:rsidRPr="005F5BC9">
        <w:rPr>
          <w:rFonts w:ascii="Arial" w:hAnsi="Arial" w:cs="Arial"/>
          <w:sz w:val="24"/>
          <w:szCs w:val="24"/>
          <w:vertAlign w:val="baseline"/>
        </w:rPr>
        <w:t>quantílicas</w:t>
      </w:r>
      <w:proofErr w:type="spellEnd"/>
      <w:r w:rsidR="00A415C1" w:rsidRPr="005F5BC9">
        <w:rPr>
          <w:rFonts w:ascii="Arial" w:hAnsi="Arial" w:cs="Arial"/>
          <w:sz w:val="24"/>
          <w:szCs w:val="24"/>
          <w:vertAlign w:val="baseline"/>
        </w:rPr>
        <w:t xml:space="preserve"> não foram utilizados </w:t>
      </w:r>
      <w:r w:rsidR="00A415C1" w:rsidRPr="005F5BC9">
        <w:rPr>
          <w:rFonts w:ascii="Arial" w:hAnsi="Arial" w:cs="Arial"/>
          <w:i/>
          <w:sz w:val="24"/>
          <w:szCs w:val="24"/>
          <w:vertAlign w:val="baseline"/>
        </w:rPr>
        <w:t>clusters</w:t>
      </w:r>
      <w:r>
        <w:rPr>
          <w:rFonts w:ascii="Arial" w:hAnsi="Arial" w:cs="Arial"/>
          <w:i/>
          <w:sz w:val="24"/>
          <w:szCs w:val="24"/>
          <w:vertAlign w:val="baseline"/>
        </w:rPr>
        <w:t xml:space="preserve"> </w:t>
      </w:r>
      <w:r w:rsidR="00A415C1" w:rsidRPr="005F5BC9">
        <w:rPr>
          <w:rFonts w:ascii="Arial" w:hAnsi="Arial" w:cs="Arial"/>
          <w:sz w:val="24"/>
          <w:szCs w:val="24"/>
          <w:vertAlign w:val="baseline"/>
        </w:rPr>
        <w:t>nem ponderação.</w:t>
      </w:r>
    </w:p>
    <w:p w:rsidR="00F11FAA" w:rsidRDefault="00F11FAA" w:rsidP="00291764">
      <w:pPr>
        <w:spacing w:after="0" w:line="240" w:lineRule="auto"/>
        <w:rPr>
          <w:rFonts w:ascii="Arial" w:hAnsi="Arial" w:cs="Arial"/>
          <w:sz w:val="24"/>
          <w:szCs w:val="24"/>
          <w:vertAlign w:val="baseline"/>
        </w:rPr>
      </w:pPr>
    </w:p>
    <w:p w:rsidR="00B7505E" w:rsidRDefault="00B7505E" w:rsidP="00291764">
      <w:pPr>
        <w:spacing w:after="0" w:line="240" w:lineRule="auto"/>
        <w:rPr>
          <w:rFonts w:ascii="Arial" w:hAnsi="Arial" w:cs="Arial"/>
          <w:sz w:val="24"/>
          <w:szCs w:val="24"/>
          <w:vertAlign w:val="baseline"/>
        </w:rPr>
      </w:pPr>
    </w:p>
    <w:p w:rsidR="00B7505E" w:rsidRPr="005F5BC9" w:rsidRDefault="00B7505E" w:rsidP="00291764">
      <w:pPr>
        <w:spacing w:after="0" w:line="240" w:lineRule="auto"/>
        <w:rPr>
          <w:rFonts w:ascii="Arial" w:hAnsi="Arial" w:cs="Arial"/>
          <w:sz w:val="24"/>
          <w:szCs w:val="24"/>
          <w:vertAlign w:val="baseline"/>
        </w:rPr>
      </w:pPr>
    </w:p>
    <w:p w:rsidR="00F11FAA" w:rsidRPr="005F5BC9" w:rsidRDefault="00F11FAA" w:rsidP="00291764">
      <w:pPr>
        <w:spacing w:after="0" w:line="240" w:lineRule="auto"/>
        <w:rPr>
          <w:rFonts w:ascii="Arial" w:hAnsi="Arial" w:cs="Arial"/>
          <w:sz w:val="24"/>
          <w:szCs w:val="24"/>
          <w:vertAlign w:val="baseline"/>
        </w:rPr>
      </w:pPr>
    </w:p>
    <w:p w:rsidR="00AE2026" w:rsidRPr="005F5BC9" w:rsidRDefault="0096154B" w:rsidP="0096154B">
      <w:pPr>
        <w:pStyle w:val="PargrafodaLista"/>
        <w:numPr>
          <w:ilvl w:val="0"/>
          <w:numId w:val="5"/>
        </w:numPr>
        <w:spacing w:after="0" w:line="240" w:lineRule="auto"/>
        <w:rPr>
          <w:rFonts w:ascii="Arial" w:hAnsi="Arial" w:cs="Arial"/>
          <w:b/>
          <w:sz w:val="24"/>
          <w:szCs w:val="24"/>
          <w:vertAlign w:val="baseline"/>
        </w:rPr>
      </w:pPr>
      <w:r w:rsidRPr="005F5BC9">
        <w:rPr>
          <w:rFonts w:ascii="Arial" w:hAnsi="Arial" w:cs="Arial"/>
          <w:b/>
          <w:sz w:val="24"/>
          <w:szCs w:val="24"/>
          <w:vertAlign w:val="baseline"/>
        </w:rPr>
        <w:t>Análise dos resultados</w:t>
      </w:r>
    </w:p>
    <w:p w:rsidR="0096154B" w:rsidRPr="005A644D" w:rsidRDefault="005A644D" w:rsidP="005A644D">
      <w:pPr>
        <w:pStyle w:val="PargrafodaLista"/>
        <w:spacing w:after="0" w:line="240" w:lineRule="auto"/>
        <w:ind w:left="780"/>
        <w:rPr>
          <w:rFonts w:ascii="Arial" w:hAnsi="Arial" w:cs="Arial"/>
          <w:b/>
          <w:sz w:val="24"/>
          <w:szCs w:val="24"/>
          <w:vertAlign w:val="baseline"/>
        </w:rPr>
      </w:pPr>
      <w:proofErr w:type="gramStart"/>
      <w:r>
        <w:rPr>
          <w:rFonts w:ascii="Arial" w:hAnsi="Arial" w:cs="Arial"/>
          <w:b/>
          <w:sz w:val="24"/>
          <w:szCs w:val="24"/>
          <w:vertAlign w:val="baseline"/>
        </w:rPr>
        <w:t>5.1.</w:t>
      </w:r>
      <w:proofErr w:type="gramEnd"/>
      <w:r w:rsidR="0096154B" w:rsidRPr="005A644D">
        <w:rPr>
          <w:rFonts w:ascii="Arial" w:hAnsi="Arial" w:cs="Arial"/>
          <w:b/>
          <w:sz w:val="24"/>
          <w:szCs w:val="24"/>
          <w:vertAlign w:val="baseline"/>
        </w:rPr>
        <w:t>O modelo de dados em painel</w:t>
      </w:r>
    </w:p>
    <w:p w:rsidR="00047661" w:rsidRPr="005F5BC9" w:rsidRDefault="00047661" w:rsidP="00047661">
      <w:pPr>
        <w:pStyle w:val="PargrafodaLista"/>
        <w:spacing w:after="0" w:line="240" w:lineRule="auto"/>
        <w:ind w:left="780"/>
        <w:rPr>
          <w:rFonts w:ascii="Arial" w:hAnsi="Arial" w:cs="Arial"/>
          <w:b/>
          <w:sz w:val="24"/>
          <w:szCs w:val="24"/>
          <w:vertAlign w:val="baseline"/>
        </w:rPr>
      </w:pPr>
    </w:p>
    <w:p w:rsidR="00306944" w:rsidRPr="005F5BC9" w:rsidRDefault="00BF74E7" w:rsidP="00306944">
      <w:pPr>
        <w:spacing w:after="0" w:line="240" w:lineRule="auto"/>
        <w:ind w:firstLine="420"/>
        <w:rPr>
          <w:rFonts w:ascii="Arial" w:hAnsi="Arial" w:cs="Arial"/>
          <w:sz w:val="24"/>
          <w:szCs w:val="24"/>
          <w:vertAlign w:val="baseline"/>
        </w:rPr>
      </w:pPr>
      <w:r w:rsidRPr="005F5BC9">
        <w:rPr>
          <w:rFonts w:ascii="Arial" w:hAnsi="Arial" w:cs="Arial"/>
          <w:sz w:val="24"/>
          <w:szCs w:val="24"/>
          <w:vertAlign w:val="baseline"/>
        </w:rPr>
        <w:t xml:space="preserve">Os resultados para o modelo de efeitos fixos </w:t>
      </w:r>
      <w:r w:rsidR="00E402B1">
        <w:rPr>
          <w:rFonts w:ascii="Arial" w:hAnsi="Arial" w:cs="Arial"/>
          <w:sz w:val="24"/>
          <w:szCs w:val="24"/>
          <w:vertAlign w:val="baseline"/>
        </w:rPr>
        <w:t xml:space="preserve">na especificação linear </w:t>
      </w:r>
      <w:r w:rsidRPr="005F5BC9">
        <w:rPr>
          <w:rFonts w:ascii="Arial" w:hAnsi="Arial" w:cs="Arial"/>
          <w:sz w:val="24"/>
          <w:szCs w:val="24"/>
          <w:vertAlign w:val="baseline"/>
        </w:rPr>
        <w:t>são apresentados na</w:t>
      </w:r>
      <w:r w:rsidR="0069403F">
        <w:rPr>
          <w:rFonts w:ascii="Arial" w:hAnsi="Arial" w:cs="Arial"/>
          <w:sz w:val="24"/>
          <w:szCs w:val="24"/>
          <w:vertAlign w:val="baseline"/>
        </w:rPr>
        <w:t>s T</w:t>
      </w:r>
      <w:r w:rsidRPr="005F5BC9">
        <w:rPr>
          <w:rFonts w:ascii="Arial" w:hAnsi="Arial" w:cs="Arial"/>
          <w:sz w:val="24"/>
          <w:szCs w:val="24"/>
          <w:vertAlign w:val="baseline"/>
        </w:rPr>
        <w:t>abela</w:t>
      </w:r>
      <w:r w:rsidR="00B10133">
        <w:rPr>
          <w:rFonts w:ascii="Arial" w:hAnsi="Arial" w:cs="Arial"/>
          <w:sz w:val="24"/>
          <w:szCs w:val="24"/>
          <w:vertAlign w:val="baseline"/>
        </w:rPr>
        <w:t>s</w:t>
      </w:r>
      <w:r w:rsidRPr="005F5BC9">
        <w:rPr>
          <w:rFonts w:ascii="Arial" w:hAnsi="Arial" w:cs="Arial"/>
          <w:sz w:val="24"/>
          <w:szCs w:val="24"/>
          <w:vertAlign w:val="baseline"/>
        </w:rPr>
        <w:t xml:space="preserve"> </w:t>
      </w:r>
      <w:r w:rsidR="001F15DC">
        <w:rPr>
          <w:rFonts w:ascii="Arial" w:hAnsi="Arial" w:cs="Arial"/>
          <w:sz w:val="24"/>
          <w:szCs w:val="24"/>
          <w:vertAlign w:val="baseline"/>
        </w:rPr>
        <w:t>8</w:t>
      </w:r>
      <w:r w:rsidR="00E402B1">
        <w:rPr>
          <w:rFonts w:ascii="Arial" w:hAnsi="Arial" w:cs="Arial"/>
          <w:sz w:val="24"/>
          <w:szCs w:val="24"/>
          <w:vertAlign w:val="baseline"/>
        </w:rPr>
        <w:t>.</w:t>
      </w:r>
      <w:r w:rsidRPr="005F5BC9">
        <w:rPr>
          <w:rFonts w:ascii="Arial" w:hAnsi="Arial" w:cs="Arial"/>
          <w:sz w:val="24"/>
          <w:szCs w:val="24"/>
          <w:vertAlign w:val="baseline"/>
        </w:rPr>
        <w:t xml:space="preserve"> </w:t>
      </w:r>
      <w:r w:rsidR="00E402B1">
        <w:rPr>
          <w:rFonts w:ascii="Arial" w:hAnsi="Arial" w:cs="Arial"/>
          <w:sz w:val="24"/>
          <w:szCs w:val="24"/>
          <w:vertAlign w:val="baseline"/>
        </w:rPr>
        <w:t>S</w:t>
      </w:r>
      <w:r w:rsidRPr="005F5BC9">
        <w:rPr>
          <w:rFonts w:ascii="Arial" w:hAnsi="Arial" w:cs="Arial"/>
          <w:sz w:val="24"/>
          <w:szCs w:val="24"/>
          <w:vertAlign w:val="baseline"/>
        </w:rPr>
        <w:t>ão apresentadas as estimativas usando-se mínimos quadrados ordinários para efeitos de comparação.</w:t>
      </w:r>
    </w:p>
    <w:p w:rsidR="0069403F" w:rsidRDefault="00315CB4" w:rsidP="00306944">
      <w:pPr>
        <w:spacing w:after="0" w:line="240" w:lineRule="auto"/>
        <w:ind w:firstLine="420"/>
        <w:rPr>
          <w:rFonts w:ascii="Arial" w:hAnsi="Arial" w:cs="Arial"/>
          <w:sz w:val="24"/>
          <w:szCs w:val="24"/>
          <w:vertAlign w:val="baseline"/>
        </w:rPr>
      </w:pPr>
      <w:r w:rsidRPr="005F5BC9">
        <w:rPr>
          <w:rFonts w:ascii="Arial" w:hAnsi="Arial" w:cs="Arial"/>
          <w:sz w:val="24"/>
          <w:szCs w:val="24"/>
          <w:vertAlign w:val="baseline"/>
        </w:rPr>
        <w:t>Em primeiro lugar, observa-se que</w:t>
      </w:r>
      <w:r w:rsidR="00E32FBC">
        <w:rPr>
          <w:rFonts w:ascii="Arial" w:hAnsi="Arial" w:cs="Arial"/>
          <w:sz w:val="24"/>
          <w:szCs w:val="24"/>
          <w:vertAlign w:val="baseline"/>
        </w:rPr>
        <w:t>,</w:t>
      </w:r>
      <w:r w:rsidRPr="005F5BC9">
        <w:rPr>
          <w:rFonts w:ascii="Arial" w:hAnsi="Arial" w:cs="Arial"/>
          <w:sz w:val="24"/>
          <w:szCs w:val="24"/>
          <w:vertAlign w:val="baseline"/>
        </w:rPr>
        <w:t xml:space="preserve"> em todos</w:t>
      </w:r>
      <w:r w:rsidR="00E32FBC">
        <w:rPr>
          <w:rFonts w:ascii="Arial" w:hAnsi="Arial" w:cs="Arial"/>
          <w:sz w:val="24"/>
          <w:szCs w:val="24"/>
          <w:vertAlign w:val="baseline"/>
        </w:rPr>
        <w:t xml:space="preserve"> os</w:t>
      </w:r>
      <w:r w:rsidRPr="005F5BC9">
        <w:rPr>
          <w:rFonts w:ascii="Arial" w:hAnsi="Arial" w:cs="Arial"/>
          <w:sz w:val="24"/>
          <w:szCs w:val="24"/>
          <w:vertAlign w:val="baseline"/>
        </w:rPr>
        <w:t xml:space="preserve"> modelos</w:t>
      </w:r>
      <w:r w:rsidR="00E32FBC">
        <w:rPr>
          <w:rFonts w:ascii="Arial" w:hAnsi="Arial" w:cs="Arial"/>
          <w:sz w:val="24"/>
          <w:szCs w:val="24"/>
          <w:vertAlign w:val="baseline"/>
        </w:rPr>
        <w:t xml:space="preserve"> lineares analisados, </w:t>
      </w:r>
      <w:r w:rsidRPr="005F5BC9">
        <w:rPr>
          <w:rFonts w:ascii="Arial" w:hAnsi="Arial" w:cs="Arial"/>
          <w:sz w:val="24"/>
          <w:szCs w:val="24"/>
          <w:vertAlign w:val="baseline"/>
        </w:rPr>
        <w:t xml:space="preserve">há evidência de efeito </w:t>
      </w:r>
      <w:proofErr w:type="spellStart"/>
      <w:r w:rsidRPr="005F5BC9">
        <w:rPr>
          <w:rFonts w:ascii="Arial" w:hAnsi="Arial" w:cs="Arial"/>
          <w:i/>
          <w:sz w:val="24"/>
          <w:szCs w:val="24"/>
          <w:vertAlign w:val="baseline"/>
        </w:rPr>
        <w:t>flypaper</w:t>
      </w:r>
      <w:proofErr w:type="spellEnd"/>
      <w:r w:rsidRPr="005F5BC9">
        <w:rPr>
          <w:rFonts w:ascii="Arial" w:hAnsi="Arial" w:cs="Arial"/>
          <w:sz w:val="24"/>
          <w:szCs w:val="24"/>
          <w:vertAlign w:val="baseline"/>
        </w:rPr>
        <w:t>, ex</w:t>
      </w:r>
      <w:r w:rsidR="0069403F">
        <w:rPr>
          <w:rFonts w:ascii="Arial" w:hAnsi="Arial" w:cs="Arial"/>
          <w:sz w:val="24"/>
          <w:szCs w:val="24"/>
          <w:vertAlign w:val="baseline"/>
        </w:rPr>
        <w:t xml:space="preserve">ceto no modelo de efeitos </w:t>
      </w:r>
      <w:proofErr w:type="gramStart"/>
      <w:r w:rsidR="0069403F">
        <w:rPr>
          <w:rFonts w:ascii="Arial" w:hAnsi="Arial" w:cs="Arial"/>
          <w:sz w:val="24"/>
          <w:szCs w:val="24"/>
          <w:vertAlign w:val="baseline"/>
        </w:rPr>
        <w:t xml:space="preserve">fixos </w:t>
      </w:r>
      <w:r w:rsidRPr="005F5BC9">
        <w:rPr>
          <w:rFonts w:ascii="Arial" w:hAnsi="Arial" w:cs="Arial"/>
          <w:sz w:val="24"/>
          <w:szCs w:val="24"/>
          <w:vertAlign w:val="baseline"/>
        </w:rPr>
        <w:t>não ponderado</w:t>
      </w:r>
      <w:proofErr w:type="gramEnd"/>
      <w:r w:rsidRPr="005F5BC9">
        <w:rPr>
          <w:rFonts w:ascii="Arial" w:hAnsi="Arial" w:cs="Arial"/>
          <w:sz w:val="24"/>
          <w:szCs w:val="24"/>
          <w:vertAlign w:val="baseline"/>
        </w:rPr>
        <w:t xml:space="preserve">. </w:t>
      </w:r>
    </w:p>
    <w:p w:rsidR="0069403F" w:rsidRDefault="00315CB4" w:rsidP="00742788">
      <w:pPr>
        <w:spacing w:after="0" w:line="240" w:lineRule="auto"/>
        <w:ind w:firstLine="420"/>
        <w:rPr>
          <w:rFonts w:ascii="Arial" w:hAnsi="Arial" w:cs="Arial"/>
          <w:sz w:val="24"/>
          <w:szCs w:val="24"/>
          <w:vertAlign w:val="baseline"/>
        </w:rPr>
      </w:pPr>
      <w:r w:rsidRPr="005F5BC9">
        <w:rPr>
          <w:rFonts w:ascii="Arial" w:hAnsi="Arial" w:cs="Arial"/>
          <w:sz w:val="24"/>
          <w:szCs w:val="24"/>
          <w:vertAlign w:val="baseline"/>
        </w:rPr>
        <w:t>Além disso, n</w:t>
      </w:r>
      <w:r w:rsidR="00306944" w:rsidRPr="005F5BC9">
        <w:rPr>
          <w:rFonts w:ascii="Arial" w:hAnsi="Arial" w:cs="Arial"/>
          <w:sz w:val="24"/>
          <w:szCs w:val="24"/>
          <w:vertAlign w:val="baseline"/>
        </w:rPr>
        <w:t>ota-se que, para os modelos lineares o efeito das transferências condicionais em saúde é substancialmente maior</w:t>
      </w:r>
      <w:r w:rsidR="0069403F">
        <w:rPr>
          <w:rFonts w:ascii="Arial" w:hAnsi="Arial" w:cs="Arial"/>
          <w:sz w:val="24"/>
          <w:szCs w:val="24"/>
          <w:vertAlign w:val="baseline"/>
        </w:rPr>
        <w:t xml:space="preserve"> do</w:t>
      </w:r>
      <w:r w:rsidR="00306944" w:rsidRPr="005F5BC9">
        <w:rPr>
          <w:rFonts w:ascii="Arial" w:hAnsi="Arial" w:cs="Arial"/>
          <w:sz w:val="24"/>
          <w:szCs w:val="24"/>
          <w:vertAlign w:val="baseline"/>
        </w:rPr>
        <w:t xml:space="preserve"> que o efeito das transferências incondicionais, i</w:t>
      </w:r>
      <w:r w:rsidR="008945C2" w:rsidRPr="005F5BC9">
        <w:rPr>
          <w:rFonts w:ascii="Arial" w:hAnsi="Arial" w:cs="Arial"/>
          <w:sz w:val="24"/>
          <w:szCs w:val="24"/>
          <w:vertAlign w:val="baseline"/>
        </w:rPr>
        <w:t>ndicando</w:t>
      </w:r>
      <w:r w:rsidR="00306944" w:rsidRPr="005F5BC9">
        <w:rPr>
          <w:rFonts w:ascii="Arial" w:hAnsi="Arial" w:cs="Arial"/>
          <w:sz w:val="24"/>
          <w:szCs w:val="24"/>
          <w:vertAlign w:val="baseline"/>
        </w:rPr>
        <w:t xml:space="preserve"> que a condicionalidade a</w:t>
      </w:r>
      <w:r w:rsidR="009630B7" w:rsidRPr="005F5BC9">
        <w:rPr>
          <w:rFonts w:ascii="Arial" w:hAnsi="Arial" w:cs="Arial"/>
          <w:sz w:val="24"/>
          <w:szCs w:val="24"/>
          <w:vertAlign w:val="baseline"/>
        </w:rPr>
        <w:t>feta</w:t>
      </w:r>
      <w:r w:rsidR="003F0068" w:rsidRPr="005F5BC9">
        <w:rPr>
          <w:rFonts w:ascii="Arial" w:hAnsi="Arial" w:cs="Arial"/>
          <w:sz w:val="24"/>
          <w:szCs w:val="24"/>
          <w:vertAlign w:val="baseline"/>
        </w:rPr>
        <w:t xml:space="preserve"> o comportamento do gasto</w:t>
      </w:r>
      <w:r w:rsidR="007008D4" w:rsidRPr="005F5BC9">
        <w:rPr>
          <w:rFonts w:ascii="Arial" w:hAnsi="Arial" w:cs="Arial"/>
          <w:sz w:val="24"/>
          <w:szCs w:val="24"/>
          <w:vertAlign w:val="baseline"/>
        </w:rPr>
        <w:t xml:space="preserve">. De acordo com modelo linear de efeitos </w:t>
      </w:r>
      <w:proofErr w:type="gramStart"/>
      <w:r w:rsidR="007008D4" w:rsidRPr="005F5BC9">
        <w:rPr>
          <w:rFonts w:ascii="Arial" w:hAnsi="Arial" w:cs="Arial"/>
          <w:sz w:val="24"/>
          <w:szCs w:val="24"/>
          <w:vertAlign w:val="baseline"/>
        </w:rPr>
        <w:t>fixos ponderado pela população</w:t>
      </w:r>
      <w:proofErr w:type="gramEnd"/>
      <w:r w:rsidR="007008D4" w:rsidRPr="005F5BC9">
        <w:rPr>
          <w:rFonts w:ascii="Arial" w:hAnsi="Arial" w:cs="Arial"/>
          <w:sz w:val="24"/>
          <w:szCs w:val="24"/>
          <w:vertAlign w:val="baseline"/>
        </w:rPr>
        <w:t>, enquanto o aumento de R$ 1/capita de uma transferência do PAB leva a um aumento médio de R$ 0,80/capita no gasto em saúde, uma transferência do FPM em R$ 1/capita se trad</w:t>
      </w:r>
      <w:r w:rsidR="00210287">
        <w:rPr>
          <w:rFonts w:ascii="Arial" w:hAnsi="Arial" w:cs="Arial"/>
          <w:sz w:val="24"/>
          <w:szCs w:val="24"/>
          <w:vertAlign w:val="baseline"/>
        </w:rPr>
        <w:t>uz em R$ 0,18 em gasto em saúde</w:t>
      </w:r>
      <w:r w:rsidR="003F0068" w:rsidRPr="005F5BC9">
        <w:rPr>
          <w:rFonts w:ascii="Arial" w:hAnsi="Arial" w:cs="Arial"/>
          <w:sz w:val="24"/>
          <w:szCs w:val="24"/>
          <w:vertAlign w:val="baseline"/>
        </w:rPr>
        <w:t xml:space="preserve">. </w:t>
      </w:r>
    </w:p>
    <w:p w:rsidR="0069403F" w:rsidRDefault="003F0068" w:rsidP="00306944">
      <w:pPr>
        <w:spacing w:after="0" w:line="240" w:lineRule="auto"/>
        <w:ind w:firstLine="420"/>
        <w:rPr>
          <w:rFonts w:ascii="Arial" w:eastAsia="Times New Roman" w:hAnsi="Arial" w:cs="Arial"/>
          <w:sz w:val="24"/>
          <w:szCs w:val="24"/>
          <w:vertAlign w:val="baseline"/>
          <w:lang w:eastAsia="pt-BR"/>
        </w:rPr>
      </w:pPr>
      <w:r w:rsidRPr="005F5BC9">
        <w:rPr>
          <w:rFonts w:ascii="Arial" w:hAnsi="Arial" w:cs="Arial"/>
          <w:sz w:val="24"/>
          <w:szCs w:val="24"/>
          <w:vertAlign w:val="baseline"/>
        </w:rPr>
        <w:t>Isto</w:t>
      </w:r>
      <w:r w:rsidR="009630B7" w:rsidRPr="005F5BC9">
        <w:rPr>
          <w:rFonts w:ascii="Arial" w:hAnsi="Arial" w:cs="Arial"/>
          <w:sz w:val="24"/>
          <w:szCs w:val="24"/>
          <w:vertAlign w:val="baseline"/>
        </w:rPr>
        <w:t xml:space="preserve"> parece fazer sentido prático uma vez que mesmo que </w:t>
      </w:r>
      <w:r w:rsidRPr="005F5BC9">
        <w:rPr>
          <w:rFonts w:ascii="Arial" w:hAnsi="Arial" w:cs="Arial"/>
          <w:sz w:val="24"/>
          <w:szCs w:val="24"/>
          <w:vertAlign w:val="baseline"/>
        </w:rPr>
        <w:t xml:space="preserve">o montante que os governos recebam como transferência do SUS seja inferior ao montante </w:t>
      </w:r>
      <w:r w:rsidR="005333F2" w:rsidRPr="005F5BC9">
        <w:rPr>
          <w:rFonts w:ascii="Arial" w:hAnsi="Arial" w:cs="Arial"/>
          <w:sz w:val="24"/>
          <w:szCs w:val="24"/>
          <w:vertAlign w:val="baseline"/>
        </w:rPr>
        <w:t xml:space="preserve">que já seria </w:t>
      </w:r>
      <w:r w:rsidRPr="005F5BC9">
        <w:rPr>
          <w:rFonts w:ascii="Arial" w:hAnsi="Arial" w:cs="Arial"/>
          <w:sz w:val="24"/>
          <w:szCs w:val="24"/>
          <w:vertAlign w:val="baseline"/>
        </w:rPr>
        <w:t xml:space="preserve">gasto em saúde sem o recebimento da transferência, a obrigatoriedade de aplicar os recursos do SUS em saúde </w:t>
      </w:r>
      <w:r w:rsidRPr="005F5BC9">
        <w:rPr>
          <w:rFonts w:ascii="Arial" w:eastAsia="Times New Roman" w:hAnsi="Arial" w:cs="Arial"/>
          <w:sz w:val="24"/>
          <w:szCs w:val="24"/>
          <w:vertAlign w:val="baseline"/>
          <w:lang w:eastAsia="pt-BR"/>
        </w:rPr>
        <w:t xml:space="preserve">faz com que os governantes prefiram gastar os recursos destas transferências </w:t>
      </w:r>
      <w:r w:rsidR="007008D4" w:rsidRPr="005F5BC9">
        <w:rPr>
          <w:rFonts w:ascii="Arial" w:eastAsia="Times New Roman" w:hAnsi="Arial" w:cs="Arial"/>
          <w:sz w:val="24"/>
          <w:szCs w:val="24"/>
          <w:vertAlign w:val="baseline"/>
          <w:lang w:eastAsia="pt-BR"/>
        </w:rPr>
        <w:t xml:space="preserve">justamente </w:t>
      </w:r>
      <w:r w:rsidRPr="005F5BC9">
        <w:rPr>
          <w:rFonts w:ascii="Arial" w:eastAsia="Times New Roman" w:hAnsi="Arial" w:cs="Arial"/>
          <w:sz w:val="24"/>
          <w:szCs w:val="24"/>
          <w:vertAlign w:val="baseline"/>
          <w:lang w:eastAsia="pt-BR"/>
        </w:rPr>
        <w:t xml:space="preserve">em saúde, em vez de direcionar recursos de outras fontes. </w:t>
      </w:r>
    </w:p>
    <w:p w:rsidR="00306944" w:rsidRDefault="003F0068" w:rsidP="00306944">
      <w:pPr>
        <w:spacing w:after="0" w:line="240" w:lineRule="auto"/>
        <w:ind w:firstLine="420"/>
        <w:rPr>
          <w:rFonts w:ascii="Arial" w:eastAsia="Times New Roman" w:hAnsi="Arial" w:cs="Arial"/>
          <w:sz w:val="24"/>
          <w:szCs w:val="24"/>
          <w:vertAlign w:val="baseline"/>
          <w:lang w:eastAsia="pt-BR"/>
        </w:rPr>
      </w:pPr>
      <w:r w:rsidRPr="005F5BC9">
        <w:rPr>
          <w:rFonts w:ascii="Arial" w:eastAsia="Times New Roman" w:hAnsi="Arial" w:cs="Arial"/>
          <w:sz w:val="24"/>
          <w:szCs w:val="24"/>
          <w:vertAlign w:val="baseline"/>
          <w:lang w:eastAsia="pt-BR"/>
        </w:rPr>
        <w:t>De qualquer maneira, observa-se que nem todo o rec</w:t>
      </w:r>
      <w:r w:rsidR="0069403F">
        <w:rPr>
          <w:rFonts w:ascii="Arial" w:eastAsia="Times New Roman" w:hAnsi="Arial" w:cs="Arial"/>
          <w:sz w:val="24"/>
          <w:szCs w:val="24"/>
          <w:vertAlign w:val="baseline"/>
          <w:lang w:eastAsia="pt-BR"/>
        </w:rPr>
        <w:t>urso do SUS é aplicado em saúde.</w:t>
      </w:r>
      <w:r w:rsidR="00742788">
        <w:rPr>
          <w:rFonts w:ascii="Arial" w:eastAsia="Times New Roman" w:hAnsi="Arial" w:cs="Arial"/>
          <w:sz w:val="24"/>
          <w:szCs w:val="24"/>
          <w:vertAlign w:val="baseline"/>
          <w:lang w:eastAsia="pt-BR"/>
        </w:rPr>
        <w:t xml:space="preserve"> Os coeficientes obtidos para as transferências condicionais à saúde são estatisticamente diferentes de </w:t>
      </w:r>
      <w:proofErr w:type="gramStart"/>
      <w:r w:rsidR="00742788">
        <w:rPr>
          <w:rFonts w:ascii="Arial" w:eastAsia="Times New Roman" w:hAnsi="Arial" w:cs="Arial"/>
          <w:sz w:val="24"/>
          <w:szCs w:val="24"/>
          <w:vertAlign w:val="baseline"/>
          <w:lang w:eastAsia="pt-BR"/>
        </w:rPr>
        <w:t>1</w:t>
      </w:r>
      <w:proofErr w:type="gramEnd"/>
      <w:r w:rsidR="00742788">
        <w:rPr>
          <w:rFonts w:ascii="Arial" w:eastAsia="Times New Roman" w:hAnsi="Arial" w:cs="Arial"/>
          <w:sz w:val="24"/>
          <w:szCs w:val="24"/>
          <w:vertAlign w:val="baseline"/>
          <w:lang w:eastAsia="pt-BR"/>
        </w:rPr>
        <w:t>. Com isso é possível concluir que de acordo com as evidências obtidas c</w:t>
      </w:r>
      <w:r w:rsidRPr="005F5BC9">
        <w:rPr>
          <w:rFonts w:ascii="Arial" w:eastAsia="Times New Roman" w:hAnsi="Arial" w:cs="Arial"/>
          <w:sz w:val="24"/>
          <w:szCs w:val="24"/>
          <w:vertAlign w:val="baseline"/>
          <w:lang w:eastAsia="pt-BR"/>
        </w:rPr>
        <w:t>o</w:t>
      </w:r>
      <w:r w:rsidR="00742788">
        <w:rPr>
          <w:rFonts w:ascii="Arial" w:eastAsia="Times New Roman" w:hAnsi="Arial" w:cs="Arial"/>
          <w:sz w:val="24"/>
          <w:szCs w:val="24"/>
          <w:vertAlign w:val="baseline"/>
          <w:lang w:eastAsia="pt-BR"/>
        </w:rPr>
        <w:t>m o</w:t>
      </w:r>
      <w:r w:rsidRPr="005F5BC9">
        <w:rPr>
          <w:rFonts w:ascii="Arial" w:eastAsia="Times New Roman" w:hAnsi="Arial" w:cs="Arial"/>
          <w:sz w:val="24"/>
          <w:szCs w:val="24"/>
          <w:vertAlign w:val="baseline"/>
          <w:lang w:eastAsia="pt-BR"/>
        </w:rPr>
        <w:t xml:space="preserve"> modelo linear de efeitos fixos ponderados</w:t>
      </w:r>
      <w:r w:rsidR="00742788">
        <w:rPr>
          <w:rFonts w:ascii="Arial" w:eastAsia="Times New Roman" w:hAnsi="Arial" w:cs="Arial"/>
          <w:sz w:val="24"/>
          <w:szCs w:val="24"/>
          <w:vertAlign w:val="baseline"/>
          <w:lang w:eastAsia="pt-BR"/>
        </w:rPr>
        <w:t>,</w:t>
      </w:r>
      <w:r w:rsidRPr="005F5BC9">
        <w:rPr>
          <w:rFonts w:ascii="Arial" w:eastAsia="Times New Roman" w:hAnsi="Arial" w:cs="Arial"/>
          <w:sz w:val="24"/>
          <w:szCs w:val="24"/>
          <w:vertAlign w:val="baseline"/>
          <w:lang w:eastAsia="pt-BR"/>
        </w:rPr>
        <w:t xml:space="preserve"> para cada R$ 1 de aumento da transferência do Piso de Atenção Básica, </w:t>
      </w:r>
      <w:r w:rsidR="007008D4" w:rsidRPr="005F5BC9">
        <w:rPr>
          <w:rFonts w:ascii="Arial" w:eastAsia="Times New Roman" w:hAnsi="Arial" w:cs="Arial"/>
          <w:sz w:val="24"/>
          <w:szCs w:val="24"/>
          <w:vertAlign w:val="baseline"/>
          <w:lang w:eastAsia="pt-BR"/>
        </w:rPr>
        <w:t>cerca de R$ 0,20/capita</w:t>
      </w:r>
      <w:r w:rsidRPr="005F5BC9">
        <w:rPr>
          <w:rFonts w:ascii="Arial" w:eastAsia="Times New Roman" w:hAnsi="Arial" w:cs="Arial"/>
          <w:sz w:val="24"/>
          <w:szCs w:val="24"/>
          <w:vertAlign w:val="baseline"/>
          <w:lang w:eastAsia="pt-BR"/>
        </w:rPr>
        <w:t xml:space="preserve"> é </w:t>
      </w:r>
      <w:r w:rsidR="008945C2" w:rsidRPr="005F5BC9">
        <w:rPr>
          <w:rFonts w:ascii="Arial" w:eastAsia="Times New Roman" w:hAnsi="Arial" w:cs="Arial"/>
          <w:sz w:val="24"/>
          <w:szCs w:val="24"/>
          <w:vertAlign w:val="baseline"/>
          <w:lang w:eastAsia="pt-BR"/>
        </w:rPr>
        <w:t>destinado para outros gastos, ou seja, há evidência de efeito fungibilidade para as transferências em saúde.</w:t>
      </w:r>
    </w:p>
    <w:p w:rsidR="00E34615" w:rsidRDefault="00E34615" w:rsidP="00306944">
      <w:pPr>
        <w:spacing w:after="0" w:line="240" w:lineRule="auto"/>
        <w:ind w:firstLine="420"/>
        <w:rPr>
          <w:rFonts w:ascii="Arial" w:eastAsia="Times New Roman" w:hAnsi="Arial" w:cs="Arial"/>
          <w:sz w:val="24"/>
          <w:szCs w:val="24"/>
          <w:vertAlign w:val="baseline"/>
          <w:lang w:eastAsia="pt-BR"/>
        </w:rPr>
      </w:pPr>
    </w:p>
    <w:p w:rsidR="007008D4" w:rsidRPr="005F5BC9" w:rsidRDefault="007008D4" w:rsidP="00306944">
      <w:pPr>
        <w:spacing w:after="0" w:line="240" w:lineRule="auto"/>
        <w:ind w:firstLine="420"/>
        <w:rPr>
          <w:rFonts w:ascii="Arial" w:eastAsia="Times New Roman" w:hAnsi="Arial" w:cs="Arial"/>
          <w:sz w:val="24"/>
          <w:szCs w:val="24"/>
          <w:vertAlign w:val="baseline"/>
          <w:lang w:eastAsia="pt-BR"/>
        </w:rPr>
      </w:pPr>
    </w:p>
    <w:tbl>
      <w:tblPr>
        <w:tblW w:w="9588" w:type="dxa"/>
        <w:tblInd w:w="55" w:type="dxa"/>
        <w:tblCellMar>
          <w:left w:w="70" w:type="dxa"/>
          <w:right w:w="70" w:type="dxa"/>
        </w:tblCellMar>
        <w:tblLook w:val="04A0" w:firstRow="1" w:lastRow="0" w:firstColumn="1" w:lastColumn="0" w:noHBand="0" w:noVBand="1"/>
      </w:tblPr>
      <w:tblGrid>
        <w:gridCol w:w="1833"/>
        <w:gridCol w:w="1097"/>
        <w:gridCol w:w="892"/>
        <w:gridCol w:w="1097"/>
        <w:gridCol w:w="923"/>
        <w:gridCol w:w="890"/>
        <w:gridCol w:w="819"/>
        <w:gridCol w:w="1150"/>
        <w:gridCol w:w="950"/>
      </w:tblGrid>
      <w:tr w:rsidR="00287F7B" w:rsidRPr="005F5BC9" w:rsidTr="00C325A7">
        <w:trPr>
          <w:trHeight w:val="255"/>
        </w:trPr>
        <w:tc>
          <w:tcPr>
            <w:tcW w:w="9588" w:type="dxa"/>
            <w:gridSpan w:val="9"/>
            <w:tcBorders>
              <w:top w:val="nil"/>
              <w:left w:val="nil"/>
              <w:bottom w:val="single" w:sz="4" w:space="0" w:color="auto"/>
              <w:right w:val="nil"/>
            </w:tcBorders>
            <w:shd w:val="clear" w:color="auto" w:fill="auto"/>
            <w:vAlign w:val="center"/>
            <w:hideMark/>
          </w:tcPr>
          <w:p w:rsidR="00287F7B" w:rsidRPr="005F5BC9" w:rsidRDefault="00287F7B" w:rsidP="00E402B1">
            <w:pPr>
              <w:spacing w:after="0" w:line="240" w:lineRule="auto"/>
              <w:jc w:val="left"/>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 xml:space="preserve">Tabela </w:t>
            </w:r>
            <w:r w:rsidR="00E402B1">
              <w:rPr>
                <w:rFonts w:ascii="Arial" w:eastAsia="Times New Roman" w:hAnsi="Arial" w:cs="Arial"/>
                <w:b/>
                <w:bCs/>
                <w:vertAlign w:val="baseline"/>
                <w:lang w:eastAsia="pt-BR"/>
              </w:rPr>
              <w:t>8</w:t>
            </w:r>
            <w:r w:rsidRPr="005F5BC9">
              <w:rPr>
                <w:rFonts w:ascii="Arial" w:eastAsia="Times New Roman" w:hAnsi="Arial" w:cs="Arial"/>
                <w:b/>
                <w:bCs/>
                <w:vertAlign w:val="baseline"/>
                <w:lang w:eastAsia="pt-BR"/>
              </w:rPr>
              <w:t xml:space="preserve"> – Determinantes dos Gastos em Saúde - Modelos Lineares</w:t>
            </w:r>
            <w:proofErr w:type="gramEnd"/>
          </w:p>
        </w:tc>
      </w:tr>
      <w:tr w:rsidR="00287F7B" w:rsidRPr="005F5BC9" w:rsidTr="00C325A7">
        <w:trPr>
          <w:trHeight w:val="255"/>
        </w:trPr>
        <w:tc>
          <w:tcPr>
            <w:tcW w:w="1840"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 </w:t>
            </w:r>
          </w:p>
        </w:tc>
        <w:tc>
          <w:tcPr>
            <w:tcW w:w="3995" w:type="dxa"/>
            <w:gridSpan w:val="4"/>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Mínimos quadrados</w:t>
            </w:r>
          </w:p>
        </w:tc>
        <w:tc>
          <w:tcPr>
            <w:tcW w:w="3753" w:type="dxa"/>
            <w:gridSpan w:val="4"/>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Efeitos Fixos</w:t>
            </w:r>
          </w:p>
        </w:tc>
      </w:tr>
      <w:tr w:rsidR="00287F7B" w:rsidRPr="005F5BC9" w:rsidTr="00C325A7">
        <w:trPr>
          <w:trHeight w:val="255"/>
        </w:trPr>
        <w:tc>
          <w:tcPr>
            <w:tcW w:w="1840"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1982" w:type="dxa"/>
            <w:gridSpan w:val="2"/>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Não Ponderado</w:t>
            </w:r>
          </w:p>
        </w:tc>
        <w:tc>
          <w:tcPr>
            <w:tcW w:w="2013" w:type="dxa"/>
            <w:gridSpan w:val="2"/>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Ponderado</w:t>
            </w:r>
          </w:p>
        </w:tc>
        <w:tc>
          <w:tcPr>
            <w:tcW w:w="1653" w:type="dxa"/>
            <w:gridSpan w:val="2"/>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Não Ponderado</w:t>
            </w:r>
          </w:p>
        </w:tc>
        <w:tc>
          <w:tcPr>
            <w:tcW w:w="2100" w:type="dxa"/>
            <w:gridSpan w:val="2"/>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Ponderado</w:t>
            </w:r>
          </w:p>
        </w:tc>
      </w:tr>
      <w:tr w:rsidR="00287F7B" w:rsidRPr="005F5BC9" w:rsidTr="00C325A7">
        <w:trPr>
          <w:trHeight w:val="510"/>
        </w:trPr>
        <w:tc>
          <w:tcPr>
            <w:tcW w:w="1840"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1090"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92"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1090"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923"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890"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763"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1150"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950"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r>
      <w:tr w:rsidR="00287F7B" w:rsidRPr="005F5BC9" w:rsidTr="00C325A7">
        <w:trPr>
          <w:trHeight w:val="255"/>
        </w:trPr>
        <w:tc>
          <w:tcPr>
            <w:tcW w:w="1840" w:type="dxa"/>
            <w:tcBorders>
              <w:top w:val="nil"/>
              <w:left w:val="nil"/>
              <w:bottom w:val="nil"/>
              <w:right w:val="nil"/>
            </w:tcBorders>
            <w:shd w:val="clear" w:color="auto" w:fill="auto"/>
            <w:vAlign w:val="center"/>
            <w:hideMark/>
          </w:tcPr>
          <w:p w:rsidR="00287F7B" w:rsidRPr="005F5BC9" w:rsidRDefault="004B2B33" w:rsidP="00C325A7">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PIB</w:t>
            </w:r>
          </w:p>
        </w:tc>
        <w:tc>
          <w:tcPr>
            <w:tcW w:w="10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c>
          <w:tcPr>
            <w:tcW w:w="892"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0.000</w:t>
            </w:r>
          </w:p>
        </w:tc>
        <w:tc>
          <w:tcPr>
            <w:tcW w:w="10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c>
          <w:tcPr>
            <w:tcW w:w="923"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c>
          <w:tcPr>
            <w:tcW w:w="8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-0.000</w:t>
            </w:r>
          </w:p>
        </w:tc>
        <w:tc>
          <w:tcPr>
            <w:tcW w:w="763"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c>
          <w:tcPr>
            <w:tcW w:w="115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0.002*</w:t>
            </w:r>
          </w:p>
        </w:tc>
        <w:tc>
          <w:tcPr>
            <w:tcW w:w="95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r>
      <w:tr w:rsidR="00287F7B" w:rsidRPr="005F5BC9" w:rsidTr="00C325A7">
        <w:trPr>
          <w:trHeight w:val="255"/>
        </w:trPr>
        <w:tc>
          <w:tcPr>
            <w:tcW w:w="1840" w:type="dxa"/>
            <w:tcBorders>
              <w:top w:val="nil"/>
              <w:left w:val="nil"/>
              <w:bottom w:val="nil"/>
              <w:right w:val="nil"/>
            </w:tcBorders>
            <w:shd w:val="clear" w:color="auto" w:fill="auto"/>
            <w:vAlign w:val="center"/>
            <w:hideMark/>
          </w:tcPr>
          <w:p w:rsidR="00287F7B" w:rsidRPr="005F5BC9" w:rsidRDefault="004B2B33" w:rsidP="00C325A7">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PAB</w:t>
            </w:r>
          </w:p>
        </w:tc>
        <w:tc>
          <w:tcPr>
            <w:tcW w:w="10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0.865***</w:t>
            </w:r>
          </w:p>
        </w:tc>
        <w:tc>
          <w:tcPr>
            <w:tcW w:w="892"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0.080</w:t>
            </w:r>
          </w:p>
        </w:tc>
        <w:tc>
          <w:tcPr>
            <w:tcW w:w="10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0.960***</w:t>
            </w:r>
          </w:p>
        </w:tc>
        <w:tc>
          <w:tcPr>
            <w:tcW w:w="923"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0.053</w:t>
            </w:r>
          </w:p>
        </w:tc>
        <w:tc>
          <w:tcPr>
            <w:tcW w:w="8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0.628***</w:t>
            </w:r>
          </w:p>
        </w:tc>
        <w:tc>
          <w:tcPr>
            <w:tcW w:w="763"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0.112</w:t>
            </w:r>
          </w:p>
        </w:tc>
        <w:tc>
          <w:tcPr>
            <w:tcW w:w="115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0.799***</w:t>
            </w:r>
          </w:p>
        </w:tc>
        <w:tc>
          <w:tcPr>
            <w:tcW w:w="95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0.083</w:t>
            </w:r>
          </w:p>
        </w:tc>
      </w:tr>
      <w:tr w:rsidR="00287F7B" w:rsidRPr="005F5BC9" w:rsidTr="00C325A7">
        <w:trPr>
          <w:trHeight w:val="255"/>
        </w:trPr>
        <w:tc>
          <w:tcPr>
            <w:tcW w:w="1840" w:type="dxa"/>
            <w:tcBorders>
              <w:top w:val="nil"/>
              <w:left w:val="nil"/>
              <w:bottom w:val="nil"/>
              <w:right w:val="nil"/>
            </w:tcBorders>
            <w:shd w:val="clear" w:color="auto" w:fill="auto"/>
            <w:vAlign w:val="center"/>
            <w:hideMark/>
          </w:tcPr>
          <w:p w:rsidR="00287F7B" w:rsidRPr="005F5BC9" w:rsidRDefault="004B2B33" w:rsidP="00C325A7">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 xml:space="preserve">Outras </w:t>
            </w:r>
            <w:proofErr w:type="spellStart"/>
            <w:r>
              <w:rPr>
                <w:rFonts w:ascii="Arial" w:eastAsia="Times New Roman" w:hAnsi="Arial" w:cs="Arial"/>
                <w:vertAlign w:val="baseline"/>
                <w:lang w:eastAsia="pt-BR"/>
              </w:rPr>
              <w:t>transf</w:t>
            </w:r>
            <w:proofErr w:type="spellEnd"/>
            <w:r>
              <w:rPr>
                <w:rFonts w:ascii="Arial" w:eastAsia="Times New Roman" w:hAnsi="Arial" w:cs="Arial"/>
                <w:vertAlign w:val="baseline"/>
                <w:lang w:eastAsia="pt-BR"/>
              </w:rPr>
              <w:t>. SUS</w:t>
            </w:r>
          </w:p>
        </w:tc>
        <w:tc>
          <w:tcPr>
            <w:tcW w:w="10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0.873***</w:t>
            </w:r>
          </w:p>
        </w:tc>
        <w:tc>
          <w:tcPr>
            <w:tcW w:w="892"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0.084</w:t>
            </w:r>
          </w:p>
        </w:tc>
        <w:tc>
          <w:tcPr>
            <w:tcW w:w="10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1.053***</w:t>
            </w:r>
          </w:p>
        </w:tc>
        <w:tc>
          <w:tcPr>
            <w:tcW w:w="923"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0.026</w:t>
            </w:r>
          </w:p>
        </w:tc>
        <w:tc>
          <w:tcPr>
            <w:tcW w:w="8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0.593***</w:t>
            </w:r>
          </w:p>
        </w:tc>
        <w:tc>
          <w:tcPr>
            <w:tcW w:w="763"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0.136</w:t>
            </w:r>
          </w:p>
        </w:tc>
        <w:tc>
          <w:tcPr>
            <w:tcW w:w="115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0.881***</w:t>
            </w:r>
          </w:p>
        </w:tc>
        <w:tc>
          <w:tcPr>
            <w:tcW w:w="95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0.075</w:t>
            </w:r>
          </w:p>
        </w:tc>
      </w:tr>
      <w:tr w:rsidR="00287F7B" w:rsidRPr="005F5BC9" w:rsidTr="00C325A7">
        <w:trPr>
          <w:trHeight w:val="255"/>
        </w:trPr>
        <w:tc>
          <w:tcPr>
            <w:tcW w:w="1840" w:type="dxa"/>
            <w:tcBorders>
              <w:top w:val="nil"/>
              <w:left w:val="nil"/>
              <w:bottom w:val="nil"/>
              <w:right w:val="nil"/>
            </w:tcBorders>
            <w:shd w:val="clear" w:color="auto" w:fill="auto"/>
            <w:vAlign w:val="center"/>
            <w:hideMark/>
          </w:tcPr>
          <w:p w:rsidR="00287F7B" w:rsidRPr="005F5BC9" w:rsidRDefault="004B2B33" w:rsidP="00C325A7">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FPM</w:t>
            </w:r>
          </w:p>
        </w:tc>
        <w:tc>
          <w:tcPr>
            <w:tcW w:w="10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0.187***</w:t>
            </w:r>
          </w:p>
        </w:tc>
        <w:tc>
          <w:tcPr>
            <w:tcW w:w="892"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0.005</w:t>
            </w:r>
          </w:p>
        </w:tc>
        <w:tc>
          <w:tcPr>
            <w:tcW w:w="10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0.168***</w:t>
            </w:r>
          </w:p>
        </w:tc>
        <w:tc>
          <w:tcPr>
            <w:tcW w:w="923"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0.011</w:t>
            </w:r>
          </w:p>
        </w:tc>
        <w:tc>
          <w:tcPr>
            <w:tcW w:w="8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0.233***</w:t>
            </w:r>
          </w:p>
        </w:tc>
        <w:tc>
          <w:tcPr>
            <w:tcW w:w="763"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0.016</w:t>
            </w:r>
          </w:p>
        </w:tc>
        <w:tc>
          <w:tcPr>
            <w:tcW w:w="115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0.180***</w:t>
            </w:r>
          </w:p>
        </w:tc>
        <w:tc>
          <w:tcPr>
            <w:tcW w:w="95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0.022</w:t>
            </w:r>
          </w:p>
        </w:tc>
      </w:tr>
      <w:tr w:rsidR="00287F7B" w:rsidRPr="005F5BC9" w:rsidTr="00C325A7">
        <w:trPr>
          <w:trHeight w:val="255"/>
        </w:trPr>
        <w:tc>
          <w:tcPr>
            <w:tcW w:w="1840" w:type="dxa"/>
            <w:tcBorders>
              <w:top w:val="nil"/>
              <w:left w:val="nil"/>
              <w:bottom w:val="nil"/>
              <w:right w:val="nil"/>
            </w:tcBorders>
            <w:shd w:val="clear" w:color="auto" w:fill="auto"/>
            <w:vAlign w:val="center"/>
            <w:hideMark/>
          </w:tcPr>
          <w:p w:rsidR="00287F7B" w:rsidRPr="005F5BC9" w:rsidRDefault="004B2B33" w:rsidP="00C325A7">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Royalties</w:t>
            </w:r>
          </w:p>
        </w:tc>
        <w:tc>
          <w:tcPr>
            <w:tcW w:w="10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0.260***</w:t>
            </w:r>
          </w:p>
        </w:tc>
        <w:tc>
          <w:tcPr>
            <w:tcW w:w="892"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0.045</w:t>
            </w:r>
          </w:p>
        </w:tc>
        <w:tc>
          <w:tcPr>
            <w:tcW w:w="10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0.196***</w:t>
            </w:r>
          </w:p>
        </w:tc>
        <w:tc>
          <w:tcPr>
            <w:tcW w:w="923"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0.025</w:t>
            </w:r>
          </w:p>
        </w:tc>
        <w:tc>
          <w:tcPr>
            <w:tcW w:w="8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-0.057</w:t>
            </w:r>
          </w:p>
        </w:tc>
        <w:tc>
          <w:tcPr>
            <w:tcW w:w="763"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0.114</w:t>
            </w:r>
          </w:p>
        </w:tc>
        <w:tc>
          <w:tcPr>
            <w:tcW w:w="115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-0.002</w:t>
            </w:r>
          </w:p>
        </w:tc>
        <w:tc>
          <w:tcPr>
            <w:tcW w:w="95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0.083</w:t>
            </w:r>
          </w:p>
        </w:tc>
      </w:tr>
      <w:tr w:rsidR="00287F7B" w:rsidRPr="005F5BC9" w:rsidTr="00C325A7">
        <w:trPr>
          <w:trHeight w:val="255"/>
        </w:trPr>
        <w:tc>
          <w:tcPr>
            <w:tcW w:w="1840" w:type="dxa"/>
            <w:tcBorders>
              <w:top w:val="nil"/>
              <w:left w:val="nil"/>
              <w:bottom w:val="nil"/>
              <w:right w:val="nil"/>
            </w:tcBorders>
            <w:shd w:val="clear" w:color="auto" w:fill="auto"/>
            <w:vAlign w:val="center"/>
            <w:hideMark/>
          </w:tcPr>
          <w:p w:rsidR="00287F7B" w:rsidRPr="005F5BC9" w:rsidRDefault="004B2B33" w:rsidP="00C325A7">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 xml:space="preserve">Outras </w:t>
            </w:r>
            <w:proofErr w:type="spellStart"/>
            <w:r>
              <w:rPr>
                <w:rFonts w:ascii="Arial" w:eastAsia="Times New Roman" w:hAnsi="Arial" w:cs="Arial"/>
                <w:vertAlign w:val="baseline"/>
                <w:lang w:eastAsia="pt-BR"/>
              </w:rPr>
              <w:t>transf</w:t>
            </w:r>
            <w:proofErr w:type="spellEnd"/>
            <w:r>
              <w:rPr>
                <w:rFonts w:ascii="Arial" w:eastAsia="Times New Roman" w:hAnsi="Arial" w:cs="Arial"/>
                <w:vertAlign w:val="baseline"/>
                <w:lang w:eastAsia="pt-BR"/>
              </w:rPr>
              <w:t>.</w:t>
            </w:r>
          </w:p>
        </w:tc>
        <w:tc>
          <w:tcPr>
            <w:tcW w:w="10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0.145***</w:t>
            </w:r>
          </w:p>
        </w:tc>
        <w:tc>
          <w:tcPr>
            <w:tcW w:w="892"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0.012</w:t>
            </w:r>
          </w:p>
        </w:tc>
        <w:tc>
          <w:tcPr>
            <w:tcW w:w="10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0.167***</w:t>
            </w:r>
          </w:p>
        </w:tc>
        <w:tc>
          <w:tcPr>
            <w:tcW w:w="923"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0.018</w:t>
            </w:r>
          </w:p>
        </w:tc>
        <w:tc>
          <w:tcPr>
            <w:tcW w:w="8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0.064</w:t>
            </w:r>
          </w:p>
        </w:tc>
        <w:tc>
          <w:tcPr>
            <w:tcW w:w="763"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0.042</w:t>
            </w:r>
          </w:p>
        </w:tc>
        <w:tc>
          <w:tcPr>
            <w:tcW w:w="115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0.078</w:t>
            </w:r>
          </w:p>
        </w:tc>
        <w:tc>
          <w:tcPr>
            <w:tcW w:w="95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0.050</w:t>
            </w:r>
          </w:p>
        </w:tc>
      </w:tr>
      <w:tr w:rsidR="00287F7B" w:rsidRPr="005F5BC9" w:rsidTr="00C325A7">
        <w:trPr>
          <w:trHeight w:val="255"/>
        </w:trPr>
        <w:tc>
          <w:tcPr>
            <w:tcW w:w="1840" w:type="dxa"/>
            <w:tcBorders>
              <w:top w:val="nil"/>
              <w:left w:val="nil"/>
              <w:bottom w:val="nil"/>
              <w:right w:val="nil"/>
            </w:tcBorders>
            <w:shd w:val="clear" w:color="auto" w:fill="auto"/>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Controles</w:t>
            </w:r>
          </w:p>
        </w:tc>
        <w:tc>
          <w:tcPr>
            <w:tcW w:w="1982"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2013"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653"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2100"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287F7B" w:rsidRPr="005F5BC9" w:rsidTr="00C325A7">
        <w:trPr>
          <w:trHeight w:val="255"/>
        </w:trPr>
        <w:tc>
          <w:tcPr>
            <w:tcW w:w="1840" w:type="dxa"/>
            <w:tcBorders>
              <w:top w:val="nil"/>
              <w:left w:val="nil"/>
              <w:bottom w:val="nil"/>
              <w:right w:val="nil"/>
            </w:tcBorders>
            <w:shd w:val="clear" w:color="auto" w:fill="auto"/>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proofErr w:type="spellStart"/>
            <w:r w:rsidRPr="005F5BC9">
              <w:rPr>
                <w:rFonts w:ascii="Arial" w:eastAsia="Times New Roman" w:hAnsi="Arial" w:cs="Arial"/>
                <w:i/>
                <w:iCs/>
                <w:vertAlign w:val="baseline"/>
                <w:lang w:eastAsia="pt-BR"/>
              </w:rPr>
              <w:t>Dummies</w:t>
            </w:r>
            <w:r w:rsidRPr="005F5BC9">
              <w:rPr>
                <w:rFonts w:ascii="Arial" w:eastAsia="Times New Roman" w:hAnsi="Arial" w:cs="Arial"/>
                <w:vertAlign w:val="baseline"/>
                <w:lang w:eastAsia="pt-BR"/>
              </w:rPr>
              <w:t>de</w:t>
            </w:r>
            <w:proofErr w:type="spellEnd"/>
            <w:r w:rsidRPr="005F5BC9">
              <w:rPr>
                <w:rFonts w:ascii="Arial" w:eastAsia="Times New Roman" w:hAnsi="Arial" w:cs="Arial"/>
                <w:vertAlign w:val="baseline"/>
                <w:lang w:eastAsia="pt-BR"/>
              </w:rPr>
              <w:t xml:space="preserve"> ano</w:t>
            </w:r>
          </w:p>
        </w:tc>
        <w:tc>
          <w:tcPr>
            <w:tcW w:w="1982"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2013"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653"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2100"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287F7B" w:rsidRPr="005F5BC9" w:rsidTr="00C325A7">
        <w:trPr>
          <w:trHeight w:val="255"/>
        </w:trPr>
        <w:tc>
          <w:tcPr>
            <w:tcW w:w="1840" w:type="dxa"/>
            <w:tcBorders>
              <w:top w:val="nil"/>
              <w:left w:val="nil"/>
              <w:bottom w:val="nil"/>
              <w:right w:val="nil"/>
            </w:tcBorders>
            <w:shd w:val="clear" w:color="auto" w:fill="auto"/>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Constante</w:t>
            </w:r>
          </w:p>
        </w:tc>
        <w:tc>
          <w:tcPr>
            <w:tcW w:w="10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153.989***</w:t>
            </w:r>
          </w:p>
        </w:tc>
        <w:tc>
          <w:tcPr>
            <w:tcW w:w="892"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28.288</w:t>
            </w:r>
          </w:p>
        </w:tc>
        <w:tc>
          <w:tcPr>
            <w:tcW w:w="10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206.881***</w:t>
            </w:r>
          </w:p>
        </w:tc>
        <w:tc>
          <w:tcPr>
            <w:tcW w:w="923"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49.233</w:t>
            </w:r>
          </w:p>
        </w:tc>
        <w:tc>
          <w:tcPr>
            <w:tcW w:w="89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18.422</w:t>
            </w:r>
          </w:p>
        </w:tc>
        <w:tc>
          <w:tcPr>
            <w:tcW w:w="763"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56.510</w:t>
            </w:r>
          </w:p>
        </w:tc>
        <w:tc>
          <w:tcPr>
            <w:tcW w:w="115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-345.187**</w:t>
            </w:r>
          </w:p>
        </w:tc>
        <w:tc>
          <w:tcPr>
            <w:tcW w:w="950"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149.322</w:t>
            </w:r>
          </w:p>
        </w:tc>
      </w:tr>
      <w:tr w:rsidR="00287F7B" w:rsidRPr="005F5BC9" w:rsidTr="00C325A7">
        <w:trPr>
          <w:trHeight w:val="255"/>
        </w:trPr>
        <w:tc>
          <w:tcPr>
            <w:tcW w:w="1840" w:type="dxa"/>
            <w:tcBorders>
              <w:top w:val="nil"/>
              <w:left w:val="nil"/>
              <w:bottom w:val="nil"/>
              <w:right w:val="nil"/>
            </w:tcBorders>
            <w:shd w:val="clear" w:color="auto" w:fill="auto"/>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xml:space="preserve">R-quadrado </w:t>
            </w:r>
            <w:r w:rsidRPr="005F5BC9">
              <w:rPr>
                <w:rFonts w:ascii="Arial" w:eastAsia="Times New Roman" w:hAnsi="Arial" w:cs="Arial"/>
                <w:vertAlign w:val="baseline"/>
                <w:lang w:eastAsia="pt-BR"/>
              </w:rPr>
              <w:lastRenderedPageBreak/>
              <w:t>ajustado</w:t>
            </w:r>
          </w:p>
        </w:tc>
        <w:tc>
          <w:tcPr>
            <w:tcW w:w="1982"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lastRenderedPageBreak/>
              <w:t>0.725</w:t>
            </w:r>
          </w:p>
        </w:tc>
        <w:tc>
          <w:tcPr>
            <w:tcW w:w="2013"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0.801</w:t>
            </w:r>
          </w:p>
        </w:tc>
        <w:tc>
          <w:tcPr>
            <w:tcW w:w="1653"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0.374</w:t>
            </w:r>
          </w:p>
        </w:tc>
        <w:tc>
          <w:tcPr>
            <w:tcW w:w="2100"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0.862</w:t>
            </w:r>
          </w:p>
        </w:tc>
      </w:tr>
      <w:tr w:rsidR="00287F7B" w:rsidRPr="005F5BC9" w:rsidTr="00C325A7">
        <w:trPr>
          <w:trHeight w:val="255"/>
        </w:trPr>
        <w:tc>
          <w:tcPr>
            <w:tcW w:w="1840"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lastRenderedPageBreak/>
              <w:t>Observações</w:t>
            </w:r>
          </w:p>
        </w:tc>
        <w:tc>
          <w:tcPr>
            <w:tcW w:w="1982" w:type="dxa"/>
            <w:gridSpan w:val="2"/>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32,367</w:t>
            </w:r>
          </w:p>
        </w:tc>
        <w:tc>
          <w:tcPr>
            <w:tcW w:w="2013" w:type="dxa"/>
            <w:gridSpan w:val="2"/>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32,367</w:t>
            </w:r>
          </w:p>
        </w:tc>
        <w:tc>
          <w:tcPr>
            <w:tcW w:w="1653" w:type="dxa"/>
            <w:gridSpan w:val="2"/>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32,367</w:t>
            </w:r>
          </w:p>
        </w:tc>
        <w:tc>
          <w:tcPr>
            <w:tcW w:w="2100" w:type="dxa"/>
            <w:gridSpan w:val="2"/>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32,367</w:t>
            </w:r>
          </w:p>
        </w:tc>
      </w:tr>
      <w:tr w:rsidR="00287F7B" w:rsidRPr="005F5BC9" w:rsidTr="00C325A7">
        <w:trPr>
          <w:trHeight w:val="255"/>
        </w:trPr>
        <w:tc>
          <w:tcPr>
            <w:tcW w:w="2930"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p&lt;0.01, ** p&lt;0.05, * p&lt;0.1</w:t>
            </w:r>
          </w:p>
        </w:tc>
        <w:tc>
          <w:tcPr>
            <w:tcW w:w="892"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c>
          <w:tcPr>
            <w:tcW w:w="1090"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c>
          <w:tcPr>
            <w:tcW w:w="923"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c>
          <w:tcPr>
            <w:tcW w:w="890"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c>
          <w:tcPr>
            <w:tcW w:w="763"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c>
          <w:tcPr>
            <w:tcW w:w="1150"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c>
          <w:tcPr>
            <w:tcW w:w="950"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r>
    </w:tbl>
    <w:p w:rsidR="00287F7B" w:rsidRDefault="00287F7B" w:rsidP="00306944">
      <w:pPr>
        <w:spacing w:after="0" w:line="240" w:lineRule="auto"/>
        <w:ind w:firstLine="420"/>
        <w:rPr>
          <w:rFonts w:ascii="Arial" w:eastAsia="Times New Roman" w:hAnsi="Arial" w:cs="Arial"/>
          <w:sz w:val="24"/>
          <w:szCs w:val="24"/>
          <w:vertAlign w:val="baseline"/>
          <w:lang w:eastAsia="pt-BR"/>
        </w:rPr>
      </w:pPr>
    </w:p>
    <w:p w:rsidR="00F84486" w:rsidRDefault="00F84486" w:rsidP="00306944">
      <w:pPr>
        <w:spacing w:after="0" w:line="240" w:lineRule="auto"/>
        <w:ind w:firstLine="420"/>
        <w:rPr>
          <w:rFonts w:ascii="Arial" w:eastAsia="Times New Roman" w:hAnsi="Arial" w:cs="Arial"/>
          <w:sz w:val="24"/>
          <w:szCs w:val="24"/>
          <w:vertAlign w:val="baseline"/>
          <w:lang w:eastAsia="pt-BR"/>
        </w:rPr>
      </w:pPr>
    </w:p>
    <w:p w:rsidR="00F84486" w:rsidRDefault="00F84486" w:rsidP="00306944">
      <w:pPr>
        <w:spacing w:after="0" w:line="240" w:lineRule="auto"/>
        <w:ind w:firstLine="420"/>
        <w:rPr>
          <w:rFonts w:ascii="Arial" w:eastAsia="Times New Roman" w:hAnsi="Arial" w:cs="Arial"/>
          <w:sz w:val="24"/>
          <w:szCs w:val="24"/>
          <w:vertAlign w:val="baseline"/>
          <w:lang w:eastAsia="pt-BR"/>
        </w:rPr>
      </w:pPr>
    </w:p>
    <w:p w:rsidR="00B7505E" w:rsidRPr="001F15DC" w:rsidRDefault="001F15DC" w:rsidP="00306944">
      <w:pPr>
        <w:spacing w:after="0" w:line="240" w:lineRule="auto"/>
        <w:ind w:firstLine="420"/>
        <w:rPr>
          <w:rFonts w:ascii="Arial" w:eastAsia="Times New Roman" w:hAnsi="Arial" w:cs="Arial"/>
          <w:sz w:val="24"/>
          <w:szCs w:val="24"/>
          <w:vertAlign w:val="baseline"/>
          <w:lang w:eastAsia="pt-BR"/>
        </w:rPr>
      </w:pPr>
      <w:r>
        <w:rPr>
          <w:rFonts w:ascii="Arial" w:eastAsia="Times New Roman" w:hAnsi="Arial" w:cs="Arial"/>
          <w:sz w:val="24"/>
          <w:szCs w:val="24"/>
          <w:vertAlign w:val="baseline"/>
          <w:lang w:eastAsia="pt-BR"/>
        </w:rPr>
        <w:tab/>
        <w:t xml:space="preserve">A Tabela 9 apresenta os resultados para as diferenças dos coeficientes estimados. Os resultados indicam a presença de efeito </w:t>
      </w:r>
      <w:proofErr w:type="spellStart"/>
      <w:r>
        <w:rPr>
          <w:rFonts w:ascii="Arial" w:eastAsia="Times New Roman" w:hAnsi="Arial" w:cs="Arial"/>
          <w:sz w:val="24"/>
          <w:szCs w:val="24"/>
          <w:vertAlign w:val="baseline"/>
          <w:lang w:eastAsia="pt-BR"/>
        </w:rPr>
        <w:t>f</w:t>
      </w:r>
      <w:r w:rsidRPr="001F15DC">
        <w:rPr>
          <w:rFonts w:ascii="Arial" w:eastAsia="Times New Roman" w:hAnsi="Arial" w:cs="Arial"/>
          <w:i/>
          <w:sz w:val="24"/>
          <w:szCs w:val="24"/>
          <w:vertAlign w:val="baseline"/>
          <w:lang w:eastAsia="pt-BR"/>
        </w:rPr>
        <w:t>lypaper</w:t>
      </w:r>
      <w:proofErr w:type="spellEnd"/>
      <w:r>
        <w:rPr>
          <w:rFonts w:ascii="Arial" w:eastAsia="Times New Roman" w:hAnsi="Arial" w:cs="Arial"/>
          <w:i/>
          <w:sz w:val="24"/>
          <w:szCs w:val="24"/>
          <w:vertAlign w:val="baseline"/>
          <w:lang w:eastAsia="pt-BR"/>
        </w:rPr>
        <w:t xml:space="preserve">, </w:t>
      </w:r>
      <w:r w:rsidRPr="001F15DC">
        <w:rPr>
          <w:rFonts w:ascii="Arial" w:eastAsia="Times New Roman" w:hAnsi="Arial" w:cs="Arial"/>
          <w:sz w:val="24"/>
          <w:szCs w:val="24"/>
          <w:vertAlign w:val="baseline"/>
          <w:lang w:eastAsia="pt-BR"/>
        </w:rPr>
        <w:t>uma vez que a resposta dos gastos às transferências</w:t>
      </w:r>
      <w:r>
        <w:rPr>
          <w:rFonts w:ascii="Arial" w:eastAsia="Times New Roman" w:hAnsi="Arial" w:cs="Arial"/>
          <w:sz w:val="24"/>
          <w:szCs w:val="24"/>
          <w:vertAlign w:val="baseline"/>
          <w:lang w:eastAsia="pt-BR"/>
        </w:rPr>
        <w:t xml:space="preserve"> é sempre maior do que a resposta do gasto ao PIB. Além do mais, a diferença entre a resposta do gasto em saúde às transferências do PAB e do FPM é positiva e estatisticamente diferente de zero</w:t>
      </w:r>
      <w:r w:rsidR="00742788">
        <w:rPr>
          <w:rFonts w:ascii="Arial" w:eastAsia="Times New Roman" w:hAnsi="Arial" w:cs="Arial"/>
          <w:sz w:val="24"/>
          <w:szCs w:val="24"/>
          <w:vertAlign w:val="baseline"/>
          <w:lang w:eastAsia="pt-BR"/>
        </w:rPr>
        <w:t>.</w:t>
      </w:r>
    </w:p>
    <w:p w:rsidR="00F84486" w:rsidRPr="005F5BC9" w:rsidRDefault="00F84486" w:rsidP="00306944">
      <w:pPr>
        <w:spacing w:after="0" w:line="240" w:lineRule="auto"/>
        <w:ind w:firstLine="420"/>
        <w:rPr>
          <w:rFonts w:ascii="Arial" w:eastAsia="Times New Roman" w:hAnsi="Arial" w:cs="Arial"/>
          <w:sz w:val="24"/>
          <w:szCs w:val="24"/>
          <w:vertAlign w:val="baseline"/>
          <w:lang w:eastAsia="pt-BR"/>
        </w:rPr>
      </w:pPr>
    </w:p>
    <w:tbl>
      <w:tblPr>
        <w:tblW w:w="9100" w:type="dxa"/>
        <w:tblInd w:w="55" w:type="dxa"/>
        <w:tblCellMar>
          <w:left w:w="70" w:type="dxa"/>
          <w:right w:w="70" w:type="dxa"/>
        </w:tblCellMar>
        <w:tblLook w:val="04A0" w:firstRow="1" w:lastRow="0" w:firstColumn="1" w:lastColumn="0" w:noHBand="0" w:noVBand="1"/>
      </w:tblPr>
      <w:tblGrid>
        <w:gridCol w:w="2384"/>
        <w:gridCol w:w="641"/>
        <w:gridCol w:w="1022"/>
        <w:gridCol w:w="641"/>
        <w:gridCol w:w="862"/>
        <w:gridCol w:w="722"/>
        <w:gridCol w:w="1008"/>
        <w:gridCol w:w="960"/>
        <w:gridCol w:w="860"/>
      </w:tblGrid>
      <w:tr w:rsidR="00287F7B" w:rsidRPr="005F5BC9" w:rsidTr="00F84486">
        <w:trPr>
          <w:trHeight w:val="255"/>
        </w:trPr>
        <w:tc>
          <w:tcPr>
            <w:tcW w:w="6272" w:type="dxa"/>
            <w:gridSpan w:val="6"/>
            <w:tcBorders>
              <w:top w:val="nil"/>
              <w:left w:val="nil"/>
              <w:bottom w:val="nil"/>
              <w:right w:val="nil"/>
            </w:tcBorders>
            <w:shd w:val="clear" w:color="auto" w:fill="auto"/>
            <w:noWrap/>
            <w:vAlign w:val="bottom"/>
            <w:hideMark/>
          </w:tcPr>
          <w:p w:rsidR="00287F7B" w:rsidRPr="005F5BC9" w:rsidRDefault="00287F7B" w:rsidP="00E402B1">
            <w:pPr>
              <w:spacing w:after="0" w:line="240" w:lineRule="auto"/>
              <w:jc w:val="left"/>
              <w:rPr>
                <w:rFonts w:ascii="Arial" w:eastAsia="Times New Roman" w:hAnsi="Arial" w:cs="Arial"/>
                <w:b/>
                <w:bCs/>
                <w:color w:val="000000"/>
                <w:vertAlign w:val="baseline"/>
                <w:lang w:eastAsia="pt-BR"/>
              </w:rPr>
            </w:pPr>
            <w:r w:rsidRPr="005F5BC9">
              <w:rPr>
                <w:rFonts w:ascii="Arial" w:eastAsia="Times New Roman" w:hAnsi="Arial" w:cs="Arial"/>
                <w:b/>
                <w:bCs/>
                <w:color w:val="000000"/>
                <w:vertAlign w:val="baseline"/>
                <w:lang w:eastAsia="pt-BR"/>
              </w:rPr>
              <w:t xml:space="preserve">Tabela </w:t>
            </w:r>
            <w:r w:rsidR="00E402B1">
              <w:rPr>
                <w:rFonts w:ascii="Arial" w:eastAsia="Times New Roman" w:hAnsi="Arial" w:cs="Arial"/>
                <w:b/>
                <w:bCs/>
                <w:color w:val="000000"/>
                <w:vertAlign w:val="baseline"/>
                <w:lang w:eastAsia="pt-BR"/>
              </w:rPr>
              <w:t>9</w:t>
            </w:r>
            <w:r w:rsidRPr="005F5BC9">
              <w:rPr>
                <w:rFonts w:ascii="Arial" w:eastAsia="Times New Roman" w:hAnsi="Arial" w:cs="Arial"/>
                <w:b/>
                <w:bCs/>
                <w:color w:val="000000"/>
                <w:vertAlign w:val="baseline"/>
                <w:lang w:eastAsia="pt-BR"/>
              </w:rPr>
              <w:t xml:space="preserve"> - Efeito </w:t>
            </w:r>
            <w:proofErr w:type="spellStart"/>
            <w:r w:rsidRPr="005F5BC9">
              <w:rPr>
                <w:rFonts w:ascii="Arial" w:eastAsia="Times New Roman" w:hAnsi="Arial" w:cs="Arial"/>
                <w:b/>
                <w:bCs/>
                <w:color w:val="000000"/>
                <w:vertAlign w:val="baseline"/>
                <w:lang w:eastAsia="pt-BR"/>
              </w:rPr>
              <w:t>Flypaper</w:t>
            </w:r>
            <w:proofErr w:type="spellEnd"/>
            <w:r w:rsidRPr="005F5BC9">
              <w:rPr>
                <w:rFonts w:ascii="Arial" w:eastAsia="Times New Roman" w:hAnsi="Arial" w:cs="Arial"/>
                <w:b/>
                <w:bCs/>
                <w:color w:val="000000"/>
                <w:vertAlign w:val="baseline"/>
                <w:lang w:eastAsia="pt-BR"/>
              </w:rPr>
              <w:t>: modelos lineares</w:t>
            </w:r>
          </w:p>
        </w:tc>
        <w:tc>
          <w:tcPr>
            <w:tcW w:w="1008"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c>
          <w:tcPr>
            <w:tcW w:w="960"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c>
          <w:tcPr>
            <w:tcW w:w="860"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r>
      <w:tr w:rsidR="00287F7B" w:rsidRPr="005F5BC9" w:rsidTr="00F84486">
        <w:trPr>
          <w:trHeight w:val="255"/>
        </w:trPr>
        <w:tc>
          <w:tcPr>
            <w:tcW w:w="2384" w:type="dxa"/>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 </w:t>
            </w:r>
          </w:p>
        </w:tc>
        <w:tc>
          <w:tcPr>
            <w:tcW w:w="3166" w:type="dxa"/>
            <w:gridSpan w:val="4"/>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Mínimos quadrados</w:t>
            </w:r>
          </w:p>
        </w:tc>
        <w:tc>
          <w:tcPr>
            <w:tcW w:w="3550" w:type="dxa"/>
            <w:gridSpan w:val="4"/>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Efeitos Fixos</w:t>
            </w:r>
          </w:p>
        </w:tc>
      </w:tr>
      <w:tr w:rsidR="00287F7B" w:rsidRPr="005F5BC9" w:rsidTr="00F84486">
        <w:trPr>
          <w:trHeight w:val="255"/>
        </w:trPr>
        <w:tc>
          <w:tcPr>
            <w:tcW w:w="2384"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1663" w:type="dxa"/>
            <w:gridSpan w:val="2"/>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Não Ponderado</w:t>
            </w:r>
          </w:p>
        </w:tc>
        <w:tc>
          <w:tcPr>
            <w:tcW w:w="1503" w:type="dxa"/>
            <w:gridSpan w:val="2"/>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Ponderado</w:t>
            </w:r>
          </w:p>
        </w:tc>
        <w:tc>
          <w:tcPr>
            <w:tcW w:w="1730" w:type="dxa"/>
            <w:gridSpan w:val="2"/>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Não Ponderado</w:t>
            </w:r>
          </w:p>
        </w:tc>
        <w:tc>
          <w:tcPr>
            <w:tcW w:w="1820" w:type="dxa"/>
            <w:gridSpan w:val="2"/>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Ponderado</w:t>
            </w:r>
          </w:p>
        </w:tc>
      </w:tr>
      <w:tr w:rsidR="00287F7B" w:rsidRPr="005F5BC9" w:rsidTr="00F84486">
        <w:trPr>
          <w:trHeight w:val="255"/>
        </w:trPr>
        <w:tc>
          <w:tcPr>
            <w:tcW w:w="2384" w:type="dxa"/>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 </w:t>
            </w:r>
          </w:p>
        </w:tc>
        <w:tc>
          <w:tcPr>
            <w:tcW w:w="641" w:type="dxa"/>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b/>
                <w:bCs/>
                <w:color w:val="000000"/>
                <w:vertAlign w:val="baseline"/>
                <w:lang w:eastAsia="pt-BR"/>
              </w:rPr>
            </w:pPr>
            <w:proofErr w:type="spellStart"/>
            <w:r w:rsidRPr="005F5BC9">
              <w:rPr>
                <w:rFonts w:ascii="Arial" w:eastAsia="Times New Roman" w:hAnsi="Arial" w:cs="Arial"/>
                <w:b/>
                <w:bCs/>
                <w:color w:val="000000"/>
                <w:vertAlign w:val="baseline"/>
                <w:lang w:eastAsia="pt-BR"/>
              </w:rPr>
              <w:t>Subt</w:t>
            </w:r>
            <w:proofErr w:type="spellEnd"/>
            <w:r w:rsidRPr="005F5BC9">
              <w:rPr>
                <w:rFonts w:ascii="Arial" w:eastAsia="Times New Roman" w:hAnsi="Arial" w:cs="Arial"/>
                <w:b/>
                <w:bCs/>
                <w:color w:val="000000"/>
                <w:vertAlign w:val="baseline"/>
                <w:lang w:eastAsia="pt-BR"/>
              </w:rPr>
              <w:t>.</w:t>
            </w:r>
          </w:p>
        </w:tc>
        <w:tc>
          <w:tcPr>
            <w:tcW w:w="1022" w:type="dxa"/>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b/>
                <w:bCs/>
                <w:color w:val="000000"/>
                <w:vertAlign w:val="baseline"/>
                <w:lang w:eastAsia="pt-BR"/>
              </w:rPr>
            </w:pPr>
            <w:proofErr w:type="gramStart"/>
            <w:r w:rsidRPr="005F5BC9">
              <w:rPr>
                <w:rFonts w:ascii="Arial" w:eastAsia="Times New Roman" w:hAnsi="Arial" w:cs="Arial"/>
                <w:b/>
                <w:bCs/>
                <w:color w:val="000000"/>
                <w:vertAlign w:val="baseline"/>
                <w:lang w:eastAsia="pt-BR"/>
              </w:rPr>
              <w:t>p</w:t>
            </w:r>
            <w:proofErr w:type="gramEnd"/>
            <w:r w:rsidRPr="005F5BC9">
              <w:rPr>
                <w:rFonts w:ascii="Arial" w:eastAsia="Times New Roman" w:hAnsi="Arial" w:cs="Arial"/>
                <w:b/>
                <w:bCs/>
                <w:color w:val="000000"/>
                <w:vertAlign w:val="baseline"/>
                <w:lang w:eastAsia="pt-BR"/>
              </w:rPr>
              <w:t>-valor</w:t>
            </w:r>
          </w:p>
        </w:tc>
        <w:tc>
          <w:tcPr>
            <w:tcW w:w="641" w:type="dxa"/>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b/>
                <w:bCs/>
                <w:color w:val="000000"/>
                <w:vertAlign w:val="baseline"/>
                <w:lang w:eastAsia="pt-BR"/>
              </w:rPr>
            </w:pPr>
            <w:proofErr w:type="spellStart"/>
            <w:r w:rsidRPr="005F5BC9">
              <w:rPr>
                <w:rFonts w:ascii="Arial" w:eastAsia="Times New Roman" w:hAnsi="Arial" w:cs="Arial"/>
                <w:b/>
                <w:bCs/>
                <w:color w:val="000000"/>
                <w:vertAlign w:val="baseline"/>
                <w:lang w:eastAsia="pt-BR"/>
              </w:rPr>
              <w:t>Subt</w:t>
            </w:r>
            <w:proofErr w:type="spellEnd"/>
            <w:r w:rsidRPr="005F5BC9">
              <w:rPr>
                <w:rFonts w:ascii="Arial" w:eastAsia="Times New Roman" w:hAnsi="Arial" w:cs="Arial"/>
                <w:b/>
                <w:bCs/>
                <w:color w:val="000000"/>
                <w:vertAlign w:val="baseline"/>
                <w:lang w:eastAsia="pt-BR"/>
              </w:rPr>
              <w:t>.</w:t>
            </w:r>
          </w:p>
        </w:tc>
        <w:tc>
          <w:tcPr>
            <w:tcW w:w="862" w:type="dxa"/>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b/>
                <w:bCs/>
                <w:color w:val="000000"/>
                <w:vertAlign w:val="baseline"/>
                <w:lang w:eastAsia="pt-BR"/>
              </w:rPr>
            </w:pPr>
            <w:proofErr w:type="gramStart"/>
            <w:r w:rsidRPr="005F5BC9">
              <w:rPr>
                <w:rFonts w:ascii="Arial" w:eastAsia="Times New Roman" w:hAnsi="Arial" w:cs="Arial"/>
                <w:b/>
                <w:bCs/>
                <w:color w:val="000000"/>
                <w:vertAlign w:val="baseline"/>
                <w:lang w:eastAsia="pt-BR"/>
              </w:rPr>
              <w:t>p</w:t>
            </w:r>
            <w:proofErr w:type="gramEnd"/>
            <w:r w:rsidRPr="005F5BC9">
              <w:rPr>
                <w:rFonts w:ascii="Arial" w:eastAsia="Times New Roman" w:hAnsi="Arial" w:cs="Arial"/>
                <w:b/>
                <w:bCs/>
                <w:color w:val="000000"/>
                <w:vertAlign w:val="baseline"/>
                <w:lang w:eastAsia="pt-BR"/>
              </w:rPr>
              <w:t>-valor</w:t>
            </w:r>
          </w:p>
        </w:tc>
        <w:tc>
          <w:tcPr>
            <w:tcW w:w="722" w:type="dxa"/>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b/>
                <w:bCs/>
                <w:color w:val="000000"/>
                <w:vertAlign w:val="baseline"/>
                <w:lang w:eastAsia="pt-BR"/>
              </w:rPr>
            </w:pPr>
            <w:proofErr w:type="spellStart"/>
            <w:r w:rsidRPr="005F5BC9">
              <w:rPr>
                <w:rFonts w:ascii="Arial" w:eastAsia="Times New Roman" w:hAnsi="Arial" w:cs="Arial"/>
                <w:b/>
                <w:bCs/>
                <w:color w:val="000000"/>
                <w:vertAlign w:val="baseline"/>
                <w:lang w:eastAsia="pt-BR"/>
              </w:rPr>
              <w:t>Subt</w:t>
            </w:r>
            <w:proofErr w:type="spellEnd"/>
            <w:r w:rsidRPr="005F5BC9">
              <w:rPr>
                <w:rFonts w:ascii="Arial" w:eastAsia="Times New Roman" w:hAnsi="Arial" w:cs="Arial"/>
                <w:b/>
                <w:bCs/>
                <w:color w:val="000000"/>
                <w:vertAlign w:val="baseline"/>
                <w:lang w:eastAsia="pt-BR"/>
              </w:rPr>
              <w:t>.</w:t>
            </w:r>
          </w:p>
        </w:tc>
        <w:tc>
          <w:tcPr>
            <w:tcW w:w="1008" w:type="dxa"/>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b/>
                <w:bCs/>
                <w:color w:val="000000"/>
                <w:vertAlign w:val="baseline"/>
                <w:lang w:eastAsia="pt-BR"/>
              </w:rPr>
            </w:pPr>
            <w:proofErr w:type="gramStart"/>
            <w:r w:rsidRPr="005F5BC9">
              <w:rPr>
                <w:rFonts w:ascii="Arial" w:eastAsia="Times New Roman" w:hAnsi="Arial" w:cs="Arial"/>
                <w:b/>
                <w:bCs/>
                <w:color w:val="000000"/>
                <w:vertAlign w:val="baseline"/>
                <w:lang w:eastAsia="pt-BR"/>
              </w:rPr>
              <w:t>p</w:t>
            </w:r>
            <w:proofErr w:type="gramEnd"/>
            <w:r w:rsidRPr="005F5BC9">
              <w:rPr>
                <w:rFonts w:ascii="Arial" w:eastAsia="Times New Roman" w:hAnsi="Arial" w:cs="Arial"/>
                <w:b/>
                <w:bCs/>
                <w:color w:val="000000"/>
                <w:vertAlign w:val="baseline"/>
                <w:lang w:eastAsia="pt-BR"/>
              </w:rPr>
              <w:t>-valor</w:t>
            </w:r>
          </w:p>
        </w:tc>
        <w:tc>
          <w:tcPr>
            <w:tcW w:w="960" w:type="dxa"/>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b/>
                <w:bCs/>
                <w:color w:val="000000"/>
                <w:vertAlign w:val="baseline"/>
                <w:lang w:eastAsia="pt-BR"/>
              </w:rPr>
            </w:pPr>
            <w:proofErr w:type="spellStart"/>
            <w:r w:rsidRPr="005F5BC9">
              <w:rPr>
                <w:rFonts w:ascii="Arial" w:eastAsia="Times New Roman" w:hAnsi="Arial" w:cs="Arial"/>
                <w:b/>
                <w:bCs/>
                <w:color w:val="000000"/>
                <w:vertAlign w:val="baseline"/>
                <w:lang w:eastAsia="pt-BR"/>
              </w:rPr>
              <w:t>Subt</w:t>
            </w:r>
            <w:proofErr w:type="spellEnd"/>
            <w:r w:rsidRPr="005F5BC9">
              <w:rPr>
                <w:rFonts w:ascii="Arial" w:eastAsia="Times New Roman" w:hAnsi="Arial" w:cs="Arial"/>
                <w:b/>
                <w:bCs/>
                <w:color w:val="000000"/>
                <w:vertAlign w:val="baseline"/>
                <w:lang w:eastAsia="pt-BR"/>
              </w:rPr>
              <w:t>.</w:t>
            </w:r>
          </w:p>
        </w:tc>
        <w:tc>
          <w:tcPr>
            <w:tcW w:w="860" w:type="dxa"/>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b/>
                <w:bCs/>
                <w:color w:val="000000"/>
                <w:vertAlign w:val="baseline"/>
                <w:lang w:eastAsia="pt-BR"/>
              </w:rPr>
            </w:pPr>
            <w:proofErr w:type="gramStart"/>
            <w:r w:rsidRPr="005F5BC9">
              <w:rPr>
                <w:rFonts w:ascii="Arial" w:eastAsia="Times New Roman" w:hAnsi="Arial" w:cs="Arial"/>
                <w:b/>
                <w:bCs/>
                <w:color w:val="000000"/>
                <w:vertAlign w:val="baseline"/>
                <w:lang w:eastAsia="pt-BR"/>
              </w:rPr>
              <w:t>p</w:t>
            </w:r>
            <w:proofErr w:type="gramEnd"/>
            <w:r w:rsidRPr="005F5BC9">
              <w:rPr>
                <w:rFonts w:ascii="Arial" w:eastAsia="Times New Roman" w:hAnsi="Arial" w:cs="Arial"/>
                <w:b/>
                <w:bCs/>
                <w:color w:val="000000"/>
                <w:vertAlign w:val="baseline"/>
                <w:lang w:eastAsia="pt-BR"/>
              </w:rPr>
              <w:t>-valor</w:t>
            </w:r>
          </w:p>
        </w:tc>
      </w:tr>
      <w:tr w:rsidR="00287F7B" w:rsidRPr="005F5BC9" w:rsidTr="00F84486">
        <w:trPr>
          <w:trHeight w:val="255"/>
        </w:trPr>
        <w:tc>
          <w:tcPr>
            <w:tcW w:w="2384" w:type="dxa"/>
            <w:tcBorders>
              <w:top w:val="nil"/>
              <w:left w:val="nil"/>
              <w:bottom w:val="nil"/>
              <w:right w:val="nil"/>
            </w:tcBorders>
            <w:shd w:val="clear" w:color="auto" w:fill="auto"/>
            <w:noWrap/>
            <w:vAlign w:val="bottom"/>
            <w:hideMark/>
          </w:tcPr>
          <w:p w:rsidR="00287F7B" w:rsidRPr="005F5BC9" w:rsidRDefault="001F15DC" w:rsidP="00C325A7">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w:t>
            </w:r>
            <w:r>
              <w:rPr>
                <w:rFonts w:ascii="Arial" w:eastAsia="Times New Roman" w:hAnsi="Arial" w:cs="Arial"/>
                <w:color w:val="000000"/>
                <w:vertAlign w:val="baseline"/>
                <w:lang w:eastAsia="pt-BR"/>
              </w:rPr>
              <w:t>AB</w:t>
            </w:r>
          </w:p>
        </w:tc>
        <w:tc>
          <w:tcPr>
            <w:tcW w:w="641"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0.864 </w:t>
            </w:r>
          </w:p>
        </w:tc>
        <w:tc>
          <w:tcPr>
            <w:tcW w:w="1022"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641"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0.959 </w:t>
            </w:r>
          </w:p>
        </w:tc>
        <w:tc>
          <w:tcPr>
            <w:tcW w:w="862"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722"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0.628 </w:t>
            </w:r>
          </w:p>
        </w:tc>
        <w:tc>
          <w:tcPr>
            <w:tcW w:w="1008"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960"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0.797 </w:t>
            </w:r>
          </w:p>
        </w:tc>
        <w:tc>
          <w:tcPr>
            <w:tcW w:w="860"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287F7B" w:rsidRPr="005F5BC9" w:rsidTr="00F84486">
        <w:trPr>
          <w:trHeight w:val="255"/>
        </w:trPr>
        <w:tc>
          <w:tcPr>
            <w:tcW w:w="2384" w:type="dxa"/>
            <w:tcBorders>
              <w:top w:val="nil"/>
              <w:left w:val="nil"/>
              <w:bottom w:val="nil"/>
              <w:right w:val="nil"/>
            </w:tcBorders>
            <w:shd w:val="clear" w:color="auto" w:fill="auto"/>
            <w:noWrap/>
            <w:vAlign w:val="bottom"/>
            <w:hideMark/>
          </w:tcPr>
          <w:p w:rsidR="00287F7B" w:rsidRPr="005F5BC9" w:rsidRDefault="001F15DC" w:rsidP="00C325A7">
            <w:pPr>
              <w:spacing w:after="0" w:line="240" w:lineRule="auto"/>
              <w:jc w:val="left"/>
              <w:rPr>
                <w:rFonts w:ascii="Arial" w:eastAsia="Times New Roman" w:hAnsi="Arial" w:cs="Arial"/>
                <w:color w:val="000000"/>
                <w:vertAlign w:val="baseline"/>
                <w:lang w:eastAsia="pt-BR"/>
              </w:rPr>
            </w:pPr>
            <w:r>
              <w:rPr>
                <w:rFonts w:ascii="Arial" w:eastAsia="Times New Roman" w:hAnsi="Arial" w:cs="Arial"/>
                <w:color w:val="000000"/>
                <w:vertAlign w:val="baseline"/>
                <w:lang w:eastAsia="pt-BR"/>
              </w:rPr>
              <w:t xml:space="preserve">Outras </w:t>
            </w:r>
            <w:proofErr w:type="spellStart"/>
            <w:r>
              <w:rPr>
                <w:rFonts w:ascii="Arial" w:eastAsia="Times New Roman" w:hAnsi="Arial" w:cs="Arial"/>
                <w:color w:val="000000"/>
                <w:vertAlign w:val="baseline"/>
                <w:lang w:eastAsia="pt-BR"/>
              </w:rPr>
              <w:t>transf</w:t>
            </w:r>
            <w:proofErr w:type="spellEnd"/>
            <w:r>
              <w:rPr>
                <w:rFonts w:ascii="Arial" w:eastAsia="Times New Roman" w:hAnsi="Arial" w:cs="Arial"/>
                <w:color w:val="000000"/>
                <w:vertAlign w:val="baseline"/>
                <w:lang w:eastAsia="pt-BR"/>
              </w:rPr>
              <w:t>. SUS</w:t>
            </w:r>
          </w:p>
        </w:tc>
        <w:tc>
          <w:tcPr>
            <w:tcW w:w="641"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0.872 </w:t>
            </w:r>
          </w:p>
        </w:tc>
        <w:tc>
          <w:tcPr>
            <w:tcW w:w="1022"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641"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1.051 </w:t>
            </w:r>
          </w:p>
        </w:tc>
        <w:tc>
          <w:tcPr>
            <w:tcW w:w="862"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722"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0.593 </w:t>
            </w:r>
          </w:p>
        </w:tc>
        <w:tc>
          <w:tcPr>
            <w:tcW w:w="1008"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960"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0.879 </w:t>
            </w:r>
          </w:p>
        </w:tc>
        <w:tc>
          <w:tcPr>
            <w:tcW w:w="860"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287F7B" w:rsidRPr="005F5BC9" w:rsidTr="00F84486">
        <w:trPr>
          <w:trHeight w:val="255"/>
        </w:trPr>
        <w:tc>
          <w:tcPr>
            <w:tcW w:w="2384" w:type="dxa"/>
            <w:tcBorders>
              <w:top w:val="nil"/>
              <w:left w:val="nil"/>
              <w:bottom w:val="nil"/>
              <w:right w:val="nil"/>
            </w:tcBorders>
            <w:shd w:val="clear" w:color="auto" w:fill="auto"/>
            <w:noWrap/>
            <w:vAlign w:val="bottom"/>
            <w:hideMark/>
          </w:tcPr>
          <w:p w:rsidR="00287F7B" w:rsidRPr="005F5BC9" w:rsidRDefault="001F15DC" w:rsidP="00C325A7">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F</w:t>
            </w:r>
            <w:r>
              <w:rPr>
                <w:rFonts w:ascii="Arial" w:eastAsia="Times New Roman" w:hAnsi="Arial" w:cs="Arial"/>
                <w:color w:val="000000"/>
                <w:vertAlign w:val="baseline"/>
                <w:lang w:eastAsia="pt-BR"/>
              </w:rPr>
              <w:t>PM</w:t>
            </w:r>
          </w:p>
        </w:tc>
        <w:tc>
          <w:tcPr>
            <w:tcW w:w="641"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0.186 </w:t>
            </w:r>
          </w:p>
        </w:tc>
        <w:tc>
          <w:tcPr>
            <w:tcW w:w="1022"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641"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0.167 </w:t>
            </w:r>
          </w:p>
        </w:tc>
        <w:tc>
          <w:tcPr>
            <w:tcW w:w="862"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722"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0.233 </w:t>
            </w:r>
          </w:p>
        </w:tc>
        <w:tc>
          <w:tcPr>
            <w:tcW w:w="1008"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960"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0.178 </w:t>
            </w:r>
          </w:p>
        </w:tc>
        <w:tc>
          <w:tcPr>
            <w:tcW w:w="860"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287F7B" w:rsidRPr="005F5BC9" w:rsidTr="00F84486">
        <w:trPr>
          <w:trHeight w:val="255"/>
        </w:trPr>
        <w:tc>
          <w:tcPr>
            <w:tcW w:w="2384" w:type="dxa"/>
            <w:tcBorders>
              <w:top w:val="nil"/>
              <w:left w:val="nil"/>
              <w:bottom w:val="nil"/>
              <w:right w:val="nil"/>
            </w:tcBorders>
            <w:shd w:val="clear" w:color="auto" w:fill="auto"/>
            <w:noWrap/>
            <w:vAlign w:val="bottom"/>
            <w:hideMark/>
          </w:tcPr>
          <w:p w:rsidR="00287F7B" w:rsidRPr="005F5BC9" w:rsidRDefault="001F15DC" w:rsidP="00C325A7">
            <w:pPr>
              <w:spacing w:after="0" w:line="240" w:lineRule="auto"/>
              <w:jc w:val="left"/>
              <w:rPr>
                <w:rFonts w:ascii="Arial" w:eastAsia="Times New Roman" w:hAnsi="Arial" w:cs="Arial"/>
                <w:color w:val="000000"/>
                <w:vertAlign w:val="baseline"/>
                <w:lang w:eastAsia="pt-BR"/>
              </w:rPr>
            </w:pPr>
            <w:r>
              <w:rPr>
                <w:rFonts w:ascii="Arial" w:eastAsia="Times New Roman" w:hAnsi="Arial" w:cs="Arial"/>
                <w:color w:val="000000"/>
                <w:vertAlign w:val="baseline"/>
                <w:lang w:eastAsia="pt-BR"/>
              </w:rPr>
              <w:t>Royalties</w:t>
            </w:r>
          </w:p>
        </w:tc>
        <w:tc>
          <w:tcPr>
            <w:tcW w:w="641"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0.259 </w:t>
            </w:r>
          </w:p>
        </w:tc>
        <w:tc>
          <w:tcPr>
            <w:tcW w:w="1022"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641"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0.194 </w:t>
            </w:r>
          </w:p>
        </w:tc>
        <w:tc>
          <w:tcPr>
            <w:tcW w:w="862"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722"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-0.056 </w:t>
            </w:r>
          </w:p>
        </w:tc>
        <w:tc>
          <w:tcPr>
            <w:tcW w:w="1008"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0.62</w:t>
            </w:r>
          </w:p>
        </w:tc>
        <w:tc>
          <w:tcPr>
            <w:tcW w:w="960"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-0.003 </w:t>
            </w:r>
          </w:p>
        </w:tc>
        <w:tc>
          <w:tcPr>
            <w:tcW w:w="860" w:type="dxa"/>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0.97</w:t>
            </w:r>
          </w:p>
        </w:tc>
      </w:tr>
      <w:tr w:rsidR="00287F7B" w:rsidRPr="005F5BC9" w:rsidTr="00F84486">
        <w:trPr>
          <w:trHeight w:val="255"/>
        </w:trPr>
        <w:tc>
          <w:tcPr>
            <w:tcW w:w="2384" w:type="dxa"/>
            <w:tcBorders>
              <w:top w:val="nil"/>
              <w:left w:val="nil"/>
              <w:bottom w:val="single" w:sz="4" w:space="0" w:color="auto"/>
              <w:right w:val="nil"/>
            </w:tcBorders>
            <w:shd w:val="clear" w:color="auto" w:fill="auto"/>
            <w:noWrap/>
            <w:vAlign w:val="bottom"/>
            <w:hideMark/>
          </w:tcPr>
          <w:p w:rsidR="00287F7B" w:rsidRPr="005F5BC9" w:rsidRDefault="001F15DC" w:rsidP="00C325A7">
            <w:pPr>
              <w:spacing w:after="0" w:line="240" w:lineRule="auto"/>
              <w:jc w:val="left"/>
              <w:rPr>
                <w:rFonts w:ascii="Arial" w:eastAsia="Times New Roman" w:hAnsi="Arial" w:cs="Arial"/>
                <w:color w:val="000000"/>
                <w:vertAlign w:val="baseline"/>
                <w:lang w:eastAsia="pt-BR"/>
              </w:rPr>
            </w:pPr>
            <w:r>
              <w:rPr>
                <w:rFonts w:ascii="Arial" w:eastAsia="Times New Roman" w:hAnsi="Arial" w:cs="Arial"/>
                <w:color w:val="000000"/>
                <w:vertAlign w:val="baseline"/>
                <w:lang w:eastAsia="pt-BR"/>
              </w:rPr>
              <w:t xml:space="preserve">Outras </w:t>
            </w:r>
            <w:proofErr w:type="spellStart"/>
            <w:r>
              <w:rPr>
                <w:rFonts w:ascii="Arial" w:eastAsia="Times New Roman" w:hAnsi="Arial" w:cs="Arial"/>
                <w:color w:val="000000"/>
                <w:vertAlign w:val="baseline"/>
                <w:lang w:eastAsia="pt-BR"/>
              </w:rPr>
              <w:t>transf</w:t>
            </w:r>
            <w:proofErr w:type="spellEnd"/>
            <w:r>
              <w:rPr>
                <w:rFonts w:ascii="Arial" w:eastAsia="Times New Roman" w:hAnsi="Arial" w:cs="Arial"/>
                <w:color w:val="000000"/>
                <w:vertAlign w:val="baseline"/>
                <w:lang w:eastAsia="pt-BR"/>
              </w:rPr>
              <w:t>.</w:t>
            </w:r>
          </w:p>
        </w:tc>
        <w:tc>
          <w:tcPr>
            <w:tcW w:w="641"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0.145 </w:t>
            </w:r>
          </w:p>
        </w:tc>
        <w:tc>
          <w:tcPr>
            <w:tcW w:w="1022"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641"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0.165 </w:t>
            </w:r>
          </w:p>
        </w:tc>
        <w:tc>
          <w:tcPr>
            <w:tcW w:w="862"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722"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0.064 </w:t>
            </w:r>
          </w:p>
        </w:tc>
        <w:tc>
          <w:tcPr>
            <w:tcW w:w="1008"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0.12</w:t>
            </w:r>
          </w:p>
        </w:tc>
        <w:tc>
          <w:tcPr>
            <w:tcW w:w="960"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0.076 </w:t>
            </w:r>
          </w:p>
        </w:tc>
        <w:tc>
          <w:tcPr>
            <w:tcW w:w="860"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0.13</w:t>
            </w:r>
          </w:p>
        </w:tc>
      </w:tr>
      <w:tr w:rsidR="00287F7B" w:rsidRPr="005F5BC9" w:rsidTr="00F84486">
        <w:trPr>
          <w:trHeight w:val="255"/>
        </w:trPr>
        <w:tc>
          <w:tcPr>
            <w:tcW w:w="2384" w:type="dxa"/>
            <w:tcBorders>
              <w:top w:val="nil"/>
              <w:left w:val="nil"/>
              <w:bottom w:val="single" w:sz="4" w:space="0" w:color="auto"/>
              <w:right w:val="nil"/>
            </w:tcBorders>
            <w:shd w:val="clear" w:color="auto" w:fill="auto"/>
            <w:noWrap/>
            <w:vAlign w:val="bottom"/>
            <w:hideMark/>
          </w:tcPr>
          <w:p w:rsidR="00287F7B" w:rsidRPr="005F5BC9" w:rsidRDefault="001F15DC" w:rsidP="00C325A7">
            <w:pPr>
              <w:spacing w:after="0" w:line="240" w:lineRule="auto"/>
              <w:jc w:val="left"/>
              <w:rPr>
                <w:rFonts w:ascii="Arial" w:eastAsia="Times New Roman" w:hAnsi="Arial" w:cs="Arial"/>
                <w:color w:val="000000"/>
                <w:vertAlign w:val="baseline"/>
                <w:lang w:eastAsia="pt-BR"/>
              </w:rPr>
            </w:pPr>
            <w:r>
              <w:rPr>
                <w:rFonts w:ascii="Arial" w:eastAsia="Times New Roman" w:hAnsi="Arial" w:cs="Arial"/>
                <w:color w:val="000000"/>
                <w:vertAlign w:val="baseline"/>
                <w:lang w:eastAsia="pt-BR"/>
              </w:rPr>
              <w:t>PAB-FPM</w:t>
            </w:r>
          </w:p>
        </w:tc>
        <w:tc>
          <w:tcPr>
            <w:tcW w:w="641"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0.678 </w:t>
            </w:r>
          </w:p>
        </w:tc>
        <w:tc>
          <w:tcPr>
            <w:tcW w:w="1022"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641"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0.792 </w:t>
            </w:r>
          </w:p>
        </w:tc>
        <w:tc>
          <w:tcPr>
            <w:tcW w:w="862"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722"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0.395 </w:t>
            </w:r>
          </w:p>
        </w:tc>
        <w:tc>
          <w:tcPr>
            <w:tcW w:w="1008"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960"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0.619 </w:t>
            </w:r>
          </w:p>
        </w:tc>
        <w:tc>
          <w:tcPr>
            <w:tcW w:w="860" w:type="dxa"/>
            <w:tcBorders>
              <w:top w:val="nil"/>
              <w:left w:val="nil"/>
              <w:bottom w:val="single" w:sz="4" w:space="0" w:color="auto"/>
              <w:right w:val="nil"/>
            </w:tcBorders>
            <w:shd w:val="clear" w:color="auto" w:fill="auto"/>
            <w:noWrap/>
            <w:vAlign w:val="bottom"/>
            <w:hideMark/>
          </w:tcPr>
          <w:p w:rsidR="00287F7B" w:rsidRPr="005F5BC9" w:rsidRDefault="00287F7B" w:rsidP="00C325A7">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bl>
    <w:p w:rsidR="00287F7B" w:rsidRDefault="00287F7B" w:rsidP="00306944">
      <w:pPr>
        <w:spacing w:after="0" w:line="240" w:lineRule="auto"/>
        <w:ind w:firstLine="420"/>
        <w:rPr>
          <w:rFonts w:ascii="Arial" w:eastAsia="Times New Roman" w:hAnsi="Arial" w:cs="Arial"/>
          <w:sz w:val="24"/>
          <w:szCs w:val="24"/>
          <w:vertAlign w:val="baseline"/>
          <w:lang w:eastAsia="pt-BR"/>
        </w:rPr>
      </w:pPr>
    </w:p>
    <w:p w:rsidR="00742788" w:rsidRPr="005F5BC9" w:rsidRDefault="00742788" w:rsidP="00306944">
      <w:pPr>
        <w:spacing w:after="0" w:line="240" w:lineRule="auto"/>
        <w:ind w:firstLine="420"/>
        <w:rPr>
          <w:rFonts w:ascii="Arial" w:eastAsia="Times New Roman" w:hAnsi="Arial" w:cs="Arial"/>
          <w:sz w:val="24"/>
          <w:szCs w:val="24"/>
          <w:vertAlign w:val="baseline"/>
          <w:lang w:eastAsia="pt-BR"/>
        </w:rPr>
      </w:pPr>
      <w:r>
        <w:rPr>
          <w:rFonts w:ascii="Arial" w:hAnsi="Arial" w:cs="Arial"/>
          <w:sz w:val="24"/>
          <w:szCs w:val="24"/>
          <w:vertAlign w:val="baseline"/>
        </w:rPr>
        <w:t>A Tabela 10 apresenta os resultados para a especificação logarítmica.</w:t>
      </w:r>
    </w:p>
    <w:tbl>
      <w:tblPr>
        <w:tblW w:w="9046" w:type="dxa"/>
        <w:tblInd w:w="55" w:type="dxa"/>
        <w:tblCellMar>
          <w:left w:w="70" w:type="dxa"/>
          <w:right w:w="70" w:type="dxa"/>
        </w:tblCellMar>
        <w:tblLook w:val="04A0" w:firstRow="1" w:lastRow="0" w:firstColumn="1" w:lastColumn="0" w:noHBand="0" w:noVBand="1"/>
      </w:tblPr>
      <w:tblGrid>
        <w:gridCol w:w="2158"/>
        <w:gridCol w:w="874"/>
        <w:gridCol w:w="766"/>
        <w:gridCol w:w="140"/>
        <w:gridCol w:w="761"/>
        <w:gridCol w:w="140"/>
        <w:gridCol w:w="644"/>
        <w:gridCol w:w="175"/>
        <w:gridCol w:w="730"/>
        <w:gridCol w:w="144"/>
        <w:gridCol w:w="643"/>
        <w:gridCol w:w="178"/>
        <w:gridCol w:w="730"/>
        <w:gridCol w:w="144"/>
        <w:gridCol w:w="755"/>
        <w:gridCol w:w="64"/>
      </w:tblGrid>
      <w:tr w:rsidR="00287F7B" w:rsidRPr="005F5BC9" w:rsidTr="00B7505E">
        <w:trPr>
          <w:trHeight w:val="255"/>
        </w:trPr>
        <w:tc>
          <w:tcPr>
            <w:tcW w:w="9046" w:type="dxa"/>
            <w:gridSpan w:val="16"/>
            <w:tcBorders>
              <w:top w:val="nil"/>
              <w:left w:val="nil"/>
              <w:bottom w:val="nil"/>
              <w:right w:val="nil"/>
            </w:tcBorders>
            <w:shd w:val="clear" w:color="auto" w:fill="auto"/>
            <w:vAlign w:val="center"/>
            <w:hideMark/>
          </w:tcPr>
          <w:p w:rsidR="00241F56" w:rsidRPr="005F5BC9" w:rsidRDefault="00241F56" w:rsidP="00C325A7">
            <w:pPr>
              <w:spacing w:after="0" w:line="240" w:lineRule="auto"/>
              <w:jc w:val="left"/>
              <w:rPr>
                <w:rFonts w:ascii="Arial" w:eastAsia="Times New Roman" w:hAnsi="Arial" w:cs="Arial"/>
                <w:b/>
                <w:bCs/>
                <w:vertAlign w:val="baseline"/>
                <w:lang w:eastAsia="pt-BR"/>
              </w:rPr>
            </w:pPr>
          </w:p>
          <w:p w:rsidR="00287F7B" w:rsidRPr="005F5BC9" w:rsidRDefault="00287F7B" w:rsidP="00E402B1">
            <w:pPr>
              <w:spacing w:after="0" w:line="240" w:lineRule="auto"/>
              <w:jc w:val="left"/>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 xml:space="preserve">Tabela </w:t>
            </w:r>
            <w:r w:rsidR="00E402B1">
              <w:rPr>
                <w:rFonts w:ascii="Arial" w:eastAsia="Times New Roman" w:hAnsi="Arial" w:cs="Arial"/>
                <w:b/>
                <w:bCs/>
                <w:vertAlign w:val="baseline"/>
                <w:lang w:eastAsia="pt-BR"/>
              </w:rPr>
              <w:t xml:space="preserve">10 </w:t>
            </w:r>
            <w:r w:rsidRPr="005F5BC9">
              <w:rPr>
                <w:rFonts w:ascii="Arial" w:eastAsia="Times New Roman" w:hAnsi="Arial" w:cs="Arial"/>
                <w:b/>
                <w:bCs/>
                <w:vertAlign w:val="baseline"/>
                <w:lang w:eastAsia="pt-BR"/>
              </w:rPr>
              <w:t>– Determinantes dos Gastos em Saúde - Modelos</w:t>
            </w:r>
            <w:proofErr w:type="gramEnd"/>
            <w:r w:rsidRPr="005F5BC9">
              <w:rPr>
                <w:rFonts w:ascii="Arial" w:eastAsia="Times New Roman" w:hAnsi="Arial" w:cs="Arial"/>
                <w:b/>
                <w:bCs/>
                <w:vertAlign w:val="baseline"/>
                <w:lang w:eastAsia="pt-BR"/>
              </w:rPr>
              <w:t xml:space="preserve"> Log-log</w:t>
            </w:r>
          </w:p>
        </w:tc>
      </w:tr>
      <w:tr w:rsidR="00287F7B" w:rsidRPr="005F5BC9" w:rsidTr="00B7505E">
        <w:trPr>
          <w:trHeight w:val="255"/>
        </w:trPr>
        <w:tc>
          <w:tcPr>
            <w:tcW w:w="2158" w:type="dxa"/>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 </w:t>
            </w:r>
          </w:p>
        </w:tc>
        <w:tc>
          <w:tcPr>
            <w:tcW w:w="3500" w:type="dxa"/>
            <w:gridSpan w:val="7"/>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Mínimos quadrados</w:t>
            </w:r>
          </w:p>
        </w:tc>
        <w:tc>
          <w:tcPr>
            <w:tcW w:w="3388" w:type="dxa"/>
            <w:gridSpan w:val="8"/>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Efeitos Fixos</w:t>
            </w:r>
          </w:p>
        </w:tc>
      </w:tr>
      <w:tr w:rsidR="00287F7B" w:rsidRPr="005F5BC9" w:rsidTr="00B7505E">
        <w:trPr>
          <w:trHeight w:val="255"/>
        </w:trPr>
        <w:tc>
          <w:tcPr>
            <w:tcW w:w="2158"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1780" w:type="dxa"/>
            <w:gridSpan w:val="3"/>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Não Ponderado</w:t>
            </w:r>
          </w:p>
        </w:tc>
        <w:tc>
          <w:tcPr>
            <w:tcW w:w="1720" w:type="dxa"/>
            <w:gridSpan w:val="4"/>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Ponderado</w:t>
            </w:r>
          </w:p>
        </w:tc>
        <w:tc>
          <w:tcPr>
            <w:tcW w:w="1695" w:type="dxa"/>
            <w:gridSpan w:val="4"/>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Não Ponderado</w:t>
            </w:r>
          </w:p>
        </w:tc>
        <w:tc>
          <w:tcPr>
            <w:tcW w:w="1693" w:type="dxa"/>
            <w:gridSpan w:val="4"/>
            <w:tcBorders>
              <w:top w:val="single" w:sz="4" w:space="0" w:color="auto"/>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Ponderado</w:t>
            </w:r>
          </w:p>
        </w:tc>
      </w:tr>
      <w:tr w:rsidR="00287F7B" w:rsidRPr="005F5BC9" w:rsidTr="00B7505E">
        <w:trPr>
          <w:trHeight w:val="510"/>
        </w:trPr>
        <w:tc>
          <w:tcPr>
            <w:tcW w:w="2158"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874"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906" w:type="dxa"/>
            <w:gridSpan w:val="2"/>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901" w:type="dxa"/>
            <w:gridSpan w:val="2"/>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19" w:type="dxa"/>
            <w:gridSpan w:val="2"/>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874" w:type="dxa"/>
            <w:gridSpan w:val="2"/>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21" w:type="dxa"/>
            <w:gridSpan w:val="2"/>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874" w:type="dxa"/>
            <w:gridSpan w:val="2"/>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19" w:type="dxa"/>
            <w:gridSpan w:val="2"/>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r>
      <w:tr w:rsidR="00287F7B" w:rsidRPr="005F5BC9" w:rsidTr="00B7505E">
        <w:trPr>
          <w:gridAfter w:val="1"/>
          <w:wAfter w:w="64" w:type="dxa"/>
          <w:trHeight w:val="255"/>
        </w:trPr>
        <w:tc>
          <w:tcPr>
            <w:tcW w:w="2158" w:type="dxa"/>
            <w:tcBorders>
              <w:top w:val="nil"/>
              <w:left w:val="nil"/>
              <w:bottom w:val="nil"/>
              <w:right w:val="nil"/>
            </w:tcBorders>
            <w:shd w:val="clear" w:color="auto" w:fill="auto"/>
            <w:vAlign w:val="center"/>
            <w:hideMark/>
          </w:tcPr>
          <w:p w:rsidR="00287F7B" w:rsidRPr="005F5BC9" w:rsidRDefault="00742788" w:rsidP="00C325A7">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LPIB</w:t>
            </w:r>
          </w:p>
        </w:tc>
        <w:tc>
          <w:tcPr>
            <w:tcW w:w="874" w:type="dxa"/>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0.100***</w:t>
            </w:r>
          </w:p>
        </w:tc>
        <w:tc>
          <w:tcPr>
            <w:tcW w:w="766" w:type="dxa"/>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0.008</w:t>
            </w:r>
          </w:p>
        </w:tc>
        <w:tc>
          <w:tcPr>
            <w:tcW w:w="901"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0.162***</w:t>
            </w:r>
          </w:p>
        </w:tc>
        <w:tc>
          <w:tcPr>
            <w:tcW w:w="784"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0.021</w:t>
            </w:r>
          </w:p>
        </w:tc>
        <w:tc>
          <w:tcPr>
            <w:tcW w:w="905"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0.055***</w:t>
            </w:r>
          </w:p>
        </w:tc>
        <w:tc>
          <w:tcPr>
            <w:tcW w:w="787"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0.012</w:t>
            </w:r>
          </w:p>
        </w:tc>
        <w:tc>
          <w:tcPr>
            <w:tcW w:w="908"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0.133***</w:t>
            </w:r>
          </w:p>
        </w:tc>
        <w:tc>
          <w:tcPr>
            <w:tcW w:w="899"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0.032</w:t>
            </w:r>
          </w:p>
        </w:tc>
      </w:tr>
      <w:tr w:rsidR="00287F7B" w:rsidRPr="005F5BC9" w:rsidTr="00B7505E">
        <w:trPr>
          <w:trHeight w:val="255"/>
        </w:trPr>
        <w:tc>
          <w:tcPr>
            <w:tcW w:w="2158" w:type="dxa"/>
            <w:tcBorders>
              <w:top w:val="nil"/>
              <w:left w:val="nil"/>
              <w:bottom w:val="nil"/>
              <w:right w:val="nil"/>
            </w:tcBorders>
            <w:shd w:val="clear" w:color="auto" w:fill="auto"/>
            <w:vAlign w:val="center"/>
            <w:hideMark/>
          </w:tcPr>
          <w:p w:rsidR="00287F7B" w:rsidRPr="005F5BC9" w:rsidRDefault="00742788" w:rsidP="00C325A7">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LPAB</w:t>
            </w:r>
          </w:p>
        </w:tc>
        <w:tc>
          <w:tcPr>
            <w:tcW w:w="874" w:type="dxa"/>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0.147***</w:t>
            </w:r>
          </w:p>
        </w:tc>
        <w:tc>
          <w:tcPr>
            <w:tcW w:w="906"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0.013</w:t>
            </w:r>
          </w:p>
        </w:tc>
        <w:tc>
          <w:tcPr>
            <w:tcW w:w="901"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0.281***</w:t>
            </w:r>
          </w:p>
        </w:tc>
        <w:tc>
          <w:tcPr>
            <w:tcW w:w="819"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0.052</w:t>
            </w:r>
          </w:p>
        </w:tc>
        <w:tc>
          <w:tcPr>
            <w:tcW w:w="874"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0.138***</w:t>
            </w:r>
          </w:p>
        </w:tc>
        <w:tc>
          <w:tcPr>
            <w:tcW w:w="821"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0.009</w:t>
            </w:r>
          </w:p>
        </w:tc>
        <w:tc>
          <w:tcPr>
            <w:tcW w:w="874"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0.215***</w:t>
            </w:r>
          </w:p>
        </w:tc>
        <w:tc>
          <w:tcPr>
            <w:tcW w:w="819"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0.043</w:t>
            </w:r>
          </w:p>
        </w:tc>
      </w:tr>
      <w:tr w:rsidR="00287F7B" w:rsidRPr="005F5BC9" w:rsidTr="00B7505E">
        <w:trPr>
          <w:trHeight w:val="255"/>
        </w:trPr>
        <w:tc>
          <w:tcPr>
            <w:tcW w:w="2158" w:type="dxa"/>
            <w:tcBorders>
              <w:top w:val="nil"/>
              <w:left w:val="nil"/>
              <w:bottom w:val="nil"/>
              <w:right w:val="nil"/>
            </w:tcBorders>
            <w:shd w:val="clear" w:color="auto" w:fill="auto"/>
            <w:vAlign w:val="center"/>
            <w:hideMark/>
          </w:tcPr>
          <w:p w:rsidR="00287F7B" w:rsidRPr="005F5BC9" w:rsidRDefault="00742788" w:rsidP="00C325A7">
            <w:pPr>
              <w:spacing w:after="0" w:line="240" w:lineRule="auto"/>
              <w:jc w:val="left"/>
              <w:rPr>
                <w:rFonts w:ascii="Arial" w:eastAsia="Times New Roman" w:hAnsi="Arial" w:cs="Arial"/>
                <w:vertAlign w:val="baseline"/>
                <w:lang w:eastAsia="pt-BR"/>
              </w:rPr>
            </w:pPr>
            <w:proofErr w:type="spellStart"/>
            <w:proofErr w:type="gramStart"/>
            <w:r>
              <w:rPr>
                <w:rFonts w:ascii="Arial" w:eastAsia="Times New Roman" w:hAnsi="Arial" w:cs="Arial"/>
                <w:vertAlign w:val="baseline"/>
                <w:lang w:eastAsia="pt-BR"/>
              </w:rPr>
              <w:t>LOutras</w:t>
            </w:r>
            <w:proofErr w:type="spellEnd"/>
            <w:proofErr w:type="gramEnd"/>
            <w:r>
              <w:rPr>
                <w:rFonts w:ascii="Arial" w:eastAsia="Times New Roman" w:hAnsi="Arial" w:cs="Arial"/>
                <w:vertAlign w:val="baseline"/>
                <w:lang w:eastAsia="pt-BR"/>
              </w:rPr>
              <w:t xml:space="preserve"> </w:t>
            </w:r>
            <w:proofErr w:type="spellStart"/>
            <w:r>
              <w:rPr>
                <w:rFonts w:ascii="Arial" w:eastAsia="Times New Roman" w:hAnsi="Arial" w:cs="Arial"/>
                <w:vertAlign w:val="baseline"/>
                <w:lang w:eastAsia="pt-BR"/>
              </w:rPr>
              <w:t>transf</w:t>
            </w:r>
            <w:proofErr w:type="spellEnd"/>
          </w:p>
        </w:tc>
        <w:tc>
          <w:tcPr>
            <w:tcW w:w="874" w:type="dxa"/>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0.297***</w:t>
            </w:r>
          </w:p>
        </w:tc>
        <w:tc>
          <w:tcPr>
            <w:tcW w:w="906"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0.006</w:t>
            </w:r>
          </w:p>
        </w:tc>
        <w:tc>
          <w:tcPr>
            <w:tcW w:w="901"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0.350***</w:t>
            </w:r>
          </w:p>
        </w:tc>
        <w:tc>
          <w:tcPr>
            <w:tcW w:w="819"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0.017</w:t>
            </w:r>
          </w:p>
        </w:tc>
        <w:tc>
          <w:tcPr>
            <w:tcW w:w="874"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0.199***</w:t>
            </w:r>
          </w:p>
        </w:tc>
        <w:tc>
          <w:tcPr>
            <w:tcW w:w="821"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0.005</w:t>
            </w:r>
          </w:p>
        </w:tc>
        <w:tc>
          <w:tcPr>
            <w:tcW w:w="874"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0.253***</w:t>
            </w:r>
          </w:p>
        </w:tc>
        <w:tc>
          <w:tcPr>
            <w:tcW w:w="819"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0.029</w:t>
            </w:r>
          </w:p>
        </w:tc>
      </w:tr>
      <w:tr w:rsidR="00287F7B" w:rsidRPr="005F5BC9" w:rsidTr="00B7505E">
        <w:trPr>
          <w:trHeight w:val="255"/>
        </w:trPr>
        <w:tc>
          <w:tcPr>
            <w:tcW w:w="2158" w:type="dxa"/>
            <w:tcBorders>
              <w:top w:val="nil"/>
              <w:left w:val="nil"/>
              <w:bottom w:val="nil"/>
              <w:right w:val="nil"/>
            </w:tcBorders>
            <w:shd w:val="clear" w:color="auto" w:fill="auto"/>
            <w:vAlign w:val="center"/>
            <w:hideMark/>
          </w:tcPr>
          <w:p w:rsidR="00287F7B" w:rsidRPr="005F5BC9" w:rsidRDefault="00742788" w:rsidP="00C325A7">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LFPM</w:t>
            </w:r>
          </w:p>
        </w:tc>
        <w:tc>
          <w:tcPr>
            <w:tcW w:w="874" w:type="dxa"/>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0.411***</w:t>
            </w:r>
          </w:p>
        </w:tc>
        <w:tc>
          <w:tcPr>
            <w:tcW w:w="906"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0.009</w:t>
            </w:r>
          </w:p>
        </w:tc>
        <w:tc>
          <w:tcPr>
            <w:tcW w:w="901"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0.147***</w:t>
            </w:r>
          </w:p>
        </w:tc>
        <w:tc>
          <w:tcPr>
            <w:tcW w:w="819"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0.030</w:t>
            </w:r>
          </w:p>
        </w:tc>
        <w:tc>
          <w:tcPr>
            <w:tcW w:w="874"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0.401***</w:t>
            </w:r>
          </w:p>
        </w:tc>
        <w:tc>
          <w:tcPr>
            <w:tcW w:w="821"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0.047</w:t>
            </w:r>
          </w:p>
        </w:tc>
        <w:tc>
          <w:tcPr>
            <w:tcW w:w="874"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0.060</w:t>
            </w:r>
          </w:p>
        </w:tc>
        <w:tc>
          <w:tcPr>
            <w:tcW w:w="819"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0.096</w:t>
            </w:r>
          </w:p>
        </w:tc>
      </w:tr>
      <w:tr w:rsidR="00287F7B" w:rsidRPr="005F5BC9" w:rsidTr="00B7505E">
        <w:trPr>
          <w:trHeight w:val="255"/>
        </w:trPr>
        <w:tc>
          <w:tcPr>
            <w:tcW w:w="2158" w:type="dxa"/>
            <w:tcBorders>
              <w:top w:val="nil"/>
              <w:left w:val="nil"/>
              <w:bottom w:val="nil"/>
              <w:right w:val="nil"/>
            </w:tcBorders>
            <w:shd w:val="clear" w:color="auto" w:fill="auto"/>
            <w:vAlign w:val="center"/>
            <w:hideMark/>
          </w:tcPr>
          <w:p w:rsidR="00287F7B" w:rsidRPr="005F5BC9" w:rsidRDefault="00742788" w:rsidP="00C325A7">
            <w:pPr>
              <w:spacing w:after="0" w:line="240" w:lineRule="auto"/>
              <w:jc w:val="left"/>
              <w:rPr>
                <w:rFonts w:ascii="Arial" w:eastAsia="Times New Roman" w:hAnsi="Arial" w:cs="Arial"/>
                <w:vertAlign w:val="baseline"/>
                <w:lang w:eastAsia="pt-BR"/>
              </w:rPr>
            </w:pPr>
            <w:proofErr w:type="spellStart"/>
            <w:proofErr w:type="gramStart"/>
            <w:r>
              <w:rPr>
                <w:rFonts w:ascii="Arial" w:eastAsia="Times New Roman" w:hAnsi="Arial" w:cs="Arial"/>
                <w:vertAlign w:val="baseline"/>
                <w:lang w:eastAsia="pt-BR"/>
              </w:rPr>
              <w:t>LRoyalties</w:t>
            </w:r>
            <w:proofErr w:type="spellEnd"/>
            <w:proofErr w:type="gramEnd"/>
          </w:p>
        </w:tc>
        <w:tc>
          <w:tcPr>
            <w:tcW w:w="874" w:type="dxa"/>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0.044***</w:t>
            </w:r>
          </w:p>
        </w:tc>
        <w:tc>
          <w:tcPr>
            <w:tcW w:w="906"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0.006</w:t>
            </w:r>
          </w:p>
        </w:tc>
        <w:tc>
          <w:tcPr>
            <w:tcW w:w="901"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0.017</w:t>
            </w:r>
          </w:p>
        </w:tc>
        <w:tc>
          <w:tcPr>
            <w:tcW w:w="819"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0.011</w:t>
            </w:r>
          </w:p>
        </w:tc>
        <w:tc>
          <w:tcPr>
            <w:tcW w:w="874"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0.009*</w:t>
            </w:r>
          </w:p>
        </w:tc>
        <w:tc>
          <w:tcPr>
            <w:tcW w:w="821"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0.005</w:t>
            </w:r>
          </w:p>
        </w:tc>
        <w:tc>
          <w:tcPr>
            <w:tcW w:w="874"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-0.007</w:t>
            </w:r>
          </w:p>
        </w:tc>
        <w:tc>
          <w:tcPr>
            <w:tcW w:w="819"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0.014</w:t>
            </w:r>
          </w:p>
        </w:tc>
      </w:tr>
      <w:tr w:rsidR="00287F7B" w:rsidRPr="005F5BC9" w:rsidTr="00B7505E">
        <w:trPr>
          <w:trHeight w:val="255"/>
        </w:trPr>
        <w:tc>
          <w:tcPr>
            <w:tcW w:w="2158" w:type="dxa"/>
            <w:tcBorders>
              <w:top w:val="nil"/>
              <w:left w:val="nil"/>
              <w:bottom w:val="nil"/>
              <w:right w:val="nil"/>
            </w:tcBorders>
            <w:shd w:val="clear" w:color="auto" w:fill="auto"/>
            <w:vAlign w:val="center"/>
            <w:hideMark/>
          </w:tcPr>
          <w:p w:rsidR="00287F7B" w:rsidRPr="005F5BC9" w:rsidRDefault="00742788" w:rsidP="00C325A7">
            <w:pPr>
              <w:spacing w:after="0" w:line="240" w:lineRule="auto"/>
              <w:jc w:val="left"/>
              <w:rPr>
                <w:rFonts w:ascii="Arial" w:eastAsia="Times New Roman" w:hAnsi="Arial" w:cs="Arial"/>
                <w:vertAlign w:val="baseline"/>
                <w:lang w:eastAsia="pt-BR"/>
              </w:rPr>
            </w:pPr>
            <w:proofErr w:type="spellStart"/>
            <w:proofErr w:type="gramStart"/>
            <w:r>
              <w:rPr>
                <w:rFonts w:ascii="Arial" w:eastAsia="Times New Roman" w:hAnsi="Arial" w:cs="Arial"/>
                <w:vertAlign w:val="baseline"/>
                <w:lang w:eastAsia="pt-BR"/>
              </w:rPr>
              <w:t>LOutras</w:t>
            </w:r>
            <w:proofErr w:type="spellEnd"/>
            <w:proofErr w:type="gramEnd"/>
            <w:r>
              <w:rPr>
                <w:rFonts w:ascii="Arial" w:eastAsia="Times New Roman" w:hAnsi="Arial" w:cs="Arial"/>
                <w:vertAlign w:val="baseline"/>
                <w:lang w:eastAsia="pt-BR"/>
              </w:rPr>
              <w:t xml:space="preserve"> </w:t>
            </w:r>
            <w:proofErr w:type="spellStart"/>
            <w:r>
              <w:rPr>
                <w:rFonts w:ascii="Arial" w:eastAsia="Times New Roman" w:hAnsi="Arial" w:cs="Arial"/>
                <w:vertAlign w:val="baseline"/>
                <w:lang w:eastAsia="pt-BR"/>
              </w:rPr>
              <w:t>transf</w:t>
            </w:r>
            <w:proofErr w:type="spellEnd"/>
          </w:p>
        </w:tc>
        <w:tc>
          <w:tcPr>
            <w:tcW w:w="874" w:type="dxa"/>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0.262***</w:t>
            </w:r>
          </w:p>
        </w:tc>
        <w:tc>
          <w:tcPr>
            <w:tcW w:w="906"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0.011</w:t>
            </w:r>
          </w:p>
        </w:tc>
        <w:tc>
          <w:tcPr>
            <w:tcW w:w="901"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0.294***</w:t>
            </w:r>
          </w:p>
        </w:tc>
        <w:tc>
          <w:tcPr>
            <w:tcW w:w="819"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0.028</w:t>
            </w:r>
          </w:p>
        </w:tc>
        <w:tc>
          <w:tcPr>
            <w:tcW w:w="874"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0.118***</w:t>
            </w:r>
          </w:p>
        </w:tc>
        <w:tc>
          <w:tcPr>
            <w:tcW w:w="821"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0.011</w:t>
            </w:r>
          </w:p>
        </w:tc>
        <w:tc>
          <w:tcPr>
            <w:tcW w:w="874"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0.108***</w:t>
            </w:r>
          </w:p>
        </w:tc>
        <w:tc>
          <w:tcPr>
            <w:tcW w:w="819" w:type="dxa"/>
            <w:gridSpan w:val="2"/>
            <w:tcBorders>
              <w:top w:val="nil"/>
              <w:left w:val="nil"/>
              <w:bottom w:val="nil"/>
              <w:right w:val="nil"/>
            </w:tcBorders>
            <w:shd w:val="clear" w:color="auto" w:fill="auto"/>
            <w:noWrap/>
            <w:vAlign w:val="center"/>
            <w:hideMark/>
          </w:tcPr>
          <w:p w:rsidR="00287F7B" w:rsidRPr="005F5BC9" w:rsidRDefault="00287F7B" w:rsidP="00886A50">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0.019</w:t>
            </w:r>
          </w:p>
        </w:tc>
      </w:tr>
      <w:tr w:rsidR="00287F7B" w:rsidRPr="005F5BC9" w:rsidTr="00B7505E">
        <w:trPr>
          <w:trHeight w:val="255"/>
        </w:trPr>
        <w:tc>
          <w:tcPr>
            <w:tcW w:w="2158" w:type="dxa"/>
            <w:tcBorders>
              <w:top w:val="nil"/>
              <w:left w:val="nil"/>
              <w:bottom w:val="nil"/>
              <w:right w:val="nil"/>
            </w:tcBorders>
            <w:shd w:val="clear" w:color="auto" w:fill="auto"/>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Controles</w:t>
            </w:r>
          </w:p>
        </w:tc>
        <w:tc>
          <w:tcPr>
            <w:tcW w:w="1780" w:type="dxa"/>
            <w:gridSpan w:val="3"/>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720" w:type="dxa"/>
            <w:gridSpan w:val="4"/>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695" w:type="dxa"/>
            <w:gridSpan w:val="4"/>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693" w:type="dxa"/>
            <w:gridSpan w:val="4"/>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287F7B" w:rsidRPr="005F5BC9" w:rsidTr="00B7505E">
        <w:trPr>
          <w:trHeight w:val="255"/>
        </w:trPr>
        <w:tc>
          <w:tcPr>
            <w:tcW w:w="2158" w:type="dxa"/>
            <w:tcBorders>
              <w:top w:val="nil"/>
              <w:left w:val="nil"/>
              <w:bottom w:val="nil"/>
              <w:right w:val="nil"/>
            </w:tcBorders>
            <w:shd w:val="clear" w:color="auto" w:fill="auto"/>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proofErr w:type="spellStart"/>
            <w:r w:rsidRPr="005F5BC9">
              <w:rPr>
                <w:rFonts w:ascii="Arial" w:eastAsia="Times New Roman" w:hAnsi="Arial" w:cs="Arial"/>
                <w:i/>
                <w:iCs/>
                <w:vertAlign w:val="baseline"/>
                <w:lang w:eastAsia="pt-BR"/>
              </w:rPr>
              <w:t>Dummies</w:t>
            </w:r>
            <w:proofErr w:type="spellEnd"/>
            <w:r w:rsidR="00742788">
              <w:rPr>
                <w:rFonts w:ascii="Arial" w:eastAsia="Times New Roman" w:hAnsi="Arial" w:cs="Arial"/>
                <w:i/>
                <w:iCs/>
                <w:vertAlign w:val="baseline"/>
                <w:lang w:eastAsia="pt-BR"/>
              </w:rPr>
              <w:t xml:space="preserve"> </w:t>
            </w:r>
            <w:r w:rsidRPr="005F5BC9">
              <w:rPr>
                <w:rFonts w:ascii="Arial" w:eastAsia="Times New Roman" w:hAnsi="Arial" w:cs="Arial"/>
                <w:vertAlign w:val="baseline"/>
                <w:lang w:eastAsia="pt-BR"/>
              </w:rPr>
              <w:t>de ano</w:t>
            </w:r>
          </w:p>
        </w:tc>
        <w:tc>
          <w:tcPr>
            <w:tcW w:w="1780" w:type="dxa"/>
            <w:gridSpan w:val="3"/>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720" w:type="dxa"/>
            <w:gridSpan w:val="4"/>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695" w:type="dxa"/>
            <w:gridSpan w:val="4"/>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693" w:type="dxa"/>
            <w:gridSpan w:val="4"/>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287F7B" w:rsidRPr="005F5BC9" w:rsidTr="00B7505E">
        <w:trPr>
          <w:trHeight w:val="255"/>
        </w:trPr>
        <w:tc>
          <w:tcPr>
            <w:tcW w:w="2158" w:type="dxa"/>
            <w:tcBorders>
              <w:top w:val="nil"/>
              <w:left w:val="nil"/>
              <w:bottom w:val="nil"/>
              <w:right w:val="nil"/>
            </w:tcBorders>
            <w:shd w:val="clear" w:color="auto" w:fill="auto"/>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Constante</w:t>
            </w:r>
          </w:p>
        </w:tc>
        <w:tc>
          <w:tcPr>
            <w:tcW w:w="874" w:type="dxa"/>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2.108***</w:t>
            </w:r>
          </w:p>
        </w:tc>
        <w:tc>
          <w:tcPr>
            <w:tcW w:w="906"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0.465</w:t>
            </w:r>
          </w:p>
        </w:tc>
        <w:tc>
          <w:tcPr>
            <w:tcW w:w="901"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5.273***</w:t>
            </w:r>
          </w:p>
        </w:tc>
        <w:tc>
          <w:tcPr>
            <w:tcW w:w="819"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1.286</w:t>
            </w:r>
          </w:p>
        </w:tc>
        <w:tc>
          <w:tcPr>
            <w:tcW w:w="874"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2.926***</w:t>
            </w:r>
          </w:p>
        </w:tc>
        <w:tc>
          <w:tcPr>
            <w:tcW w:w="821"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0.782</w:t>
            </w:r>
          </w:p>
        </w:tc>
        <w:tc>
          <w:tcPr>
            <w:tcW w:w="874"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2.385</w:t>
            </w:r>
          </w:p>
        </w:tc>
        <w:tc>
          <w:tcPr>
            <w:tcW w:w="819"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1.620</w:t>
            </w:r>
          </w:p>
        </w:tc>
      </w:tr>
      <w:tr w:rsidR="00287F7B" w:rsidRPr="005F5BC9" w:rsidTr="00B7505E">
        <w:trPr>
          <w:trHeight w:val="255"/>
        </w:trPr>
        <w:tc>
          <w:tcPr>
            <w:tcW w:w="2158" w:type="dxa"/>
            <w:tcBorders>
              <w:top w:val="nil"/>
              <w:left w:val="nil"/>
              <w:bottom w:val="nil"/>
              <w:right w:val="nil"/>
            </w:tcBorders>
            <w:shd w:val="clear" w:color="auto" w:fill="auto"/>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R-quadrado ajustado</w:t>
            </w:r>
          </w:p>
        </w:tc>
        <w:tc>
          <w:tcPr>
            <w:tcW w:w="1780" w:type="dxa"/>
            <w:gridSpan w:val="3"/>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0.818</w:t>
            </w:r>
          </w:p>
        </w:tc>
        <w:tc>
          <w:tcPr>
            <w:tcW w:w="1720" w:type="dxa"/>
            <w:gridSpan w:val="4"/>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0.827</w:t>
            </w:r>
          </w:p>
        </w:tc>
        <w:tc>
          <w:tcPr>
            <w:tcW w:w="1695" w:type="dxa"/>
            <w:gridSpan w:val="4"/>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0.678</w:t>
            </w:r>
          </w:p>
        </w:tc>
        <w:tc>
          <w:tcPr>
            <w:tcW w:w="1693" w:type="dxa"/>
            <w:gridSpan w:val="4"/>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0.928</w:t>
            </w:r>
          </w:p>
        </w:tc>
      </w:tr>
      <w:tr w:rsidR="00287F7B" w:rsidRPr="005F5BC9" w:rsidTr="00B7505E">
        <w:trPr>
          <w:trHeight w:val="255"/>
        </w:trPr>
        <w:tc>
          <w:tcPr>
            <w:tcW w:w="2158" w:type="dxa"/>
            <w:tcBorders>
              <w:top w:val="nil"/>
              <w:left w:val="nil"/>
              <w:bottom w:val="single" w:sz="4" w:space="0" w:color="auto"/>
              <w:right w:val="nil"/>
            </w:tcBorders>
            <w:shd w:val="clear" w:color="auto" w:fill="auto"/>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Observações</w:t>
            </w:r>
          </w:p>
        </w:tc>
        <w:tc>
          <w:tcPr>
            <w:tcW w:w="1780" w:type="dxa"/>
            <w:gridSpan w:val="3"/>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32,286</w:t>
            </w:r>
          </w:p>
        </w:tc>
        <w:tc>
          <w:tcPr>
            <w:tcW w:w="1720" w:type="dxa"/>
            <w:gridSpan w:val="4"/>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32,286</w:t>
            </w:r>
          </w:p>
        </w:tc>
        <w:tc>
          <w:tcPr>
            <w:tcW w:w="1695" w:type="dxa"/>
            <w:gridSpan w:val="4"/>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32,286</w:t>
            </w:r>
          </w:p>
        </w:tc>
        <w:tc>
          <w:tcPr>
            <w:tcW w:w="1693" w:type="dxa"/>
            <w:gridSpan w:val="4"/>
            <w:tcBorders>
              <w:top w:val="nil"/>
              <w:left w:val="nil"/>
              <w:bottom w:val="single" w:sz="4" w:space="0" w:color="auto"/>
              <w:right w:val="nil"/>
            </w:tcBorders>
            <w:shd w:val="clear" w:color="auto" w:fill="auto"/>
            <w:noWrap/>
            <w:vAlign w:val="center"/>
            <w:hideMark/>
          </w:tcPr>
          <w:p w:rsidR="00287F7B" w:rsidRPr="005F5BC9" w:rsidRDefault="00287F7B" w:rsidP="00C325A7">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32,286</w:t>
            </w:r>
          </w:p>
        </w:tc>
      </w:tr>
      <w:tr w:rsidR="00287F7B" w:rsidRPr="005F5BC9" w:rsidTr="00B7505E">
        <w:trPr>
          <w:trHeight w:val="255"/>
        </w:trPr>
        <w:tc>
          <w:tcPr>
            <w:tcW w:w="3032" w:type="dxa"/>
            <w:gridSpan w:val="2"/>
            <w:tcBorders>
              <w:top w:val="nil"/>
              <w:left w:val="nil"/>
              <w:bottom w:val="nil"/>
              <w:right w:val="nil"/>
            </w:tcBorders>
            <w:shd w:val="clear" w:color="auto" w:fill="auto"/>
            <w:noWrap/>
            <w:vAlign w:val="center"/>
            <w:hideMark/>
          </w:tcPr>
          <w:p w:rsidR="00287F7B" w:rsidRPr="005F5BC9" w:rsidRDefault="00287F7B" w:rsidP="00C325A7">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p&lt;0.01, ** p&lt;0.05, * p&lt;0.1</w:t>
            </w:r>
          </w:p>
        </w:tc>
        <w:tc>
          <w:tcPr>
            <w:tcW w:w="906" w:type="dxa"/>
            <w:gridSpan w:val="2"/>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c>
          <w:tcPr>
            <w:tcW w:w="901" w:type="dxa"/>
            <w:gridSpan w:val="2"/>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c>
          <w:tcPr>
            <w:tcW w:w="819" w:type="dxa"/>
            <w:gridSpan w:val="2"/>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c>
          <w:tcPr>
            <w:tcW w:w="874" w:type="dxa"/>
            <w:gridSpan w:val="2"/>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c>
          <w:tcPr>
            <w:tcW w:w="821" w:type="dxa"/>
            <w:gridSpan w:val="2"/>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c>
          <w:tcPr>
            <w:tcW w:w="874" w:type="dxa"/>
            <w:gridSpan w:val="2"/>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c>
          <w:tcPr>
            <w:tcW w:w="819" w:type="dxa"/>
            <w:gridSpan w:val="2"/>
            <w:tcBorders>
              <w:top w:val="nil"/>
              <w:left w:val="nil"/>
              <w:bottom w:val="nil"/>
              <w:right w:val="nil"/>
            </w:tcBorders>
            <w:shd w:val="clear" w:color="auto" w:fill="auto"/>
            <w:noWrap/>
            <w:vAlign w:val="bottom"/>
            <w:hideMark/>
          </w:tcPr>
          <w:p w:rsidR="00287F7B" w:rsidRPr="005F5BC9" w:rsidRDefault="00287F7B" w:rsidP="00C325A7">
            <w:pPr>
              <w:spacing w:after="0" w:line="240" w:lineRule="auto"/>
              <w:jc w:val="left"/>
              <w:rPr>
                <w:rFonts w:ascii="Arial" w:eastAsia="Times New Roman" w:hAnsi="Arial" w:cs="Arial"/>
                <w:color w:val="000000"/>
                <w:vertAlign w:val="baseline"/>
                <w:lang w:eastAsia="pt-BR"/>
              </w:rPr>
            </w:pPr>
          </w:p>
        </w:tc>
      </w:tr>
    </w:tbl>
    <w:p w:rsidR="00E34615" w:rsidRDefault="00E34615" w:rsidP="00E34615">
      <w:pPr>
        <w:spacing w:after="0" w:line="240" w:lineRule="auto"/>
        <w:rPr>
          <w:rFonts w:ascii="Arial" w:eastAsia="Times New Roman" w:hAnsi="Arial" w:cs="Arial"/>
          <w:sz w:val="24"/>
          <w:szCs w:val="24"/>
          <w:vertAlign w:val="baseline"/>
          <w:lang w:eastAsia="pt-BR"/>
        </w:rPr>
      </w:pPr>
    </w:p>
    <w:p w:rsidR="00E34615" w:rsidRDefault="00742788" w:rsidP="00E34615">
      <w:pPr>
        <w:spacing w:after="0" w:line="240" w:lineRule="auto"/>
        <w:ind w:firstLine="420"/>
        <w:rPr>
          <w:rFonts w:ascii="Arial" w:eastAsia="Times New Roman" w:hAnsi="Arial" w:cs="Arial"/>
          <w:sz w:val="24"/>
          <w:szCs w:val="24"/>
          <w:vertAlign w:val="baseline"/>
          <w:lang w:eastAsia="pt-BR"/>
        </w:rPr>
      </w:pPr>
      <w:r>
        <w:rPr>
          <w:rFonts w:ascii="Arial" w:eastAsia="Times New Roman" w:hAnsi="Arial" w:cs="Arial"/>
          <w:sz w:val="24"/>
          <w:szCs w:val="24"/>
          <w:vertAlign w:val="baseline"/>
          <w:lang w:eastAsia="pt-BR"/>
        </w:rPr>
        <w:t>Para o</w:t>
      </w:r>
      <w:r w:rsidR="00E34615" w:rsidRPr="00E34615">
        <w:rPr>
          <w:rFonts w:ascii="Arial" w:eastAsia="Times New Roman" w:hAnsi="Arial" w:cs="Arial"/>
          <w:sz w:val="24"/>
          <w:szCs w:val="24"/>
          <w:vertAlign w:val="baseline"/>
          <w:lang w:eastAsia="pt-BR"/>
        </w:rPr>
        <w:t xml:space="preserve"> modelos</w:t>
      </w:r>
      <w:r>
        <w:rPr>
          <w:rFonts w:ascii="Arial" w:eastAsia="Times New Roman" w:hAnsi="Arial" w:cs="Arial"/>
          <w:sz w:val="24"/>
          <w:szCs w:val="24"/>
          <w:vertAlign w:val="baseline"/>
          <w:lang w:eastAsia="pt-BR"/>
        </w:rPr>
        <w:t xml:space="preserve"> em escala logarítmica</w:t>
      </w:r>
      <w:r w:rsidR="00E34615" w:rsidRPr="00E34615">
        <w:rPr>
          <w:rFonts w:ascii="Arial" w:eastAsia="Times New Roman" w:hAnsi="Arial" w:cs="Arial"/>
          <w:sz w:val="24"/>
          <w:szCs w:val="24"/>
          <w:vertAlign w:val="baseline"/>
          <w:lang w:eastAsia="pt-BR"/>
        </w:rPr>
        <w:t xml:space="preserve"> observa-se que, para a maioria d</w:t>
      </w:r>
      <w:r>
        <w:rPr>
          <w:rFonts w:ascii="Arial" w:eastAsia="Times New Roman" w:hAnsi="Arial" w:cs="Arial"/>
          <w:sz w:val="24"/>
          <w:szCs w:val="24"/>
          <w:vertAlign w:val="baseline"/>
          <w:lang w:eastAsia="pt-BR"/>
        </w:rPr>
        <w:t>os modelos, a elasticidade</w:t>
      </w:r>
      <w:r w:rsidR="00E34615" w:rsidRPr="00E34615">
        <w:rPr>
          <w:rFonts w:ascii="Arial" w:eastAsia="Times New Roman" w:hAnsi="Arial" w:cs="Arial"/>
          <w:sz w:val="24"/>
          <w:szCs w:val="24"/>
          <w:vertAlign w:val="baseline"/>
          <w:lang w:eastAsia="pt-BR"/>
        </w:rPr>
        <w:t xml:space="preserve"> gastos </w:t>
      </w:r>
      <w:proofErr w:type="gramStart"/>
      <w:r w:rsidR="00E34615" w:rsidRPr="00E34615">
        <w:rPr>
          <w:rFonts w:ascii="Arial" w:eastAsia="Times New Roman" w:hAnsi="Arial" w:cs="Arial"/>
          <w:sz w:val="24"/>
          <w:szCs w:val="24"/>
          <w:vertAlign w:val="baseline"/>
          <w:lang w:eastAsia="pt-BR"/>
        </w:rPr>
        <w:t>da</w:t>
      </w:r>
      <w:r>
        <w:rPr>
          <w:rFonts w:ascii="Arial" w:eastAsia="Times New Roman" w:hAnsi="Arial" w:cs="Arial"/>
          <w:sz w:val="24"/>
          <w:szCs w:val="24"/>
          <w:vertAlign w:val="baseline"/>
          <w:lang w:eastAsia="pt-BR"/>
        </w:rPr>
        <w:t>s</w:t>
      </w:r>
      <w:r w:rsidR="00E34615" w:rsidRPr="00E34615">
        <w:rPr>
          <w:rFonts w:ascii="Arial" w:eastAsia="Times New Roman" w:hAnsi="Arial" w:cs="Arial"/>
          <w:sz w:val="24"/>
          <w:szCs w:val="24"/>
          <w:vertAlign w:val="baseline"/>
          <w:lang w:eastAsia="pt-BR"/>
        </w:rPr>
        <w:t xml:space="preserve"> transferência</w:t>
      </w:r>
      <w:proofErr w:type="gramEnd"/>
      <w:r w:rsidR="00E34615" w:rsidRPr="00E34615">
        <w:rPr>
          <w:rFonts w:ascii="Arial" w:eastAsia="Times New Roman" w:hAnsi="Arial" w:cs="Arial"/>
          <w:sz w:val="24"/>
          <w:szCs w:val="24"/>
          <w:vertAlign w:val="baseline"/>
          <w:lang w:eastAsia="pt-BR"/>
        </w:rPr>
        <w:t xml:space="preserve"> do FPM, ou seja, de uma transferência incondicional é maior que a elasticidade sobre gastos das transferências condicionais (PAB e outras transferências em saúde). Tal resultado não se observa para as demais transferências incondicionais, como para transferências de royalties de petróleo.</w:t>
      </w:r>
    </w:p>
    <w:p w:rsidR="00742788" w:rsidRPr="00E34615" w:rsidRDefault="00742788" w:rsidP="00E34615">
      <w:pPr>
        <w:spacing w:after="0" w:line="240" w:lineRule="auto"/>
        <w:ind w:firstLine="420"/>
        <w:rPr>
          <w:rFonts w:ascii="Arial" w:eastAsia="Times New Roman" w:hAnsi="Arial" w:cs="Arial"/>
          <w:sz w:val="24"/>
          <w:szCs w:val="24"/>
          <w:vertAlign w:val="baseline"/>
          <w:lang w:eastAsia="pt-BR"/>
        </w:rPr>
      </w:pPr>
      <w:r>
        <w:rPr>
          <w:rFonts w:ascii="Arial" w:eastAsia="Times New Roman" w:hAnsi="Arial" w:cs="Arial"/>
          <w:sz w:val="24"/>
          <w:szCs w:val="24"/>
          <w:vertAlign w:val="baseline"/>
          <w:lang w:eastAsia="pt-BR"/>
        </w:rPr>
        <w:t>A Tabela 11 calcula a diferença entre as elasticidades.</w:t>
      </w:r>
    </w:p>
    <w:p w:rsidR="00E34615" w:rsidRPr="005F5BC9" w:rsidRDefault="00E34615" w:rsidP="00E34615">
      <w:pPr>
        <w:spacing w:after="0" w:line="240" w:lineRule="auto"/>
        <w:rPr>
          <w:rFonts w:ascii="Arial" w:eastAsia="Times New Roman" w:hAnsi="Arial" w:cs="Arial"/>
          <w:sz w:val="24"/>
          <w:szCs w:val="24"/>
          <w:vertAlign w:val="baseline"/>
          <w:lang w:eastAsia="pt-BR"/>
        </w:rPr>
      </w:pPr>
    </w:p>
    <w:tbl>
      <w:tblPr>
        <w:tblW w:w="8999" w:type="dxa"/>
        <w:tblInd w:w="354" w:type="dxa"/>
        <w:tblCellMar>
          <w:left w:w="70" w:type="dxa"/>
          <w:right w:w="70" w:type="dxa"/>
        </w:tblCellMar>
        <w:tblLook w:val="04A0" w:firstRow="1" w:lastRow="0" w:firstColumn="1" w:lastColumn="0" w:noHBand="0" w:noVBand="1"/>
      </w:tblPr>
      <w:tblGrid>
        <w:gridCol w:w="2242"/>
        <w:gridCol w:w="820"/>
        <w:gridCol w:w="919"/>
        <w:gridCol w:w="820"/>
        <w:gridCol w:w="787"/>
        <w:gridCol w:w="820"/>
        <w:gridCol w:w="908"/>
        <w:gridCol w:w="820"/>
        <w:gridCol w:w="863"/>
      </w:tblGrid>
      <w:tr w:rsidR="00A415C1" w:rsidRPr="005F5BC9" w:rsidTr="00F84486">
        <w:trPr>
          <w:trHeight w:val="255"/>
        </w:trPr>
        <w:tc>
          <w:tcPr>
            <w:tcW w:w="6408" w:type="dxa"/>
            <w:gridSpan w:val="6"/>
            <w:tcBorders>
              <w:top w:val="nil"/>
              <w:left w:val="nil"/>
              <w:bottom w:val="nil"/>
              <w:right w:val="nil"/>
            </w:tcBorders>
            <w:shd w:val="clear" w:color="auto" w:fill="auto"/>
            <w:noWrap/>
            <w:vAlign w:val="bottom"/>
            <w:hideMark/>
          </w:tcPr>
          <w:p w:rsidR="00A415C1" w:rsidRPr="005F5BC9" w:rsidRDefault="00A415C1" w:rsidP="00E402B1">
            <w:pPr>
              <w:spacing w:after="0" w:line="240" w:lineRule="auto"/>
              <w:jc w:val="left"/>
              <w:rPr>
                <w:rFonts w:ascii="Arial" w:eastAsia="Times New Roman" w:hAnsi="Arial" w:cs="Arial"/>
                <w:b/>
                <w:bCs/>
                <w:color w:val="000000"/>
                <w:vertAlign w:val="baseline"/>
                <w:lang w:eastAsia="pt-BR"/>
              </w:rPr>
            </w:pPr>
            <w:r w:rsidRPr="005F5BC9">
              <w:rPr>
                <w:rFonts w:ascii="Arial" w:eastAsia="Times New Roman" w:hAnsi="Arial" w:cs="Arial"/>
                <w:b/>
                <w:bCs/>
                <w:color w:val="000000"/>
                <w:vertAlign w:val="baseline"/>
                <w:lang w:eastAsia="pt-BR"/>
              </w:rPr>
              <w:lastRenderedPageBreak/>
              <w:t xml:space="preserve">Tabela </w:t>
            </w:r>
            <w:r w:rsidR="00E402B1">
              <w:rPr>
                <w:rFonts w:ascii="Arial" w:eastAsia="Times New Roman" w:hAnsi="Arial" w:cs="Arial"/>
                <w:b/>
                <w:bCs/>
                <w:color w:val="000000"/>
                <w:vertAlign w:val="baseline"/>
                <w:lang w:eastAsia="pt-BR"/>
              </w:rPr>
              <w:t>11</w:t>
            </w:r>
            <w:r w:rsidRPr="005F5BC9">
              <w:rPr>
                <w:rFonts w:ascii="Arial" w:eastAsia="Times New Roman" w:hAnsi="Arial" w:cs="Arial"/>
                <w:b/>
                <w:bCs/>
                <w:color w:val="000000"/>
                <w:vertAlign w:val="baseline"/>
                <w:lang w:eastAsia="pt-BR"/>
              </w:rPr>
              <w:t xml:space="preserve"> – Efeito </w:t>
            </w:r>
            <w:proofErr w:type="spellStart"/>
            <w:r w:rsidRPr="005F5BC9">
              <w:rPr>
                <w:rFonts w:ascii="Arial" w:eastAsia="Times New Roman" w:hAnsi="Arial" w:cs="Arial"/>
                <w:b/>
                <w:bCs/>
                <w:color w:val="000000"/>
                <w:vertAlign w:val="baseline"/>
                <w:lang w:eastAsia="pt-BR"/>
              </w:rPr>
              <w:t>flypaper</w:t>
            </w:r>
            <w:proofErr w:type="spellEnd"/>
            <w:r w:rsidRPr="005F5BC9">
              <w:rPr>
                <w:rFonts w:ascii="Arial" w:eastAsia="Times New Roman" w:hAnsi="Arial" w:cs="Arial"/>
                <w:b/>
                <w:bCs/>
                <w:color w:val="000000"/>
                <w:vertAlign w:val="baseline"/>
                <w:lang w:eastAsia="pt-BR"/>
              </w:rPr>
              <w:t>: modelos log-log</w:t>
            </w:r>
          </w:p>
        </w:tc>
        <w:tc>
          <w:tcPr>
            <w:tcW w:w="908"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863"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r>
      <w:tr w:rsidR="00A415C1" w:rsidRPr="005F5BC9" w:rsidTr="00F84486">
        <w:trPr>
          <w:trHeight w:val="255"/>
        </w:trPr>
        <w:tc>
          <w:tcPr>
            <w:tcW w:w="2242" w:type="dxa"/>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 </w:t>
            </w:r>
          </w:p>
        </w:tc>
        <w:tc>
          <w:tcPr>
            <w:tcW w:w="3346" w:type="dxa"/>
            <w:gridSpan w:val="4"/>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Mínimos quadrados</w:t>
            </w:r>
          </w:p>
        </w:tc>
        <w:tc>
          <w:tcPr>
            <w:tcW w:w="3411" w:type="dxa"/>
            <w:gridSpan w:val="4"/>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Efeitos Fixos</w:t>
            </w:r>
          </w:p>
        </w:tc>
      </w:tr>
      <w:tr w:rsidR="00A415C1" w:rsidRPr="005F5BC9" w:rsidTr="00F84486">
        <w:trPr>
          <w:trHeight w:val="255"/>
        </w:trPr>
        <w:tc>
          <w:tcPr>
            <w:tcW w:w="2242" w:type="dxa"/>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1739" w:type="dxa"/>
            <w:gridSpan w:val="2"/>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Não Ponderado</w:t>
            </w:r>
          </w:p>
        </w:tc>
        <w:tc>
          <w:tcPr>
            <w:tcW w:w="1607" w:type="dxa"/>
            <w:gridSpan w:val="2"/>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Ponderado</w:t>
            </w:r>
          </w:p>
        </w:tc>
        <w:tc>
          <w:tcPr>
            <w:tcW w:w="1728" w:type="dxa"/>
            <w:gridSpan w:val="2"/>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Não Ponderado</w:t>
            </w:r>
          </w:p>
        </w:tc>
        <w:tc>
          <w:tcPr>
            <w:tcW w:w="1683" w:type="dxa"/>
            <w:gridSpan w:val="2"/>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Ponderado</w:t>
            </w:r>
          </w:p>
        </w:tc>
      </w:tr>
      <w:tr w:rsidR="00A415C1" w:rsidRPr="005F5BC9" w:rsidTr="00F84486">
        <w:trPr>
          <w:trHeight w:val="255"/>
        </w:trPr>
        <w:tc>
          <w:tcPr>
            <w:tcW w:w="2242"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 </w:t>
            </w:r>
          </w:p>
        </w:tc>
        <w:tc>
          <w:tcPr>
            <w:tcW w:w="820"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proofErr w:type="spellStart"/>
            <w:r w:rsidRPr="005F5BC9">
              <w:rPr>
                <w:rFonts w:ascii="Arial" w:eastAsia="Times New Roman" w:hAnsi="Arial" w:cs="Arial"/>
                <w:b/>
                <w:bCs/>
                <w:color w:val="000000"/>
                <w:vertAlign w:val="baseline"/>
                <w:lang w:eastAsia="pt-BR"/>
              </w:rPr>
              <w:t>Subt</w:t>
            </w:r>
            <w:proofErr w:type="spellEnd"/>
            <w:r w:rsidRPr="005F5BC9">
              <w:rPr>
                <w:rFonts w:ascii="Arial" w:eastAsia="Times New Roman" w:hAnsi="Arial" w:cs="Arial"/>
                <w:b/>
                <w:bCs/>
                <w:color w:val="000000"/>
                <w:vertAlign w:val="baseline"/>
                <w:lang w:eastAsia="pt-BR"/>
              </w:rPr>
              <w:t>.</w:t>
            </w:r>
          </w:p>
        </w:tc>
        <w:tc>
          <w:tcPr>
            <w:tcW w:w="919"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proofErr w:type="gramStart"/>
            <w:r w:rsidRPr="005F5BC9">
              <w:rPr>
                <w:rFonts w:ascii="Arial" w:eastAsia="Times New Roman" w:hAnsi="Arial" w:cs="Arial"/>
                <w:b/>
                <w:bCs/>
                <w:color w:val="000000"/>
                <w:vertAlign w:val="baseline"/>
                <w:lang w:eastAsia="pt-BR"/>
              </w:rPr>
              <w:t>p</w:t>
            </w:r>
            <w:proofErr w:type="gramEnd"/>
            <w:r w:rsidRPr="005F5BC9">
              <w:rPr>
                <w:rFonts w:ascii="Arial" w:eastAsia="Times New Roman" w:hAnsi="Arial" w:cs="Arial"/>
                <w:b/>
                <w:bCs/>
                <w:color w:val="000000"/>
                <w:vertAlign w:val="baseline"/>
                <w:lang w:eastAsia="pt-BR"/>
              </w:rPr>
              <w:t>-valor</w:t>
            </w:r>
          </w:p>
        </w:tc>
        <w:tc>
          <w:tcPr>
            <w:tcW w:w="820"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proofErr w:type="spellStart"/>
            <w:r w:rsidRPr="005F5BC9">
              <w:rPr>
                <w:rFonts w:ascii="Arial" w:eastAsia="Times New Roman" w:hAnsi="Arial" w:cs="Arial"/>
                <w:b/>
                <w:bCs/>
                <w:color w:val="000000"/>
                <w:vertAlign w:val="baseline"/>
                <w:lang w:eastAsia="pt-BR"/>
              </w:rPr>
              <w:t>Subt</w:t>
            </w:r>
            <w:proofErr w:type="spellEnd"/>
            <w:r w:rsidRPr="005F5BC9">
              <w:rPr>
                <w:rFonts w:ascii="Arial" w:eastAsia="Times New Roman" w:hAnsi="Arial" w:cs="Arial"/>
                <w:b/>
                <w:bCs/>
                <w:color w:val="000000"/>
                <w:vertAlign w:val="baseline"/>
                <w:lang w:eastAsia="pt-BR"/>
              </w:rPr>
              <w:t>.</w:t>
            </w:r>
          </w:p>
        </w:tc>
        <w:tc>
          <w:tcPr>
            <w:tcW w:w="787"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proofErr w:type="gramStart"/>
            <w:r w:rsidRPr="005F5BC9">
              <w:rPr>
                <w:rFonts w:ascii="Arial" w:eastAsia="Times New Roman" w:hAnsi="Arial" w:cs="Arial"/>
                <w:b/>
                <w:bCs/>
                <w:color w:val="000000"/>
                <w:vertAlign w:val="baseline"/>
                <w:lang w:eastAsia="pt-BR"/>
              </w:rPr>
              <w:t>p</w:t>
            </w:r>
            <w:proofErr w:type="gramEnd"/>
            <w:r w:rsidRPr="005F5BC9">
              <w:rPr>
                <w:rFonts w:ascii="Arial" w:eastAsia="Times New Roman" w:hAnsi="Arial" w:cs="Arial"/>
                <w:b/>
                <w:bCs/>
                <w:color w:val="000000"/>
                <w:vertAlign w:val="baseline"/>
                <w:lang w:eastAsia="pt-BR"/>
              </w:rPr>
              <w:t>-valor</w:t>
            </w:r>
          </w:p>
        </w:tc>
        <w:tc>
          <w:tcPr>
            <w:tcW w:w="820"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proofErr w:type="spellStart"/>
            <w:r w:rsidRPr="005F5BC9">
              <w:rPr>
                <w:rFonts w:ascii="Arial" w:eastAsia="Times New Roman" w:hAnsi="Arial" w:cs="Arial"/>
                <w:b/>
                <w:bCs/>
                <w:color w:val="000000"/>
                <w:vertAlign w:val="baseline"/>
                <w:lang w:eastAsia="pt-BR"/>
              </w:rPr>
              <w:t>Subt</w:t>
            </w:r>
            <w:proofErr w:type="spellEnd"/>
            <w:r w:rsidRPr="005F5BC9">
              <w:rPr>
                <w:rFonts w:ascii="Arial" w:eastAsia="Times New Roman" w:hAnsi="Arial" w:cs="Arial"/>
                <w:b/>
                <w:bCs/>
                <w:color w:val="000000"/>
                <w:vertAlign w:val="baseline"/>
                <w:lang w:eastAsia="pt-BR"/>
              </w:rPr>
              <w:t>.</w:t>
            </w:r>
          </w:p>
        </w:tc>
        <w:tc>
          <w:tcPr>
            <w:tcW w:w="908"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proofErr w:type="gramStart"/>
            <w:r w:rsidRPr="005F5BC9">
              <w:rPr>
                <w:rFonts w:ascii="Arial" w:eastAsia="Times New Roman" w:hAnsi="Arial" w:cs="Arial"/>
                <w:b/>
                <w:bCs/>
                <w:color w:val="000000"/>
                <w:vertAlign w:val="baseline"/>
                <w:lang w:eastAsia="pt-BR"/>
              </w:rPr>
              <w:t>p</w:t>
            </w:r>
            <w:proofErr w:type="gramEnd"/>
            <w:r w:rsidRPr="005F5BC9">
              <w:rPr>
                <w:rFonts w:ascii="Arial" w:eastAsia="Times New Roman" w:hAnsi="Arial" w:cs="Arial"/>
                <w:b/>
                <w:bCs/>
                <w:color w:val="000000"/>
                <w:vertAlign w:val="baseline"/>
                <w:lang w:eastAsia="pt-BR"/>
              </w:rPr>
              <w:t>-valor</w:t>
            </w:r>
          </w:p>
        </w:tc>
        <w:tc>
          <w:tcPr>
            <w:tcW w:w="820"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proofErr w:type="spellStart"/>
            <w:r w:rsidRPr="005F5BC9">
              <w:rPr>
                <w:rFonts w:ascii="Arial" w:eastAsia="Times New Roman" w:hAnsi="Arial" w:cs="Arial"/>
                <w:b/>
                <w:bCs/>
                <w:color w:val="000000"/>
                <w:vertAlign w:val="baseline"/>
                <w:lang w:eastAsia="pt-BR"/>
              </w:rPr>
              <w:t>Subt</w:t>
            </w:r>
            <w:proofErr w:type="spellEnd"/>
            <w:r w:rsidRPr="005F5BC9">
              <w:rPr>
                <w:rFonts w:ascii="Arial" w:eastAsia="Times New Roman" w:hAnsi="Arial" w:cs="Arial"/>
                <w:b/>
                <w:bCs/>
                <w:color w:val="000000"/>
                <w:vertAlign w:val="baseline"/>
                <w:lang w:eastAsia="pt-BR"/>
              </w:rPr>
              <w:t>.</w:t>
            </w:r>
          </w:p>
        </w:tc>
        <w:tc>
          <w:tcPr>
            <w:tcW w:w="863"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proofErr w:type="gramStart"/>
            <w:r w:rsidRPr="005F5BC9">
              <w:rPr>
                <w:rFonts w:ascii="Arial" w:eastAsia="Times New Roman" w:hAnsi="Arial" w:cs="Arial"/>
                <w:b/>
                <w:bCs/>
                <w:color w:val="000000"/>
                <w:vertAlign w:val="baseline"/>
                <w:lang w:eastAsia="pt-BR"/>
              </w:rPr>
              <w:t>p</w:t>
            </w:r>
            <w:proofErr w:type="gramEnd"/>
            <w:r w:rsidRPr="005F5BC9">
              <w:rPr>
                <w:rFonts w:ascii="Arial" w:eastAsia="Times New Roman" w:hAnsi="Arial" w:cs="Arial"/>
                <w:b/>
                <w:bCs/>
                <w:color w:val="000000"/>
                <w:vertAlign w:val="baseline"/>
                <w:lang w:eastAsia="pt-BR"/>
              </w:rPr>
              <w:t>-valor</w:t>
            </w:r>
          </w:p>
        </w:tc>
      </w:tr>
      <w:tr w:rsidR="00A415C1" w:rsidRPr="005F5BC9" w:rsidTr="00F84486">
        <w:trPr>
          <w:trHeight w:val="255"/>
        </w:trPr>
        <w:tc>
          <w:tcPr>
            <w:tcW w:w="2242" w:type="dxa"/>
            <w:tcBorders>
              <w:top w:val="nil"/>
              <w:left w:val="nil"/>
              <w:bottom w:val="nil"/>
              <w:right w:val="nil"/>
            </w:tcBorders>
            <w:shd w:val="clear" w:color="auto" w:fill="auto"/>
            <w:noWrap/>
            <w:vAlign w:val="bottom"/>
            <w:hideMark/>
          </w:tcPr>
          <w:p w:rsidR="00A415C1" w:rsidRPr="005F5BC9" w:rsidRDefault="00742788" w:rsidP="00A415C1">
            <w:pPr>
              <w:spacing w:after="0" w:line="240" w:lineRule="auto"/>
              <w:jc w:val="left"/>
              <w:rPr>
                <w:rFonts w:ascii="Arial" w:eastAsia="Times New Roman" w:hAnsi="Arial" w:cs="Arial"/>
                <w:color w:val="000000"/>
                <w:vertAlign w:val="baseline"/>
                <w:lang w:eastAsia="pt-BR"/>
              </w:rPr>
            </w:pPr>
            <w:r>
              <w:rPr>
                <w:rFonts w:ascii="Arial" w:eastAsia="Times New Roman" w:hAnsi="Arial" w:cs="Arial"/>
                <w:color w:val="000000"/>
                <w:vertAlign w:val="baseline"/>
                <w:lang w:eastAsia="pt-BR"/>
              </w:rPr>
              <w:t>LPAB</w:t>
            </w: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0.047 </w:t>
            </w:r>
          </w:p>
        </w:tc>
        <w:tc>
          <w:tcPr>
            <w:tcW w:w="919"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0.118 </w:t>
            </w:r>
          </w:p>
        </w:tc>
        <w:tc>
          <w:tcPr>
            <w:tcW w:w="787"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0.04</w:t>
            </w: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0.083 </w:t>
            </w:r>
          </w:p>
        </w:tc>
        <w:tc>
          <w:tcPr>
            <w:tcW w:w="908"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0.082 </w:t>
            </w:r>
          </w:p>
        </w:tc>
        <w:tc>
          <w:tcPr>
            <w:tcW w:w="863"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0.19</w:t>
            </w:r>
          </w:p>
        </w:tc>
      </w:tr>
      <w:tr w:rsidR="00A415C1" w:rsidRPr="005F5BC9" w:rsidTr="00F84486">
        <w:trPr>
          <w:trHeight w:val="255"/>
        </w:trPr>
        <w:tc>
          <w:tcPr>
            <w:tcW w:w="2242" w:type="dxa"/>
            <w:tcBorders>
              <w:top w:val="nil"/>
              <w:left w:val="nil"/>
              <w:bottom w:val="nil"/>
              <w:right w:val="nil"/>
            </w:tcBorders>
            <w:shd w:val="clear" w:color="auto" w:fill="auto"/>
            <w:noWrap/>
            <w:vAlign w:val="bottom"/>
            <w:hideMark/>
          </w:tcPr>
          <w:p w:rsidR="00A415C1" w:rsidRPr="005F5BC9" w:rsidRDefault="00742788" w:rsidP="00A415C1">
            <w:pPr>
              <w:spacing w:after="0" w:line="240" w:lineRule="auto"/>
              <w:jc w:val="left"/>
              <w:rPr>
                <w:rFonts w:ascii="Arial" w:eastAsia="Times New Roman" w:hAnsi="Arial" w:cs="Arial"/>
                <w:color w:val="000000"/>
                <w:vertAlign w:val="baseline"/>
                <w:lang w:eastAsia="pt-BR"/>
              </w:rPr>
            </w:pPr>
            <w:proofErr w:type="spellStart"/>
            <w:proofErr w:type="gramStart"/>
            <w:r>
              <w:rPr>
                <w:rFonts w:ascii="Arial" w:eastAsia="Times New Roman" w:hAnsi="Arial" w:cs="Arial"/>
                <w:color w:val="000000"/>
                <w:vertAlign w:val="baseline"/>
                <w:lang w:eastAsia="pt-BR"/>
              </w:rPr>
              <w:t>LOutras</w:t>
            </w:r>
            <w:proofErr w:type="spellEnd"/>
            <w:proofErr w:type="gramEnd"/>
            <w:r>
              <w:rPr>
                <w:rFonts w:ascii="Arial" w:eastAsia="Times New Roman" w:hAnsi="Arial" w:cs="Arial"/>
                <w:color w:val="000000"/>
                <w:vertAlign w:val="baseline"/>
                <w:lang w:eastAsia="pt-BR"/>
              </w:rPr>
              <w:t xml:space="preserve"> </w:t>
            </w:r>
            <w:proofErr w:type="spellStart"/>
            <w:r>
              <w:rPr>
                <w:rFonts w:ascii="Arial" w:eastAsia="Times New Roman" w:hAnsi="Arial" w:cs="Arial"/>
                <w:color w:val="000000"/>
                <w:vertAlign w:val="baseline"/>
                <w:lang w:eastAsia="pt-BR"/>
              </w:rPr>
              <w:t>transf</w:t>
            </w:r>
            <w:proofErr w:type="spellEnd"/>
            <w:r>
              <w:rPr>
                <w:rFonts w:ascii="Arial" w:eastAsia="Times New Roman" w:hAnsi="Arial" w:cs="Arial"/>
                <w:color w:val="000000"/>
                <w:vertAlign w:val="baseline"/>
                <w:lang w:eastAsia="pt-BR"/>
              </w:rPr>
              <w:t>. SUS</w:t>
            </w: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0.197 </w:t>
            </w:r>
          </w:p>
        </w:tc>
        <w:tc>
          <w:tcPr>
            <w:tcW w:w="919"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0.187 </w:t>
            </w:r>
          </w:p>
        </w:tc>
        <w:tc>
          <w:tcPr>
            <w:tcW w:w="787"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0.144 </w:t>
            </w:r>
          </w:p>
        </w:tc>
        <w:tc>
          <w:tcPr>
            <w:tcW w:w="908"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0.119 </w:t>
            </w:r>
          </w:p>
        </w:tc>
        <w:tc>
          <w:tcPr>
            <w:tcW w:w="863"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A415C1" w:rsidRPr="005F5BC9" w:rsidTr="00F84486">
        <w:trPr>
          <w:trHeight w:val="255"/>
        </w:trPr>
        <w:tc>
          <w:tcPr>
            <w:tcW w:w="2242" w:type="dxa"/>
            <w:tcBorders>
              <w:top w:val="nil"/>
              <w:left w:val="nil"/>
              <w:bottom w:val="nil"/>
              <w:right w:val="nil"/>
            </w:tcBorders>
            <w:shd w:val="clear" w:color="auto" w:fill="auto"/>
            <w:noWrap/>
            <w:vAlign w:val="bottom"/>
            <w:hideMark/>
          </w:tcPr>
          <w:p w:rsidR="00A415C1" w:rsidRPr="005F5BC9" w:rsidRDefault="00742788" w:rsidP="00A415C1">
            <w:pPr>
              <w:spacing w:after="0" w:line="240" w:lineRule="auto"/>
              <w:jc w:val="left"/>
              <w:rPr>
                <w:rFonts w:ascii="Arial" w:eastAsia="Times New Roman" w:hAnsi="Arial" w:cs="Arial"/>
                <w:color w:val="000000"/>
                <w:vertAlign w:val="baseline"/>
                <w:lang w:eastAsia="pt-BR"/>
              </w:rPr>
            </w:pPr>
            <w:r>
              <w:rPr>
                <w:rFonts w:ascii="Arial" w:eastAsia="Times New Roman" w:hAnsi="Arial" w:cs="Arial"/>
                <w:color w:val="000000"/>
                <w:vertAlign w:val="baseline"/>
                <w:lang w:eastAsia="pt-BR"/>
              </w:rPr>
              <w:t>LFPM</w:t>
            </w: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0.311 </w:t>
            </w:r>
          </w:p>
        </w:tc>
        <w:tc>
          <w:tcPr>
            <w:tcW w:w="919"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-0.016 </w:t>
            </w:r>
          </w:p>
        </w:tc>
        <w:tc>
          <w:tcPr>
            <w:tcW w:w="787"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0.68</w:t>
            </w: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0.346 </w:t>
            </w:r>
          </w:p>
        </w:tc>
        <w:tc>
          <w:tcPr>
            <w:tcW w:w="908"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-0.073 </w:t>
            </w:r>
          </w:p>
        </w:tc>
        <w:tc>
          <w:tcPr>
            <w:tcW w:w="863"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0.48</w:t>
            </w:r>
          </w:p>
        </w:tc>
      </w:tr>
      <w:tr w:rsidR="00A415C1" w:rsidRPr="005F5BC9" w:rsidTr="00F84486">
        <w:trPr>
          <w:trHeight w:val="255"/>
        </w:trPr>
        <w:tc>
          <w:tcPr>
            <w:tcW w:w="2242" w:type="dxa"/>
            <w:tcBorders>
              <w:top w:val="nil"/>
              <w:left w:val="nil"/>
              <w:bottom w:val="nil"/>
              <w:right w:val="nil"/>
            </w:tcBorders>
            <w:shd w:val="clear" w:color="auto" w:fill="auto"/>
            <w:noWrap/>
            <w:vAlign w:val="bottom"/>
            <w:hideMark/>
          </w:tcPr>
          <w:p w:rsidR="00A415C1" w:rsidRPr="005F5BC9" w:rsidRDefault="00742788" w:rsidP="00A415C1">
            <w:pPr>
              <w:spacing w:after="0" w:line="240" w:lineRule="auto"/>
              <w:jc w:val="left"/>
              <w:rPr>
                <w:rFonts w:ascii="Arial" w:eastAsia="Times New Roman" w:hAnsi="Arial" w:cs="Arial"/>
                <w:color w:val="000000"/>
                <w:vertAlign w:val="baseline"/>
                <w:lang w:eastAsia="pt-BR"/>
              </w:rPr>
            </w:pPr>
            <w:proofErr w:type="spellStart"/>
            <w:proofErr w:type="gramStart"/>
            <w:r>
              <w:rPr>
                <w:rFonts w:ascii="Arial" w:eastAsia="Times New Roman" w:hAnsi="Arial" w:cs="Arial"/>
                <w:color w:val="000000"/>
                <w:vertAlign w:val="baseline"/>
                <w:lang w:eastAsia="pt-BR"/>
              </w:rPr>
              <w:t>LRoyalties</w:t>
            </w:r>
            <w:proofErr w:type="spellEnd"/>
            <w:proofErr w:type="gramEnd"/>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-0.056 </w:t>
            </w:r>
          </w:p>
        </w:tc>
        <w:tc>
          <w:tcPr>
            <w:tcW w:w="919"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-0.146 </w:t>
            </w:r>
          </w:p>
        </w:tc>
        <w:tc>
          <w:tcPr>
            <w:tcW w:w="787"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-0.046 </w:t>
            </w:r>
          </w:p>
        </w:tc>
        <w:tc>
          <w:tcPr>
            <w:tcW w:w="908"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82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-0.141 </w:t>
            </w:r>
          </w:p>
        </w:tc>
        <w:tc>
          <w:tcPr>
            <w:tcW w:w="863"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A415C1" w:rsidRPr="005F5BC9" w:rsidTr="00F84486">
        <w:trPr>
          <w:trHeight w:val="255"/>
        </w:trPr>
        <w:tc>
          <w:tcPr>
            <w:tcW w:w="2242" w:type="dxa"/>
            <w:tcBorders>
              <w:top w:val="nil"/>
              <w:left w:val="nil"/>
              <w:bottom w:val="single" w:sz="4" w:space="0" w:color="auto"/>
              <w:right w:val="nil"/>
            </w:tcBorders>
            <w:shd w:val="clear" w:color="auto" w:fill="auto"/>
            <w:noWrap/>
            <w:vAlign w:val="bottom"/>
            <w:hideMark/>
          </w:tcPr>
          <w:p w:rsidR="00A415C1" w:rsidRPr="005F5BC9" w:rsidRDefault="00742788" w:rsidP="00A415C1">
            <w:pPr>
              <w:spacing w:after="0" w:line="240" w:lineRule="auto"/>
              <w:jc w:val="left"/>
              <w:rPr>
                <w:rFonts w:ascii="Arial" w:eastAsia="Times New Roman" w:hAnsi="Arial" w:cs="Arial"/>
                <w:color w:val="000000"/>
                <w:vertAlign w:val="baseline"/>
                <w:lang w:eastAsia="pt-BR"/>
              </w:rPr>
            </w:pPr>
            <w:proofErr w:type="spellStart"/>
            <w:proofErr w:type="gramStart"/>
            <w:r>
              <w:rPr>
                <w:rFonts w:ascii="Arial" w:eastAsia="Times New Roman" w:hAnsi="Arial" w:cs="Arial"/>
                <w:color w:val="000000"/>
                <w:vertAlign w:val="baseline"/>
                <w:lang w:eastAsia="pt-BR"/>
              </w:rPr>
              <w:t>LOutras</w:t>
            </w:r>
            <w:proofErr w:type="spellEnd"/>
            <w:proofErr w:type="gramEnd"/>
            <w:r>
              <w:rPr>
                <w:rFonts w:ascii="Arial" w:eastAsia="Times New Roman" w:hAnsi="Arial" w:cs="Arial"/>
                <w:color w:val="000000"/>
                <w:vertAlign w:val="baseline"/>
                <w:lang w:eastAsia="pt-BR"/>
              </w:rPr>
              <w:t xml:space="preserve"> </w:t>
            </w:r>
            <w:proofErr w:type="spellStart"/>
            <w:r>
              <w:rPr>
                <w:rFonts w:ascii="Arial" w:eastAsia="Times New Roman" w:hAnsi="Arial" w:cs="Arial"/>
                <w:color w:val="000000"/>
                <w:vertAlign w:val="baseline"/>
                <w:lang w:eastAsia="pt-BR"/>
              </w:rPr>
              <w:t>transf</w:t>
            </w:r>
            <w:proofErr w:type="spellEnd"/>
          </w:p>
        </w:tc>
        <w:tc>
          <w:tcPr>
            <w:tcW w:w="820"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0.162 </w:t>
            </w:r>
          </w:p>
        </w:tc>
        <w:tc>
          <w:tcPr>
            <w:tcW w:w="919"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820"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0.131 </w:t>
            </w:r>
          </w:p>
        </w:tc>
        <w:tc>
          <w:tcPr>
            <w:tcW w:w="787"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820"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0.063 </w:t>
            </w:r>
          </w:p>
        </w:tc>
        <w:tc>
          <w:tcPr>
            <w:tcW w:w="908"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820"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-0.026 </w:t>
            </w:r>
          </w:p>
        </w:tc>
        <w:tc>
          <w:tcPr>
            <w:tcW w:w="863"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0.37</w:t>
            </w:r>
          </w:p>
        </w:tc>
      </w:tr>
      <w:tr w:rsidR="00A415C1" w:rsidRPr="005F5BC9" w:rsidTr="00F84486">
        <w:trPr>
          <w:trHeight w:val="255"/>
        </w:trPr>
        <w:tc>
          <w:tcPr>
            <w:tcW w:w="2242" w:type="dxa"/>
            <w:tcBorders>
              <w:top w:val="nil"/>
              <w:left w:val="nil"/>
              <w:bottom w:val="single" w:sz="4" w:space="0" w:color="auto"/>
              <w:right w:val="nil"/>
            </w:tcBorders>
            <w:shd w:val="clear" w:color="auto" w:fill="auto"/>
            <w:noWrap/>
            <w:vAlign w:val="bottom"/>
            <w:hideMark/>
          </w:tcPr>
          <w:p w:rsidR="00A415C1" w:rsidRPr="005F5BC9" w:rsidRDefault="00742788" w:rsidP="00A415C1">
            <w:pPr>
              <w:spacing w:after="0" w:line="240" w:lineRule="auto"/>
              <w:jc w:val="left"/>
              <w:rPr>
                <w:rFonts w:ascii="Arial" w:eastAsia="Times New Roman" w:hAnsi="Arial" w:cs="Arial"/>
                <w:color w:val="000000"/>
                <w:vertAlign w:val="baseline"/>
                <w:lang w:eastAsia="pt-BR"/>
              </w:rPr>
            </w:pPr>
            <w:r>
              <w:rPr>
                <w:rFonts w:ascii="Arial" w:eastAsia="Times New Roman" w:hAnsi="Arial" w:cs="Arial"/>
                <w:color w:val="000000"/>
                <w:vertAlign w:val="baseline"/>
                <w:lang w:eastAsia="pt-BR"/>
              </w:rPr>
              <w:t>LPAB-LFPM</w:t>
            </w:r>
          </w:p>
        </w:tc>
        <w:tc>
          <w:tcPr>
            <w:tcW w:w="820"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-0.265 </w:t>
            </w:r>
          </w:p>
        </w:tc>
        <w:tc>
          <w:tcPr>
            <w:tcW w:w="919"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820"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0.134 </w:t>
            </w:r>
          </w:p>
        </w:tc>
        <w:tc>
          <w:tcPr>
            <w:tcW w:w="787"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0.02</w:t>
            </w:r>
          </w:p>
        </w:tc>
        <w:tc>
          <w:tcPr>
            <w:tcW w:w="820"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-0.263 </w:t>
            </w:r>
          </w:p>
        </w:tc>
        <w:tc>
          <w:tcPr>
            <w:tcW w:w="908"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820"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0.155 </w:t>
            </w:r>
          </w:p>
        </w:tc>
        <w:tc>
          <w:tcPr>
            <w:tcW w:w="863"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0.08</w:t>
            </w:r>
          </w:p>
        </w:tc>
      </w:tr>
    </w:tbl>
    <w:p w:rsidR="00A415C1" w:rsidRDefault="00A415C1" w:rsidP="00A415C1">
      <w:pPr>
        <w:spacing w:after="0" w:line="240" w:lineRule="auto"/>
        <w:rPr>
          <w:rFonts w:ascii="Arial" w:hAnsi="Arial" w:cs="Arial"/>
          <w:b/>
          <w:sz w:val="24"/>
          <w:szCs w:val="24"/>
          <w:vertAlign w:val="baseline"/>
        </w:rPr>
      </w:pPr>
    </w:p>
    <w:p w:rsidR="00E34615" w:rsidRPr="005F5BC9" w:rsidRDefault="00E34615" w:rsidP="00A415C1">
      <w:pPr>
        <w:spacing w:after="0" w:line="240" w:lineRule="auto"/>
        <w:rPr>
          <w:rFonts w:ascii="Arial" w:hAnsi="Arial" w:cs="Arial"/>
          <w:b/>
          <w:sz w:val="24"/>
          <w:szCs w:val="24"/>
          <w:vertAlign w:val="baseline"/>
        </w:rPr>
      </w:pPr>
    </w:p>
    <w:p w:rsidR="00A415C1" w:rsidRPr="00742788" w:rsidRDefault="00742788" w:rsidP="00742788">
      <w:pPr>
        <w:pStyle w:val="PargrafodaLista"/>
        <w:spacing w:after="0" w:line="240" w:lineRule="auto"/>
        <w:ind w:left="1140"/>
        <w:rPr>
          <w:rFonts w:ascii="Arial" w:hAnsi="Arial" w:cs="Arial"/>
          <w:b/>
          <w:sz w:val="24"/>
          <w:szCs w:val="24"/>
          <w:vertAlign w:val="baseline"/>
        </w:rPr>
      </w:pPr>
      <w:r>
        <w:rPr>
          <w:rFonts w:ascii="Arial" w:hAnsi="Arial" w:cs="Arial"/>
          <w:b/>
          <w:sz w:val="24"/>
          <w:szCs w:val="24"/>
          <w:vertAlign w:val="baseline"/>
        </w:rPr>
        <w:t>5.2.</w:t>
      </w:r>
      <w:r w:rsidR="00A415C1" w:rsidRPr="00742788">
        <w:rPr>
          <w:rFonts w:ascii="Arial" w:hAnsi="Arial" w:cs="Arial"/>
          <w:b/>
          <w:sz w:val="24"/>
          <w:szCs w:val="24"/>
          <w:vertAlign w:val="baseline"/>
        </w:rPr>
        <w:t xml:space="preserve"> Regressões </w:t>
      </w:r>
      <w:proofErr w:type="spellStart"/>
      <w:r w:rsidR="00A415C1" w:rsidRPr="00742788">
        <w:rPr>
          <w:rFonts w:ascii="Arial" w:hAnsi="Arial" w:cs="Arial"/>
          <w:b/>
          <w:sz w:val="24"/>
          <w:szCs w:val="24"/>
          <w:vertAlign w:val="baseline"/>
        </w:rPr>
        <w:t>quantílicas</w:t>
      </w:r>
      <w:proofErr w:type="spellEnd"/>
    </w:p>
    <w:p w:rsidR="0088565A" w:rsidRPr="005F5BC9" w:rsidRDefault="0088565A" w:rsidP="0088565A">
      <w:pPr>
        <w:pStyle w:val="PargrafodaLista"/>
        <w:spacing w:after="0" w:line="240" w:lineRule="auto"/>
        <w:rPr>
          <w:rFonts w:ascii="Arial" w:hAnsi="Arial" w:cs="Arial"/>
          <w:b/>
          <w:sz w:val="24"/>
          <w:szCs w:val="24"/>
          <w:vertAlign w:val="baseline"/>
        </w:rPr>
      </w:pPr>
    </w:p>
    <w:p w:rsidR="00742788" w:rsidRDefault="0088565A" w:rsidP="0088565A">
      <w:pPr>
        <w:spacing w:after="0" w:line="240" w:lineRule="auto"/>
        <w:ind w:firstLine="420"/>
        <w:rPr>
          <w:rFonts w:ascii="Arial" w:eastAsia="Times New Roman" w:hAnsi="Arial" w:cs="Arial"/>
          <w:sz w:val="24"/>
          <w:szCs w:val="24"/>
          <w:vertAlign w:val="baseline"/>
          <w:lang w:eastAsia="pt-BR"/>
        </w:rPr>
      </w:pPr>
      <w:r w:rsidRPr="005F5BC9">
        <w:rPr>
          <w:rFonts w:ascii="Arial" w:eastAsia="Times New Roman" w:hAnsi="Arial" w:cs="Arial"/>
          <w:sz w:val="24"/>
          <w:szCs w:val="24"/>
          <w:vertAlign w:val="baseline"/>
          <w:lang w:eastAsia="pt-BR"/>
        </w:rPr>
        <w:t xml:space="preserve">Para as regressões </w:t>
      </w:r>
      <w:proofErr w:type="spellStart"/>
      <w:r w:rsidRPr="006F3A05">
        <w:rPr>
          <w:rFonts w:ascii="Arial" w:eastAsia="Times New Roman" w:hAnsi="Arial" w:cs="Arial"/>
          <w:sz w:val="24"/>
          <w:szCs w:val="24"/>
          <w:vertAlign w:val="baseline"/>
          <w:lang w:eastAsia="pt-BR"/>
        </w:rPr>
        <w:t>quantílicas</w:t>
      </w:r>
      <w:proofErr w:type="spellEnd"/>
      <w:r w:rsidR="006F3A05" w:rsidRPr="006F3A05">
        <w:rPr>
          <w:rFonts w:ascii="Arial" w:eastAsia="Times New Roman" w:hAnsi="Arial" w:cs="Arial"/>
          <w:sz w:val="24"/>
          <w:szCs w:val="24"/>
          <w:vertAlign w:val="baseline"/>
          <w:lang w:eastAsia="pt-BR"/>
        </w:rPr>
        <w:t xml:space="preserve"> </w:t>
      </w:r>
      <w:r w:rsidR="00742788">
        <w:rPr>
          <w:rFonts w:ascii="Arial" w:eastAsia="Times New Roman" w:hAnsi="Arial" w:cs="Arial"/>
          <w:sz w:val="24"/>
          <w:szCs w:val="24"/>
          <w:vertAlign w:val="baseline"/>
          <w:lang w:eastAsia="pt-BR"/>
        </w:rPr>
        <w:t>empilhadas (T</w:t>
      </w:r>
      <w:r w:rsidRPr="005F5BC9">
        <w:rPr>
          <w:rFonts w:ascii="Arial" w:eastAsia="Times New Roman" w:hAnsi="Arial" w:cs="Arial"/>
          <w:sz w:val="24"/>
          <w:szCs w:val="24"/>
          <w:vertAlign w:val="baseline"/>
          <w:lang w:eastAsia="pt-BR"/>
        </w:rPr>
        <w:t xml:space="preserve">abelas </w:t>
      </w:r>
      <w:r w:rsidR="00AB1F06">
        <w:rPr>
          <w:rFonts w:ascii="Arial" w:eastAsia="Times New Roman" w:hAnsi="Arial" w:cs="Arial"/>
          <w:sz w:val="24"/>
          <w:szCs w:val="24"/>
          <w:vertAlign w:val="baseline"/>
          <w:lang w:eastAsia="pt-BR"/>
        </w:rPr>
        <w:t>12</w:t>
      </w:r>
      <w:r w:rsidRPr="005F5BC9">
        <w:rPr>
          <w:rFonts w:ascii="Arial" w:eastAsia="Times New Roman" w:hAnsi="Arial" w:cs="Arial"/>
          <w:sz w:val="24"/>
          <w:szCs w:val="24"/>
          <w:vertAlign w:val="baseline"/>
          <w:lang w:eastAsia="pt-BR"/>
        </w:rPr>
        <w:t xml:space="preserve"> a </w:t>
      </w:r>
      <w:r w:rsidR="00AB1F06">
        <w:rPr>
          <w:rFonts w:ascii="Arial" w:eastAsia="Times New Roman" w:hAnsi="Arial" w:cs="Arial"/>
          <w:sz w:val="24"/>
          <w:szCs w:val="24"/>
          <w:vertAlign w:val="baseline"/>
          <w:lang w:eastAsia="pt-BR"/>
        </w:rPr>
        <w:t>15</w:t>
      </w:r>
      <w:r w:rsidRPr="005F5BC9">
        <w:rPr>
          <w:rFonts w:ascii="Arial" w:eastAsia="Times New Roman" w:hAnsi="Arial" w:cs="Arial"/>
          <w:sz w:val="24"/>
          <w:szCs w:val="24"/>
          <w:vertAlign w:val="baseline"/>
          <w:lang w:eastAsia="pt-BR"/>
        </w:rPr>
        <w:t>) são observados resultados que se alinham com as regressões usais discutidas acima</w:t>
      </w:r>
      <w:r w:rsidR="00943867" w:rsidRPr="005F5BC9">
        <w:rPr>
          <w:rFonts w:ascii="Arial" w:eastAsia="Times New Roman" w:hAnsi="Arial" w:cs="Arial"/>
          <w:sz w:val="24"/>
          <w:szCs w:val="24"/>
          <w:vertAlign w:val="baseline"/>
          <w:lang w:eastAsia="pt-BR"/>
        </w:rPr>
        <w:t xml:space="preserve">. </w:t>
      </w:r>
    </w:p>
    <w:p w:rsidR="00742788" w:rsidRDefault="00943867" w:rsidP="0088565A">
      <w:pPr>
        <w:spacing w:after="0" w:line="240" w:lineRule="auto"/>
        <w:ind w:firstLine="420"/>
        <w:rPr>
          <w:rFonts w:ascii="Arial" w:eastAsia="Times New Roman" w:hAnsi="Arial" w:cs="Arial"/>
          <w:sz w:val="24"/>
          <w:szCs w:val="24"/>
          <w:vertAlign w:val="baseline"/>
          <w:lang w:eastAsia="pt-BR"/>
        </w:rPr>
      </w:pPr>
      <w:r w:rsidRPr="005F5BC9">
        <w:rPr>
          <w:rFonts w:ascii="Arial" w:eastAsia="Times New Roman" w:hAnsi="Arial" w:cs="Arial"/>
          <w:sz w:val="24"/>
          <w:szCs w:val="24"/>
          <w:vertAlign w:val="baseline"/>
          <w:lang w:eastAsia="pt-BR"/>
        </w:rPr>
        <w:t>P</w:t>
      </w:r>
      <w:r w:rsidR="0088565A" w:rsidRPr="005F5BC9">
        <w:rPr>
          <w:rFonts w:ascii="Arial" w:eastAsia="Times New Roman" w:hAnsi="Arial" w:cs="Arial"/>
          <w:sz w:val="24"/>
          <w:szCs w:val="24"/>
          <w:vertAlign w:val="baseline"/>
          <w:lang w:eastAsia="pt-BR"/>
        </w:rPr>
        <w:t xml:space="preserve">ara os modelos lineares observa-se </w:t>
      </w:r>
      <w:r w:rsidR="00B60E88" w:rsidRPr="005F5BC9">
        <w:rPr>
          <w:rFonts w:ascii="Arial" w:eastAsia="Times New Roman" w:hAnsi="Arial" w:cs="Arial"/>
          <w:sz w:val="24"/>
          <w:szCs w:val="24"/>
          <w:vertAlign w:val="baseline"/>
          <w:lang w:eastAsia="pt-BR"/>
        </w:rPr>
        <w:t xml:space="preserve">tanto um efeito mais pronunciado para as transferências condicionais, como </w:t>
      </w:r>
      <w:r w:rsidR="0088565A" w:rsidRPr="005F5BC9">
        <w:rPr>
          <w:rFonts w:ascii="Arial" w:eastAsia="Times New Roman" w:hAnsi="Arial" w:cs="Arial"/>
          <w:sz w:val="24"/>
          <w:szCs w:val="24"/>
          <w:vertAlign w:val="baseline"/>
          <w:lang w:eastAsia="pt-BR"/>
        </w:rPr>
        <w:t>também o efeito fungibilidade, que é menos acentuado em municípios que apresentam gastos per capita em saúde mais elevados (nos qua</w:t>
      </w:r>
      <w:r w:rsidR="000F565A" w:rsidRPr="005F5BC9">
        <w:rPr>
          <w:rFonts w:ascii="Arial" w:eastAsia="Times New Roman" w:hAnsi="Arial" w:cs="Arial"/>
          <w:sz w:val="24"/>
          <w:szCs w:val="24"/>
          <w:vertAlign w:val="baseline"/>
          <w:lang w:eastAsia="pt-BR"/>
        </w:rPr>
        <w:t>r</w:t>
      </w:r>
      <w:r w:rsidR="0088565A" w:rsidRPr="005F5BC9">
        <w:rPr>
          <w:rFonts w:ascii="Arial" w:eastAsia="Times New Roman" w:hAnsi="Arial" w:cs="Arial"/>
          <w:sz w:val="24"/>
          <w:szCs w:val="24"/>
          <w:vertAlign w:val="baseline"/>
          <w:lang w:eastAsia="pt-BR"/>
        </w:rPr>
        <w:t>t</w:t>
      </w:r>
      <w:r w:rsidR="000F565A" w:rsidRPr="005F5BC9">
        <w:rPr>
          <w:rFonts w:ascii="Arial" w:eastAsia="Times New Roman" w:hAnsi="Arial" w:cs="Arial"/>
          <w:sz w:val="24"/>
          <w:szCs w:val="24"/>
          <w:vertAlign w:val="baseline"/>
          <w:lang w:eastAsia="pt-BR"/>
        </w:rPr>
        <w:t xml:space="preserve">is </w:t>
      </w:r>
      <w:r w:rsidR="0088565A" w:rsidRPr="005F5BC9">
        <w:rPr>
          <w:rFonts w:ascii="Arial" w:eastAsia="Times New Roman" w:hAnsi="Arial" w:cs="Arial"/>
          <w:sz w:val="24"/>
          <w:szCs w:val="24"/>
          <w:vertAlign w:val="baseline"/>
          <w:lang w:eastAsia="pt-BR"/>
        </w:rPr>
        <w:t>mais elevado</w:t>
      </w:r>
      <w:r w:rsidR="005E685B">
        <w:rPr>
          <w:rFonts w:ascii="Arial" w:eastAsia="Times New Roman" w:hAnsi="Arial" w:cs="Arial"/>
          <w:sz w:val="24"/>
          <w:szCs w:val="24"/>
          <w:vertAlign w:val="baseline"/>
          <w:lang w:eastAsia="pt-BR"/>
        </w:rPr>
        <w:t xml:space="preserve">s). </w:t>
      </w:r>
    </w:p>
    <w:p w:rsidR="00241F56" w:rsidRDefault="005E685B" w:rsidP="0088565A">
      <w:pPr>
        <w:spacing w:after="0" w:line="240" w:lineRule="auto"/>
        <w:ind w:firstLine="420"/>
        <w:rPr>
          <w:rFonts w:ascii="Arial" w:eastAsia="Times New Roman" w:hAnsi="Arial" w:cs="Arial"/>
          <w:sz w:val="24"/>
          <w:szCs w:val="24"/>
          <w:vertAlign w:val="baseline"/>
          <w:lang w:eastAsia="pt-BR"/>
        </w:rPr>
      </w:pPr>
      <w:r>
        <w:rPr>
          <w:rFonts w:ascii="Arial" w:eastAsia="Times New Roman" w:hAnsi="Arial" w:cs="Arial"/>
          <w:sz w:val="24"/>
          <w:szCs w:val="24"/>
          <w:vertAlign w:val="baseline"/>
          <w:lang w:eastAsia="pt-BR"/>
        </w:rPr>
        <w:t>Além disso, p</w:t>
      </w:r>
      <w:r w:rsidR="0088565A" w:rsidRPr="005F5BC9">
        <w:rPr>
          <w:rFonts w:ascii="Arial" w:eastAsia="Times New Roman" w:hAnsi="Arial" w:cs="Arial"/>
          <w:sz w:val="24"/>
          <w:szCs w:val="24"/>
          <w:vertAlign w:val="baseline"/>
          <w:lang w:eastAsia="pt-BR"/>
        </w:rPr>
        <w:t xml:space="preserve">ara os modelos em escala logarítmica </w:t>
      </w:r>
      <w:r w:rsidR="00742788">
        <w:rPr>
          <w:rFonts w:ascii="Arial" w:eastAsia="Times New Roman" w:hAnsi="Arial" w:cs="Arial"/>
          <w:sz w:val="24"/>
          <w:szCs w:val="24"/>
          <w:vertAlign w:val="baseline"/>
          <w:lang w:eastAsia="pt-BR"/>
        </w:rPr>
        <w:t>a elasticidade</w:t>
      </w:r>
      <w:r w:rsidR="00943867" w:rsidRPr="005F5BC9">
        <w:rPr>
          <w:rFonts w:ascii="Arial" w:eastAsia="Times New Roman" w:hAnsi="Arial" w:cs="Arial"/>
          <w:sz w:val="24"/>
          <w:szCs w:val="24"/>
          <w:vertAlign w:val="baseline"/>
          <w:lang w:eastAsia="pt-BR"/>
        </w:rPr>
        <w:t xml:space="preserve"> gasto do FPM també</w:t>
      </w:r>
      <w:r w:rsidR="00742788">
        <w:rPr>
          <w:rFonts w:ascii="Arial" w:eastAsia="Times New Roman" w:hAnsi="Arial" w:cs="Arial"/>
          <w:sz w:val="24"/>
          <w:szCs w:val="24"/>
          <w:vertAlign w:val="baseline"/>
          <w:lang w:eastAsia="pt-BR"/>
        </w:rPr>
        <w:t xml:space="preserve">m é maior do que a elasticidade </w:t>
      </w:r>
      <w:r w:rsidR="00943867" w:rsidRPr="005F5BC9">
        <w:rPr>
          <w:rFonts w:ascii="Arial" w:eastAsia="Times New Roman" w:hAnsi="Arial" w:cs="Arial"/>
          <w:sz w:val="24"/>
          <w:szCs w:val="24"/>
          <w:vertAlign w:val="baseline"/>
          <w:lang w:eastAsia="pt-BR"/>
        </w:rPr>
        <w:t>gasto das transferências condicionais</w:t>
      </w:r>
      <w:r w:rsidR="00742788">
        <w:rPr>
          <w:rFonts w:ascii="Arial" w:eastAsia="Times New Roman" w:hAnsi="Arial" w:cs="Arial"/>
          <w:sz w:val="24"/>
          <w:szCs w:val="24"/>
          <w:vertAlign w:val="baseline"/>
          <w:lang w:eastAsia="pt-BR"/>
        </w:rPr>
        <w:t>. É possível</w:t>
      </w:r>
      <w:r>
        <w:rPr>
          <w:rFonts w:ascii="Arial" w:eastAsia="Times New Roman" w:hAnsi="Arial" w:cs="Arial"/>
          <w:sz w:val="24"/>
          <w:szCs w:val="24"/>
          <w:vertAlign w:val="baseline"/>
          <w:lang w:eastAsia="pt-BR"/>
        </w:rPr>
        <w:t xml:space="preserve"> perceber, ainda para os modelos em escala logarítmica,</w:t>
      </w:r>
      <w:r w:rsidR="00943867" w:rsidRPr="005F5BC9">
        <w:rPr>
          <w:rFonts w:ascii="Arial" w:eastAsia="Times New Roman" w:hAnsi="Arial" w:cs="Arial"/>
          <w:sz w:val="24"/>
          <w:szCs w:val="24"/>
          <w:vertAlign w:val="baseline"/>
          <w:lang w:eastAsia="pt-BR"/>
        </w:rPr>
        <w:t xml:space="preserve"> que, </w:t>
      </w:r>
      <w:r>
        <w:rPr>
          <w:rFonts w:ascii="Arial" w:eastAsia="Times New Roman" w:hAnsi="Arial" w:cs="Arial"/>
          <w:sz w:val="24"/>
          <w:szCs w:val="24"/>
          <w:vertAlign w:val="baseline"/>
          <w:lang w:eastAsia="pt-BR"/>
        </w:rPr>
        <w:t>para a maioria das transferências</w:t>
      </w:r>
      <w:r w:rsidR="00EC21BA">
        <w:rPr>
          <w:rFonts w:ascii="Arial" w:eastAsia="Times New Roman" w:hAnsi="Arial" w:cs="Arial"/>
          <w:sz w:val="24"/>
          <w:szCs w:val="24"/>
          <w:vertAlign w:val="baseline"/>
          <w:lang w:eastAsia="pt-BR"/>
        </w:rPr>
        <w:t>, as elasticidades</w:t>
      </w:r>
      <w:r>
        <w:rPr>
          <w:rFonts w:ascii="Arial" w:eastAsia="Times New Roman" w:hAnsi="Arial" w:cs="Arial"/>
          <w:sz w:val="24"/>
          <w:szCs w:val="24"/>
          <w:vertAlign w:val="baseline"/>
          <w:lang w:eastAsia="pt-BR"/>
        </w:rPr>
        <w:t xml:space="preserve"> gastos </w:t>
      </w:r>
      <w:r w:rsidR="00943867" w:rsidRPr="005F5BC9">
        <w:rPr>
          <w:rFonts w:ascii="Arial" w:eastAsia="Times New Roman" w:hAnsi="Arial" w:cs="Arial"/>
          <w:sz w:val="24"/>
          <w:szCs w:val="24"/>
          <w:vertAlign w:val="baseline"/>
          <w:lang w:eastAsia="pt-BR"/>
        </w:rPr>
        <w:t xml:space="preserve">são maiores para municípios com </w:t>
      </w:r>
      <w:r w:rsidR="00034CBC" w:rsidRPr="005F5BC9">
        <w:rPr>
          <w:rFonts w:ascii="Arial" w:eastAsia="Times New Roman" w:hAnsi="Arial" w:cs="Arial"/>
          <w:sz w:val="24"/>
          <w:szCs w:val="24"/>
          <w:vertAlign w:val="baseline"/>
          <w:lang w:eastAsia="pt-BR"/>
        </w:rPr>
        <w:t xml:space="preserve">gastos per capita </w:t>
      </w:r>
      <w:r>
        <w:rPr>
          <w:rFonts w:ascii="Arial" w:eastAsia="Times New Roman" w:hAnsi="Arial" w:cs="Arial"/>
          <w:sz w:val="24"/>
          <w:szCs w:val="24"/>
          <w:vertAlign w:val="baseline"/>
          <w:lang w:eastAsia="pt-BR"/>
        </w:rPr>
        <w:t xml:space="preserve">em saúde mais </w:t>
      </w:r>
      <w:r w:rsidR="002C4047">
        <w:rPr>
          <w:rFonts w:ascii="Arial" w:eastAsia="Times New Roman" w:hAnsi="Arial" w:cs="Arial"/>
          <w:sz w:val="24"/>
          <w:szCs w:val="24"/>
          <w:vertAlign w:val="baseline"/>
          <w:lang w:eastAsia="pt-BR"/>
        </w:rPr>
        <w:t>altos</w:t>
      </w:r>
      <w:r w:rsidR="00034CBC" w:rsidRPr="005F5BC9">
        <w:rPr>
          <w:rFonts w:ascii="Arial" w:eastAsia="Times New Roman" w:hAnsi="Arial" w:cs="Arial"/>
          <w:sz w:val="24"/>
          <w:szCs w:val="24"/>
          <w:vertAlign w:val="baseline"/>
          <w:lang w:eastAsia="pt-BR"/>
        </w:rPr>
        <w:t>. N</w:t>
      </w:r>
      <w:r w:rsidR="00943867" w:rsidRPr="005F5BC9">
        <w:rPr>
          <w:rFonts w:ascii="Arial" w:eastAsia="Times New Roman" w:hAnsi="Arial" w:cs="Arial"/>
          <w:sz w:val="24"/>
          <w:szCs w:val="24"/>
          <w:vertAlign w:val="baseline"/>
          <w:lang w:eastAsia="pt-BR"/>
        </w:rPr>
        <w:t xml:space="preserve">os modelos lineares parece haver uma tendência de aumento do efeito </w:t>
      </w:r>
      <w:proofErr w:type="spellStart"/>
      <w:r w:rsidR="00943867" w:rsidRPr="005F5BC9">
        <w:rPr>
          <w:rFonts w:ascii="Arial" w:eastAsia="Times New Roman" w:hAnsi="Arial" w:cs="Arial"/>
          <w:i/>
          <w:sz w:val="24"/>
          <w:szCs w:val="24"/>
          <w:vertAlign w:val="baseline"/>
          <w:lang w:eastAsia="pt-BR"/>
        </w:rPr>
        <w:t>flypaper</w:t>
      </w:r>
      <w:proofErr w:type="spellEnd"/>
      <w:r w:rsidR="003C42AF">
        <w:rPr>
          <w:rFonts w:ascii="Arial" w:eastAsia="Times New Roman" w:hAnsi="Arial" w:cs="Arial"/>
          <w:i/>
          <w:sz w:val="24"/>
          <w:szCs w:val="24"/>
          <w:vertAlign w:val="baseline"/>
          <w:lang w:eastAsia="pt-BR"/>
        </w:rPr>
        <w:t xml:space="preserve"> </w:t>
      </w:r>
      <w:r w:rsidR="00B60E88" w:rsidRPr="005F5BC9">
        <w:rPr>
          <w:rFonts w:ascii="Arial" w:eastAsia="Times New Roman" w:hAnsi="Arial" w:cs="Arial"/>
          <w:sz w:val="24"/>
          <w:szCs w:val="24"/>
          <w:vertAlign w:val="baseline"/>
          <w:lang w:eastAsia="pt-BR"/>
        </w:rPr>
        <w:t>com</w:t>
      </w:r>
      <w:r w:rsidR="003C42AF">
        <w:rPr>
          <w:rFonts w:ascii="Arial" w:eastAsia="Times New Roman" w:hAnsi="Arial" w:cs="Arial"/>
          <w:sz w:val="24"/>
          <w:szCs w:val="24"/>
          <w:vertAlign w:val="baseline"/>
          <w:lang w:eastAsia="pt-BR"/>
        </w:rPr>
        <w:t xml:space="preserve"> </w:t>
      </w:r>
      <w:r w:rsidR="00B60E88" w:rsidRPr="005F5BC9">
        <w:rPr>
          <w:rFonts w:ascii="Arial" w:eastAsia="Times New Roman" w:hAnsi="Arial" w:cs="Arial"/>
          <w:sz w:val="24"/>
          <w:szCs w:val="24"/>
          <w:vertAlign w:val="baseline"/>
          <w:lang w:eastAsia="pt-BR"/>
        </w:rPr>
        <w:t>um maior nível de gastos em saúde n</w:t>
      </w:r>
      <w:r w:rsidR="00943867" w:rsidRPr="005F5BC9">
        <w:rPr>
          <w:rFonts w:ascii="Arial" w:eastAsia="Times New Roman" w:hAnsi="Arial" w:cs="Arial"/>
          <w:sz w:val="24"/>
          <w:szCs w:val="24"/>
          <w:vertAlign w:val="baseline"/>
          <w:lang w:eastAsia="pt-BR"/>
        </w:rPr>
        <w:t>o</w:t>
      </w:r>
      <w:r w:rsidR="00B60E88" w:rsidRPr="005F5BC9">
        <w:rPr>
          <w:rFonts w:ascii="Arial" w:eastAsia="Times New Roman" w:hAnsi="Arial" w:cs="Arial"/>
          <w:sz w:val="24"/>
          <w:szCs w:val="24"/>
          <w:vertAlign w:val="baseline"/>
          <w:lang w:eastAsia="pt-BR"/>
        </w:rPr>
        <w:t>s</w:t>
      </w:r>
      <w:r w:rsidR="00943867" w:rsidRPr="005F5BC9">
        <w:rPr>
          <w:rFonts w:ascii="Arial" w:eastAsia="Times New Roman" w:hAnsi="Arial" w:cs="Arial"/>
          <w:sz w:val="24"/>
          <w:szCs w:val="24"/>
          <w:vertAlign w:val="baseline"/>
          <w:lang w:eastAsia="pt-BR"/>
        </w:rPr>
        <w:t xml:space="preserve"> município</w:t>
      </w:r>
      <w:r w:rsidR="00B60E88" w:rsidRPr="005F5BC9">
        <w:rPr>
          <w:rFonts w:ascii="Arial" w:eastAsia="Times New Roman" w:hAnsi="Arial" w:cs="Arial"/>
          <w:sz w:val="24"/>
          <w:szCs w:val="24"/>
          <w:vertAlign w:val="baseline"/>
          <w:lang w:eastAsia="pt-BR"/>
        </w:rPr>
        <w:t>s</w:t>
      </w:r>
      <w:r w:rsidR="00EC21BA">
        <w:rPr>
          <w:rFonts w:ascii="Arial" w:eastAsia="Times New Roman" w:hAnsi="Arial" w:cs="Arial"/>
          <w:sz w:val="24"/>
          <w:szCs w:val="24"/>
          <w:vertAlign w:val="baseline"/>
          <w:lang w:eastAsia="pt-BR"/>
        </w:rPr>
        <w:t xml:space="preserve"> (T</w:t>
      </w:r>
      <w:r w:rsidR="00AB1F06">
        <w:rPr>
          <w:rFonts w:ascii="Arial" w:eastAsia="Times New Roman" w:hAnsi="Arial" w:cs="Arial"/>
          <w:sz w:val="24"/>
          <w:szCs w:val="24"/>
          <w:vertAlign w:val="baseline"/>
          <w:lang w:eastAsia="pt-BR"/>
        </w:rPr>
        <w:t>abela 13</w:t>
      </w:r>
      <w:r w:rsidR="00034CBC" w:rsidRPr="005F5BC9">
        <w:rPr>
          <w:rFonts w:ascii="Arial" w:eastAsia="Times New Roman" w:hAnsi="Arial" w:cs="Arial"/>
          <w:sz w:val="24"/>
          <w:szCs w:val="24"/>
          <w:vertAlign w:val="baseline"/>
          <w:lang w:eastAsia="pt-BR"/>
        </w:rPr>
        <w:t>), já para os modelos em escala logarítmica e</w:t>
      </w:r>
      <w:r w:rsidR="00EC21BA">
        <w:rPr>
          <w:rFonts w:ascii="Arial" w:eastAsia="Times New Roman" w:hAnsi="Arial" w:cs="Arial"/>
          <w:sz w:val="24"/>
          <w:szCs w:val="24"/>
          <w:vertAlign w:val="baseline"/>
          <w:lang w:eastAsia="pt-BR"/>
        </w:rPr>
        <w:t>ssa tendência não é tão clara (T</w:t>
      </w:r>
      <w:r w:rsidR="00034CBC" w:rsidRPr="005F5BC9">
        <w:rPr>
          <w:rFonts w:ascii="Arial" w:eastAsia="Times New Roman" w:hAnsi="Arial" w:cs="Arial"/>
          <w:sz w:val="24"/>
          <w:szCs w:val="24"/>
          <w:vertAlign w:val="baseline"/>
          <w:lang w:eastAsia="pt-BR"/>
        </w:rPr>
        <w:t>abela 9).</w:t>
      </w:r>
      <w:r w:rsidR="009D67A4" w:rsidRPr="005F5BC9">
        <w:rPr>
          <w:rFonts w:ascii="Arial" w:eastAsia="Times New Roman" w:hAnsi="Arial" w:cs="Arial"/>
          <w:sz w:val="24"/>
          <w:szCs w:val="24"/>
          <w:vertAlign w:val="baseline"/>
          <w:lang w:eastAsia="pt-BR"/>
        </w:rPr>
        <w:t xml:space="preserve"> Tais resultados </w:t>
      </w:r>
      <w:r w:rsidR="00241F56" w:rsidRPr="005F5BC9">
        <w:rPr>
          <w:rFonts w:ascii="Arial" w:eastAsia="Times New Roman" w:hAnsi="Arial" w:cs="Arial"/>
          <w:sz w:val="24"/>
          <w:szCs w:val="24"/>
          <w:vertAlign w:val="baseline"/>
          <w:lang w:eastAsia="pt-BR"/>
        </w:rPr>
        <w:t xml:space="preserve">são robustos, uma vez que </w:t>
      </w:r>
      <w:r w:rsidR="009D67A4" w:rsidRPr="005F5BC9">
        <w:rPr>
          <w:rFonts w:ascii="Arial" w:eastAsia="Times New Roman" w:hAnsi="Arial" w:cs="Arial"/>
          <w:sz w:val="24"/>
          <w:szCs w:val="24"/>
          <w:vertAlign w:val="baseline"/>
          <w:lang w:eastAsia="pt-BR"/>
        </w:rPr>
        <w:t xml:space="preserve">também se sustentam </w:t>
      </w:r>
      <w:r w:rsidR="00034CBC" w:rsidRPr="005F5BC9">
        <w:rPr>
          <w:rFonts w:ascii="Arial" w:eastAsia="Times New Roman" w:hAnsi="Arial" w:cs="Arial"/>
          <w:sz w:val="24"/>
          <w:szCs w:val="24"/>
          <w:vertAlign w:val="baseline"/>
          <w:lang w:eastAsia="pt-BR"/>
        </w:rPr>
        <w:t xml:space="preserve">tanto </w:t>
      </w:r>
      <w:r w:rsidR="009D67A4" w:rsidRPr="005F5BC9">
        <w:rPr>
          <w:rFonts w:ascii="Arial" w:eastAsia="Times New Roman" w:hAnsi="Arial" w:cs="Arial"/>
          <w:sz w:val="24"/>
          <w:szCs w:val="24"/>
          <w:vertAlign w:val="baseline"/>
          <w:lang w:eastAsia="pt-BR"/>
        </w:rPr>
        <w:t>no</w:t>
      </w:r>
      <w:r w:rsidR="00034CBC" w:rsidRPr="005F5BC9">
        <w:rPr>
          <w:rFonts w:ascii="Arial" w:eastAsia="Times New Roman" w:hAnsi="Arial" w:cs="Arial"/>
          <w:sz w:val="24"/>
          <w:szCs w:val="24"/>
          <w:vertAlign w:val="baseline"/>
          <w:lang w:eastAsia="pt-BR"/>
        </w:rPr>
        <w:t>s</w:t>
      </w:r>
      <w:r w:rsidR="009D67A4" w:rsidRPr="005F5BC9">
        <w:rPr>
          <w:rFonts w:ascii="Arial" w:eastAsia="Times New Roman" w:hAnsi="Arial" w:cs="Arial"/>
          <w:sz w:val="24"/>
          <w:szCs w:val="24"/>
          <w:vertAlign w:val="baseline"/>
          <w:lang w:eastAsia="pt-BR"/>
        </w:rPr>
        <w:t xml:space="preserve"> modelo</w:t>
      </w:r>
      <w:r w:rsidR="00034CBC" w:rsidRPr="005F5BC9">
        <w:rPr>
          <w:rFonts w:ascii="Arial" w:eastAsia="Times New Roman" w:hAnsi="Arial" w:cs="Arial"/>
          <w:sz w:val="24"/>
          <w:szCs w:val="24"/>
          <w:vertAlign w:val="baseline"/>
          <w:lang w:eastAsia="pt-BR"/>
        </w:rPr>
        <w:t>s</w:t>
      </w:r>
      <w:r w:rsidR="009D67A4" w:rsidRPr="005F5BC9">
        <w:rPr>
          <w:rFonts w:ascii="Arial" w:eastAsia="Times New Roman" w:hAnsi="Arial" w:cs="Arial"/>
          <w:sz w:val="24"/>
          <w:szCs w:val="24"/>
          <w:vertAlign w:val="baseline"/>
          <w:lang w:eastAsia="pt-BR"/>
        </w:rPr>
        <w:t xml:space="preserve"> de efeitos fixos sem penalidade </w:t>
      </w:r>
      <w:r w:rsidR="00034CBC" w:rsidRPr="005F5BC9">
        <w:rPr>
          <w:rFonts w:ascii="Arial" w:eastAsia="Times New Roman" w:hAnsi="Arial" w:cs="Arial"/>
          <w:sz w:val="24"/>
          <w:szCs w:val="24"/>
          <w:vertAlign w:val="baseline"/>
          <w:lang w:eastAsia="pt-BR"/>
        </w:rPr>
        <w:t>como</w:t>
      </w:r>
      <w:r w:rsidR="009D67A4" w:rsidRPr="005F5BC9">
        <w:rPr>
          <w:rFonts w:ascii="Arial" w:eastAsia="Times New Roman" w:hAnsi="Arial" w:cs="Arial"/>
          <w:sz w:val="24"/>
          <w:szCs w:val="24"/>
          <w:vertAlign w:val="baseline"/>
          <w:lang w:eastAsia="pt-BR"/>
        </w:rPr>
        <w:t xml:space="preserve"> também no</w:t>
      </w:r>
      <w:r w:rsidR="00034CBC" w:rsidRPr="005F5BC9">
        <w:rPr>
          <w:rFonts w:ascii="Arial" w:eastAsia="Times New Roman" w:hAnsi="Arial" w:cs="Arial"/>
          <w:sz w:val="24"/>
          <w:szCs w:val="24"/>
          <w:vertAlign w:val="baseline"/>
          <w:lang w:eastAsia="pt-BR"/>
        </w:rPr>
        <w:t>s</w:t>
      </w:r>
      <w:r w:rsidR="009D67A4" w:rsidRPr="005F5BC9">
        <w:rPr>
          <w:rFonts w:ascii="Arial" w:eastAsia="Times New Roman" w:hAnsi="Arial" w:cs="Arial"/>
          <w:sz w:val="24"/>
          <w:szCs w:val="24"/>
          <w:vertAlign w:val="baseline"/>
          <w:lang w:eastAsia="pt-BR"/>
        </w:rPr>
        <w:t xml:space="preserve"> modelo</w:t>
      </w:r>
      <w:r w:rsidR="00034CBC" w:rsidRPr="005F5BC9">
        <w:rPr>
          <w:rFonts w:ascii="Arial" w:eastAsia="Times New Roman" w:hAnsi="Arial" w:cs="Arial"/>
          <w:sz w:val="24"/>
          <w:szCs w:val="24"/>
          <w:vertAlign w:val="baseline"/>
          <w:lang w:eastAsia="pt-BR"/>
        </w:rPr>
        <w:t>s</w:t>
      </w:r>
      <w:r w:rsidR="009D67A4" w:rsidRPr="005F5BC9">
        <w:rPr>
          <w:rFonts w:ascii="Arial" w:eastAsia="Times New Roman" w:hAnsi="Arial" w:cs="Arial"/>
          <w:sz w:val="24"/>
          <w:szCs w:val="24"/>
          <w:vertAlign w:val="baseline"/>
          <w:lang w:eastAsia="pt-BR"/>
        </w:rPr>
        <w:t xml:space="preserve"> com penalidade</w:t>
      </w:r>
      <w:r w:rsidR="00EC21BA">
        <w:rPr>
          <w:rFonts w:ascii="Arial" w:eastAsia="Times New Roman" w:hAnsi="Arial" w:cs="Arial"/>
          <w:sz w:val="24"/>
          <w:szCs w:val="24"/>
          <w:vertAlign w:val="baseline"/>
          <w:lang w:eastAsia="pt-BR"/>
        </w:rPr>
        <w:t xml:space="preserve"> (T</w:t>
      </w:r>
      <w:r w:rsidR="00AB1F06">
        <w:rPr>
          <w:rFonts w:ascii="Arial" w:eastAsia="Times New Roman" w:hAnsi="Arial" w:cs="Arial"/>
          <w:sz w:val="24"/>
          <w:szCs w:val="24"/>
          <w:vertAlign w:val="baseline"/>
          <w:lang w:eastAsia="pt-BR"/>
        </w:rPr>
        <w:t>abelas 16 a 19</w:t>
      </w:r>
      <w:r w:rsidR="00034CBC" w:rsidRPr="005F5BC9">
        <w:rPr>
          <w:rFonts w:ascii="Arial" w:eastAsia="Times New Roman" w:hAnsi="Arial" w:cs="Arial"/>
          <w:sz w:val="24"/>
          <w:szCs w:val="24"/>
          <w:vertAlign w:val="baseline"/>
          <w:lang w:eastAsia="pt-BR"/>
        </w:rPr>
        <w:t>)</w:t>
      </w:r>
      <w:r w:rsidR="00241F56" w:rsidRPr="005F5BC9">
        <w:rPr>
          <w:rFonts w:ascii="Arial" w:eastAsia="Times New Roman" w:hAnsi="Arial" w:cs="Arial"/>
          <w:sz w:val="24"/>
          <w:szCs w:val="24"/>
          <w:vertAlign w:val="baseline"/>
          <w:lang w:eastAsia="pt-BR"/>
        </w:rPr>
        <w:t>.</w:t>
      </w:r>
    </w:p>
    <w:p w:rsidR="00B7505E" w:rsidRPr="005F5BC9" w:rsidRDefault="00B7505E" w:rsidP="0088565A">
      <w:pPr>
        <w:spacing w:after="0" w:line="240" w:lineRule="auto"/>
        <w:ind w:firstLine="420"/>
        <w:rPr>
          <w:rFonts w:ascii="Arial" w:eastAsia="Times New Roman" w:hAnsi="Arial" w:cs="Arial"/>
          <w:sz w:val="24"/>
          <w:szCs w:val="24"/>
          <w:vertAlign w:val="baseline"/>
          <w:lang w:eastAsia="pt-BR"/>
        </w:rPr>
      </w:pPr>
    </w:p>
    <w:tbl>
      <w:tblPr>
        <w:tblW w:w="9097" w:type="dxa"/>
        <w:tblInd w:w="55" w:type="dxa"/>
        <w:tblCellMar>
          <w:left w:w="70" w:type="dxa"/>
          <w:right w:w="70" w:type="dxa"/>
        </w:tblCellMar>
        <w:tblLook w:val="04A0" w:firstRow="1" w:lastRow="0" w:firstColumn="1" w:lastColumn="0" w:noHBand="0" w:noVBand="1"/>
      </w:tblPr>
      <w:tblGrid>
        <w:gridCol w:w="2086"/>
        <w:gridCol w:w="45"/>
        <w:gridCol w:w="669"/>
        <w:gridCol w:w="276"/>
        <w:gridCol w:w="819"/>
        <w:gridCol w:w="24"/>
        <w:gridCol w:w="916"/>
        <w:gridCol w:w="64"/>
        <w:gridCol w:w="93"/>
        <w:gridCol w:w="662"/>
        <w:gridCol w:w="157"/>
        <w:gridCol w:w="207"/>
        <w:gridCol w:w="576"/>
        <w:gridCol w:w="314"/>
        <w:gridCol w:w="90"/>
        <w:gridCol w:w="415"/>
        <w:gridCol w:w="314"/>
        <w:gridCol w:w="390"/>
        <w:gridCol w:w="980"/>
      </w:tblGrid>
      <w:tr w:rsidR="00A415C1" w:rsidRPr="005F5BC9" w:rsidTr="00B6114D">
        <w:trPr>
          <w:gridAfter w:val="2"/>
          <w:wAfter w:w="1370" w:type="dxa"/>
          <w:trHeight w:val="255"/>
        </w:trPr>
        <w:tc>
          <w:tcPr>
            <w:tcW w:w="7727" w:type="dxa"/>
            <w:gridSpan w:val="17"/>
            <w:tcBorders>
              <w:top w:val="nil"/>
              <w:left w:val="nil"/>
              <w:bottom w:val="nil"/>
              <w:right w:val="nil"/>
            </w:tcBorders>
            <w:shd w:val="clear" w:color="auto" w:fill="auto"/>
            <w:vAlign w:val="center"/>
            <w:hideMark/>
          </w:tcPr>
          <w:p w:rsidR="00FC6A00" w:rsidRPr="005F5BC9" w:rsidRDefault="00FC6A00" w:rsidP="00A415C1">
            <w:pPr>
              <w:spacing w:after="0" w:line="240" w:lineRule="auto"/>
              <w:jc w:val="left"/>
              <w:rPr>
                <w:rFonts w:ascii="Arial" w:eastAsia="Times New Roman" w:hAnsi="Arial" w:cs="Arial"/>
                <w:b/>
                <w:bCs/>
                <w:vertAlign w:val="baseline"/>
                <w:lang w:eastAsia="pt-BR"/>
              </w:rPr>
            </w:pPr>
          </w:p>
          <w:p w:rsidR="00A415C1" w:rsidRPr="005F5BC9" w:rsidRDefault="00A415C1" w:rsidP="00E402B1">
            <w:pPr>
              <w:spacing w:after="0" w:line="240" w:lineRule="auto"/>
              <w:jc w:val="left"/>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 xml:space="preserve">Tabela </w:t>
            </w:r>
            <w:r w:rsidR="00E402B1">
              <w:rPr>
                <w:rFonts w:ascii="Arial" w:eastAsia="Times New Roman" w:hAnsi="Arial" w:cs="Arial"/>
                <w:b/>
                <w:bCs/>
                <w:vertAlign w:val="baseline"/>
                <w:lang w:eastAsia="pt-BR"/>
              </w:rPr>
              <w:t>12</w:t>
            </w:r>
            <w:r w:rsidRPr="005F5BC9">
              <w:rPr>
                <w:rFonts w:ascii="Arial" w:eastAsia="Times New Roman" w:hAnsi="Arial" w:cs="Arial"/>
                <w:b/>
                <w:bCs/>
                <w:vertAlign w:val="baseline"/>
                <w:lang w:eastAsia="pt-BR"/>
              </w:rPr>
              <w:t xml:space="preserve"> – Determinantes dos Gastos em Saúde - </w:t>
            </w:r>
            <w:proofErr w:type="spellStart"/>
            <w:r w:rsidRPr="005F5BC9">
              <w:rPr>
                <w:rFonts w:ascii="Arial" w:eastAsia="Times New Roman" w:hAnsi="Arial" w:cs="Arial"/>
                <w:b/>
                <w:bCs/>
                <w:vertAlign w:val="baseline"/>
                <w:lang w:eastAsia="pt-BR"/>
              </w:rPr>
              <w:t>Quantílica</w:t>
            </w:r>
            <w:proofErr w:type="spellEnd"/>
            <w:r w:rsidRPr="005F5BC9">
              <w:rPr>
                <w:rFonts w:ascii="Arial" w:eastAsia="Times New Roman" w:hAnsi="Arial" w:cs="Arial"/>
                <w:b/>
                <w:bCs/>
                <w:vertAlign w:val="baseline"/>
                <w:lang w:eastAsia="pt-BR"/>
              </w:rPr>
              <w:t xml:space="preserve"> Linear</w:t>
            </w:r>
            <w:proofErr w:type="gramEnd"/>
          </w:p>
        </w:tc>
      </w:tr>
      <w:tr w:rsidR="00A415C1" w:rsidRPr="005F5BC9" w:rsidTr="00B6114D">
        <w:trPr>
          <w:gridAfter w:val="2"/>
          <w:wAfter w:w="1370" w:type="dxa"/>
          <w:trHeight w:val="255"/>
        </w:trPr>
        <w:tc>
          <w:tcPr>
            <w:tcW w:w="2086" w:type="dxa"/>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1809" w:type="dxa"/>
            <w:gridSpan w:val="4"/>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25%</w:t>
            </w:r>
          </w:p>
        </w:tc>
        <w:tc>
          <w:tcPr>
            <w:tcW w:w="1916" w:type="dxa"/>
            <w:gridSpan w:val="6"/>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50%</w:t>
            </w:r>
          </w:p>
        </w:tc>
        <w:tc>
          <w:tcPr>
            <w:tcW w:w="1916" w:type="dxa"/>
            <w:gridSpan w:val="6"/>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75%</w:t>
            </w:r>
          </w:p>
        </w:tc>
      </w:tr>
      <w:tr w:rsidR="00A415C1" w:rsidRPr="005F5BC9" w:rsidTr="00B6114D">
        <w:trPr>
          <w:gridAfter w:val="2"/>
          <w:wAfter w:w="1370" w:type="dxa"/>
          <w:trHeight w:val="510"/>
        </w:trPr>
        <w:tc>
          <w:tcPr>
            <w:tcW w:w="2086" w:type="dxa"/>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990" w:type="dxa"/>
            <w:gridSpan w:val="3"/>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19" w:type="dxa"/>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1097" w:type="dxa"/>
            <w:gridSpan w:val="4"/>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19" w:type="dxa"/>
            <w:gridSpan w:val="2"/>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1097" w:type="dxa"/>
            <w:gridSpan w:val="3"/>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19" w:type="dxa"/>
            <w:gridSpan w:val="3"/>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r>
      <w:tr w:rsidR="00A415C1" w:rsidRPr="005F5BC9" w:rsidTr="00B6114D">
        <w:trPr>
          <w:gridAfter w:val="2"/>
          <w:wAfter w:w="1370" w:type="dxa"/>
          <w:trHeight w:val="255"/>
        </w:trPr>
        <w:tc>
          <w:tcPr>
            <w:tcW w:w="2086" w:type="dxa"/>
            <w:tcBorders>
              <w:top w:val="nil"/>
              <w:left w:val="nil"/>
              <w:bottom w:val="nil"/>
              <w:right w:val="nil"/>
            </w:tcBorders>
            <w:shd w:val="clear" w:color="auto" w:fill="auto"/>
            <w:vAlign w:val="center"/>
            <w:hideMark/>
          </w:tcPr>
          <w:p w:rsidR="00A415C1" w:rsidRPr="005F5BC9" w:rsidRDefault="00EC21BA" w:rsidP="00A415C1">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PIB</w:t>
            </w:r>
          </w:p>
        </w:tc>
        <w:tc>
          <w:tcPr>
            <w:tcW w:w="990"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c>
          <w:tcPr>
            <w:tcW w:w="819" w:type="dxa"/>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0.000</w:t>
            </w:r>
          </w:p>
        </w:tc>
        <w:tc>
          <w:tcPr>
            <w:tcW w:w="1097" w:type="dxa"/>
            <w:gridSpan w:val="4"/>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c>
          <w:tcPr>
            <w:tcW w:w="819"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0.000</w:t>
            </w:r>
          </w:p>
        </w:tc>
        <w:tc>
          <w:tcPr>
            <w:tcW w:w="1097"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0.000</w:t>
            </w:r>
          </w:p>
        </w:tc>
      </w:tr>
      <w:tr w:rsidR="00A415C1" w:rsidRPr="005F5BC9" w:rsidTr="00B6114D">
        <w:trPr>
          <w:gridAfter w:val="2"/>
          <w:wAfter w:w="1370" w:type="dxa"/>
          <w:trHeight w:val="255"/>
        </w:trPr>
        <w:tc>
          <w:tcPr>
            <w:tcW w:w="2086" w:type="dxa"/>
            <w:tcBorders>
              <w:top w:val="nil"/>
              <w:left w:val="nil"/>
              <w:bottom w:val="nil"/>
              <w:right w:val="nil"/>
            </w:tcBorders>
            <w:shd w:val="clear" w:color="auto" w:fill="auto"/>
            <w:vAlign w:val="center"/>
            <w:hideMark/>
          </w:tcPr>
          <w:p w:rsidR="00A415C1" w:rsidRPr="005F5BC9" w:rsidRDefault="00EC21BA" w:rsidP="00A415C1">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PAB</w:t>
            </w:r>
          </w:p>
        </w:tc>
        <w:tc>
          <w:tcPr>
            <w:tcW w:w="990"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0.879***</w:t>
            </w:r>
          </w:p>
        </w:tc>
        <w:tc>
          <w:tcPr>
            <w:tcW w:w="819" w:type="dxa"/>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0.057</w:t>
            </w:r>
          </w:p>
        </w:tc>
        <w:tc>
          <w:tcPr>
            <w:tcW w:w="1097" w:type="dxa"/>
            <w:gridSpan w:val="4"/>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0.887***</w:t>
            </w:r>
          </w:p>
        </w:tc>
        <w:tc>
          <w:tcPr>
            <w:tcW w:w="819"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0.048</w:t>
            </w:r>
          </w:p>
        </w:tc>
        <w:tc>
          <w:tcPr>
            <w:tcW w:w="1097"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0.906***</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0.046</w:t>
            </w:r>
          </w:p>
        </w:tc>
      </w:tr>
      <w:tr w:rsidR="00A415C1" w:rsidRPr="005F5BC9" w:rsidTr="00B6114D">
        <w:trPr>
          <w:gridAfter w:val="2"/>
          <w:wAfter w:w="1370" w:type="dxa"/>
          <w:trHeight w:val="478"/>
        </w:trPr>
        <w:tc>
          <w:tcPr>
            <w:tcW w:w="2086" w:type="dxa"/>
            <w:tcBorders>
              <w:top w:val="nil"/>
              <w:left w:val="nil"/>
              <w:bottom w:val="nil"/>
              <w:right w:val="nil"/>
            </w:tcBorders>
            <w:shd w:val="clear" w:color="auto" w:fill="auto"/>
            <w:vAlign w:val="center"/>
            <w:hideMark/>
          </w:tcPr>
          <w:p w:rsidR="00A415C1" w:rsidRPr="005F5BC9" w:rsidRDefault="00EC21BA" w:rsidP="00A415C1">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 xml:space="preserve">Outras </w:t>
            </w:r>
            <w:proofErr w:type="spellStart"/>
            <w:r>
              <w:rPr>
                <w:rFonts w:ascii="Arial" w:eastAsia="Times New Roman" w:hAnsi="Arial" w:cs="Arial"/>
                <w:vertAlign w:val="baseline"/>
                <w:lang w:eastAsia="pt-BR"/>
              </w:rPr>
              <w:t>transf</w:t>
            </w:r>
            <w:proofErr w:type="spellEnd"/>
            <w:r>
              <w:rPr>
                <w:rFonts w:ascii="Arial" w:eastAsia="Times New Roman" w:hAnsi="Arial" w:cs="Arial"/>
                <w:vertAlign w:val="baseline"/>
                <w:lang w:eastAsia="pt-BR"/>
              </w:rPr>
              <w:t>. SUS</w:t>
            </w:r>
          </w:p>
        </w:tc>
        <w:tc>
          <w:tcPr>
            <w:tcW w:w="990"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0.970***</w:t>
            </w:r>
          </w:p>
        </w:tc>
        <w:tc>
          <w:tcPr>
            <w:tcW w:w="819" w:type="dxa"/>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0.006</w:t>
            </w:r>
          </w:p>
        </w:tc>
        <w:tc>
          <w:tcPr>
            <w:tcW w:w="1097" w:type="dxa"/>
            <w:gridSpan w:val="4"/>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0.993***</w:t>
            </w:r>
          </w:p>
        </w:tc>
        <w:tc>
          <w:tcPr>
            <w:tcW w:w="819"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0.007</w:t>
            </w:r>
          </w:p>
        </w:tc>
        <w:tc>
          <w:tcPr>
            <w:tcW w:w="1097"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1.001***</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0.008</w:t>
            </w:r>
          </w:p>
        </w:tc>
      </w:tr>
      <w:tr w:rsidR="00A415C1" w:rsidRPr="005F5BC9" w:rsidTr="00B6114D">
        <w:trPr>
          <w:gridAfter w:val="2"/>
          <w:wAfter w:w="1370" w:type="dxa"/>
          <w:trHeight w:val="255"/>
        </w:trPr>
        <w:tc>
          <w:tcPr>
            <w:tcW w:w="2086" w:type="dxa"/>
            <w:tcBorders>
              <w:top w:val="nil"/>
              <w:left w:val="nil"/>
              <w:bottom w:val="nil"/>
              <w:right w:val="nil"/>
            </w:tcBorders>
            <w:shd w:val="clear" w:color="auto" w:fill="auto"/>
            <w:vAlign w:val="center"/>
            <w:hideMark/>
          </w:tcPr>
          <w:p w:rsidR="00A415C1" w:rsidRPr="005F5BC9" w:rsidRDefault="00EC21BA" w:rsidP="00A415C1">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FPM</w:t>
            </w:r>
          </w:p>
        </w:tc>
        <w:tc>
          <w:tcPr>
            <w:tcW w:w="990"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0.163***</w:t>
            </w:r>
          </w:p>
        </w:tc>
        <w:tc>
          <w:tcPr>
            <w:tcW w:w="819" w:type="dxa"/>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c>
          <w:tcPr>
            <w:tcW w:w="1097" w:type="dxa"/>
            <w:gridSpan w:val="4"/>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0.176***</w:t>
            </w:r>
          </w:p>
        </w:tc>
        <w:tc>
          <w:tcPr>
            <w:tcW w:w="819"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c>
          <w:tcPr>
            <w:tcW w:w="1097"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0.194***</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r>
      <w:tr w:rsidR="00A415C1" w:rsidRPr="005F5BC9" w:rsidTr="00B6114D">
        <w:trPr>
          <w:gridAfter w:val="2"/>
          <w:wAfter w:w="1370" w:type="dxa"/>
          <w:trHeight w:val="255"/>
        </w:trPr>
        <w:tc>
          <w:tcPr>
            <w:tcW w:w="2086" w:type="dxa"/>
            <w:tcBorders>
              <w:top w:val="nil"/>
              <w:left w:val="nil"/>
              <w:bottom w:val="nil"/>
              <w:right w:val="nil"/>
            </w:tcBorders>
            <w:shd w:val="clear" w:color="auto" w:fill="auto"/>
            <w:vAlign w:val="center"/>
            <w:hideMark/>
          </w:tcPr>
          <w:p w:rsidR="00A415C1" w:rsidRPr="005F5BC9" w:rsidRDefault="00EC21BA" w:rsidP="00A415C1">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Royalties</w:t>
            </w:r>
          </w:p>
        </w:tc>
        <w:tc>
          <w:tcPr>
            <w:tcW w:w="990"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0.145***</w:t>
            </w:r>
          </w:p>
        </w:tc>
        <w:tc>
          <w:tcPr>
            <w:tcW w:w="819" w:type="dxa"/>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0.012</w:t>
            </w:r>
          </w:p>
        </w:tc>
        <w:tc>
          <w:tcPr>
            <w:tcW w:w="1097" w:type="dxa"/>
            <w:gridSpan w:val="4"/>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0.194***</w:t>
            </w:r>
          </w:p>
        </w:tc>
        <w:tc>
          <w:tcPr>
            <w:tcW w:w="819"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0.010</w:t>
            </w:r>
          </w:p>
        </w:tc>
        <w:tc>
          <w:tcPr>
            <w:tcW w:w="1097"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0.265***</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0.020</w:t>
            </w:r>
          </w:p>
        </w:tc>
      </w:tr>
      <w:tr w:rsidR="00A415C1" w:rsidRPr="005F5BC9" w:rsidTr="00B6114D">
        <w:trPr>
          <w:gridAfter w:val="2"/>
          <w:wAfter w:w="1370" w:type="dxa"/>
          <w:trHeight w:val="255"/>
        </w:trPr>
        <w:tc>
          <w:tcPr>
            <w:tcW w:w="2086" w:type="dxa"/>
            <w:tcBorders>
              <w:top w:val="nil"/>
              <w:left w:val="nil"/>
              <w:bottom w:val="nil"/>
              <w:right w:val="nil"/>
            </w:tcBorders>
            <w:shd w:val="clear" w:color="auto" w:fill="auto"/>
            <w:vAlign w:val="center"/>
            <w:hideMark/>
          </w:tcPr>
          <w:p w:rsidR="00A415C1" w:rsidRPr="005F5BC9" w:rsidRDefault="00EC21BA" w:rsidP="00A415C1">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 xml:space="preserve">Outras </w:t>
            </w:r>
            <w:proofErr w:type="spellStart"/>
            <w:r>
              <w:rPr>
                <w:rFonts w:ascii="Arial" w:eastAsia="Times New Roman" w:hAnsi="Arial" w:cs="Arial"/>
                <w:vertAlign w:val="baseline"/>
                <w:lang w:eastAsia="pt-BR"/>
              </w:rPr>
              <w:t>transf</w:t>
            </w:r>
            <w:proofErr w:type="spellEnd"/>
            <w:r>
              <w:rPr>
                <w:rFonts w:ascii="Arial" w:eastAsia="Times New Roman" w:hAnsi="Arial" w:cs="Arial"/>
                <w:vertAlign w:val="baseline"/>
                <w:lang w:eastAsia="pt-BR"/>
              </w:rPr>
              <w:t>.</w:t>
            </w:r>
          </w:p>
        </w:tc>
        <w:tc>
          <w:tcPr>
            <w:tcW w:w="990"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0.125***</w:t>
            </w:r>
          </w:p>
        </w:tc>
        <w:tc>
          <w:tcPr>
            <w:tcW w:w="819" w:type="dxa"/>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0.002</w:t>
            </w:r>
          </w:p>
        </w:tc>
        <w:tc>
          <w:tcPr>
            <w:tcW w:w="1097" w:type="dxa"/>
            <w:gridSpan w:val="4"/>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0.142***</w:t>
            </w:r>
          </w:p>
        </w:tc>
        <w:tc>
          <w:tcPr>
            <w:tcW w:w="819"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0.002</w:t>
            </w:r>
          </w:p>
        </w:tc>
        <w:tc>
          <w:tcPr>
            <w:tcW w:w="1097"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0.156***</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0.002</w:t>
            </w:r>
          </w:p>
        </w:tc>
      </w:tr>
      <w:tr w:rsidR="00A415C1" w:rsidRPr="005F5BC9" w:rsidTr="00B6114D">
        <w:trPr>
          <w:gridAfter w:val="2"/>
          <w:wAfter w:w="1370" w:type="dxa"/>
          <w:trHeight w:val="255"/>
        </w:trPr>
        <w:tc>
          <w:tcPr>
            <w:tcW w:w="2086" w:type="dxa"/>
            <w:tcBorders>
              <w:top w:val="nil"/>
              <w:left w:val="nil"/>
              <w:bottom w:val="nil"/>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Controles</w:t>
            </w:r>
          </w:p>
        </w:tc>
        <w:tc>
          <w:tcPr>
            <w:tcW w:w="1809" w:type="dxa"/>
            <w:gridSpan w:val="4"/>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916" w:type="dxa"/>
            <w:gridSpan w:val="6"/>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916" w:type="dxa"/>
            <w:gridSpan w:val="6"/>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A415C1" w:rsidRPr="005F5BC9" w:rsidTr="00B6114D">
        <w:trPr>
          <w:gridAfter w:val="2"/>
          <w:wAfter w:w="1370" w:type="dxa"/>
          <w:trHeight w:val="255"/>
        </w:trPr>
        <w:tc>
          <w:tcPr>
            <w:tcW w:w="2086" w:type="dxa"/>
            <w:tcBorders>
              <w:top w:val="nil"/>
              <w:left w:val="nil"/>
              <w:bottom w:val="nil"/>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proofErr w:type="spellStart"/>
            <w:r w:rsidRPr="005F5BC9">
              <w:rPr>
                <w:rFonts w:ascii="Arial" w:eastAsia="Times New Roman" w:hAnsi="Arial" w:cs="Arial"/>
                <w:i/>
                <w:iCs/>
                <w:vertAlign w:val="baseline"/>
                <w:lang w:eastAsia="pt-BR"/>
              </w:rPr>
              <w:t>Dummies</w:t>
            </w:r>
            <w:r w:rsidRPr="005F5BC9">
              <w:rPr>
                <w:rFonts w:ascii="Arial" w:eastAsia="Times New Roman" w:hAnsi="Arial" w:cs="Arial"/>
                <w:vertAlign w:val="baseline"/>
                <w:lang w:eastAsia="pt-BR"/>
              </w:rPr>
              <w:t>de</w:t>
            </w:r>
            <w:proofErr w:type="spellEnd"/>
            <w:r w:rsidRPr="005F5BC9">
              <w:rPr>
                <w:rFonts w:ascii="Arial" w:eastAsia="Times New Roman" w:hAnsi="Arial" w:cs="Arial"/>
                <w:vertAlign w:val="baseline"/>
                <w:lang w:eastAsia="pt-BR"/>
              </w:rPr>
              <w:t xml:space="preserve"> ano</w:t>
            </w:r>
          </w:p>
        </w:tc>
        <w:tc>
          <w:tcPr>
            <w:tcW w:w="1809" w:type="dxa"/>
            <w:gridSpan w:val="4"/>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916" w:type="dxa"/>
            <w:gridSpan w:val="6"/>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916" w:type="dxa"/>
            <w:gridSpan w:val="6"/>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A415C1" w:rsidRPr="005F5BC9" w:rsidTr="00B6114D">
        <w:trPr>
          <w:gridAfter w:val="2"/>
          <w:wAfter w:w="1370" w:type="dxa"/>
          <w:trHeight w:val="255"/>
        </w:trPr>
        <w:tc>
          <w:tcPr>
            <w:tcW w:w="2086" w:type="dxa"/>
            <w:tcBorders>
              <w:top w:val="nil"/>
              <w:left w:val="nil"/>
              <w:bottom w:val="nil"/>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Constante</w:t>
            </w:r>
          </w:p>
        </w:tc>
        <w:tc>
          <w:tcPr>
            <w:tcW w:w="990"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78.430***</w:t>
            </w:r>
          </w:p>
        </w:tc>
        <w:tc>
          <w:tcPr>
            <w:tcW w:w="819" w:type="dxa"/>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6.447</w:t>
            </w:r>
          </w:p>
        </w:tc>
        <w:tc>
          <w:tcPr>
            <w:tcW w:w="1097" w:type="dxa"/>
            <w:gridSpan w:val="4"/>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115.294***</w:t>
            </w:r>
          </w:p>
        </w:tc>
        <w:tc>
          <w:tcPr>
            <w:tcW w:w="819"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7.135</w:t>
            </w:r>
          </w:p>
        </w:tc>
        <w:tc>
          <w:tcPr>
            <w:tcW w:w="1097"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168.900***</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right"/>
              <w:rPr>
                <w:rFonts w:ascii="Arial" w:eastAsia="Times New Roman" w:hAnsi="Arial" w:cs="Arial"/>
                <w:vertAlign w:val="baseline"/>
                <w:lang w:eastAsia="pt-BR"/>
              </w:rPr>
            </w:pPr>
            <w:r w:rsidRPr="005F5BC9">
              <w:rPr>
                <w:rFonts w:ascii="Arial" w:eastAsia="Times New Roman" w:hAnsi="Arial" w:cs="Arial"/>
                <w:vertAlign w:val="baseline"/>
                <w:lang w:eastAsia="pt-BR"/>
              </w:rPr>
              <w:t>10.778</w:t>
            </w:r>
          </w:p>
        </w:tc>
      </w:tr>
      <w:tr w:rsidR="00A415C1" w:rsidRPr="005F5BC9" w:rsidTr="00B6114D">
        <w:trPr>
          <w:gridAfter w:val="2"/>
          <w:wAfter w:w="1370" w:type="dxa"/>
          <w:trHeight w:val="255"/>
        </w:trPr>
        <w:tc>
          <w:tcPr>
            <w:tcW w:w="2086" w:type="dxa"/>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Observações</w:t>
            </w:r>
          </w:p>
        </w:tc>
        <w:tc>
          <w:tcPr>
            <w:tcW w:w="5641" w:type="dxa"/>
            <w:gridSpan w:val="16"/>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32,367</w:t>
            </w:r>
          </w:p>
        </w:tc>
      </w:tr>
      <w:tr w:rsidR="00A415C1" w:rsidRPr="005F5BC9" w:rsidTr="00B6114D">
        <w:trPr>
          <w:gridAfter w:val="2"/>
          <w:wAfter w:w="1370" w:type="dxa"/>
          <w:trHeight w:val="255"/>
        </w:trPr>
        <w:tc>
          <w:tcPr>
            <w:tcW w:w="3895" w:type="dxa"/>
            <w:gridSpan w:val="5"/>
            <w:tcBorders>
              <w:top w:val="nil"/>
              <w:left w:val="nil"/>
              <w:bottom w:val="nil"/>
              <w:right w:val="nil"/>
            </w:tcBorders>
            <w:shd w:val="clear" w:color="auto" w:fill="auto"/>
            <w:noWrap/>
            <w:vAlign w:val="center"/>
            <w:hideMark/>
          </w:tcPr>
          <w:p w:rsidR="00A415C1"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p&lt;0.01, ** p&lt;0.05, * p&lt;0.1</w:t>
            </w:r>
          </w:p>
          <w:p w:rsidR="00993E7A" w:rsidRPr="005F5BC9" w:rsidRDefault="00993E7A" w:rsidP="00A415C1">
            <w:pPr>
              <w:spacing w:after="0" w:line="240" w:lineRule="auto"/>
              <w:jc w:val="left"/>
              <w:rPr>
                <w:rFonts w:ascii="Arial" w:eastAsia="Times New Roman" w:hAnsi="Arial" w:cs="Arial"/>
                <w:vertAlign w:val="baseline"/>
                <w:lang w:eastAsia="pt-BR"/>
              </w:rPr>
            </w:pPr>
          </w:p>
        </w:tc>
        <w:tc>
          <w:tcPr>
            <w:tcW w:w="1097" w:type="dxa"/>
            <w:gridSpan w:val="4"/>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819" w:type="dxa"/>
            <w:gridSpan w:val="2"/>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1097"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8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r>
      <w:tr w:rsidR="00A415C1" w:rsidRPr="005F5BC9" w:rsidTr="00B6114D">
        <w:trPr>
          <w:trHeight w:val="255"/>
        </w:trPr>
        <w:tc>
          <w:tcPr>
            <w:tcW w:w="2800"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11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980" w:type="dxa"/>
            <w:gridSpan w:val="2"/>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1119" w:type="dxa"/>
            <w:gridSpan w:val="4"/>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980"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11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98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r>
      <w:tr w:rsidR="00A415C1" w:rsidRPr="005F5BC9" w:rsidTr="00B6114D">
        <w:trPr>
          <w:trHeight w:val="255"/>
        </w:trPr>
        <w:tc>
          <w:tcPr>
            <w:tcW w:w="6998" w:type="dxa"/>
            <w:gridSpan w:val="15"/>
            <w:tcBorders>
              <w:top w:val="nil"/>
              <w:left w:val="nil"/>
              <w:bottom w:val="nil"/>
              <w:right w:val="nil"/>
            </w:tcBorders>
            <w:shd w:val="clear" w:color="auto" w:fill="auto"/>
            <w:noWrap/>
            <w:vAlign w:val="bottom"/>
            <w:hideMark/>
          </w:tcPr>
          <w:p w:rsidR="00A415C1" w:rsidRPr="005F5BC9" w:rsidRDefault="00B7505E" w:rsidP="00E402B1">
            <w:pPr>
              <w:spacing w:after="0" w:line="240" w:lineRule="auto"/>
              <w:jc w:val="left"/>
              <w:rPr>
                <w:rFonts w:ascii="Arial" w:eastAsia="Times New Roman" w:hAnsi="Arial" w:cs="Arial"/>
                <w:b/>
                <w:bCs/>
                <w:color w:val="000000"/>
                <w:vertAlign w:val="baseline"/>
                <w:lang w:eastAsia="pt-BR"/>
              </w:rPr>
            </w:pPr>
            <w:r>
              <w:rPr>
                <w:rFonts w:ascii="Arial" w:eastAsia="Times New Roman" w:hAnsi="Arial" w:cs="Arial"/>
                <w:b/>
                <w:bCs/>
                <w:color w:val="000000"/>
                <w:vertAlign w:val="baseline"/>
                <w:lang w:eastAsia="pt-BR"/>
              </w:rPr>
              <w:lastRenderedPageBreak/>
              <w:t>T</w:t>
            </w:r>
            <w:r w:rsidR="00E46160">
              <w:rPr>
                <w:rFonts w:ascii="Arial" w:eastAsia="Times New Roman" w:hAnsi="Arial" w:cs="Arial"/>
                <w:b/>
                <w:bCs/>
                <w:color w:val="000000"/>
                <w:vertAlign w:val="baseline"/>
                <w:lang w:eastAsia="pt-BR"/>
              </w:rPr>
              <w:t>a</w:t>
            </w:r>
            <w:r w:rsidR="00A415C1" w:rsidRPr="005F5BC9">
              <w:rPr>
                <w:rFonts w:ascii="Arial" w:eastAsia="Times New Roman" w:hAnsi="Arial" w:cs="Arial"/>
                <w:b/>
                <w:bCs/>
                <w:color w:val="000000"/>
                <w:vertAlign w:val="baseline"/>
                <w:lang w:eastAsia="pt-BR"/>
              </w:rPr>
              <w:t xml:space="preserve">bela </w:t>
            </w:r>
            <w:r w:rsidR="00E402B1">
              <w:rPr>
                <w:rFonts w:ascii="Arial" w:eastAsia="Times New Roman" w:hAnsi="Arial" w:cs="Arial"/>
                <w:b/>
                <w:bCs/>
                <w:color w:val="000000"/>
                <w:vertAlign w:val="baseline"/>
                <w:lang w:eastAsia="pt-BR"/>
              </w:rPr>
              <w:t xml:space="preserve">13 </w:t>
            </w:r>
            <w:r w:rsidR="00A415C1" w:rsidRPr="005F5BC9">
              <w:rPr>
                <w:rFonts w:ascii="Arial" w:eastAsia="Times New Roman" w:hAnsi="Arial" w:cs="Arial"/>
                <w:b/>
                <w:bCs/>
                <w:color w:val="000000"/>
                <w:vertAlign w:val="baseline"/>
                <w:lang w:eastAsia="pt-BR"/>
              </w:rPr>
              <w:t xml:space="preserve">- Efeito </w:t>
            </w:r>
            <w:proofErr w:type="spellStart"/>
            <w:r w:rsidR="00A415C1" w:rsidRPr="005F5BC9">
              <w:rPr>
                <w:rFonts w:ascii="Arial" w:eastAsia="Times New Roman" w:hAnsi="Arial" w:cs="Arial"/>
                <w:b/>
                <w:bCs/>
                <w:color w:val="000000"/>
                <w:vertAlign w:val="baseline"/>
                <w:lang w:eastAsia="pt-BR"/>
              </w:rPr>
              <w:t>flypaper</w:t>
            </w:r>
            <w:proofErr w:type="spellEnd"/>
            <w:r w:rsidR="00A415C1" w:rsidRPr="005F5BC9">
              <w:rPr>
                <w:rFonts w:ascii="Arial" w:eastAsia="Times New Roman" w:hAnsi="Arial" w:cs="Arial"/>
                <w:b/>
                <w:bCs/>
                <w:color w:val="000000"/>
                <w:vertAlign w:val="baseline"/>
                <w:lang w:eastAsia="pt-BR"/>
              </w:rPr>
              <w:t>:</w:t>
            </w:r>
            <w:r w:rsidR="006F3A05">
              <w:rPr>
                <w:rFonts w:ascii="Arial" w:eastAsia="Times New Roman" w:hAnsi="Arial" w:cs="Arial"/>
                <w:b/>
                <w:bCs/>
                <w:color w:val="000000"/>
                <w:vertAlign w:val="baseline"/>
                <w:lang w:eastAsia="pt-BR"/>
              </w:rPr>
              <w:t xml:space="preserve"> </w:t>
            </w:r>
            <w:r w:rsidR="00A415C1" w:rsidRPr="005F5BC9">
              <w:rPr>
                <w:rFonts w:ascii="Arial" w:eastAsia="Times New Roman" w:hAnsi="Arial" w:cs="Arial"/>
                <w:b/>
                <w:bCs/>
                <w:color w:val="000000"/>
                <w:vertAlign w:val="baseline"/>
                <w:lang w:eastAsia="pt-BR"/>
              </w:rPr>
              <w:t xml:space="preserve">modelo </w:t>
            </w:r>
            <w:proofErr w:type="spellStart"/>
            <w:r w:rsidR="00A415C1" w:rsidRPr="005F5BC9">
              <w:rPr>
                <w:rFonts w:ascii="Arial" w:eastAsia="Times New Roman" w:hAnsi="Arial" w:cs="Arial"/>
                <w:b/>
                <w:bCs/>
                <w:color w:val="000000"/>
                <w:vertAlign w:val="baseline"/>
                <w:lang w:eastAsia="pt-BR"/>
              </w:rPr>
              <w:t>quantílico</w:t>
            </w:r>
            <w:proofErr w:type="spellEnd"/>
            <w:r w:rsidR="00EC21BA">
              <w:rPr>
                <w:rFonts w:ascii="Arial" w:eastAsia="Times New Roman" w:hAnsi="Arial" w:cs="Arial"/>
                <w:b/>
                <w:bCs/>
                <w:color w:val="000000"/>
                <w:vertAlign w:val="baseline"/>
                <w:lang w:eastAsia="pt-BR"/>
              </w:rPr>
              <w:t xml:space="preserve"> </w:t>
            </w:r>
            <w:r w:rsidR="00A415C1" w:rsidRPr="005F5BC9">
              <w:rPr>
                <w:rFonts w:ascii="Arial" w:eastAsia="Times New Roman" w:hAnsi="Arial" w:cs="Arial"/>
                <w:b/>
                <w:bCs/>
                <w:color w:val="000000"/>
                <w:vertAlign w:val="baseline"/>
                <w:lang w:eastAsia="pt-BR"/>
              </w:rPr>
              <w:t>linear</w:t>
            </w:r>
          </w:p>
        </w:tc>
        <w:tc>
          <w:tcPr>
            <w:tcW w:w="11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98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r>
      <w:tr w:rsidR="00A415C1" w:rsidRPr="005F5BC9" w:rsidTr="00B6114D">
        <w:trPr>
          <w:trHeight w:val="255"/>
        </w:trPr>
        <w:tc>
          <w:tcPr>
            <w:tcW w:w="2800" w:type="dxa"/>
            <w:gridSpan w:val="3"/>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2099" w:type="dxa"/>
            <w:gridSpan w:val="5"/>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25%</w:t>
            </w:r>
          </w:p>
        </w:tc>
        <w:tc>
          <w:tcPr>
            <w:tcW w:w="2099" w:type="dxa"/>
            <w:gridSpan w:val="7"/>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50%</w:t>
            </w:r>
          </w:p>
        </w:tc>
        <w:tc>
          <w:tcPr>
            <w:tcW w:w="2099" w:type="dxa"/>
            <w:gridSpan w:val="4"/>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75%</w:t>
            </w:r>
          </w:p>
        </w:tc>
      </w:tr>
      <w:tr w:rsidR="00A415C1" w:rsidRPr="005F5BC9" w:rsidTr="00B6114D">
        <w:trPr>
          <w:trHeight w:val="255"/>
        </w:trPr>
        <w:tc>
          <w:tcPr>
            <w:tcW w:w="2800" w:type="dxa"/>
            <w:gridSpan w:val="3"/>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 </w:t>
            </w:r>
          </w:p>
        </w:tc>
        <w:tc>
          <w:tcPr>
            <w:tcW w:w="1119" w:type="dxa"/>
            <w:gridSpan w:val="3"/>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r w:rsidRPr="005F5BC9">
              <w:rPr>
                <w:rFonts w:ascii="Arial" w:eastAsia="Times New Roman" w:hAnsi="Arial" w:cs="Arial"/>
                <w:b/>
                <w:bCs/>
                <w:color w:val="000000"/>
                <w:vertAlign w:val="baseline"/>
                <w:lang w:eastAsia="pt-BR"/>
              </w:rPr>
              <w:t>Subtração</w:t>
            </w:r>
          </w:p>
        </w:tc>
        <w:tc>
          <w:tcPr>
            <w:tcW w:w="980" w:type="dxa"/>
            <w:gridSpan w:val="2"/>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proofErr w:type="gramStart"/>
            <w:r w:rsidRPr="005F5BC9">
              <w:rPr>
                <w:rFonts w:ascii="Arial" w:eastAsia="Times New Roman" w:hAnsi="Arial" w:cs="Arial"/>
                <w:b/>
                <w:bCs/>
                <w:color w:val="000000"/>
                <w:vertAlign w:val="baseline"/>
                <w:lang w:eastAsia="pt-BR"/>
              </w:rPr>
              <w:t>p</w:t>
            </w:r>
            <w:proofErr w:type="gramEnd"/>
            <w:r w:rsidRPr="005F5BC9">
              <w:rPr>
                <w:rFonts w:ascii="Arial" w:eastAsia="Times New Roman" w:hAnsi="Arial" w:cs="Arial"/>
                <w:b/>
                <w:bCs/>
                <w:color w:val="000000"/>
                <w:vertAlign w:val="baseline"/>
                <w:lang w:eastAsia="pt-BR"/>
              </w:rPr>
              <w:t>-valor</w:t>
            </w:r>
          </w:p>
        </w:tc>
        <w:tc>
          <w:tcPr>
            <w:tcW w:w="1119" w:type="dxa"/>
            <w:gridSpan w:val="4"/>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r w:rsidRPr="005F5BC9">
              <w:rPr>
                <w:rFonts w:ascii="Arial" w:eastAsia="Times New Roman" w:hAnsi="Arial" w:cs="Arial"/>
                <w:b/>
                <w:bCs/>
                <w:color w:val="000000"/>
                <w:vertAlign w:val="baseline"/>
                <w:lang w:eastAsia="pt-BR"/>
              </w:rPr>
              <w:t>Subtração</w:t>
            </w:r>
          </w:p>
        </w:tc>
        <w:tc>
          <w:tcPr>
            <w:tcW w:w="980" w:type="dxa"/>
            <w:gridSpan w:val="3"/>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proofErr w:type="gramStart"/>
            <w:r w:rsidRPr="005F5BC9">
              <w:rPr>
                <w:rFonts w:ascii="Arial" w:eastAsia="Times New Roman" w:hAnsi="Arial" w:cs="Arial"/>
                <w:b/>
                <w:bCs/>
                <w:color w:val="000000"/>
                <w:vertAlign w:val="baseline"/>
                <w:lang w:eastAsia="pt-BR"/>
              </w:rPr>
              <w:t>p</w:t>
            </w:r>
            <w:proofErr w:type="gramEnd"/>
            <w:r w:rsidRPr="005F5BC9">
              <w:rPr>
                <w:rFonts w:ascii="Arial" w:eastAsia="Times New Roman" w:hAnsi="Arial" w:cs="Arial"/>
                <w:b/>
                <w:bCs/>
                <w:color w:val="000000"/>
                <w:vertAlign w:val="baseline"/>
                <w:lang w:eastAsia="pt-BR"/>
              </w:rPr>
              <w:t>-valor</w:t>
            </w:r>
          </w:p>
        </w:tc>
        <w:tc>
          <w:tcPr>
            <w:tcW w:w="1119" w:type="dxa"/>
            <w:gridSpan w:val="3"/>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r w:rsidRPr="005F5BC9">
              <w:rPr>
                <w:rFonts w:ascii="Arial" w:eastAsia="Times New Roman" w:hAnsi="Arial" w:cs="Arial"/>
                <w:b/>
                <w:bCs/>
                <w:color w:val="000000"/>
                <w:vertAlign w:val="baseline"/>
                <w:lang w:eastAsia="pt-BR"/>
              </w:rPr>
              <w:t>Subtração</w:t>
            </w:r>
          </w:p>
        </w:tc>
        <w:tc>
          <w:tcPr>
            <w:tcW w:w="980"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proofErr w:type="gramStart"/>
            <w:r w:rsidRPr="005F5BC9">
              <w:rPr>
                <w:rFonts w:ascii="Arial" w:eastAsia="Times New Roman" w:hAnsi="Arial" w:cs="Arial"/>
                <w:b/>
                <w:bCs/>
                <w:color w:val="000000"/>
                <w:vertAlign w:val="baseline"/>
                <w:lang w:eastAsia="pt-BR"/>
              </w:rPr>
              <w:t>p</w:t>
            </w:r>
            <w:proofErr w:type="gramEnd"/>
            <w:r w:rsidRPr="005F5BC9">
              <w:rPr>
                <w:rFonts w:ascii="Arial" w:eastAsia="Times New Roman" w:hAnsi="Arial" w:cs="Arial"/>
                <w:b/>
                <w:bCs/>
                <w:color w:val="000000"/>
                <w:vertAlign w:val="baseline"/>
                <w:lang w:eastAsia="pt-BR"/>
              </w:rPr>
              <w:t>-valor</w:t>
            </w:r>
          </w:p>
        </w:tc>
      </w:tr>
      <w:tr w:rsidR="00A415C1" w:rsidRPr="005F5BC9" w:rsidTr="00B6114D">
        <w:trPr>
          <w:trHeight w:val="255"/>
        </w:trPr>
        <w:tc>
          <w:tcPr>
            <w:tcW w:w="2800" w:type="dxa"/>
            <w:gridSpan w:val="3"/>
            <w:tcBorders>
              <w:top w:val="nil"/>
              <w:left w:val="nil"/>
              <w:bottom w:val="nil"/>
              <w:right w:val="nil"/>
            </w:tcBorders>
            <w:shd w:val="clear" w:color="auto" w:fill="auto"/>
            <w:noWrap/>
            <w:vAlign w:val="bottom"/>
            <w:hideMark/>
          </w:tcPr>
          <w:p w:rsidR="00A415C1"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P</w:t>
            </w:r>
            <w:r>
              <w:rPr>
                <w:rFonts w:ascii="Arial" w:eastAsia="Times New Roman" w:hAnsi="Arial" w:cs="Arial"/>
                <w:color w:val="000000"/>
                <w:vertAlign w:val="baseline"/>
                <w:lang w:eastAsia="pt-BR"/>
              </w:rPr>
              <w:t>AB</w:t>
            </w:r>
          </w:p>
        </w:tc>
        <w:tc>
          <w:tcPr>
            <w:tcW w:w="11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0,878 </w:t>
            </w:r>
          </w:p>
        </w:tc>
        <w:tc>
          <w:tcPr>
            <w:tcW w:w="980" w:type="dxa"/>
            <w:gridSpan w:val="2"/>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gridSpan w:val="4"/>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0,886 </w:t>
            </w:r>
          </w:p>
        </w:tc>
        <w:tc>
          <w:tcPr>
            <w:tcW w:w="980"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0,905 </w:t>
            </w:r>
          </w:p>
        </w:tc>
        <w:tc>
          <w:tcPr>
            <w:tcW w:w="98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A415C1" w:rsidRPr="005F5BC9" w:rsidTr="00B6114D">
        <w:trPr>
          <w:trHeight w:val="255"/>
        </w:trPr>
        <w:tc>
          <w:tcPr>
            <w:tcW w:w="2800" w:type="dxa"/>
            <w:gridSpan w:val="3"/>
            <w:tcBorders>
              <w:top w:val="nil"/>
              <w:left w:val="nil"/>
              <w:bottom w:val="nil"/>
              <w:right w:val="nil"/>
            </w:tcBorders>
            <w:shd w:val="clear" w:color="auto" w:fill="auto"/>
            <w:noWrap/>
            <w:vAlign w:val="bottom"/>
            <w:hideMark/>
          </w:tcPr>
          <w:p w:rsidR="00A415C1" w:rsidRPr="005F5BC9" w:rsidRDefault="00EC21BA" w:rsidP="00A415C1">
            <w:pPr>
              <w:spacing w:after="0" w:line="240" w:lineRule="auto"/>
              <w:jc w:val="left"/>
              <w:rPr>
                <w:rFonts w:ascii="Arial" w:eastAsia="Times New Roman" w:hAnsi="Arial" w:cs="Arial"/>
                <w:color w:val="000000"/>
                <w:vertAlign w:val="baseline"/>
                <w:lang w:eastAsia="pt-BR"/>
              </w:rPr>
            </w:pPr>
            <w:r>
              <w:rPr>
                <w:rFonts w:ascii="Arial" w:eastAsia="Times New Roman" w:hAnsi="Arial" w:cs="Arial"/>
                <w:color w:val="000000"/>
                <w:vertAlign w:val="baseline"/>
                <w:lang w:eastAsia="pt-BR"/>
              </w:rPr>
              <w:t xml:space="preserve">Outras </w:t>
            </w:r>
            <w:proofErr w:type="spellStart"/>
            <w:r>
              <w:rPr>
                <w:rFonts w:ascii="Arial" w:eastAsia="Times New Roman" w:hAnsi="Arial" w:cs="Arial"/>
                <w:color w:val="000000"/>
                <w:vertAlign w:val="baseline"/>
                <w:lang w:eastAsia="pt-BR"/>
              </w:rPr>
              <w:t>transf</w:t>
            </w:r>
            <w:proofErr w:type="spellEnd"/>
            <w:r>
              <w:rPr>
                <w:rFonts w:ascii="Arial" w:eastAsia="Times New Roman" w:hAnsi="Arial" w:cs="Arial"/>
                <w:color w:val="000000"/>
                <w:vertAlign w:val="baseline"/>
                <w:lang w:eastAsia="pt-BR"/>
              </w:rPr>
              <w:t>. SUS</w:t>
            </w:r>
          </w:p>
        </w:tc>
        <w:tc>
          <w:tcPr>
            <w:tcW w:w="11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0,969 </w:t>
            </w:r>
          </w:p>
        </w:tc>
        <w:tc>
          <w:tcPr>
            <w:tcW w:w="980" w:type="dxa"/>
            <w:gridSpan w:val="2"/>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gridSpan w:val="4"/>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0,992 </w:t>
            </w:r>
          </w:p>
        </w:tc>
        <w:tc>
          <w:tcPr>
            <w:tcW w:w="980"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1,000 </w:t>
            </w:r>
          </w:p>
        </w:tc>
        <w:tc>
          <w:tcPr>
            <w:tcW w:w="98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A415C1" w:rsidRPr="005F5BC9" w:rsidTr="00B6114D">
        <w:trPr>
          <w:trHeight w:val="255"/>
        </w:trPr>
        <w:tc>
          <w:tcPr>
            <w:tcW w:w="2800" w:type="dxa"/>
            <w:gridSpan w:val="3"/>
            <w:tcBorders>
              <w:top w:val="nil"/>
              <w:left w:val="nil"/>
              <w:bottom w:val="nil"/>
              <w:right w:val="nil"/>
            </w:tcBorders>
            <w:shd w:val="clear" w:color="auto" w:fill="auto"/>
            <w:noWrap/>
            <w:vAlign w:val="bottom"/>
            <w:hideMark/>
          </w:tcPr>
          <w:p w:rsidR="00A415C1"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F</w:t>
            </w:r>
            <w:r>
              <w:rPr>
                <w:rFonts w:ascii="Arial" w:eastAsia="Times New Roman" w:hAnsi="Arial" w:cs="Arial"/>
                <w:color w:val="000000"/>
                <w:vertAlign w:val="baseline"/>
                <w:lang w:eastAsia="pt-BR"/>
              </w:rPr>
              <w:t>PM</w:t>
            </w:r>
          </w:p>
        </w:tc>
        <w:tc>
          <w:tcPr>
            <w:tcW w:w="11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0,163 </w:t>
            </w:r>
          </w:p>
        </w:tc>
        <w:tc>
          <w:tcPr>
            <w:tcW w:w="980" w:type="dxa"/>
            <w:gridSpan w:val="2"/>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gridSpan w:val="4"/>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0,175 </w:t>
            </w:r>
          </w:p>
        </w:tc>
        <w:tc>
          <w:tcPr>
            <w:tcW w:w="980"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0,193 </w:t>
            </w:r>
          </w:p>
        </w:tc>
        <w:tc>
          <w:tcPr>
            <w:tcW w:w="98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A415C1" w:rsidRPr="005F5BC9" w:rsidTr="00B6114D">
        <w:trPr>
          <w:trHeight w:val="255"/>
        </w:trPr>
        <w:tc>
          <w:tcPr>
            <w:tcW w:w="2800" w:type="dxa"/>
            <w:gridSpan w:val="3"/>
            <w:tcBorders>
              <w:top w:val="nil"/>
              <w:left w:val="nil"/>
              <w:bottom w:val="nil"/>
              <w:right w:val="nil"/>
            </w:tcBorders>
            <w:shd w:val="clear" w:color="auto" w:fill="auto"/>
            <w:noWrap/>
            <w:vAlign w:val="bottom"/>
            <w:hideMark/>
          </w:tcPr>
          <w:p w:rsidR="00A415C1" w:rsidRPr="005F5BC9" w:rsidRDefault="00EC21BA" w:rsidP="00A415C1">
            <w:pPr>
              <w:spacing w:after="0" w:line="240" w:lineRule="auto"/>
              <w:jc w:val="left"/>
              <w:rPr>
                <w:rFonts w:ascii="Arial" w:eastAsia="Times New Roman" w:hAnsi="Arial" w:cs="Arial"/>
                <w:color w:val="000000"/>
                <w:vertAlign w:val="baseline"/>
                <w:lang w:eastAsia="pt-BR"/>
              </w:rPr>
            </w:pPr>
            <w:r>
              <w:rPr>
                <w:rFonts w:ascii="Arial" w:eastAsia="Times New Roman" w:hAnsi="Arial" w:cs="Arial"/>
                <w:color w:val="000000"/>
                <w:vertAlign w:val="baseline"/>
                <w:lang w:eastAsia="pt-BR"/>
              </w:rPr>
              <w:t>Royalties</w:t>
            </w:r>
          </w:p>
        </w:tc>
        <w:tc>
          <w:tcPr>
            <w:tcW w:w="11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0,144 </w:t>
            </w:r>
          </w:p>
        </w:tc>
        <w:tc>
          <w:tcPr>
            <w:tcW w:w="980" w:type="dxa"/>
            <w:gridSpan w:val="2"/>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gridSpan w:val="4"/>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0,193 </w:t>
            </w:r>
          </w:p>
        </w:tc>
        <w:tc>
          <w:tcPr>
            <w:tcW w:w="980"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0,264 </w:t>
            </w:r>
          </w:p>
        </w:tc>
        <w:tc>
          <w:tcPr>
            <w:tcW w:w="98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A415C1" w:rsidRPr="005F5BC9" w:rsidTr="00B6114D">
        <w:trPr>
          <w:trHeight w:val="255"/>
        </w:trPr>
        <w:tc>
          <w:tcPr>
            <w:tcW w:w="2800" w:type="dxa"/>
            <w:gridSpan w:val="3"/>
            <w:tcBorders>
              <w:top w:val="nil"/>
              <w:left w:val="nil"/>
              <w:bottom w:val="single" w:sz="4" w:space="0" w:color="auto"/>
              <w:right w:val="nil"/>
            </w:tcBorders>
            <w:shd w:val="clear" w:color="auto" w:fill="auto"/>
            <w:noWrap/>
            <w:vAlign w:val="bottom"/>
            <w:hideMark/>
          </w:tcPr>
          <w:p w:rsidR="00A415C1" w:rsidRPr="005F5BC9" w:rsidRDefault="00EC21BA" w:rsidP="00A415C1">
            <w:pPr>
              <w:spacing w:after="0" w:line="240" w:lineRule="auto"/>
              <w:jc w:val="left"/>
              <w:rPr>
                <w:rFonts w:ascii="Arial" w:eastAsia="Times New Roman" w:hAnsi="Arial" w:cs="Arial"/>
                <w:color w:val="000000"/>
                <w:vertAlign w:val="baseline"/>
                <w:lang w:eastAsia="pt-BR"/>
              </w:rPr>
            </w:pPr>
            <w:r>
              <w:rPr>
                <w:rFonts w:ascii="Arial" w:eastAsia="Times New Roman" w:hAnsi="Arial" w:cs="Arial"/>
                <w:color w:val="000000"/>
                <w:vertAlign w:val="baseline"/>
                <w:lang w:eastAsia="pt-BR"/>
              </w:rPr>
              <w:t xml:space="preserve">Outras </w:t>
            </w:r>
            <w:proofErr w:type="spellStart"/>
            <w:r>
              <w:rPr>
                <w:rFonts w:ascii="Arial" w:eastAsia="Times New Roman" w:hAnsi="Arial" w:cs="Arial"/>
                <w:color w:val="000000"/>
                <w:vertAlign w:val="baseline"/>
                <w:lang w:eastAsia="pt-BR"/>
              </w:rPr>
              <w:t>transf</w:t>
            </w:r>
            <w:proofErr w:type="spellEnd"/>
            <w:r>
              <w:rPr>
                <w:rFonts w:ascii="Arial" w:eastAsia="Times New Roman" w:hAnsi="Arial" w:cs="Arial"/>
                <w:color w:val="000000"/>
                <w:vertAlign w:val="baseline"/>
                <w:lang w:eastAsia="pt-BR"/>
              </w:rPr>
              <w:t>.</w:t>
            </w:r>
          </w:p>
        </w:tc>
        <w:tc>
          <w:tcPr>
            <w:tcW w:w="1119" w:type="dxa"/>
            <w:gridSpan w:val="3"/>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0,124 </w:t>
            </w:r>
          </w:p>
        </w:tc>
        <w:tc>
          <w:tcPr>
            <w:tcW w:w="980" w:type="dxa"/>
            <w:gridSpan w:val="2"/>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gridSpan w:val="4"/>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0,141 </w:t>
            </w:r>
          </w:p>
        </w:tc>
        <w:tc>
          <w:tcPr>
            <w:tcW w:w="980" w:type="dxa"/>
            <w:gridSpan w:val="3"/>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gridSpan w:val="3"/>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0,155 </w:t>
            </w:r>
          </w:p>
        </w:tc>
        <w:tc>
          <w:tcPr>
            <w:tcW w:w="980"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A415C1" w:rsidRPr="005F5BC9" w:rsidTr="00B6114D">
        <w:trPr>
          <w:trHeight w:val="255"/>
        </w:trPr>
        <w:tc>
          <w:tcPr>
            <w:tcW w:w="2800" w:type="dxa"/>
            <w:gridSpan w:val="3"/>
            <w:tcBorders>
              <w:top w:val="nil"/>
              <w:left w:val="nil"/>
              <w:bottom w:val="single" w:sz="4" w:space="0" w:color="auto"/>
              <w:right w:val="nil"/>
            </w:tcBorders>
            <w:shd w:val="clear" w:color="auto" w:fill="auto"/>
            <w:noWrap/>
            <w:vAlign w:val="bottom"/>
            <w:hideMark/>
          </w:tcPr>
          <w:p w:rsidR="00A415C1" w:rsidRPr="005F5BC9" w:rsidRDefault="00EC21BA" w:rsidP="00A415C1">
            <w:pPr>
              <w:spacing w:after="0" w:line="240" w:lineRule="auto"/>
              <w:jc w:val="left"/>
              <w:rPr>
                <w:rFonts w:ascii="Arial" w:eastAsia="Times New Roman" w:hAnsi="Arial" w:cs="Arial"/>
                <w:color w:val="000000"/>
                <w:vertAlign w:val="baseline"/>
                <w:lang w:eastAsia="pt-BR"/>
              </w:rPr>
            </w:pPr>
            <w:r>
              <w:rPr>
                <w:rFonts w:ascii="Arial" w:eastAsia="Times New Roman" w:hAnsi="Arial" w:cs="Arial"/>
                <w:color w:val="000000"/>
                <w:vertAlign w:val="baseline"/>
                <w:lang w:eastAsia="pt-BR"/>
              </w:rPr>
              <w:t>PAB-FPM</w:t>
            </w:r>
          </w:p>
        </w:tc>
        <w:tc>
          <w:tcPr>
            <w:tcW w:w="1119" w:type="dxa"/>
            <w:gridSpan w:val="3"/>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0,715 </w:t>
            </w:r>
          </w:p>
        </w:tc>
        <w:tc>
          <w:tcPr>
            <w:tcW w:w="980" w:type="dxa"/>
            <w:gridSpan w:val="2"/>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gridSpan w:val="4"/>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0,711 </w:t>
            </w:r>
          </w:p>
        </w:tc>
        <w:tc>
          <w:tcPr>
            <w:tcW w:w="980" w:type="dxa"/>
            <w:gridSpan w:val="3"/>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gridSpan w:val="3"/>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0,713 </w:t>
            </w:r>
          </w:p>
        </w:tc>
        <w:tc>
          <w:tcPr>
            <w:tcW w:w="980" w:type="dxa"/>
            <w:tcBorders>
              <w:top w:val="nil"/>
              <w:left w:val="nil"/>
              <w:bottom w:val="single" w:sz="4" w:space="0" w:color="auto"/>
              <w:right w:val="nil"/>
            </w:tcBorders>
            <w:shd w:val="clear" w:color="auto" w:fill="auto"/>
            <w:noWrap/>
            <w:vAlign w:val="bottom"/>
            <w:hideMark/>
          </w:tcPr>
          <w:p w:rsidR="00A415C1" w:rsidRPr="005F5BC9" w:rsidRDefault="00A415C1"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A415C1" w:rsidRPr="005F5BC9" w:rsidTr="00B6114D">
        <w:trPr>
          <w:trHeight w:val="255"/>
        </w:trPr>
        <w:tc>
          <w:tcPr>
            <w:tcW w:w="2800" w:type="dxa"/>
            <w:gridSpan w:val="3"/>
            <w:tcBorders>
              <w:top w:val="nil"/>
              <w:left w:val="nil"/>
              <w:bottom w:val="nil"/>
              <w:right w:val="nil"/>
            </w:tcBorders>
            <w:shd w:val="clear" w:color="auto" w:fill="auto"/>
            <w:noWrap/>
            <w:vAlign w:val="bottom"/>
            <w:hideMark/>
          </w:tcPr>
          <w:p w:rsidR="00A415C1" w:rsidRDefault="00A415C1" w:rsidP="00A415C1">
            <w:pPr>
              <w:spacing w:after="0" w:line="240" w:lineRule="auto"/>
              <w:jc w:val="left"/>
              <w:rPr>
                <w:rFonts w:ascii="Arial" w:eastAsia="Times New Roman" w:hAnsi="Arial" w:cs="Arial"/>
                <w:color w:val="000000"/>
                <w:vertAlign w:val="baseline"/>
                <w:lang w:eastAsia="pt-BR"/>
              </w:rPr>
            </w:pPr>
          </w:p>
          <w:p w:rsidR="00E46160" w:rsidRDefault="00E46160" w:rsidP="00A415C1">
            <w:pPr>
              <w:spacing w:after="0" w:line="240" w:lineRule="auto"/>
              <w:jc w:val="left"/>
              <w:rPr>
                <w:rFonts w:ascii="Arial" w:eastAsia="Times New Roman" w:hAnsi="Arial" w:cs="Arial"/>
                <w:color w:val="000000"/>
                <w:vertAlign w:val="baseline"/>
                <w:lang w:eastAsia="pt-BR"/>
              </w:rPr>
            </w:pPr>
          </w:p>
          <w:p w:rsidR="00B7505E" w:rsidRPr="005F5BC9" w:rsidRDefault="00B7505E" w:rsidP="00A415C1">
            <w:pPr>
              <w:spacing w:after="0" w:line="240" w:lineRule="auto"/>
              <w:jc w:val="left"/>
              <w:rPr>
                <w:rFonts w:ascii="Arial" w:eastAsia="Times New Roman" w:hAnsi="Arial" w:cs="Arial"/>
                <w:color w:val="000000"/>
                <w:vertAlign w:val="baseline"/>
                <w:lang w:eastAsia="pt-BR"/>
              </w:rPr>
            </w:pPr>
          </w:p>
        </w:tc>
        <w:tc>
          <w:tcPr>
            <w:tcW w:w="11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980" w:type="dxa"/>
            <w:gridSpan w:val="2"/>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1119" w:type="dxa"/>
            <w:gridSpan w:val="4"/>
            <w:tcBorders>
              <w:top w:val="nil"/>
              <w:left w:val="nil"/>
              <w:bottom w:val="nil"/>
              <w:right w:val="nil"/>
            </w:tcBorders>
            <w:shd w:val="clear" w:color="auto" w:fill="auto"/>
            <w:noWrap/>
            <w:vAlign w:val="bottom"/>
            <w:hideMark/>
          </w:tcPr>
          <w:p w:rsidR="00A415C1" w:rsidRDefault="00A415C1" w:rsidP="00A415C1">
            <w:pPr>
              <w:spacing w:after="0" w:line="240" w:lineRule="auto"/>
              <w:jc w:val="left"/>
              <w:rPr>
                <w:rFonts w:ascii="Arial" w:eastAsia="Times New Roman" w:hAnsi="Arial" w:cs="Arial"/>
                <w:color w:val="000000"/>
                <w:vertAlign w:val="baseline"/>
                <w:lang w:eastAsia="pt-BR"/>
              </w:rPr>
            </w:pPr>
          </w:p>
          <w:p w:rsidR="00993E7A" w:rsidRDefault="00993E7A" w:rsidP="00A415C1">
            <w:pPr>
              <w:spacing w:after="0" w:line="240" w:lineRule="auto"/>
              <w:jc w:val="left"/>
              <w:rPr>
                <w:rFonts w:ascii="Arial" w:eastAsia="Times New Roman" w:hAnsi="Arial" w:cs="Arial"/>
                <w:color w:val="000000"/>
                <w:vertAlign w:val="baseline"/>
                <w:lang w:eastAsia="pt-BR"/>
              </w:rPr>
            </w:pPr>
          </w:p>
          <w:p w:rsidR="00993E7A" w:rsidRPr="005F5BC9" w:rsidRDefault="00993E7A" w:rsidP="00A415C1">
            <w:pPr>
              <w:spacing w:after="0" w:line="240" w:lineRule="auto"/>
              <w:jc w:val="left"/>
              <w:rPr>
                <w:rFonts w:ascii="Arial" w:eastAsia="Times New Roman" w:hAnsi="Arial" w:cs="Arial"/>
                <w:color w:val="000000"/>
                <w:vertAlign w:val="baseline"/>
                <w:lang w:eastAsia="pt-BR"/>
              </w:rPr>
            </w:pPr>
          </w:p>
        </w:tc>
        <w:tc>
          <w:tcPr>
            <w:tcW w:w="980"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11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980"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r>
      <w:tr w:rsidR="00A415C1" w:rsidRPr="005F5BC9" w:rsidTr="00B6114D">
        <w:trPr>
          <w:gridAfter w:val="3"/>
          <w:wAfter w:w="1689" w:type="dxa"/>
          <w:trHeight w:val="255"/>
        </w:trPr>
        <w:tc>
          <w:tcPr>
            <w:tcW w:w="7408" w:type="dxa"/>
            <w:gridSpan w:val="16"/>
            <w:tcBorders>
              <w:top w:val="nil"/>
              <w:left w:val="nil"/>
              <w:bottom w:val="nil"/>
              <w:right w:val="nil"/>
            </w:tcBorders>
            <w:shd w:val="clear" w:color="auto" w:fill="auto"/>
            <w:vAlign w:val="center"/>
            <w:hideMark/>
          </w:tcPr>
          <w:p w:rsidR="00E46160" w:rsidRDefault="00E46160" w:rsidP="00E402B1">
            <w:pPr>
              <w:spacing w:after="0" w:line="240" w:lineRule="auto"/>
              <w:jc w:val="left"/>
              <w:rPr>
                <w:rFonts w:ascii="Arial" w:eastAsia="Times New Roman" w:hAnsi="Arial" w:cs="Arial"/>
                <w:b/>
                <w:bCs/>
                <w:vertAlign w:val="baseline"/>
                <w:lang w:eastAsia="pt-BR"/>
              </w:rPr>
            </w:pPr>
          </w:p>
          <w:p w:rsidR="00A415C1" w:rsidRPr="005F5BC9" w:rsidRDefault="00A415C1" w:rsidP="00E402B1">
            <w:pPr>
              <w:spacing w:after="0" w:line="240" w:lineRule="auto"/>
              <w:jc w:val="left"/>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 xml:space="preserve">Tabela </w:t>
            </w:r>
            <w:r w:rsidR="00E402B1">
              <w:rPr>
                <w:rFonts w:ascii="Arial" w:eastAsia="Times New Roman" w:hAnsi="Arial" w:cs="Arial"/>
                <w:b/>
                <w:bCs/>
                <w:vertAlign w:val="baseline"/>
                <w:lang w:eastAsia="pt-BR"/>
              </w:rPr>
              <w:t>14</w:t>
            </w:r>
            <w:r w:rsidRPr="005F5BC9">
              <w:rPr>
                <w:rFonts w:ascii="Arial" w:eastAsia="Times New Roman" w:hAnsi="Arial" w:cs="Arial"/>
                <w:b/>
                <w:bCs/>
                <w:vertAlign w:val="baseline"/>
                <w:lang w:eastAsia="pt-BR"/>
              </w:rPr>
              <w:t xml:space="preserve"> – Determinantes dos Gastos em Saúde: </w:t>
            </w:r>
            <w:proofErr w:type="spellStart"/>
            <w:r w:rsidRPr="005F5BC9">
              <w:rPr>
                <w:rFonts w:ascii="Arial" w:eastAsia="Times New Roman" w:hAnsi="Arial" w:cs="Arial"/>
                <w:b/>
                <w:bCs/>
                <w:vertAlign w:val="baseline"/>
                <w:lang w:eastAsia="pt-BR"/>
              </w:rPr>
              <w:t>Quantílica</w:t>
            </w:r>
            <w:proofErr w:type="spellEnd"/>
            <w:r w:rsidRPr="005F5BC9">
              <w:rPr>
                <w:rFonts w:ascii="Arial" w:eastAsia="Times New Roman" w:hAnsi="Arial" w:cs="Arial"/>
                <w:b/>
                <w:bCs/>
                <w:vertAlign w:val="baseline"/>
                <w:lang w:eastAsia="pt-BR"/>
              </w:rPr>
              <w:t xml:space="preserve"> Log per capita</w:t>
            </w:r>
          </w:p>
        </w:tc>
      </w:tr>
      <w:tr w:rsidR="00A415C1" w:rsidRPr="005F5BC9" w:rsidTr="00B6114D">
        <w:trPr>
          <w:gridAfter w:val="3"/>
          <w:wAfter w:w="1689" w:type="dxa"/>
          <w:trHeight w:val="255"/>
        </w:trPr>
        <w:tc>
          <w:tcPr>
            <w:tcW w:w="2131" w:type="dxa"/>
            <w:gridSpan w:val="2"/>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1759" w:type="dxa"/>
            <w:gridSpan w:val="3"/>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25%</w:t>
            </w:r>
          </w:p>
        </w:tc>
        <w:tc>
          <w:tcPr>
            <w:tcW w:w="1759" w:type="dxa"/>
            <w:gridSpan w:val="5"/>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50%</w:t>
            </w:r>
          </w:p>
        </w:tc>
        <w:tc>
          <w:tcPr>
            <w:tcW w:w="1759" w:type="dxa"/>
            <w:gridSpan w:val="6"/>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75%</w:t>
            </w:r>
          </w:p>
        </w:tc>
      </w:tr>
      <w:tr w:rsidR="00A415C1" w:rsidRPr="005F5BC9" w:rsidTr="00B6114D">
        <w:trPr>
          <w:gridAfter w:val="3"/>
          <w:wAfter w:w="1689" w:type="dxa"/>
          <w:trHeight w:val="510"/>
        </w:trPr>
        <w:tc>
          <w:tcPr>
            <w:tcW w:w="2131" w:type="dxa"/>
            <w:gridSpan w:val="2"/>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940" w:type="dxa"/>
            <w:gridSpan w:val="2"/>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19" w:type="dxa"/>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940" w:type="dxa"/>
            <w:gridSpan w:val="2"/>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19" w:type="dxa"/>
            <w:gridSpan w:val="3"/>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940" w:type="dxa"/>
            <w:gridSpan w:val="3"/>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19" w:type="dxa"/>
            <w:gridSpan w:val="3"/>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r>
      <w:tr w:rsidR="00A415C1" w:rsidRPr="005F5BC9" w:rsidTr="00B6114D">
        <w:trPr>
          <w:gridAfter w:val="3"/>
          <w:wAfter w:w="1689" w:type="dxa"/>
          <w:trHeight w:val="255"/>
        </w:trPr>
        <w:tc>
          <w:tcPr>
            <w:tcW w:w="2131" w:type="dxa"/>
            <w:gridSpan w:val="2"/>
            <w:tcBorders>
              <w:top w:val="nil"/>
              <w:left w:val="nil"/>
              <w:bottom w:val="nil"/>
              <w:right w:val="nil"/>
            </w:tcBorders>
            <w:shd w:val="clear" w:color="auto" w:fill="auto"/>
            <w:vAlign w:val="center"/>
            <w:hideMark/>
          </w:tcPr>
          <w:p w:rsidR="00A415C1" w:rsidRPr="005F5BC9" w:rsidRDefault="00EC21BA" w:rsidP="00A415C1">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LPIB</w:t>
            </w:r>
          </w:p>
        </w:tc>
        <w:tc>
          <w:tcPr>
            <w:tcW w:w="940"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0.083***</w:t>
            </w:r>
          </w:p>
        </w:tc>
        <w:tc>
          <w:tcPr>
            <w:tcW w:w="819" w:type="dxa"/>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0.003</w:t>
            </w:r>
          </w:p>
        </w:tc>
        <w:tc>
          <w:tcPr>
            <w:tcW w:w="940"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0.086***</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0.004</w:t>
            </w:r>
          </w:p>
        </w:tc>
        <w:tc>
          <w:tcPr>
            <w:tcW w:w="940"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0.099***</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0.005</w:t>
            </w:r>
          </w:p>
        </w:tc>
      </w:tr>
      <w:tr w:rsidR="00A415C1" w:rsidRPr="005F5BC9" w:rsidTr="00B6114D">
        <w:trPr>
          <w:gridAfter w:val="3"/>
          <w:wAfter w:w="1689" w:type="dxa"/>
          <w:trHeight w:val="255"/>
        </w:trPr>
        <w:tc>
          <w:tcPr>
            <w:tcW w:w="2131" w:type="dxa"/>
            <w:gridSpan w:val="2"/>
            <w:tcBorders>
              <w:top w:val="nil"/>
              <w:left w:val="nil"/>
              <w:bottom w:val="nil"/>
              <w:right w:val="nil"/>
            </w:tcBorders>
            <w:shd w:val="clear" w:color="auto" w:fill="auto"/>
            <w:vAlign w:val="center"/>
            <w:hideMark/>
          </w:tcPr>
          <w:p w:rsidR="00A415C1" w:rsidRPr="005F5BC9" w:rsidRDefault="00EC21BA" w:rsidP="00A415C1">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LPAB</w:t>
            </w:r>
          </w:p>
        </w:tc>
        <w:tc>
          <w:tcPr>
            <w:tcW w:w="940"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0.097***</w:t>
            </w:r>
          </w:p>
        </w:tc>
        <w:tc>
          <w:tcPr>
            <w:tcW w:w="819" w:type="dxa"/>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0.007</w:t>
            </w:r>
          </w:p>
        </w:tc>
        <w:tc>
          <w:tcPr>
            <w:tcW w:w="940"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0.106***</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0.011</w:t>
            </w:r>
          </w:p>
        </w:tc>
        <w:tc>
          <w:tcPr>
            <w:tcW w:w="940"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0.132***</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0.014</w:t>
            </w:r>
          </w:p>
        </w:tc>
      </w:tr>
      <w:tr w:rsidR="00A415C1" w:rsidRPr="005F5BC9" w:rsidTr="00B6114D">
        <w:trPr>
          <w:gridAfter w:val="3"/>
          <w:wAfter w:w="1689" w:type="dxa"/>
          <w:trHeight w:val="255"/>
        </w:trPr>
        <w:tc>
          <w:tcPr>
            <w:tcW w:w="2131" w:type="dxa"/>
            <w:gridSpan w:val="2"/>
            <w:tcBorders>
              <w:top w:val="nil"/>
              <w:left w:val="nil"/>
              <w:bottom w:val="nil"/>
              <w:right w:val="nil"/>
            </w:tcBorders>
            <w:shd w:val="clear" w:color="auto" w:fill="auto"/>
            <w:vAlign w:val="center"/>
            <w:hideMark/>
          </w:tcPr>
          <w:p w:rsidR="00A415C1" w:rsidRPr="005F5BC9" w:rsidRDefault="00EC21BA" w:rsidP="00A415C1">
            <w:pPr>
              <w:spacing w:after="0" w:line="240" w:lineRule="auto"/>
              <w:jc w:val="left"/>
              <w:rPr>
                <w:rFonts w:ascii="Arial" w:eastAsia="Times New Roman" w:hAnsi="Arial" w:cs="Arial"/>
                <w:vertAlign w:val="baseline"/>
                <w:lang w:eastAsia="pt-BR"/>
              </w:rPr>
            </w:pPr>
            <w:proofErr w:type="spellStart"/>
            <w:proofErr w:type="gramStart"/>
            <w:r>
              <w:rPr>
                <w:rFonts w:ascii="Arial" w:eastAsia="Times New Roman" w:hAnsi="Arial" w:cs="Arial"/>
                <w:vertAlign w:val="baseline"/>
                <w:lang w:eastAsia="pt-BR"/>
              </w:rPr>
              <w:t>LOutras</w:t>
            </w:r>
            <w:proofErr w:type="spellEnd"/>
            <w:proofErr w:type="gramEnd"/>
            <w:r>
              <w:rPr>
                <w:rFonts w:ascii="Arial" w:eastAsia="Times New Roman" w:hAnsi="Arial" w:cs="Arial"/>
                <w:vertAlign w:val="baseline"/>
                <w:lang w:eastAsia="pt-BR"/>
              </w:rPr>
              <w:t xml:space="preserve"> </w:t>
            </w:r>
            <w:proofErr w:type="spellStart"/>
            <w:r>
              <w:rPr>
                <w:rFonts w:ascii="Arial" w:eastAsia="Times New Roman" w:hAnsi="Arial" w:cs="Arial"/>
                <w:vertAlign w:val="baseline"/>
                <w:lang w:eastAsia="pt-BR"/>
              </w:rPr>
              <w:t>transf.SUS</w:t>
            </w:r>
            <w:proofErr w:type="spellEnd"/>
          </w:p>
        </w:tc>
        <w:tc>
          <w:tcPr>
            <w:tcW w:w="940"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0.326***</w:t>
            </w:r>
          </w:p>
        </w:tc>
        <w:tc>
          <w:tcPr>
            <w:tcW w:w="819" w:type="dxa"/>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0.004</w:t>
            </w:r>
          </w:p>
        </w:tc>
        <w:tc>
          <w:tcPr>
            <w:tcW w:w="940"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0.308***</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0.004</w:t>
            </w:r>
          </w:p>
        </w:tc>
        <w:tc>
          <w:tcPr>
            <w:tcW w:w="940"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0.290***</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0.003</w:t>
            </w:r>
          </w:p>
        </w:tc>
      </w:tr>
      <w:tr w:rsidR="00A415C1" w:rsidRPr="005F5BC9" w:rsidTr="00B6114D">
        <w:trPr>
          <w:gridAfter w:val="3"/>
          <w:wAfter w:w="1689" w:type="dxa"/>
          <w:trHeight w:val="255"/>
        </w:trPr>
        <w:tc>
          <w:tcPr>
            <w:tcW w:w="2131" w:type="dxa"/>
            <w:gridSpan w:val="2"/>
            <w:tcBorders>
              <w:top w:val="nil"/>
              <w:left w:val="nil"/>
              <w:bottom w:val="nil"/>
              <w:right w:val="nil"/>
            </w:tcBorders>
            <w:shd w:val="clear" w:color="auto" w:fill="auto"/>
            <w:vAlign w:val="center"/>
            <w:hideMark/>
          </w:tcPr>
          <w:p w:rsidR="00A415C1" w:rsidRPr="005F5BC9" w:rsidRDefault="00EC21BA" w:rsidP="00A415C1">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LFPM</w:t>
            </w:r>
          </w:p>
        </w:tc>
        <w:tc>
          <w:tcPr>
            <w:tcW w:w="940"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0.413***</w:t>
            </w:r>
          </w:p>
        </w:tc>
        <w:tc>
          <w:tcPr>
            <w:tcW w:w="819" w:type="dxa"/>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0.003</w:t>
            </w:r>
          </w:p>
        </w:tc>
        <w:tc>
          <w:tcPr>
            <w:tcW w:w="940"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0.423***</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0.003</w:t>
            </w:r>
          </w:p>
        </w:tc>
        <w:tc>
          <w:tcPr>
            <w:tcW w:w="940"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0.428***</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0.004</w:t>
            </w:r>
          </w:p>
        </w:tc>
      </w:tr>
      <w:tr w:rsidR="00A415C1" w:rsidRPr="005F5BC9" w:rsidTr="00B6114D">
        <w:trPr>
          <w:gridAfter w:val="3"/>
          <w:wAfter w:w="1689" w:type="dxa"/>
          <w:trHeight w:val="255"/>
        </w:trPr>
        <w:tc>
          <w:tcPr>
            <w:tcW w:w="2131" w:type="dxa"/>
            <w:gridSpan w:val="2"/>
            <w:tcBorders>
              <w:top w:val="nil"/>
              <w:left w:val="nil"/>
              <w:bottom w:val="nil"/>
              <w:right w:val="nil"/>
            </w:tcBorders>
            <w:shd w:val="clear" w:color="auto" w:fill="auto"/>
            <w:vAlign w:val="center"/>
            <w:hideMark/>
          </w:tcPr>
          <w:p w:rsidR="00A415C1" w:rsidRPr="005F5BC9" w:rsidRDefault="00EC21BA" w:rsidP="00A415C1">
            <w:pPr>
              <w:spacing w:after="0" w:line="240" w:lineRule="auto"/>
              <w:jc w:val="left"/>
              <w:rPr>
                <w:rFonts w:ascii="Arial" w:eastAsia="Times New Roman" w:hAnsi="Arial" w:cs="Arial"/>
                <w:vertAlign w:val="baseline"/>
                <w:lang w:eastAsia="pt-BR"/>
              </w:rPr>
            </w:pPr>
            <w:proofErr w:type="spellStart"/>
            <w:proofErr w:type="gramStart"/>
            <w:r>
              <w:rPr>
                <w:rFonts w:ascii="Arial" w:eastAsia="Times New Roman" w:hAnsi="Arial" w:cs="Arial"/>
                <w:vertAlign w:val="baseline"/>
                <w:lang w:eastAsia="pt-BR"/>
              </w:rPr>
              <w:t>LRoyalties</w:t>
            </w:r>
            <w:proofErr w:type="spellEnd"/>
            <w:proofErr w:type="gramEnd"/>
          </w:p>
        </w:tc>
        <w:tc>
          <w:tcPr>
            <w:tcW w:w="940"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0.025***</w:t>
            </w:r>
          </w:p>
        </w:tc>
        <w:tc>
          <w:tcPr>
            <w:tcW w:w="819" w:type="dxa"/>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0.002</w:t>
            </w:r>
          </w:p>
        </w:tc>
        <w:tc>
          <w:tcPr>
            <w:tcW w:w="940"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0.034***</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0.002</w:t>
            </w:r>
          </w:p>
        </w:tc>
        <w:tc>
          <w:tcPr>
            <w:tcW w:w="940"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0.049***</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0.002</w:t>
            </w:r>
          </w:p>
        </w:tc>
      </w:tr>
      <w:tr w:rsidR="00A415C1" w:rsidRPr="005F5BC9" w:rsidTr="00B6114D">
        <w:trPr>
          <w:gridAfter w:val="3"/>
          <w:wAfter w:w="1689" w:type="dxa"/>
          <w:trHeight w:val="255"/>
        </w:trPr>
        <w:tc>
          <w:tcPr>
            <w:tcW w:w="2131" w:type="dxa"/>
            <w:gridSpan w:val="2"/>
            <w:tcBorders>
              <w:top w:val="nil"/>
              <w:left w:val="nil"/>
              <w:bottom w:val="nil"/>
              <w:right w:val="nil"/>
            </w:tcBorders>
            <w:shd w:val="clear" w:color="auto" w:fill="auto"/>
            <w:vAlign w:val="center"/>
            <w:hideMark/>
          </w:tcPr>
          <w:p w:rsidR="00A415C1" w:rsidRPr="005F5BC9" w:rsidRDefault="00EC21BA" w:rsidP="00A415C1">
            <w:pPr>
              <w:spacing w:after="0" w:line="240" w:lineRule="auto"/>
              <w:jc w:val="left"/>
              <w:rPr>
                <w:rFonts w:ascii="Arial" w:eastAsia="Times New Roman" w:hAnsi="Arial" w:cs="Arial"/>
                <w:vertAlign w:val="baseline"/>
                <w:lang w:eastAsia="pt-BR"/>
              </w:rPr>
            </w:pPr>
            <w:proofErr w:type="spellStart"/>
            <w:proofErr w:type="gramStart"/>
            <w:r>
              <w:rPr>
                <w:rFonts w:ascii="Arial" w:eastAsia="Times New Roman" w:hAnsi="Arial" w:cs="Arial"/>
                <w:vertAlign w:val="baseline"/>
                <w:lang w:eastAsia="pt-BR"/>
              </w:rPr>
              <w:t>LOutras</w:t>
            </w:r>
            <w:proofErr w:type="spellEnd"/>
            <w:proofErr w:type="gramEnd"/>
            <w:r>
              <w:rPr>
                <w:rFonts w:ascii="Arial" w:eastAsia="Times New Roman" w:hAnsi="Arial" w:cs="Arial"/>
                <w:vertAlign w:val="baseline"/>
                <w:lang w:eastAsia="pt-BR"/>
              </w:rPr>
              <w:t xml:space="preserve"> </w:t>
            </w:r>
            <w:proofErr w:type="spellStart"/>
            <w:r>
              <w:rPr>
                <w:rFonts w:ascii="Arial" w:eastAsia="Times New Roman" w:hAnsi="Arial" w:cs="Arial"/>
                <w:vertAlign w:val="baseline"/>
                <w:lang w:eastAsia="pt-BR"/>
              </w:rPr>
              <w:t>transf</w:t>
            </w:r>
            <w:proofErr w:type="spellEnd"/>
            <w:r>
              <w:rPr>
                <w:rFonts w:ascii="Arial" w:eastAsia="Times New Roman" w:hAnsi="Arial" w:cs="Arial"/>
                <w:vertAlign w:val="baseline"/>
                <w:lang w:eastAsia="pt-BR"/>
              </w:rPr>
              <w:t>.</w:t>
            </w:r>
          </w:p>
        </w:tc>
        <w:tc>
          <w:tcPr>
            <w:tcW w:w="940"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0.248***</w:t>
            </w:r>
          </w:p>
        </w:tc>
        <w:tc>
          <w:tcPr>
            <w:tcW w:w="819" w:type="dxa"/>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0.005</w:t>
            </w:r>
          </w:p>
        </w:tc>
        <w:tc>
          <w:tcPr>
            <w:tcW w:w="940"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0.253***</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0.005</w:t>
            </w:r>
          </w:p>
        </w:tc>
        <w:tc>
          <w:tcPr>
            <w:tcW w:w="940"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0.260***</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0.005</w:t>
            </w:r>
          </w:p>
        </w:tc>
      </w:tr>
      <w:tr w:rsidR="00A415C1" w:rsidRPr="005F5BC9" w:rsidTr="00B6114D">
        <w:trPr>
          <w:gridAfter w:val="3"/>
          <w:wAfter w:w="1689" w:type="dxa"/>
          <w:trHeight w:val="255"/>
        </w:trPr>
        <w:tc>
          <w:tcPr>
            <w:tcW w:w="2131" w:type="dxa"/>
            <w:gridSpan w:val="2"/>
            <w:tcBorders>
              <w:top w:val="nil"/>
              <w:left w:val="nil"/>
              <w:bottom w:val="nil"/>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Controles</w:t>
            </w:r>
          </w:p>
        </w:tc>
        <w:tc>
          <w:tcPr>
            <w:tcW w:w="175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759" w:type="dxa"/>
            <w:gridSpan w:val="5"/>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759" w:type="dxa"/>
            <w:gridSpan w:val="6"/>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A415C1" w:rsidRPr="005F5BC9" w:rsidTr="00B6114D">
        <w:trPr>
          <w:gridAfter w:val="3"/>
          <w:wAfter w:w="1689" w:type="dxa"/>
          <w:trHeight w:val="255"/>
        </w:trPr>
        <w:tc>
          <w:tcPr>
            <w:tcW w:w="2131" w:type="dxa"/>
            <w:gridSpan w:val="2"/>
            <w:tcBorders>
              <w:top w:val="nil"/>
              <w:left w:val="nil"/>
              <w:bottom w:val="nil"/>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proofErr w:type="spellStart"/>
            <w:r w:rsidRPr="005F5BC9">
              <w:rPr>
                <w:rFonts w:ascii="Arial" w:eastAsia="Times New Roman" w:hAnsi="Arial" w:cs="Arial"/>
                <w:i/>
                <w:iCs/>
                <w:vertAlign w:val="baseline"/>
                <w:lang w:eastAsia="pt-BR"/>
              </w:rPr>
              <w:t>Dummies</w:t>
            </w:r>
            <w:r w:rsidRPr="005F5BC9">
              <w:rPr>
                <w:rFonts w:ascii="Arial" w:eastAsia="Times New Roman" w:hAnsi="Arial" w:cs="Arial"/>
                <w:vertAlign w:val="baseline"/>
                <w:lang w:eastAsia="pt-BR"/>
              </w:rPr>
              <w:t>de</w:t>
            </w:r>
            <w:proofErr w:type="spellEnd"/>
            <w:r w:rsidRPr="005F5BC9">
              <w:rPr>
                <w:rFonts w:ascii="Arial" w:eastAsia="Times New Roman" w:hAnsi="Arial" w:cs="Arial"/>
                <w:vertAlign w:val="baseline"/>
                <w:lang w:eastAsia="pt-BR"/>
              </w:rPr>
              <w:t xml:space="preserve"> ano</w:t>
            </w:r>
          </w:p>
        </w:tc>
        <w:tc>
          <w:tcPr>
            <w:tcW w:w="175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759" w:type="dxa"/>
            <w:gridSpan w:val="5"/>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759" w:type="dxa"/>
            <w:gridSpan w:val="6"/>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A415C1" w:rsidRPr="005F5BC9" w:rsidTr="00B6114D">
        <w:trPr>
          <w:gridAfter w:val="3"/>
          <w:wAfter w:w="1689" w:type="dxa"/>
          <w:trHeight w:val="255"/>
        </w:trPr>
        <w:tc>
          <w:tcPr>
            <w:tcW w:w="2131" w:type="dxa"/>
            <w:gridSpan w:val="2"/>
            <w:tcBorders>
              <w:top w:val="nil"/>
              <w:left w:val="nil"/>
              <w:bottom w:val="nil"/>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Constante</w:t>
            </w:r>
          </w:p>
        </w:tc>
        <w:tc>
          <w:tcPr>
            <w:tcW w:w="940"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1.877***</w:t>
            </w:r>
          </w:p>
        </w:tc>
        <w:tc>
          <w:tcPr>
            <w:tcW w:w="819" w:type="dxa"/>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0.233</w:t>
            </w:r>
          </w:p>
        </w:tc>
        <w:tc>
          <w:tcPr>
            <w:tcW w:w="940" w:type="dxa"/>
            <w:gridSpan w:val="2"/>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2.390***</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0.234</w:t>
            </w:r>
          </w:p>
        </w:tc>
        <w:tc>
          <w:tcPr>
            <w:tcW w:w="940"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2.363***</w:t>
            </w:r>
          </w:p>
        </w:tc>
        <w:tc>
          <w:tcPr>
            <w:tcW w:w="819" w:type="dxa"/>
            <w:gridSpan w:val="3"/>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0.251</w:t>
            </w:r>
          </w:p>
        </w:tc>
      </w:tr>
      <w:tr w:rsidR="00A415C1" w:rsidRPr="005F5BC9" w:rsidTr="00B6114D">
        <w:trPr>
          <w:gridAfter w:val="3"/>
          <w:wAfter w:w="1689" w:type="dxa"/>
          <w:trHeight w:val="255"/>
        </w:trPr>
        <w:tc>
          <w:tcPr>
            <w:tcW w:w="2131" w:type="dxa"/>
            <w:gridSpan w:val="2"/>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Observações</w:t>
            </w:r>
          </w:p>
        </w:tc>
        <w:tc>
          <w:tcPr>
            <w:tcW w:w="5277" w:type="dxa"/>
            <w:gridSpan w:val="14"/>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32,286</w:t>
            </w:r>
          </w:p>
        </w:tc>
      </w:tr>
      <w:tr w:rsidR="00A415C1" w:rsidRPr="005F5BC9" w:rsidTr="00B6114D">
        <w:trPr>
          <w:gridAfter w:val="3"/>
          <w:wAfter w:w="1689" w:type="dxa"/>
          <w:trHeight w:val="255"/>
        </w:trPr>
        <w:tc>
          <w:tcPr>
            <w:tcW w:w="3071" w:type="dxa"/>
            <w:gridSpan w:val="4"/>
            <w:tcBorders>
              <w:top w:val="nil"/>
              <w:left w:val="nil"/>
              <w:bottom w:val="nil"/>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p&lt;0.01, ** p&lt;0.05, * p&lt;0.1</w:t>
            </w:r>
          </w:p>
        </w:tc>
        <w:tc>
          <w:tcPr>
            <w:tcW w:w="819" w:type="dxa"/>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940" w:type="dxa"/>
            <w:gridSpan w:val="2"/>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8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940"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c>
          <w:tcPr>
            <w:tcW w:w="819" w:type="dxa"/>
            <w:gridSpan w:val="3"/>
            <w:tcBorders>
              <w:top w:val="nil"/>
              <w:left w:val="nil"/>
              <w:bottom w:val="nil"/>
              <w:right w:val="nil"/>
            </w:tcBorders>
            <w:shd w:val="clear" w:color="auto" w:fill="auto"/>
            <w:noWrap/>
            <w:vAlign w:val="bottom"/>
            <w:hideMark/>
          </w:tcPr>
          <w:p w:rsidR="00A415C1" w:rsidRPr="005F5BC9" w:rsidRDefault="00A415C1" w:rsidP="00A415C1">
            <w:pPr>
              <w:spacing w:after="0" w:line="240" w:lineRule="auto"/>
              <w:jc w:val="left"/>
              <w:rPr>
                <w:rFonts w:ascii="Arial" w:eastAsia="Times New Roman" w:hAnsi="Arial" w:cs="Arial"/>
                <w:color w:val="000000"/>
                <w:vertAlign w:val="baseline"/>
                <w:lang w:eastAsia="pt-BR"/>
              </w:rPr>
            </w:pPr>
          </w:p>
        </w:tc>
      </w:tr>
    </w:tbl>
    <w:p w:rsidR="00A415C1" w:rsidRDefault="00A415C1" w:rsidP="00A415C1">
      <w:pPr>
        <w:spacing w:after="0" w:line="240" w:lineRule="auto"/>
        <w:rPr>
          <w:rFonts w:ascii="Arial" w:hAnsi="Arial" w:cs="Arial"/>
          <w:b/>
          <w:vertAlign w:val="baseline"/>
        </w:rPr>
      </w:pPr>
    </w:p>
    <w:p w:rsidR="00E46160" w:rsidRDefault="00E46160" w:rsidP="00A415C1">
      <w:pPr>
        <w:spacing w:after="0" w:line="240" w:lineRule="auto"/>
        <w:rPr>
          <w:rFonts w:ascii="Arial" w:hAnsi="Arial" w:cs="Arial"/>
          <w:b/>
          <w:vertAlign w:val="baseline"/>
        </w:rPr>
      </w:pPr>
    </w:p>
    <w:p w:rsidR="00993E7A" w:rsidRDefault="00993E7A" w:rsidP="00A415C1">
      <w:pPr>
        <w:spacing w:after="0" w:line="240" w:lineRule="auto"/>
        <w:rPr>
          <w:rFonts w:ascii="Arial" w:hAnsi="Arial" w:cs="Arial"/>
          <w:b/>
          <w:vertAlign w:val="baseline"/>
        </w:rPr>
      </w:pPr>
    </w:p>
    <w:p w:rsidR="00A415C1" w:rsidRPr="005F5BC9" w:rsidRDefault="00A415C1" w:rsidP="00A415C1">
      <w:pPr>
        <w:spacing w:after="0" w:line="240" w:lineRule="auto"/>
        <w:rPr>
          <w:rFonts w:ascii="Arial" w:hAnsi="Arial" w:cs="Arial"/>
          <w:b/>
          <w:vertAlign w:val="baseline"/>
        </w:rPr>
      </w:pPr>
      <w:r w:rsidRPr="005F5BC9">
        <w:rPr>
          <w:rFonts w:ascii="Arial" w:hAnsi="Arial" w:cs="Arial"/>
          <w:b/>
          <w:vertAlign w:val="baseline"/>
        </w:rPr>
        <w:t>Tabela</w:t>
      </w:r>
      <w:r w:rsidR="00E402B1">
        <w:rPr>
          <w:rFonts w:ascii="Arial" w:hAnsi="Arial" w:cs="Arial"/>
          <w:b/>
          <w:vertAlign w:val="baseline"/>
        </w:rPr>
        <w:t xml:space="preserve"> 15</w:t>
      </w:r>
      <w:r w:rsidRPr="005F5BC9">
        <w:rPr>
          <w:rFonts w:ascii="Arial" w:hAnsi="Arial" w:cs="Arial"/>
          <w:b/>
          <w:vertAlign w:val="baseline"/>
        </w:rPr>
        <w:t xml:space="preserve"> - Efeito </w:t>
      </w:r>
      <w:proofErr w:type="spellStart"/>
      <w:r w:rsidRPr="005F5BC9">
        <w:rPr>
          <w:rFonts w:ascii="Arial" w:hAnsi="Arial" w:cs="Arial"/>
          <w:b/>
          <w:vertAlign w:val="baseline"/>
        </w:rPr>
        <w:t>flypaper</w:t>
      </w:r>
      <w:proofErr w:type="spellEnd"/>
      <w:r w:rsidRPr="005F5BC9">
        <w:rPr>
          <w:rFonts w:ascii="Arial" w:hAnsi="Arial" w:cs="Arial"/>
          <w:b/>
          <w:vertAlign w:val="baseline"/>
        </w:rPr>
        <w:t>: modelo</w:t>
      </w:r>
      <w:r w:rsidR="006F3A05">
        <w:rPr>
          <w:rFonts w:ascii="Arial" w:hAnsi="Arial" w:cs="Arial"/>
          <w:b/>
          <w:vertAlign w:val="baseline"/>
        </w:rPr>
        <w:t xml:space="preserve"> </w:t>
      </w:r>
      <w:proofErr w:type="spellStart"/>
      <w:r w:rsidRPr="005F5BC9">
        <w:rPr>
          <w:rFonts w:ascii="Arial" w:hAnsi="Arial" w:cs="Arial"/>
          <w:b/>
          <w:vertAlign w:val="baseline"/>
        </w:rPr>
        <w:t>quantílico</w:t>
      </w:r>
      <w:proofErr w:type="spellEnd"/>
      <w:r w:rsidRPr="005F5BC9">
        <w:rPr>
          <w:rFonts w:ascii="Arial" w:hAnsi="Arial" w:cs="Arial"/>
          <w:b/>
          <w:vertAlign w:val="baseline"/>
        </w:rPr>
        <w:t xml:space="preserve"> log-log</w:t>
      </w:r>
    </w:p>
    <w:tbl>
      <w:tblPr>
        <w:tblW w:w="7966" w:type="dxa"/>
        <w:tblInd w:w="55" w:type="dxa"/>
        <w:tblCellMar>
          <w:left w:w="70" w:type="dxa"/>
          <w:right w:w="70" w:type="dxa"/>
        </w:tblCellMar>
        <w:tblLook w:val="04A0" w:firstRow="1" w:lastRow="0" w:firstColumn="1" w:lastColumn="0" w:noHBand="0" w:noVBand="1"/>
      </w:tblPr>
      <w:tblGrid>
        <w:gridCol w:w="2020"/>
        <w:gridCol w:w="1119"/>
        <w:gridCol w:w="863"/>
        <w:gridCol w:w="1119"/>
        <w:gridCol w:w="863"/>
        <w:gridCol w:w="1119"/>
        <w:gridCol w:w="863"/>
      </w:tblGrid>
      <w:tr w:rsidR="00A415C1" w:rsidRPr="005F5BC9" w:rsidTr="00EC21BA">
        <w:trPr>
          <w:trHeight w:val="255"/>
        </w:trPr>
        <w:tc>
          <w:tcPr>
            <w:tcW w:w="2020" w:type="dxa"/>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1982" w:type="dxa"/>
            <w:gridSpan w:val="2"/>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25%</w:t>
            </w:r>
          </w:p>
        </w:tc>
        <w:tc>
          <w:tcPr>
            <w:tcW w:w="1982" w:type="dxa"/>
            <w:gridSpan w:val="2"/>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50%</w:t>
            </w:r>
          </w:p>
        </w:tc>
        <w:tc>
          <w:tcPr>
            <w:tcW w:w="1982" w:type="dxa"/>
            <w:gridSpan w:val="2"/>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75%</w:t>
            </w:r>
          </w:p>
        </w:tc>
      </w:tr>
      <w:tr w:rsidR="00A415C1" w:rsidRPr="005F5BC9" w:rsidTr="00EC21BA">
        <w:trPr>
          <w:trHeight w:val="255"/>
        </w:trPr>
        <w:tc>
          <w:tcPr>
            <w:tcW w:w="2020"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left"/>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 </w:t>
            </w:r>
          </w:p>
        </w:tc>
        <w:tc>
          <w:tcPr>
            <w:tcW w:w="1119"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r w:rsidRPr="005F5BC9">
              <w:rPr>
                <w:rFonts w:ascii="Arial" w:eastAsia="Times New Roman" w:hAnsi="Arial" w:cs="Arial"/>
                <w:b/>
                <w:bCs/>
                <w:color w:val="000000"/>
                <w:vertAlign w:val="baseline"/>
                <w:lang w:eastAsia="pt-BR"/>
              </w:rPr>
              <w:t>Subtração</w:t>
            </w:r>
          </w:p>
        </w:tc>
        <w:tc>
          <w:tcPr>
            <w:tcW w:w="863"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proofErr w:type="gramStart"/>
            <w:r w:rsidRPr="005F5BC9">
              <w:rPr>
                <w:rFonts w:ascii="Arial" w:eastAsia="Times New Roman" w:hAnsi="Arial" w:cs="Arial"/>
                <w:b/>
                <w:bCs/>
                <w:color w:val="000000"/>
                <w:vertAlign w:val="baseline"/>
                <w:lang w:eastAsia="pt-BR"/>
              </w:rPr>
              <w:t>p</w:t>
            </w:r>
            <w:proofErr w:type="gramEnd"/>
            <w:r w:rsidRPr="005F5BC9">
              <w:rPr>
                <w:rFonts w:ascii="Arial" w:eastAsia="Times New Roman" w:hAnsi="Arial" w:cs="Arial"/>
                <w:b/>
                <w:bCs/>
                <w:color w:val="000000"/>
                <w:vertAlign w:val="baseline"/>
                <w:lang w:eastAsia="pt-BR"/>
              </w:rPr>
              <w:t>-valor</w:t>
            </w:r>
          </w:p>
        </w:tc>
        <w:tc>
          <w:tcPr>
            <w:tcW w:w="1119"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r w:rsidRPr="005F5BC9">
              <w:rPr>
                <w:rFonts w:ascii="Arial" w:eastAsia="Times New Roman" w:hAnsi="Arial" w:cs="Arial"/>
                <w:b/>
                <w:bCs/>
                <w:color w:val="000000"/>
                <w:vertAlign w:val="baseline"/>
                <w:lang w:eastAsia="pt-BR"/>
              </w:rPr>
              <w:t>Subtração</w:t>
            </w:r>
          </w:p>
        </w:tc>
        <w:tc>
          <w:tcPr>
            <w:tcW w:w="863"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proofErr w:type="gramStart"/>
            <w:r w:rsidRPr="005F5BC9">
              <w:rPr>
                <w:rFonts w:ascii="Arial" w:eastAsia="Times New Roman" w:hAnsi="Arial" w:cs="Arial"/>
                <w:b/>
                <w:bCs/>
                <w:color w:val="000000"/>
                <w:vertAlign w:val="baseline"/>
                <w:lang w:eastAsia="pt-BR"/>
              </w:rPr>
              <w:t>p</w:t>
            </w:r>
            <w:proofErr w:type="gramEnd"/>
            <w:r w:rsidRPr="005F5BC9">
              <w:rPr>
                <w:rFonts w:ascii="Arial" w:eastAsia="Times New Roman" w:hAnsi="Arial" w:cs="Arial"/>
                <w:b/>
                <w:bCs/>
                <w:color w:val="000000"/>
                <w:vertAlign w:val="baseline"/>
                <w:lang w:eastAsia="pt-BR"/>
              </w:rPr>
              <w:t>-valor</w:t>
            </w:r>
          </w:p>
        </w:tc>
        <w:tc>
          <w:tcPr>
            <w:tcW w:w="1119"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r w:rsidRPr="005F5BC9">
              <w:rPr>
                <w:rFonts w:ascii="Arial" w:eastAsia="Times New Roman" w:hAnsi="Arial" w:cs="Arial"/>
                <w:b/>
                <w:bCs/>
                <w:color w:val="000000"/>
                <w:vertAlign w:val="baseline"/>
                <w:lang w:eastAsia="pt-BR"/>
              </w:rPr>
              <w:t>Subtração</w:t>
            </w:r>
          </w:p>
        </w:tc>
        <w:tc>
          <w:tcPr>
            <w:tcW w:w="863" w:type="dxa"/>
            <w:tcBorders>
              <w:top w:val="nil"/>
              <w:left w:val="nil"/>
              <w:bottom w:val="single" w:sz="4" w:space="0" w:color="auto"/>
              <w:right w:val="nil"/>
            </w:tcBorders>
            <w:shd w:val="clear" w:color="auto" w:fill="auto"/>
            <w:noWrap/>
            <w:vAlign w:val="center"/>
            <w:hideMark/>
          </w:tcPr>
          <w:p w:rsidR="00A415C1" w:rsidRPr="005F5BC9" w:rsidRDefault="00A415C1" w:rsidP="00A415C1">
            <w:pPr>
              <w:spacing w:after="0" w:line="240" w:lineRule="auto"/>
              <w:jc w:val="center"/>
              <w:rPr>
                <w:rFonts w:ascii="Arial" w:eastAsia="Times New Roman" w:hAnsi="Arial" w:cs="Arial"/>
                <w:b/>
                <w:bCs/>
                <w:color w:val="000000"/>
                <w:vertAlign w:val="baseline"/>
                <w:lang w:eastAsia="pt-BR"/>
              </w:rPr>
            </w:pPr>
            <w:proofErr w:type="gramStart"/>
            <w:r w:rsidRPr="005F5BC9">
              <w:rPr>
                <w:rFonts w:ascii="Arial" w:eastAsia="Times New Roman" w:hAnsi="Arial" w:cs="Arial"/>
                <w:b/>
                <w:bCs/>
                <w:color w:val="000000"/>
                <w:vertAlign w:val="baseline"/>
                <w:lang w:eastAsia="pt-BR"/>
              </w:rPr>
              <w:t>p</w:t>
            </w:r>
            <w:proofErr w:type="gramEnd"/>
            <w:r w:rsidRPr="005F5BC9">
              <w:rPr>
                <w:rFonts w:ascii="Arial" w:eastAsia="Times New Roman" w:hAnsi="Arial" w:cs="Arial"/>
                <w:b/>
                <w:bCs/>
                <w:color w:val="000000"/>
                <w:vertAlign w:val="baseline"/>
                <w:lang w:eastAsia="pt-BR"/>
              </w:rPr>
              <w:t>-valor</w:t>
            </w:r>
          </w:p>
        </w:tc>
      </w:tr>
      <w:tr w:rsidR="00EC21BA" w:rsidRPr="005F5BC9" w:rsidTr="00EC21BA">
        <w:trPr>
          <w:trHeight w:val="255"/>
        </w:trPr>
        <w:tc>
          <w:tcPr>
            <w:tcW w:w="2020"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LPAB</w:t>
            </w:r>
          </w:p>
        </w:tc>
        <w:tc>
          <w:tcPr>
            <w:tcW w:w="1119"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0.013 </w:t>
            </w:r>
          </w:p>
        </w:tc>
        <w:tc>
          <w:tcPr>
            <w:tcW w:w="863"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0.14</w:t>
            </w:r>
          </w:p>
        </w:tc>
        <w:tc>
          <w:tcPr>
            <w:tcW w:w="1119"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0.020 </w:t>
            </w:r>
          </w:p>
        </w:tc>
        <w:tc>
          <w:tcPr>
            <w:tcW w:w="863"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0.02</w:t>
            </w:r>
          </w:p>
        </w:tc>
        <w:tc>
          <w:tcPr>
            <w:tcW w:w="1119"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0.033 </w:t>
            </w:r>
          </w:p>
        </w:tc>
        <w:tc>
          <w:tcPr>
            <w:tcW w:w="863"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EC21BA" w:rsidRPr="005F5BC9" w:rsidTr="00EC21BA">
        <w:trPr>
          <w:trHeight w:val="255"/>
        </w:trPr>
        <w:tc>
          <w:tcPr>
            <w:tcW w:w="2020"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proofErr w:type="spellStart"/>
            <w:proofErr w:type="gramStart"/>
            <w:r>
              <w:rPr>
                <w:rFonts w:ascii="Arial" w:eastAsia="Times New Roman" w:hAnsi="Arial" w:cs="Arial"/>
                <w:vertAlign w:val="baseline"/>
                <w:lang w:eastAsia="pt-BR"/>
              </w:rPr>
              <w:t>LOutras</w:t>
            </w:r>
            <w:proofErr w:type="spellEnd"/>
            <w:proofErr w:type="gramEnd"/>
            <w:r>
              <w:rPr>
                <w:rFonts w:ascii="Arial" w:eastAsia="Times New Roman" w:hAnsi="Arial" w:cs="Arial"/>
                <w:vertAlign w:val="baseline"/>
                <w:lang w:eastAsia="pt-BR"/>
              </w:rPr>
              <w:t xml:space="preserve"> </w:t>
            </w:r>
            <w:proofErr w:type="spellStart"/>
            <w:r>
              <w:rPr>
                <w:rFonts w:ascii="Arial" w:eastAsia="Times New Roman" w:hAnsi="Arial" w:cs="Arial"/>
                <w:vertAlign w:val="baseline"/>
                <w:lang w:eastAsia="pt-BR"/>
              </w:rPr>
              <w:t>transf.SUS</w:t>
            </w:r>
            <w:proofErr w:type="spellEnd"/>
          </w:p>
        </w:tc>
        <w:tc>
          <w:tcPr>
            <w:tcW w:w="1119"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0.243 </w:t>
            </w:r>
          </w:p>
        </w:tc>
        <w:tc>
          <w:tcPr>
            <w:tcW w:w="863"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0.222 </w:t>
            </w:r>
          </w:p>
        </w:tc>
        <w:tc>
          <w:tcPr>
            <w:tcW w:w="863"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0.191 </w:t>
            </w:r>
          </w:p>
        </w:tc>
        <w:tc>
          <w:tcPr>
            <w:tcW w:w="863"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EC21BA" w:rsidRPr="005F5BC9" w:rsidTr="00EC21BA">
        <w:trPr>
          <w:trHeight w:val="255"/>
        </w:trPr>
        <w:tc>
          <w:tcPr>
            <w:tcW w:w="2020"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LFPM</w:t>
            </w:r>
          </w:p>
        </w:tc>
        <w:tc>
          <w:tcPr>
            <w:tcW w:w="1119"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0.329 </w:t>
            </w:r>
          </w:p>
        </w:tc>
        <w:tc>
          <w:tcPr>
            <w:tcW w:w="863"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0.337 </w:t>
            </w:r>
          </w:p>
        </w:tc>
        <w:tc>
          <w:tcPr>
            <w:tcW w:w="863"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0.328 </w:t>
            </w:r>
          </w:p>
        </w:tc>
        <w:tc>
          <w:tcPr>
            <w:tcW w:w="863"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EC21BA" w:rsidRPr="005F5BC9" w:rsidTr="00EC21BA">
        <w:trPr>
          <w:trHeight w:val="255"/>
        </w:trPr>
        <w:tc>
          <w:tcPr>
            <w:tcW w:w="2020"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proofErr w:type="spellStart"/>
            <w:proofErr w:type="gramStart"/>
            <w:r>
              <w:rPr>
                <w:rFonts w:ascii="Arial" w:eastAsia="Times New Roman" w:hAnsi="Arial" w:cs="Arial"/>
                <w:vertAlign w:val="baseline"/>
                <w:lang w:eastAsia="pt-BR"/>
              </w:rPr>
              <w:t>LRoyalties</w:t>
            </w:r>
            <w:proofErr w:type="spellEnd"/>
            <w:proofErr w:type="gramEnd"/>
          </w:p>
        </w:tc>
        <w:tc>
          <w:tcPr>
            <w:tcW w:w="1119"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-0.058 </w:t>
            </w:r>
          </w:p>
        </w:tc>
        <w:tc>
          <w:tcPr>
            <w:tcW w:w="863"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-0.052 </w:t>
            </w:r>
          </w:p>
        </w:tc>
        <w:tc>
          <w:tcPr>
            <w:tcW w:w="863"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-0.050 </w:t>
            </w:r>
          </w:p>
        </w:tc>
        <w:tc>
          <w:tcPr>
            <w:tcW w:w="863"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EC21BA" w:rsidRPr="005F5BC9" w:rsidTr="00EC21BA">
        <w:trPr>
          <w:trHeight w:val="255"/>
        </w:trPr>
        <w:tc>
          <w:tcPr>
            <w:tcW w:w="2020" w:type="dxa"/>
            <w:tcBorders>
              <w:top w:val="nil"/>
              <w:left w:val="nil"/>
              <w:bottom w:val="single" w:sz="4" w:space="0" w:color="auto"/>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proofErr w:type="spellStart"/>
            <w:proofErr w:type="gramStart"/>
            <w:r>
              <w:rPr>
                <w:rFonts w:ascii="Arial" w:eastAsia="Times New Roman" w:hAnsi="Arial" w:cs="Arial"/>
                <w:vertAlign w:val="baseline"/>
                <w:lang w:eastAsia="pt-BR"/>
              </w:rPr>
              <w:t>LOutras</w:t>
            </w:r>
            <w:proofErr w:type="spellEnd"/>
            <w:proofErr w:type="gramEnd"/>
            <w:r>
              <w:rPr>
                <w:rFonts w:ascii="Arial" w:eastAsia="Times New Roman" w:hAnsi="Arial" w:cs="Arial"/>
                <w:vertAlign w:val="baseline"/>
                <w:lang w:eastAsia="pt-BR"/>
              </w:rPr>
              <w:t xml:space="preserve"> </w:t>
            </w:r>
            <w:proofErr w:type="spellStart"/>
            <w:r>
              <w:rPr>
                <w:rFonts w:ascii="Arial" w:eastAsia="Times New Roman" w:hAnsi="Arial" w:cs="Arial"/>
                <w:vertAlign w:val="baseline"/>
                <w:lang w:eastAsia="pt-BR"/>
              </w:rPr>
              <w:t>transf</w:t>
            </w:r>
            <w:proofErr w:type="spellEnd"/>
            <w:r>
              <w:rPr>
                <w:rFonts w:ascii="Arial" w:eastAsia="Times New Roman" w:hAnsi="Arial" w:cs="Arial"/>
                <w:vertAlign w:val="baseline"/>
                <w:lang w:eastAsia="pt-BR"/>
              </w:rPr>
              <w:t>.</w:t>
            </w:r>
          </w:p>
        </w:tc>
        <w:tc>
          <w:tcPr>
            <w:tcW w:w="1119" w:type="dxa"/>
            <w:tcBorders>
              <w:top w:val="nil"/>
              <w:left w:val="nil"/>
              <w:bottom w:val="single" w:sz="4" w:space="0" w:color="auto"/>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0.164 </w:t>
            </w:r>
          </w:p>
        </w:tc>
        <w:tc>
          <w:tcPr>
            <w:tcW w:w="863" w:type="dxa"/>
            <w:tcBorders>
              <w:top w:val="nil"/>
              <w:left w:val="nil"/>
              <w:bottom w:val="single" w:sz="4" w:space="0" w:color="auto"/>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tcBorders>
              <w:top w:val="nil"/>
              <w:left w:val="nil"/>
              <w:bottom w:val="single" w:sz="4" w:space="0" w:color="auto"/>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0.167 </w:t>
            </w:r>
          </w:p>
        </w:tc>
        <w:tc>
          <w:tcPr>
            <w:tcW w:w="863" w:type="dxa"/>
            <w:tcBorders>
              <w:top w:val="nil"/>
              <w:left w:val="nil"/>
              <w:bottom w:val="single" w:sz="4" w:space="0" w:color="auto"/>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tcBorders>
              <w:top w:val="nil"/>
              <w:left w:val="nil"/>
              <w:bottom w:val="single" w:sz="4" w:space="0" w:color="auto"/>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0.161 </w:t>
            </w:r>
          </w:p>
        </w:tc>
        <w:tc>
          <w:tcPr>
            <w:tcW w:w="863" w:type="dxa"/>
            <w:tcBorders>
              <w:top w:val="nil"/>
              <w:left w:val="nil"/>
              <w:bottom w:val="single" w:sz="4" w:space="0" w:color="auto"/>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r w:rsidR="00EC21BA" w:rsidRPr="005F5BC9" w:rsidTr="00EC21BA">
        <w:trPr>
          <w:trHeight w:val="255"/>
        </w:trPr>
        <w:tc>
          <w:tcPr>
            <w:tcW w:w="2020" w:type="dxa"/>
            <w:tcBorders>
              <w:top w:val="nil"/>
              <w:left w:val="nil"/>
              <w:bottom w:val="single" w:sz="4" w:space="0" w:color="auto"/>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Pr>
                <w:rFonts w:ascii="Arial" w:eastAsia="Times New Roman" w:hAnsi="Arial" w:cs="Arial"/>
                <w:color w:val="000000"/>
                <w:vertAlign w:val="baseline"/>
                <w:lang w:eastAsia="pt-BR"/>
              </w:rPr>
              <w:t>LPAB-LFPM</w:t>
            </w:r>
          </w:p>
        </w:tc>
        <w:tc>
          <w:tcPr>
            <w:tcW w:w="1119" w:type="dxa"/>
            <w:tcBorders>
              <w:top w:val="nil"/>
              <w:left w:val="nil"/>
              <w:bottom w:val="single" w:sz="4" w:space="0" w:color="auto"/>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-0.316 </w:t>
            </w:r>
          </w:p>
        </w:tc>
        <w:tc>
          <w:tcPr>
            <w:tcW w:w="863" w:type="dxa"/>
            <w:tcBorders>
              <w:top w:val="nil"/>
              <w:left w:val="nil"/>
              <w:bottom w:val="single" w:sz="4" w:space="0" w:color="auto"/>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tcBorders>
              <w:top w:val="nil"/>
              <w:left w:val="nil"/>
              <w:bottom w:val="single" w:sz="4" w:space="0" w:color="auto"/>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-0.317 </w:t>
            </w:r>
          </w:p>
        </w:tc>
        <w:tc>
          <w:tcPr>
            <w:tcW w:w="863" w:type="dxa"/>
            <w:tcBorders>
              <w:top w:val="nil"/>
              <w:left w:val="nil"/>
              <w:bottom w:val="single" w:sz="4" w:space="0" w:color="auto"/>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c>
          <w:tcPr>
            <w:tcW w:w="1119" w:type="dxa"/>
            <w:tcBorders>
              <w:top w:val="nil"/>
              <w:left w:val="nil"/>
              <w:bottom w:val="single" w:sz="4" w:space="0" w:color="auto"/>
              <w:right w:val="nil"/>
            </w:tcBorders>
            <w:shd w:val="clear" w:color="auto" w:fill="auto"/>
            <w:noWrap/>
            <w:vAlign w:val="bottom"/>
            <w:hideMark/>
          </w:tcPr>
          <w:p w:rsidR="00EC21BA" w:rsidRPr="005F5BC9" w:rsidRDefault="00EC21BA" w:rsidP="00A415C1">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 xml:space="preserve">-0.295 </w:t>
            </w:r>
          </w:p>
        </w:tc>
        <w:tc>
          <w:tcPr>
            <w:tcW w:w="863" w:type="dxa"/>
            <w:tcBorders>
              <w:top w:val="nil"/>
              <w:left w:val="nil"/>
              <w:bottom w:val="single" w:sz="4" w:space="0" w:color="auto"/>
              <w:right w:val="nil"/>
            </w:tcBorders>
            <w:shd w:val="clear" w:color="auto" w:fill="auto"/>
            <w:noWrap/>
            <w:vAlign w:val="bottom"/>
            <w:hideMark/>
          </w:tcPr>
          <w:p w:rsidR="00EC21BA" w:rsidRPr="005F5BC9" w:rsidRDefault="00EC21BA" w:rsidP="00A415C1">
            <w:pPr>
              <w:spacing w:after="0" w:line="240" w:lineRule="auto"/>
              <w:jc w:val="center"/>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w:t>
            </w:r>
          </w:p>
        </w:tc>
      </w:tr>
    </w:tbl>
    <w:p w:rsidR="00A415C1" w:rsidRDefault="00A415C1" w:rsidP="00A415C1">
      <w:pPr>
        <w:spacing w:after="0" w:line="240" w:lineRule="auto"/>
        <w:rPr>
          <w:rFonts w:ascii="Arial" w:hAnsi="Arial" w:cs="Arial"/>
          <w:b/>
          <w:sz w:val="24"/>
          <w:szCs w:val="24"/>
          <w:vertAlign w:val="baseline"/>
        </w:rPr>
      </w:pPr>
    </w:p>
    <w:p w:rsidR="00A415C1" w:rsidRDefault="00A415C1" w:rsidP="00A415C1">
      <w:pPr>
        <w:spacing w:after="0" w:line="240" w:lineRule="auto"/>
        <w:rPr>
          <w:rFonts w:ascii="Arial" w:hAnsi="Arial" w:cs="Arial"/>
          <w:b/>
          <w:sz w:val="24"/>
          <w:szCs w:val="24"/>
          <w:vertAlign w:val="baseline"/>
        </w:rPr>
      </w:pPr>
    </w:p>
    <w:p w:rsidR="00E46160" w:rsidRPr="005F5BC9" w:rsidRDefault="00E46160" w:rsidP="00A415C1">
      <w:pPr>
        <w:spacing w:after="0" w:line="240" w:lineRule="auto"/>
        <w:rPr>
          <w:rFonts w:ascii="Arial" w:hAnsi="Arial" w:cs="Arial"/>
          <w:b/>
          <w:sz w:val="24"/>
          <w:szCs w:val="24"/>
          <w:vertAlign w:val="baseline"/>
        </w:rPr>
      </w:pPr>
    </w:p>
    <w:tbl>
      <w:tblPr>
        <w:tblW w:w="7740" w:type="dxa"/>
        <w:tblInd w:w="70" w:type="dxa"/>
        <w:tblCellMar>
          <w:left w:w="70" w:type="dxa"/>
          <w:right w:w="70" w:type="dxa"/>
        </w:tblCellMar>
        <w:tblLook w:val="04A0" w:firstRow="1" w:lastRow="0" w:firstColumn="1" w:lastColumn="0" w:noHBand="0" w:noVBand="1"/>
      </w:tblPr>
      <w:tblGrid>
        <w:gridCol w:w="1839"/>
        <w:gridCol w:w="1010"/>
        <w:gridCol w:w="957"/>
        <w:gridCol w:w="1010"/>
        <w:gridCol w:w="957"/>
        <w:gridCol w:w="1010"/>
        <w:gridCol w:w="957"/>
      </w:tblGrid>
      <w:tr w:rsidR="00A415C1" w:rsidRPr="005F5BC9" w:rsidTr="00EC21BA">
        <w:trPr>
          <w:trHeight w:val="255"/>
        </w:trPr>
        <w:tc>
          <w:tcPr>
            <w:tcW w:w="7740" w:type="dxa"/>
            <w:gridSpan w:val="7"/>
            <w:tcBorders>
              <w:top w:val="nil"/>
              <w:left w:val="nil"/>
              <w:bottom w:val="nil"/>
              <w:right w:val="nil"/>
            </w:tcBorders>
            <w:shd w:val="clear" w:color="auto" w:fill="auto"/>
            <w:vAlign w:val="center"/>
            <w:hideMark/>
          </w:tcPr>
          <w:p w:rsidR="00A415C1" w:rsidRPr="005F5BC9" w:rsidRDefault="00A415C1" w:rsidP="00E402B1">
            <w:pPr>
              <w:spacing w:after="0" w:line="240" w:lineRule="auto"/>
              <w:jc w:val="left"/>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Tabela 1</w:t>
            </w:r>
            <w:r w:rsidR="00E402B1">
              <w:rPr>
                <w:rFonts w:ascii="Arial" w:eastAsia="Times New Roman" w:hAnsi="Arial" w:cs="Arial"/>
                <w:b/>
                <w:bCs/>
                <w:vertAlign w:val="baseline"/>
                <w:lang w:eastAsia="pt-BR"/>
              </w:rPr>
              <w:t>6</w:t>
            </w:r>
            <w:r w:rsidRPr="005F5BC9">
              <w:rPr>
                <w:rFonts w:ascii="Arial" w:eastAsia="Times New Roman" w:hAnsi="Arial" w:cs="Arial"/>
                <w:b/>
                <w:bCs/>
                <w:vertAlign w:val="baseline"/>
                <w:lang w:eastAsia="pt-BR"/>
              </w:rPr>
              <w:t xml:space="preserve"> – Determinantes dos Gastos em Saúde </w:t>
            </w:r>
            <w:proofErr w:type="spellStart"/>
            <w:r w:rsidRPr="005F5BC9">
              <w:rPr>
                <w:rFonts w:ascii="Arial" w:eastAsia="Times New Roman" w:hAnsi="Arial" w:cs="Arial"/>
                <w:b/>
                <w:bCs/>
                <w:vertAlign w:val="baseline"/>
                <w:lang w:eastAsia="pt-BR"/>
              </w:rPr>
              <w:t>Quantílica</w:t>
            </w:r>
            <w:proofErr w:type="spellEnd"/>
            <w:r w:rsidRPr="005F5BC9">
              <w:rPr>
                <w:rFonts w:ascii="Arial" w:eastAsia="Times New Roman" w:hAnsi="Arial" w:cs="Arial"/>
                <w:b/>
                <w:bCs/>
                <w:vertAlign w:val="baseline"/>
                <w:lang w:eastAsia="pt-BR"/>
              </w:rPr>
              <w:t xml:space="preserve"> com Efeitos Fixos Linear</w:t>
            </w:r>
            <w:proofErr w:type="gramEnd"/>
          </w:p>
        </w:tc>
      </w:tr>
      <w:tr w:rsidR="00A415C1" w:rsidRPr="005F5BC9" w:rsidTr="00EC21BA">
        <w:trPr>
          <w:trHeight w:val="255"/>
        </w:trPr>
        <w:tc>
          <w:tcPr>
            <w:tcW w:w="1839" w:type="dxa"/>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1967" w:type="dxa"/>
            <w:gridSpan w:val="2"/>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25%</w:t>
            </w:r>
          </w:p>
        </w:tc>
        <w:tc>
          <w:tcPr>
            <w:tcW w:w="1967" w:type="dxa"/>
            <w:gridSpan w:val="2"/>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50%</w:t>
            </w:r>
          </w:p>
        </w:tc>
        <w:tc>
          <w:tcPr>
            <w:tcW w:w="1967" w:type="dxa"/>
            <w:gridSpan w:val="2"/>
            <w:tcBorders>
              <w:top w:val="single" w:sz="4" w:space="0" w:color="auto"/>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75%</w:t>
            </w:r>
          </w:p>
        </w:tc>
      </w:tr>
      <w:tr w:rsidR="00A415C1" w:rsidRPr="005F5BC9" w:rsidTr="00EC21BA">
        <w:trPr>
          <w:trHeight w:val="510"/>
        </w:trPr>
        <w:tc>
          <w:tcPr>
            <w:tcW w:w="1839" w:type="dxa"/>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1010" w:type="dxa"/>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957" w:type="dxa"/>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1010" w:type="dxa"/>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957" w:type="dxa"/>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1010" w:type="dxa"/>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957" w:type="dxa"/>
            <w:tcBorders>
              <w:top w:val="nil"/>
              <w:left w:val="nil"/>
              <w:bottom w:val="single" w:sz="4" w:space="0" w:color="auto"/>
              <w:right w:val="nil"/>
            </w:tcBorders>
            <w:shd w:val="clear" w:color="auto" w:fill="auto"/>
            <w:vAlign w:val="center"/>
            <w:hideMark/>
          </w:tcPr>
          <w:p w:rsidR="00A415C1" w:rsidRPr="005F5BC9" w:rsidRDefault="00A415C1" w:rsidP="00A415C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r>
      <w:tr w:rsidR="00EC21BA" w:rsidRPr="005F5BC9" w:rsidTr="00EC21BA">
        <w:trPr>
          <w:trHeight w:val="255"/>
        </w:trPr>
        <w:tc>
          <w:tcPr>
            <w:tcW w:w="1839"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PIB</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0.000</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0.000</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0.000</w:t>
            </w:r>
          </w:p>
        </w:tc>
      </w:tr>
      <w:tr w:rsidR="00EC21BA" w:rsidRPr="005F5BC9" w:rsidTr="00EC21BA">
        <w:trPr>
          <w:trHeight w:val="255"/>
        </w:trPr>
        <w:tc>
          <w:tcPr>
            <w:tcW w:w="1839"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PAB</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0.923***</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0.040</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0.952***</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0.046</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0.951***</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0.074</w:t>
            </w:r>
          </w:p>
        </w:tc>
      </w:tr>
      <w:tr w:rsidR="00EC21BA" w:rsidRPr="005F5BC9" w:rsidTr="00EC21BA">
        <w:trPr>
          <w:trHeight w:val="255"/>
        </w:trPr>
        <w:tc>
          <w:tcPr>
            <w:tcW w:w="1839"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 xml:space="preserve">Outras </w:t>
            </w:r>
            <w:proofErr w:type="spellStart"/>
            <w:r>
              <w:rPr>
                <w:rFonts w:ascii="Arial" w:eastAsia="Times New Roman" w:hAnsi="Arial" w:cs="Arial"/>
                <w:vertAlign w:val="baseline"/>
                <w:lang w:eastAsia="pt-BR"/>
              </w:rPr>
              <w:t>transf</w:t>
            </w:r>
            <w:proofErr w:type="spellEnd"/>
            <w:r>
              <w:rPr>
                <w:rFonts w:ascii="Arial" w:eastAsia="Times New Roman" w:hAnsi="Arial" w:cs="Arial"/>
                <w:vertAlign w:val="baseline"/>
                <w:lang w:eastAsia="pt-BR"/>
              </w:rPr>
              <w:t>. SUS</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0.967***</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0.007</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0.987***</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0.008</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0.991***</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0.012</w:t>
            </w:r>
          </w:p>
        </w:tc>
      </w:tr>
      <w:tr w:rsidR="00EC21BA" w:rsidRPr="005F5BC9" w:rsidTr="00EC21BA">
        <w:trPr>
          <w:trHeight w:val="255"/>
        </w:trPr>
        <w:tc>
          <w:tcPr>
            <w:tcW w:w="1839"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FPM</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0.165***</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0.002</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0.180***</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0.002</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0.199***</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0.003</w:t>
            </w:r>
          </w:p>
        </w:tc>
      </w:tr>
      <w:tr w:rsidR="00EC21BA" w:rsidRPr="005F5BC9" w:rsidTr="00EC21BA">
        <w:trPr>
          <w:trHeight w:val="255"/>
        </w:trPr>
        <w:tc>
          <w:tcPr>
            <w:tcW w:w="1839"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Royalties</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0.141***</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0.018</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0.190***</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0.015</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0.261***</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0.020</w:t>
            </w:r>
          </w:p>
        </w:tc>
      </w:tr>
      <w:tr w:rsidR="00EC21BA" w:rsidRPr="005F5BC9" w:rsidTr="00EC21BA">
        <w:trPr>
          <w:trHeight w:val="255"/>
        </w:trPr>
        <w:tc>
          <w:tcPr>
            <w:tcW w:w="1839"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 xml:space="preserve">Outras </w:t>
            </w:r>
            <w:proofErr w:type="spellStart"/>
            <w:r>
              <w:rPr>
                <w:rFonts w:ascii="Arial" w:eastAsia="Times New Roman" w:hAnsi="Arial" w:cs="Arial"/>
                <w:vertAlign w:val="baseline"/>
                <w:lang w:eastAsia="pt-BR"/>
              </w:rPr>
              <w:t>transf</w:t>
            </w:r>
            <w:proofErr w:type="spellEnd"/>
            <w:r>
              <w:rPr>
                <w:rFonts w:ascii="Arial" w:eastAsia="Times New Roman" w:hAnsi="Arial" w:cs="Arial"/>
                <w:vertAlign w:val="baseline"/>
                <w:lang w:eastAsia="pt-BR"/>
              </w:rPr>
              <w:t>.</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0.129***</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0.003</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0.144***</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0.003</w:t>
            </w:r>
          </w:p>
        </w:tc>
        <w:tc>
          <w:tcPr>
            <w:tcW w:w="1010" w:type="dxa"/>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0.160***</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0.004</w:t>
            </w:r>
          </w:p>
        </w:tc>
      </w:tr>
      <w:tr w:rsidR="00EC21BA" w:rsidRPr="005F5BC9" w:rsidTr="00EC21BA">
        <w:trPr>
          <w:trHeight w:val="255"/>
        </w:trPr>
        <w:tc>
          <w:tcPr>
            <w:tcW w:w="1839" w:type="dxa"/>
            <w:tcBorders>
              <w:top w:val="nil"/>
              <w:left w:val="nil"/>
              <w:bottom w:val="nil"/>
              <w:right w:val="nil"/>
            </w:tcBorders>
            <w:shd w:val="clear" w:color="auto" w:fill="auto"/>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Controles</w:t>
            </w:r>
          </w:p>
        </w:tc>
        <w:tc>
          <w:tcPr>
            <w:tcW w:w="1967" w:type="dxa"/>
            <w:gridSpan w:val="2"/>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967" w:type="dxa"/>
            <w:gridSpan w:val="2"/>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967" w:type="dxa"/>
            <w:gridSpan w:val="2"/>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EC21BA" w:rsidRPr="005F5BC9" w:rsidTr="00EC21BA">
        <w:trPr>
          <w:trHeight w:val="255"/>
        </w:trPr>
        <w:tc>
          <w:tcPr>
            <w:tcW w:w="1839" w:type="dxa"/>
            <w:tcBorders>
              <w:top w:val="nil"/>
              <w:left w:val="nil"/>
              <w:bottom w:val="nil"/>
              <w:right w:val="nil"/>
            </w:tcBorders>
            <w:shd w:val="clear" w:color="auto" w:fill="auto"/>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proofErr w:type="spellStart"/>
            <w:r w:rsidRPr="005F5BC9">
              <w:rPr>
                <w:rFonts w:ascii="Arial" w:eastAsia="Times New Roman" w:hAnsi="Arial" w:cs="Arial"/>
                <w:i/>
                <w:iCs/>
                <w:vertAlign w:val="baseline"/>
                <w:lang w:eastAsia="pt-BR"/>
              </w:rPr>
              <w:lastRenderedPageBreak/>
              <w:t>Dummies</w:t>
            </w:r>
            <w:r w:rsidRPr="005F5BC9">
              <w:rPr>
                <w:rFonts w:ascii="Arial" w:eastAsia="Times New Roman" w:hAnsi="Arial" w:cs="Arial"/>
                <w:vertAlign w:val="baseline"/>
                <w:lang w:eastAsia="pt-BR"/>
              </w:rPr>
              <w:t>de</w:t>
            </w:r>
            <w:proofErr w:type="spellEnd"/>
            <w:r w:rsidRPr="005F5BC9">
              <w:rPr>
                <w:rFonts w:ascii="Arial" w:eastAsia="Times New Roman" w:hAnsi="Arial" w:cs="Arial"/>
                <w:vertAlign w:val="baseline"/>
                <w:lang w:eastAsia="pt-BR"/>
              </w:rPr>
              <w:t xml:space="preserve"> ano</w:t>
            </w:r>
          </w:p>
        </w:tc>
        <w:tc>
          <w:tcPr>
            <w:tcW w:w="1967" w:type="dxa"/>
            <w:gridSpan w:val="2"/>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967" w:type="dxa"/>
            <w:gridSpan w:val="2"/>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967" w:type="dxa"/>
            <w:gridSpan w:val="2"/>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EC21BA" w:rsidRPr="005F5BC9" w:rsidTr="00EC21BA">
        <w:trPr>
          <w:trHeight w:val="255"/>
        </w:trPr>
        <w:tc>
          <w:tcPr>
            <w:tcW w:w="1839" w:type="dxa"/>
            <w:tcBorders>
              <w:top w:val="nil"/>
              <w:left w:val="nil"/>
              <w:bottom w:val="single" w:sz="4" w:space="0" w:color="auto"/>
              <w:right w:val="nil"/>
            </w:tcBorders>
            <w:shd w:val="clear" w:color="auto" w:fill="auto"/>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Observações</w:t>
            </w:r>
          </w:p>
        </w:tc>
        <w:tc>
          <w:tcPr>
            <w:tcW w:w="5901" w:type="dxa"/>
            <w:gridSpan w:val="6"/>
            <w:tcBorders>
              <w:top w:val="nil"/>
              <w:left w:val="nil"/>
              <w:bottom w:val="nil"/>
              <w:right w:val="nil"/>
            </w:tcBorders>
            <w:shd w:val="clear" w:color="auto" w:fill="auto"/>
            <w:noWrap/>
            <w:vAlign w:val="bottom"/>
            <w:hideMark/>
          </w:tcPr>
          <w:p w:rsidR="00EC21BA" w:rsidRPr="005F5BC9" w:rsidRDefault="001D6770" w:rsidP="00A415C1">
            <w:pPr>
              <w:spacing w:after="0" w:line="240" w:lineRule="auto"/>
              <w:jc w:val="left"/>
              <w:rPr>
                <w:rFonts w:ascii="Arial" w:eastAsia="Times New Roman" w:hAnsi="Arial" w:cs="Arial"/>
                <w:color w:val="000000"/>
                <w:sz w:val="22"/>
                <w:szCs w:val="22"/>
                <w:vertAlign w:val="baseline"/>
                <w:lang w:eastAsia="pt-BR"/>
              </w:rPr>
            </w:pPr>
            <w:r>
              <w:rPr>
                <w:rFonts w:ascii="Arial" w:eastAsia="Times New Roman" w:hAnsi="Arial" w:cs="Arial"/>
                <w:noProof/>
                <w:color w:val="000000"/>
                <w:sz w:val="22"/>
                <w:szCs w:val="22"/>
                <w:vertAlign w:val="baseline"/>
                <w:lang w:eastAsia="pt-BR"/>
              </w:rPr>
              <mc:AlternateContent>
                <mc:Choice Requires="wps">
                  <w:drawing>
                    <wp:anchor distT="0" distB="0" distL="114300" distR="114300" simplePos="0" relativeHeight="251662336" behindDoc="0" locked="0" layoutInCell="1" allowOverlap="1">
                      <wp:simplePos x="0" y="0"/>
                      <wp:positionH relativeFrom="column">
                        <wp:posOffset>2438400</wp:posOffset>
                      </wp:positionH>
                      <wp:positionV relativeFrom="paragraph">
                        <wp:posOffset>0</wp:posOffset>
                      </wp:positionV>
                      <wp:extent cx="914400" cy="266700"/>
                      <wp:effectExtent l="0" t="0" r="0" b="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66700"/>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 o:spid="_x0000_s1026" type="#_x0000_t202" style="position:absolute;margin-left:192pt;margin-top:0;width:1in;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" filled="f" stroked="f">
                      <v:path arrowok="t"/>
                      <v:textbox style="mso-fit-shape-to-text:t"/>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760"/>
            </w:tblGrid>
            <w:tr w:rsidR="00EC21BA" w:rsidRPr="005F5BC9" w:rsidTr="00A415C1">
              <w:trPr>
                <w:trHeight w:val="255"/>
                <w:tblCellSpacing w:w="0" w:type="dxa"/>
              </w:trPr>
              <w:tc>
                <w:tcPr>
                  <w:tcW w:w="5760" w:type="dxa"/>
                  <w:tcBorders>
                    <w:top w:val="nil"/>
                    <w:left w:val="nil"/>
                    <w:bottom w:val="single" w:sz="4" w:space="0" w:color="auto"/>
                    <w:right w:val="nil"/>
                  </w:tcBorders>
                  <w:shd w:val="clear" w:color="auto" w:fill="auto"/>
                  <w:noWrap/>
                  <w:vAlign w:val="center"/>
                  <w:hideMark/>
                </w:tcPr>
                <w:p w:rsidR="00EC21BA" w:rsidRPr="005F5BC9" w:rsidRDefault="00EC21BA" w:rsidP="00A415C1">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32,367</w:t>
                  </w:r>
                </w:p>
              </w:tc>
            </w:tr>
          </w:tbl>
          <w:p w:rsidR="00EC21BA" w:rsidRPr="005F5BC9" w:rsidRDefault="00EC21BA" w:rsidP="00A415C1">
            <w:pPr>
              <w:spacing w:after="0" w:line="240" w:lineRule="auto"/>
              <w:jc w:val="left"/>
              <w:rPr>
                <w:rFonts w:ascii="Arial" w:eastAsia="Times New Roman" w:hAnsi="Arial" w:cs="Arial"/>
                <w:color w:val="000000"/>
                <w:sz w:val="22"/>
                <w:szCs w:val="22"/>
                <w:vertAlign w:val="baseline"/>
                <w:lang w:eastAsia="pt-BR"/>
              </w:rPr>
            </w:pPr>
          </w:p>
        </w:tc>
      </w:tr>
      <w:tr w:rsidR="00EC21BA" w:rsidRPr="005F5BC9" w:rsidTr="00EC21BA">
        <w:trPr>
          <w:trHeight w:val="255"/>
        </w:trPr>
        <w:tc>
          <w:tcPr>
            <w:tcW w:w="2849" w:type="dxa"/>
            <w:gridSpan w:val="2"/>
            <w:tcBorders>
              <w:top w:val="nil"/>
              <w:left w:val="nil"/>
              <w:bottom w:val="nil"/>
              <w:right w:val="nil"/>
            </w:tcBorders>
            <w:shd w:val="clear" w:color="auto" w:fill="auto"/>
            <w:noWrap/>
            <w:vAlign w:val="center"/>
            <w:hideMark/>
          </w:tcPr>
          <w:p w:rsidR="00EC21BA" w:rsidRPr="005F5BC9" w:rsidRDefault="00EC21BA" w:rsidP="00A415C1">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p&lt;0.01, ** p&lt;0.05, * p&lt;0.1</w:t>
            </w: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p>
        </w:tc>
        <w:tc>
          <w:tcPr>
            <w:tcW w:w="1010"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p>
        </w:tc>
        <w:tc>
          <w:tcPr>
            <w:tcW w:w="1010"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p>
        </w:tc>
        <w:tc>
          <w:tcPr>
            <w:tcW w:w="957" w:type="dxa"/>
            <w:tcBorders>
              <w:top w:val="nil"/>
              <w:left w:val="nil"/>
              <w:bottom w:val="nil"/>
              <w:right w:val="nil"/>
            </w:tcBorders>
            <w:shd w:val="clear" w:color="auto" w:fill="auto"/>
            <w:noWrap/>
            <w:vAlign w:val="bottom"/>
            <w:hideMark/>
          </w:tcPr>
          <w:p w:rsidR="00EC21BA" w:rsidRPr="005F5BC9" w:rsidRDefault="00EC21BA" w:rsidP="00A415C1">
            <w:pPr>
              <w:spacing w:after="0" w:line="240" w:lineRule="auto"/>
              <w:jc w:val="left"/>
              <w:rPr>
                <w:rFonts w:ascii="Arial" w:eastAsia="Times New Roman" w:hAnsi="Arial" w:cs="Arial"/>
                <w:color w:val="000000"/>
                <w:vertAlign w:val="baseline"/>
                <w:lang w:eastAsia="pt-BR"/>
              </w:rPr>
            </w:pPr>
          </w:p>
        </w:tc>
      </w:tr>
    </w:tbl>
    <w:p w:rsidR="00F80365" w:rsidRDefault="00F80365" w:rsidP="00F80365">
      <w:pPr>
        <w:pStyle w:val="PargrafodaLista"/>
        <w:spacing w:after="0" w:line="240" w:lineRule="auto"/>
        <w:ind w:left="780"/>
        <w:rPr>
          <w:rFonts w:ascii="Arial" w:hAnsi="Arial" w:cs="Arial"/>
          <w:b/>
          <w:sz w:val="24"/>
          <w:szCs w:val="24"/>
          <w:vertAlign w:val="baseline"/>
        </w:rPr>
      </w:pPr>
    </w:p>
    <w:tbl>
      <w:tblPr>
        <w:tblW w:w="8080" w:type="dxa"/>
        <w:tblInd w:w="55" w:type="dxa"/>
        <w:tblCellMar>
          <w:left w:w="70" w:type="dxa"/>
          <w:right w:w="70" w:type="dxa"/>
        </w:tblCellMar>
        <w:tblLook w:val="04A0" w:firstRow="1" w:lastRow="0" w:firstColumn="1" w:lastColumn="0" w:noHBand="0" w:noVBand="1"/>
      </w:tblPr>
      <w:tblGrid>
        <w:gridCol w:w="2320"/>
        <w:gridCol w:w="960"/>
        <w:gridCol w:w="960"/>
        <w:gridCol w:w="960"/>
        <w:gridCol w:w="960"/>
        <w:gridCol w:w="960"/>
        <w:gridCol w:w="960"/>
      </w:tblGrid>
      <w:tr w:rsidR="00EE2C2E" w:rsidRPr="005F5BC9" w:rsidTr="00CB4A78">
        <w:trPr>
          <w:trHeight w:val="255"/>
        </w:trPr>
        <w:tc>
          <w:tcPr>
            <w:tcW w:w="8080" w:type="dxa"/>
            <w:gridSpan w:val="7"/>
            <w:tcBorders>
              <w:top w:val="nil"/>
              <w:left w:val="nil"/>
              <w:bottom w:val="nil"/>
              <w:right w:val="nil"/>
            </w:tcBorders>
            <w:shd w:val="clear" w:color="auto" w:fill="auto"/>
            <w:vAlign w:val="center"/>
            <w:hideMark/>
          </w:tcPr>
          <w:p w:rsidR="00B7505E" w:rsidRDefault="00B7505E" w:rsidP="00E402B1">
            <w:pPr>
              <w:spacing w:after="0" w:line="240" w:lineRule="auto"/>
              <w:jc w:val="center"/>
              <w:rPr>
                <w:rFonts w:ascii="Arial" w:eastAsia="Times New Roman" w:hAnsi="Arial" w:cs="Arial"/>
                <w:b/>
                <w:bCs/>
                <w:vertAlign w:val="baseline"/>
                <w:lang w:eastAsia="pt-BR"/>
              </w:rPr>
            </w:pPr>
          </w:p>
          <w:p w:rsidR="00EE2C2E" w:rsidRPr="005F5BC9" w:rsidRDefault="00EE2C2E" w:rsidP="00E402B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Tabela 1</w:t>
            </w:r>
            <w:r w:rsidR="00E402B1">
              <w:rPr>
                <w:rFonts w:ascii="Arial" w:eastAsia="Times New Roman" w:hAnsi="Arial" w:cs="Arial"/>
                <w:b/>
                <w:bCs/>
                <w:vertAlign w:val="baseline"/>
                <w:lang w:eastAsia="pt-BR"/>
              </w:rPr>
              <w:t>7</w:t>
            </w:r>
            <w:r w:rsidRPr="005F5BC9">
              <w:rPr>
                <w:rFonts w:ascii="Arial" w:eastAsia="Times New Roman" w:hAnsi="Arial" w:cs="Arial"/>
                <w:b/>
                <w:bCs/>
                <w:vertAlign w:val="baseline"/>
                <w:lang w:eastAsia="pt-BR"/>
              </w:rPr>
              <w:t xml:space="preserve"> - Determinantes dos Gastos em Saúde: </w:t>
            </w:r>
            <w:proofErr w:type="spellStart"/>
            <w:r w:rsidRPr="005F5BC9">
              <w:rPr>
                <w:rFonts w:ascii="Arial" w:eastAsia="Times New Roman" w:hAnsi="Arial" w:cs="Arial"/>
                <w:b/>
                <w:bCs/>
                <w:vertAlign w:val="baseline"/>
                <w:lang w:eastAsia="pt-BR"/>
              </w:rPr>
              <w:t>Quantílica</w:t>
            </w:r>
            <w:proofErr w:type="spellEnd"/>
            <w:r w:rsidRPr="005F5BC9">
              <w:rPr>
                <w:rFonts w:ascii="Arial" w:eastAsia="Times New Roman" w:hAnsi="Arial" w:cs="Arial"/>
                <w:b/>
                <w:bCs/>
                <w:vertAlign w:val="baseline"/>
                <w:lang w:eastAsia="pt-BR"/>
              </w:rPr>
              <w:t xml:space="preserve"> com Efeitos Fixos Log-log</w:t>
            </w:r>
          </w:p>
        </w:tc>
      </w:tr>
      <w:tr w:rsidR="00EE2C2E" w:rsidRPr="005F5BC9" w:rsidTr="00CB4A78">
        <w:trPr>
          <w:trHeight w:val="255"/>
        </w:trPr>
        <w:tc>
          <w:tcPr>
            <w:tcW w:w="2320" w:type="dxa"/>
            <w:tcBorders>
              <w:top w:val="single" w:sz="4" w:space="0" w:color="auto"/>
              <w:left w:val="nil"/>
              <w:bottom w:val="single" w:sz="4" w:space="0" w:color="auto"/>
              <w:right w:val="nil"/>
            </w:tcBorders>
            <w:shd w:val="clear" w:color="auto" w:fill="auto"/>
            <w:vAlign w:val="center"/>
            <w:hideMark/>
          </w:tcPr>
          <w:p w:rsidR="00EE2C2E" w:rsidRPr="005F5BC9" w:rsidRDefault="00EE2C2E"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1920" w:type="dxa"/>
            <w:gridSpan w:val="2"/>
            <w:tcBorders>
              <w:top w:val="single" w:sz="4" w:space="0" w:color="auto"/>
              <w:left w:val="nil"/>
              <w:bottom w:val="single" w:sz="4" w:space="0" w:color="auto"/>
              <w:right w:val="nil"/>
            </w:tcBorders>
            <w:shd w:val="clear" w:color="auto" w:fill="auto"/>
            <w:vAlign w:val="center"/>
            <w:hideMark/>
          </w:tcPr>
          <w:p w:rsidR="00EE2C2E" w:rsidRPr="005F5BC9" w:rsidRDefault="00EE2C2E" w:rsidP="00CB4A78">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25%</w:t>
            </w:r>
          </w:p>
        </w:tc>
        <w:tc>
          <w:tcPr>
            <w:tcW w:w="1920" w:type="dxa"/>
            <w:gridSpan w:val="2"/>
            <w:tcBorders>
              <w:top w:val="single" w:sz="4" w:space="0" w:color="auto"/>
              <w:left w:val="nil"/>
              <w:bottom w:val="single" w:sz="4" w:space="0" w:color="auto"/>
              <w:right w:val="nil"/>
            </w:tcBorders>
            <w:shd w:val="clear" w:color="auto" w:fill="auto"/>
            <w:vAlign w:val="center"/>
            <w:hideMark/>
          </w:tcPr>
          <w:p w:rsidR="00EE2C2E" w:rsidRPr="005F5BC9" w:rsidRDefault="00EE2C2E" w:rsidP="00CB4A78">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50%</w:t>
            </w:r>
          </w:p>
        </w:tc>
        <w:tc>
          <w:tcPr>
            <w:tcW w:w="1920" w:type="dxa"/>
            <w:gridSpan w:val="2"/>
            <w:tcBorders>
              <w:top w:val="single" w:sz="4" w:space="0" w:color="auto"/>
              <w:left w:val="nil"/>
              <w:bottom w:val="single" w:sz="4" w:space="0" w:color="auto"/>
              <w:right w:val="nil"/>
            </w:tcBorders>
            <w:shd w:val="clear" w:color="auto" w:fill="auto"/>
            <w:vAlign w:val="center"/>
            <w:hideMark/>
          </w:tcPr>
          <w:p w:rsidR="00EE2C2E" w:rsidRPr="005F5BC9" w:rsidRDefault="00EE2C2E" w:rsidP="00CB4A78">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75%</w:t>
            </w:r>
          </w:p>
        </w:tc>
      </w:tr>
      <w:tr w:rsidR="00EE2C2E" w:rsidRPr="005F5BC9" w:rsidTr="00CB4A78">
        <w:trPr>
          <w:trHeight w:val="510"/>
        </w:trPr>
        <w:tc>
          <w:tcPr>
            <w:tcW w:w="2320" w:type="dxa"/>
            <w:tcBorders>
              <w:top w:val="nil"/>
              <w:left w:val="nil"/>
              <w:bottom w:val="single" w:sz="4" w:space="0" w:color="auto"/>
              <w:right w:val="nil"/>
            </w:tcBorders>
            <w:shd w:val="clear" w:color="auto" w:fill="auto"/>
            <w:vAlign w:val="center"/>
            <w:hideMark/>
          </w:tcPr>
          <w:p w:rsidR="00EE2C2E" w:rsidRPr="005F5BC9" w:rsidRDefault="00EE2C2E"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960" w:type="dxa"/>
            <w:tcBorders>
              <w:top w:val="nil"/>
              <w:left w:val="nil"/>
              <w:bottom w:val="single" w:sz="4" w:space="0" w:color="auto"/>
              <w:right w:val="nil"/>
            </w:tcBorders>
            <w:shd w:val="clear" w:color="auto" w:fill="auto"/>
            <w:vAlign w:val="center"/>
            <w:hideMark/>
          </w:tcPr>
          <w:p w:rsidR="00EE2C2E" w:rsidRPr="005F5BC9" w:rsidRDefault="00EE2C2E" w:rsidP="00CB4A78">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960" w:type="dxa"/>
            <w:tcBorders>
              <w:top w:val="nil"/>
              <w:left w:val="nil"/>
              <w:bottom w:val="single" w:sz="4" w:space="0" w:color="auto"/>
              <w:right w:val="nil"/>
            </w:tcBorders>
            <w:shd w:val="clear" w:color="auto" w:fill="auto"/>
            <w:vAlign w:val="center"/>
            <w:hideMark/>
          </w:tcPr>
          <w:p w:rsidR="00EE2C2E" w:rsidRPr="005F5BC9" w:rsidRDefault="00EE2C2E" w:rsidP="00CB4A78">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960" w:type="dxa"/>
            <w:tcBorders>
              <w:top w:val="nil"/>
              <w:left w:val="nil"/>
              <w:bottom w:val="single" w:sz="4" w:space="0" w:color="auto"/>
              <w:right w:val="nil"/>
            </w:tcBorders>
            <w:shd w:val="clear" w:color="auto" w:fill="auto"/>
            <w:vAlign w:val="center"/>
            <w:hideMark/>
          </w:tcPr>
          <w:p w:rsidR="00EE2C2E" w:rsidRPr="005F5BC9" w:rsidRDefault="00EE2C2E" w:rsidP="00CB4A78">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960" w:type="dxa"/>
            <w:tcBorders>
              <w:top w:val="nil"/>
              <w:left w:val="nil"/>
              <w:bottom w:val="single" w:sz="4" w:space="0" w:color="auto"/>
              <w:right w:val="nil"/>
            </w:tcBorders>
            <w:shd w:val="clear" w:color="auto" w:fill="auto"/>
            <w:vAlign w:val="center"/>
            <w:hideMark/>
          </w:tcPr>
          <w:p w:rsidR="00EE2C2E" w:rsidRPr="005F5BC9" w:rsidRDefault="00EE2C2E" w:rsidP="00CB4A78">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960" w:type="dxa"/>
            <w:tcBorders>
              <w:top w:val="nil"/>
              <w:left w:val="nil"/>
              <w:bottom w:val="single" w:sz="4" w:space="0" w:color="auto"/>
              <w:right w:val="nil"/>
            </w:tcBorders>
            <w:shd w:val="clear" w:color="auto" w:fill="auto"/>
            <w:vAlign w:val="center"/>
            <w:hideMark/>
          </w:tcPr>
          <w:p w:rsidR="00EE2C2E" w:rsidRPr="005F5BC9" w:rsidRDefault="00EE2C2E" w:rsidP="00CB4A78">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960" w:type="dxa"/>
            <w:tcBorders>
              <w:top w:val="nil"/>
              <w:left w:val="nil"/>
              <w:bottom w:val="single" w:sz="4" w:space="0" w:color="auto"/>
              <w:right w:val="nil"/>
            </w:tcBorders>
            <w:shd w:val="clear" w:color="auto" w:fill="auto"/>
            <w:vAlign w:val="center"/>
            <w:hideMark/>
          </w:tcPr>
          <w:p w:rsidR="00EE2C2E" w:rsidRPr="005F5BC9" w:rsidRDefault="00EE2C2E" w:rsidP="00CB4A78">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r>
      <w:tr w:rsidR="00EC21BA" w:rsidRPr="005F5BC9" w:rsidTr="008941B3">
        <w:trPr>
          <w:trHeight w:val="255"/>
        </w:trPr>
        <w:tc>
          <w:tcPr>
            <w:tcW w:w="2320"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LPIB</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0.099***</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0.005</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0.103***</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0.006</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0.117***</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0.007</w:t>
            </w:r>
          </w:p>
        </w:tc>
      </w:tr>
      <w:tr w:rsidR="00EC21BA" w:rsidRPr="005F5BC9" w:rsidTr="008941B3">
        <w:trPr>
          <w:trHeight w:val="255"/>
        </w:trPr>
        <w:tc>
          <w:tcPr>
            <w:tcW w:w="2320"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LPAB</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0.102***</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0.008</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0.111***</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0.009</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0.131***</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0.012</w:t>
            </w:r>
          </w:p>
        </w:tc>
      </w:tr>
      <w:tr w:rsidR="00EC21BA" w:rsidRPr="005F5BC9" w:rsidTr="008941B3">
        <w:trPr>
          <w:trHeight w:val="255"/>
        </w:trPr>
        <w:tc>
          <w:tcPr>
            <w:tcW w:w="2320"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proofErr w:type="spellStart"/>
            <w:proofErr w:type="gramStart"/>
            <w:r>
              <w:rPr>
                <w:rFonts w:ascii="Arial" w:eastAsia="Times New Roman" w:hAnsi="Arial" w:cs="Arial"/>
                <w:vertAlign w:val="baseline"/>
                <w:lang w:eastAsia="pt-BR"/>
              </w:rPr>
              <w:t>LOutras</w:t>
            </w:r>
            <w:proofErr w:type="spellEnd"/>
            <w:proofErr w:type="gramEnd"/>
            <w:r>
              <w:rPr>
                <w:rFonts w:ascii="Arial" w:eastAsia="Times New Roman" w:hAnsi="Arial" w:cs="Arial"/>
                <w:vertAlign w:val="baseline"/>
                <w:lang w:eastAsia="pt-BR"/>
              </w:rPr>
              <w:t xml:space="preserve"> </w:t>
            </w:r>
            <w:proofErr w:type="spellStart"/>
            <w:r>
              <w:rPr>
                <w:rFonts w:ascii="Arial" w:eastAsia="Times New Roman" w:hAnsi="Arial" w:cs="Arial"/>
                <w:vertAlign w:val="baseline"/>
                <w:lang w:eastAsia="pt-BR"/>
              </w:rPr>
              <w:t>transf.SUS</w:t>
            </w:r>
            <w:proofErr w:type="spellEnd"/>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0.325***</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0.004</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0.307***</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0.005</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0.288***</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0.005</w:t>
            </w:r>
          </w:p>
        </w:tc>
      </w:tr>
      <w:tr w:rsidR="00EC21BA" w:rsidRPr="005F5BC9" w:rsidTr="008941B3">
        <w:trPr>
          <w:trHeight w:val="255"/>
        </w:trPr>
        <w:tc>
          <w:tcPr>
            <w:tcW w:w="2320"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LFPM</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0.419***</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0.006</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0.431***</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0.007</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0.439***</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0.008</w:t>
            </w:r>
          </w:p>
        </w:tc>
      </w:tr>
      <w:tr w:rsidR="00EC21BA" w:rsidRPr="005F5BC9" w:rsidTr="008941B3">
        <w:trPr>
          <w:trHeight w:val="255"/>
        </w:trPr>
        <w:tc>
          <w:tcPr>
            <w:tcW w:w="2320"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proofErr w:type="spellStart"/>
            <w:proofErr w:type="gramStart"/>
            <w:r>
              <w:rPr>
                <w:rFonts w:ascii="Arial" w:eastAsia="Times New Roman" w:hAnsi="Arial" w:cs="Arial"/>
                <w:vertAlign w:val="baseline"/>
                <w:lang w:eastAsia="pt-BR"/>
              </w:rPr>
              <w:t>LRoyalties</w:t>
            </w:r>
            <w:proofErr w:type="spellEnd"/>
            <w:proofErr w:type="gramEnd"/>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0.022***</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0.003</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0.033***</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0.004</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0.047***</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0.005</w:t>
            </w:r>
          </w:p>
        </w:tc>
      </w:tr>
      <w:tr w:rsidR="00EC21BA" w:rsidRPr="005F5BC9" w:rsidTr="008941B3">
        <w:trPr>
          <w:trHeight w:val="255"/>
        </w:trPr>
        <w:tc>
          <w:tcPr>
            <w:tcW w:w="2320"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proofErr w:type="spellStart"/>
            <w:proofErr w:type="gramStart"/>
            <w:r>
              <w:rPr>
                <w:rFonts w:ascii="Arial" w:eastAsia="Times New Roman" w:hAnsi="Arial" w:cs="Arial"/>
                <w:vertAlign w:val="baseline"/>
                <w:lang w:eastAsia="pt-BR"/>
              </w:rPr>
              <w:t>LOutras</w:t>
            </w:r>
            <w:proofErr w:type="spellEnd"/>
            <w:proofErr w:type="gramEnd"/>
            <w:r>
              <w:rPr>
                <w:rFonts w:ascii="Arial" w:eastAsia="Times New Roman" w:hAnsi="Arial" w:cs="Arial"/>
                <w:vertAlign w:val="baseline"/>
                <w:lang w:eastAsia="pt-BR"/>
              </w:rPr>
              <w:t xml:space="preserve"> </w:t>
            </w:r>
            <w:proofErr w:type="spellStart"/>
            <w:r>
              <w:rPr>
                <w:rFonts w:ascii="Arial" w:eastAsia="Times New Roman" w:hAnsi="Arial" w:cs="Arial"/>
                <w:vertAlign w:val="baseline"/>
                <w:lang w:eastAsia="pt-BR"/>
              </w:rPr>
              <w:t>transf</w:t>
            </w:r>
            <w:proofErr w:type="spellEnd"/>
            <w:r>
              <w:rPr>
                <w:rFonts w:ascii="Arial" w:eastAsia="Times New Roman" w:hAnsi="Arial" w:cs="Arial"/>
                <w:vertAlign w:val="baseline"/>
                <w:lang w:eastAsia="pt-BR"/>
              </w:rPr>
              <w:t>.</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0.250***</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0.007</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0.255***</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0.007</w:t>
            </w:r>
          </w:p>
        </w:tc>
        <w:tc>
          <w:tcPr>
            <w:tcW w:w="960" w:type="dxa"/>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0.262***</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0.008</w:t>
            </w:r>
          </w:p>
        </w:tc>
      </w:tr>
      <w:tr w:rsidR="00EC21BA" w:rsidRPr="005F5BC9" w:rsidTr="00CB4A78">
        <w:trPr>
          <w:trHeight w:val="255"/>
        </w:trPr>
        <w:tc>
          <w:tcPr>
            <w:tcW w:w="2320" w:type="dxa"/>
            <w:tcBorders>
              <w:top w:val="nil"/>
              <w:left w:val="nil"/>
              <w:bottom w:val="nil"/>
              <w:right w:val="nil"/>
            </w:tcBorders>
            <w:shd w:val="clear" w:color="auto" w:fill="auto"/>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Controles</w:t>
            </w:r>
          </w:p>
        </w:tc>
        <w:tc>
          <w:tcPr>
            <w:tcW w:w="1920" w:type="dxa"/>
            <w:gridSpan w:val="2"/>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920" w:type="dxa"/>
            <w:gridSpan w:val="2"/>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920" w:type="dxa"/>
            <w:gridSpan w:val="2"/>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EC21BA" w:rsidRPr="005F5BC9" w:rsidTr="00CB4A78">
        <w:trPr>
          <w:trHeight w:val="255"/>
        </w:trPr>
        <w:tc>
          <w:tcPr>
            <w:tcW w:w="2320" w:type="dxa"/>
            <w:tcBorders>
              <w:top w:val="nil"/>
              <w:left w:val="nil"/>
              <w:bottom w:val="nil"/>
              <w:right w:val="nil"/>
            </w:tcBorders>
            <w:shd w:val="clear" w:color="auto" w:fill="auto"/>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proofErr w:type="spellStart"/>
            <w:r w:rsidRPr="005F5BC9">
              <w:rPr>
                <w:rFonts w:ascii="Arial" w:eastAsia="Times New Roman" w:hAnsi="Arial" w:cs="Arial"/>
                <w:i/>
                <w:iCs/>
                <w:vertAlign w:val="baseline"/>
                <w:lang w:eastAsia="pt-BR"/>
              </w:rPr>
              <w:t>Dummies</w:t>
            </w:r>
            <w:r w:rsidRPr="005F5BC9">
              <w:rPr>
                <w:rFonts w:ascii="Arial" w:eastAsia="Times New Roman" w:hAnsi="Arial" w:cs="Arial"/>
                <w:vertAlign w:val="baseline"/>
                <w:lang w:eastAsia="pt-BR"/>
              </w:rPr>
              <w:t>de</w:t>
            </w:r>
            <w:proofErr w:type="spellEnd"/>
            <w:r w:rsidRPr="005F5BC9">
              <w:rPr>
                <w:rFonts w:ascii="Arial" w:eastAsia="Times New Roman" w:hAnsi="Arial" w:cs="Arial"/>
                <w:vertAlign w:val="baseline"/>
                <w:lang w:eastAsia="pt-BR"/>
              </w:rPr>
              <w:t xml:space="preserve"> ano</w:t>
            </w:r>
          </w:p>
        </w:tc>
        <w:tc>
          <w:tcPr>
            <w:tcW w:w="1920" w:type="dxa"/>
            <w:gridSpan w:val="2"/>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920" w:type="dxa"/>
            <w:gridSpan w:val="2"/>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920" w:type="dxa"/>
            <w:gridSpan w:val="2"/>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EC21BA" w:rsidRPr="005F5BC9" w:rsidTr="00CB4A78">
        <w:trPr>
          <w:trHeight w:val="255"/>
        </w:trPr>
        <w:tc>
          <w:tcPr>
            <w:tcW w:w="2320" w:type="dxa"/>
            <w:tcBorders>
              <w:top w:val="nil"/>
              <w:left w:val="nil"/>
              <w:bottom w:val="single" w:sz="4" w:space="0" w:color="auto"/>
              <w:right w:val="nil"/>
            </w:tcBorders>
            <w:shd w:val="clear" w:color="auto" w:fill="auto"/>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Observações</w:t>
            </w:r>
          </w:p>
        </w:tc>
        <w:tc>
          <w:tcPr>
            <w:tcW w:w="5760" w:type="dxa"/>
            <w:gridSpan w:val="6"/>
            <w:tcBorders>
              <w:top w:val="nil"/>
              <w:left w:val="nil"/>
              <w:bottom w:val="single" w:sz="4" w:space="0" w:color="auto"/>
              <w:right w:val="nil"/>
            </w:tcBorders>
            <w:shd w:val="clear" w:color="auto" w:fill="auto"/>
            <w:noWrap/>
            <w:vAlign w:val="center"/>
            <w:hideMark/>
          </w:tcPr>
          <w:p w:rsidR="00EC21BA" w:rsidRPr="005F5BC9" w:rsidRDefault="00EC21BA" w:rsidP="00CB4A78">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32,286</w:t>
            </w:r>
          </w:p>
        </w:tc>
      </w:tr>
      <w:tr w:rsidR="00EC21BA" w:rsidRPr="005F5BC9" w:rsidTr="00CB4A78">
        <w:trPr>
          <w:trHeight w:val="255"/>
        </w:trPr>
        <w:tc>
          <w:tcPr>
            <w:tcW w:w="3280" w:type="dxa"/>
            <w:gridSpan w:val="2"/>
            <w:tcBorders>
              <w:top w:val="nil"/>
              <w:left w:val="nil"/>
              <w:bottom w:val="nil"/>
              <w:right w:val="nil"/>
            </w:tcBorders>
            <w:shd w:val="clear" w:color="auto" w:fill="auto"/>
            <w:noWrap/>
            <w:vAlign w:val="center"/>
            <w:hideMark/>
          </w:tcPr>
          <w:p w:rsidR="00EC21BA" w:rsidRPr="005F5BC9" w:rsidRDefault="00EC21BA" w:rsidP="00CB4A78">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p&lt;0.01, ** p&lt;0.05, * p&lt;0.1</w:t>
            </w: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p>
        </w:tc>
        <w:tc>
          <w:tcPr>
            <w:tcW w:w="960" w:type="dxa"/>
            <w:tcBorders>
              <w:top w:val="nil"/>
              <w:left w:val="nil"/>
              <w:bottom w:val="nil"/>
              <w:right w:val="nil"/>
            </w:tcBorders>
            <w:shd w:val="clear" w:color="auto" w:fill="auto"/>
            <w:noWrap/>
            <w:vAlign w:val="bottom"/>
            <w:hideMark/>
          </w:tcPr>
          <w:p w:rsidR="00EC21BA" w:rsidRPr="005F5BC9" w:rsidRDefault="00EC21BA" w:rsidP="00CB4A78">
            <w:pPr>
              <w:spacing w:after="0" w:line="240" w:lineRule="auto"/>
              <w:jc w:val="left"/>
              <w:rPr>
                <w:rFonts w:ascii="Arial" w:eastAsia="Times New Roman" w:hAnsi="Arial" w:cs="Arial"/>
                <w:color w:val="000000"/>
                <w:vertAlign w:val="baseline"/>
                <w:lang w:eastAsia="pt-BR"/>
              </w:rPr>
            </w:pPr>
          </w:p>
        </w:tc>
      </w:tr>
    </w:tbl>
    <w:p w:rsidR="00F80365" w:rsidRDefault="00F80365" w:rsidP="00F80365">
      <w:pPr>
        <w:spacing w:after="0" w:line="240" w:lineRule="auto"/>
        <w:rPr>
          <w:rFonts w:ascii="Arial" w:hAnsi="Arial" w:cs="Arial"/>
          <w:b/>
          <w:sz w:val="24"/>
          <w:szCs w:val="24"/>
          <w:vertAlign w:val="baseline"/>
        </w:rPr>
      </w:pPr>
    </w:p>
    <w:tbl>
      <w:tblPr>
        <w:tblW w:w="8070" w:type="dxa"/>
        <w:tblInd w:w="55" w:type="dxa"/>
        <w:tblCellMar>
          <w:left w:w="70" w:type="dxa"/>
          <w:right w:w="70" w:type="dxa"/>
        </w:tblCellMar>
        <w:tblLook w:val="04A0" w:firstRow="1" w:lastRow="0" w:firstColumn="1" w:lastColumn="0" w:noHBand="0" w:noVBand="1"/>
      </w:tblPr>
      <w:tblGrid>
        <w:gridCol w:w="2131"/>
        <w:gridCol w:w="25"/>
        <w:gridCol w:w="849"/>
        <w:gridCol w:w="224"/>
        <w:gridCol w:w="595"/>
        <w:gridCol w:w="261"/>
        <w:gridCol w:w="622"/>
        <w:gridCol w:w="523"/>
        <w:gridCol w:w="296"/>
        <w:gridCol w:w="583"/>
        <w:gridCol w:w="291"/>
        <w:gridCol w:w="819"/>
        <w:gridCol w:w="32"/>
        <w:gridCol w:w="819"/>
      </w:tblGrid>
      <w:tr w:rsidR="00EC49ED" w:rsidRPr="005F5BC9" w:rsidTr="00993E7A">
        <w:trPr>
          <w:trHeight w:val="255"/>
        </w:trPr>
        <w:tc>
          <w:tcPr>
            <w:tcW w:w="8070" w:type="dxa"/>
            <w:gridSpan w:val="14"/>
            <w:tcBorders>
              <w:top w:val="nil"/>
              <w:left w:val="nil"/>
              <w:bottom w:val="nil"/>
              <w:right w:val="nil"/>
            </w:tcBorders>
            <w:shd w:val="clear" w:color="auto" w:fill="auto"/>
            <w:vAlign w:val="center"/>
            <w:hideMark/>
          </w:tcPr>
          <w:p w:rsidR="00993E7A" w:rsidRDefault="00993E7A" w:rsidP="00E402B1">
            <w:pPr>
              <w:spacing w:after="0" w:line="240" w:lineRule="auto"/>
              <w:jc w:val="center"/>
              <w:rPr>
                <w:rFonts w:ascii="Arial" w:eastAsia="Times New Roman" w:hAnsi="Arial" w:cs="Arial"/>
                <w:b/>
                <w:bCs/>
                <w:vertAlign w:val="baseline"/>
                <w:lang w:eastAsia="pt-BR"/>
              </w:rPr>
            </w:pPr>
          </w:p>
          <w:p w:rsidR="00993E7A" w:rsidRDefault="00993E7A" w:rsidP="00E402B1">
            <w:pPr>
              <w:spacing w:after="0" w:line="240" w:lineRule="auto"/>
              <w:jc w:val="center"/>
              <w:rPr>
                <w:rFonts w:ascii="Arial" w:eastAsia="Times New Roman" w:hAnsi="Arial" w:cs="Arial"/>
                <w:b/>
                <w:bCs/>
                <w:vertAlign w:val="baseline"/>
                <w:lang w:eastAsia="pt-BR"/>
              </w:rPr>
            </w:pPr>
          </w:p>
          <w:p w:rsidR="00EC49ED" w:rsidRPr="005F5BC9" w:rsidRDefault="00EC49ED" w:rsidP="00E402B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Tabela 1</w:t>
            </w:r>
            <w:r w:rsidR="00E402B1">
              <w:rPr>
                <w:rFonts w:ascii="Arial" w:eastAsia="Times New Roman" w:hAnsi="Arial" w:cs="Arial"/>
                <w:b/>
                <w:bCs/>
                <w:vertAlign w:val="baseline"/>
                <w:lang w:eastAsia="pt-BR"/>
              </w:rPr>
              <w:t>8</w:t>
            </w:r>
            <w:r w:rsidRPr="005F5BC9">
              <w:rPr>
                <w:rFonts w:ascii="Arial" w:eastAsia="Times New Roman" w:hAnsi="Arial" w:cs="Arial"/>
                <w:b/>
                <w:bCs/>
                <w:vertAlign w:val="baseline"/>
                <w:lang w:eastAsia="pt-BR"/>
              </w:rPr>
              <w:t xml:space="preserve"> - Determinantes dos gastos em saúde: </w:t>
            </w:r>
            <w:proofErr w:type="spellStart"/>
            <w:r w:rsidRPr="005F5BC9">
              <w:rPr>
                <w:rFonts w:ascii="Arial" w:eastAsia="Times New Roman" w:hAnsi="Arial" w:cs="Arial"/>
                <w:b/>
                <w:bCs/>
                <w:vertAlign w:val="baseline"/>
                <w:lang w:eastAsia="pt-BR"/>
              </w:rPr>
              <w:t>Quantílica</w:t>
            </w:r>
            <w:proofErr w:type="spellEnd"/>
            <w:r w:rsidRPr="005F5BC9">
              <w:rPr>
                <w:rFonts w:ascii="Arial" w:eastAsia="Times New Roman" w:hAnsi="Arial" w:cs="Arial"/>
                <w:b/>
                <w:bCs/>
                <w:vertAlign w:val="baseline"/>
                <w:lang w:eastAsia="pt-BR"/>
              </w:rPr>
              <w:t xml:space="preserve"> com Efeitos Fixos Linear com Penalidade</w:t>
            </w:r>
          </w:p>
        </w:tc>
      </w:tr>
      <w:tr w:rsidR="00EC49ED" w:rsidRPr="005F5BC9" w:rsidTr="00993E7A">
        <w:trPr>
          <w:trHeight w:val="255"/>
        </w:trPr>
        <w:tc>
          <w:tcPr>
            <w:tcW w:w="2156" w:type="dxa"/>
            <w:gridSpan w:val="2"/>
            <w:tcBorders>
              <w:top w:val="single" w:sz="4" w:space="0" w:color="auto"/>
              <w:left w:val="nil"/>
              <w:bottom w:val="single" w:sz="4" w:space="0" w:color="auto"/>
              <w:right w:val="nil"/>
            </w:tcBorders>
            <w:shd w:val="clear" w:color="auto" w:fill="auto"/>
            <w:vAlign w:val="center"/>
            <w:hideMark/>
          </w:tcPr>
          <w:p w:rsidR="00EC49ED" w:rsidRPr="005F5BC9" w:rsidRDefault="00EC49ED"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1929" w:type="dxa"/>
            <w:gridSpan w:val="4"/>
            <w:tcBorders>
              <w:top w:val="single" w:sz="4" w:space="0" w:color="auto"/>
              <w:left w:val="nil"/>
              <w:bottom w:val="single" w:sz="4" w:space="0" w:color="auto"/>
              <w:right w:val="nil"/>
            </w:tcBorders>
            <w:shd w:val="clear" w:color="auto" w:fill="auto"/>
            <w:vAlign w:val="center"/>
            <w:hideMark/>
          </w:tcPr>
          <w:p w:rsidR="00EC49ED" w:rsidRPr="005F5BC9" w:rsidRDefault="00EC49ED" w:rsidP="00EC49ED">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25%</w:t>
            </w:r>
          </w:p>
        </w:tc>
        <w:tc>
          <w:tcPr>
            <w:tcW w:w="2024" w:type="dxa"/>
            <w:gridSpan w:val="4"/>
            <w:tcBorders>
              <w:top w:val="single" w:sz="4" w:space="0" w:color="auto"/>
              <w:left w:val="nil"/>
              <w:bottom w:val="single" w:sz="4" w:space="0" w:color="auto"/>
              <w:right w:val="nil"/>
            </w:tcBorders>
            <w:shd w:val="clear" w:color="auto" w:fill="auto"/>
            <w:vAlign w:val="center"/>
            <w:hideMark/>
          </w:tcPr>
          <w:p w:rsidR="00EC49ED" w:rsidRPr="005F5BC9" w:rsidRDefault="00EC49ED" w:rsidP="00EC49ED">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50%</w:t>
            </w:r>
          </w:p>
        </w:tc>
        <w:tc>
          <w:tcPr>
            <w:tcW w:w="1961" w:type="dxa"/>
            <w:gridSpan w:val="4"/>
            <w:tcBorders>
              <w:top w:val="single" w:sz="4" w:space="0" w:color="auto"/>
              <w:left w:val="nil"/>
              <w:bottom w:val="single" w:sz="4" w:space="0" w:color="auto"/>
              <w:right w:val="nil"/>
            </w:tcBorders>
            <w:shd w:val="clear" w:color="auto" w:fill="auto"/>
            <w:vAlign w:val="center"/>
            <w:hideMark/>
          </w:tcPr>
          <w:p w:rsidR="00EC49ED" w:rsidRPr="005F5BC9" w:rsidRDefault="00EC49ED" w:rsidP="00EC49ED">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75%</w:t>
            </w:r>
          </w:p>
        </w:tc>
      </w:tr>
      <w:tr w:rsidR="00EC49ED" w:rsidRPr="005F5BC9" w:rsidTr="00993E7A">
        <w:trPr>
          <w:trHeight w:val="510"/>
        </w:trPr>
        <w:tc>
          <w:tcPr>
            <w:tcW w:w="2156" w:type="dxa"/>
            <w:gridSpan w:val="2"/>
            <w:tcBorders>
              <w:top w:val="nil"/>
              <w:left w:val="nil"/>
              <w:bottom w:val="single" w:sz="4" w:space="0" w:color="auto"/>
              <w:right w:val="nil"/>
            </w:tcBorders>
            <w:shd w:val="clear" w:color="auto" w:fill="auto"/>
            <w:vAlign w:val="center"/>
            <w:hideMark/>
          </w:tcPr>
          <w:p w:rsidR="00EC49ED" w:rsidRPr="005F5BC9" w:rsidRDefault="00EC49ED"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1073" w:type="dxa"/>
            <w:gridSpan w:val="2"/>
            <w:tcBorders>
              <w:top w:val="nil"/>
              <w:left w:val="nil"/>
              <w:bottom w:val="single" w:sz="4" w:space="0" w:color="auto"/>
              <w:right w:val="nil"/>
            </w:tcBorders>
            <w:shd w:val="clear" w:color="auto" w:fill="auto"/>
            <w:vAlign w:val="center"/>
            <w:hideMark/>
          </w:tcPr>
          <w:p w:rsidR="00EC49ED" w:rsidRPr="005F5BC9" w:rsidRDefault="00EC49ED" w:rsidP="00EC49ED">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56" w:type="dxa"/>
            <w:gridSpan w:val="2"/>
            <w:tcBorders>
              <w:top w:val="nil"/>
              <w:left w:val="nil"/>
              <w:bottom w:val="single" w:sz="4" w:space="0" w:color="auto"/>
              <w:right w:val="nil"/>
            </w:tcBorders>
            <w:shd w:val="clear" w:color="auto" w:fill="auto"/>
            <w:vAlign w:val="center"/>
            <w:hideMark/>
          </w:tcPr>
          <w:p w:rsidR="00EC49ED" w:rsidRPr="005F5BC9" w:rsidRDefault="00EC49ED" w:rsidP="00EC49ED">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1145" w:type="dxa"/>
            <w:gridSpan w:val="2"/>
            <w:tcBorders>
              <w:top w:val="nil"/>
              <w:left w:val="nil"/>
              <w:bottom w:val="single" w:sz="4" w:space="0" w:color="auto"/>
              <w:right w:val="nil"/>
            </w:tcBorders>
            <w:shd w:val="clear" w:color="auto" w:fill="auto"/>
            <w:vAlign w:val="center"/>
            <w:hideMark/>
          </w:tcPr>
          <w:p w:rsidR="00EC49ED" w:rsidRPr="005F5BC9" w:rsidRDefault="00EC49ED" w:rsidP="00EC49ED">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79" w:type="dxa"/>
            <w:gridSpan w:val="2"/>
            <w:tcBorders>
              <w:top w:val="nil"/>
              <w:left w:val="nil"/>
              <w:bottom w:val="single" w:sz="4" w:space="0" w:color="auto"/>
              <w:right w:val="nil"/>
            </w:tcBorders>
            <w:shd w:val="clear" w:color="auto" w:fill="auto"/>
            <w:vAlign w:val="center"/>
            <w:hideMark/>
          </w:tcPr>
          <w:p w:rsidR="00EC49ED" w:rsidRPr="005F5BC9" w:rsidRDefault="00EC49ED" w:rsidP="00EC49ED">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1142" w:type="dxa"/>
            <w:gridSpan w:val="3"/>
            <w:tcBorders>
              <w:top w:val="nil"/>
              <w:left w:val="nil"/>
              <w:bottom w:val="single" w:sz="4" w:space="0" w:color="auto"/>
              <w:right w:val="nil"/>
            </w:tcBorders>
            <w:shd w:val="clear" w:color="auto" w:fill="auto"/>
            <w:vAlign w:val="center"/>
            <w:hideMark/>
          </w:tcPr>
          <w:p w:rsidR="00EC49ED" w:rsidRPr="005F5BC9" w:rsidRDefault="00EC49ED" w:rsidP="00EC49ED">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19" w:type="dxa"/>
            <w:tcBorders>
              <w:top w:val="nil"/>
              <w:left w:val="nil"/>
              <w:bottom w:val="single" w:sz="4" w:space="0" w:color="auto"/>
              <w:right w:val="nil"/>
            </w:tcBorders>
            <w:shd w:val="clear" w:color="auto" w:fill="auto"/>
            <w:vAlign w:val="center"/>
            <w:hideMark/>
          </w:tcPr>
          <w:p w:rsidR="00EC49ED" w:rsidRPr="005F5BC9" w:rsidRDefault="00EC49ED" w:rsidP="00EC49ED">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r>
      <w:tr w:rsidR="00EC49ED" w:rsidRPr="005F5BC9" w:rsidTr="00993E7A">
        <w:trPr>
          <w:trHeight w:val="255"/>
        </w:trPr>
        <w:tc>
          <w:tcPr>
            <w:tcW w:w="2156" w:type="dxa"/>
            <w:gridSpan w:val="2"/>
            <w:tcBorders>
              <w:top w:val="nil"/>
              <w:left w:val="nil"/>
              <w:bottom w:val="nil"/>
              <w:right w:val="nil"/>
            </w:tcBorders>
            <w:shd w:val="clear" w:color="auto" w:fill="auto"/>
            <w:noWrap/>
            <w:vAlign w:val="bottom"/>
            <w:hideMark/>
          </w:tcPr>
          <w:p w:rsidR="00EC49ED" w:rsidRPr="005F5BC9" w:rsidRDefault="00EC49ED" w:rsidP="00EC49ED">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Intercepto</w:t>
            </w:r>
          </w:p>
        </w:tc>
        <w:tc>
          <w:tcPr>
            <w:tcW w:w="1073" w:type="dxa"/>
            <w:gridSpan w:val="2"/>
            <w:tcBorders>
              <w:top w:val="nil"/>
              <w:left w:val="nil"/>
              <w:bottom w:val="nil"/>
              <w:right w:val="nil"/>
            </w:tcBorders>
            <w:shd w:val="clear" w:color="auto" w:fill="auto"/>
            <w:noWrap/>
            <w:vAlign w:val="center"/>
            <w:hideMark/>
          </w:tcPr>
          <w:p w:rsidR="00EC49ED" w:rsidRPr="005F5BC9" w:rsidRDefault="00EC49ED"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90.878***</w:t>
            </w:r>
          </w:p>
        </w:tc>
        <w:tc>
          <w:tcPr>
            <w:tcW w:w="856" w:type="dxa"/>
            <w:gridSpan w:val="2"/>
            <w:tcBorders>
              <w:top w:val="nil"/>
              <w:left w:val="nil"/>
              <w:bottom w:val="nil"/>
              <w:right w:val="nil"/>
            </w:tcBorders>
            <w:shd w:val="clear" w:color="auto" w:fill="auto"/>
            <w:noWrap/>
            <w:vAlign w:val="bottom"/>
            <w:hideMark/>
          </w:tcPr>
          <w:p w:rsidR="00EC49ED" w:rsidRPr="005F5BC9" w:rsidRDefault="00EC49ED"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8.551</w:t>
            </w:r>
          </w:p>
        </w:tc>
        <w:tc>
          <w:tcPr>
            <w:tcW w:w="1145" w:type="dxa"/>
            <w:gridSpan w:val="2"/>
            <w:tcBorders>
              <w:top w:val="nil"/>
              <w:left w:val="nil"/>
              <w:bottom w:val="nil"/>
              <w:right w:val="nil"/>
            </w:tcBorders>
            <w:shd w:val="clear" w:color="auto" w:fill="auto"/>
            <w:noWrap/>
            <w:vAlign w:val="center"/>
            <w:hideMark/>
          </w:tcPr>
          <w:p w:rsidR="00EC49ED" w:rsidRPr="005F5BC9" w:rsidRDefault="00EC49ED"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124.666***</w:t>
            </w:r>
          </w:p>
        </w:tc>
        <w:tc>
          <w:tcPr>
            <w:tcW w:w="879" w:type="dxa"/>
            <w:gridSpan w:val="2"/>
            <w:tcBorders>
              <w:top w:val="nil"/>
              <w:left w:val="nil"/>
              <w:bottom w:val="nil"/>
              <w:right w:val="nil"/>
            </w:tcBorders>
            <w:shd w:val="clear" w:color="auto" w:fill="auto"/>
            <w:noWrap/>
            <w:vAlign w:val="bottom"/>
            <w:hideMark/>
          </w:tcPr>
          <w:p w:rsidR="00EC49ED" w:rsidRPr="005F5BC9" w:rsidRDefault="00EC49ED"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10.224</w:t>
            </w:r>
          </w:p>
        </w:tc>
        <w:tc>
          <w:tcPr>
            <w:tcW w:w="1142" w:type="dxa"/>
            <w:gridSpan w:val="3"/>
            <w:tcBorders>
              <w:top w:val="nil"/>
              <w:left w:val="nil"/>
              <w:bottom w:val="nil"/>
              <w:right w:val="nil"/>
            </w:tcBorders>
            <w:shd w:val="clear" w:color="auto" w:fill="auto"/>
            <w:noWrap/>
            <w:vAlign w:val="center"/>
            <w:hideMark/>
          </w:tcPr>
          <w:p w:rsidR="00EC49ED" w:rsidRPr="005F5BC9" w:rsidRDefault="00EC49ED"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177.982***</w:t>
            </w:r>
          </w:p>
        </w:tc>
        <w:tc>
          <w:tcPr>
            <w:tcW w:w="819" w:type="dxa"/>
            <w:tcBorders>
              <w:top w:val="nil"/>
              <w:left w:val="nil"/>
              <w:bottom w:val="nil"/>
              <w:right w:val="nil"/>
            </w:tcBorders>
            <w:shd w:val="clear" w:color="auto" w:fill="auto"/>
            <w:noWrap/>
            <w:vAlign w:val="bottom"/>
            <w:hideMark/>
          </w:tcPr>
          <w:p w:rsidR="00EC49ED" w:rsidRPr="005F5BC9" w:rsidRDefault="00EC49ED"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14.574</w:t>
            </w:r>
          </w:p>
        </w:tc>
      </w:tr>
      <w:tr w:rsidR="00EC21BA" w:rsidRPr="005F5BC9" w:rsidTr="00655970">
        <w:trPr>
          <w:trHeight w:val="255"/>
        </w:trPr>
        <w:tc>
          <w:tcPr>
            <w:tcW w:w="2156" w:type="dxa"/>
            <w:gridSpan w:val="2"/>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PIB</w:t>
            </w:r>
          </w:p>
        </w:tc>
        <w:tc>
          <w:tcPr>
            <w:tcW w:w="1073"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c>
          <w:tcPr>
            <w:tcW w:w="856"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0.000</w:t>
            </w:r>
          </w:p>
        </w:tc>
        <w:tc>
          <w:tcPr>
            <w:tcW w:w="1145"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c>
          <w:tcPr>
            <w:tcW w:w="87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0.000</w:t>
            </w:r>
          </w:p>
        </w:tc>
        <w:tc>
          <w:tcPr>
            <w:tcW w:w="1142" w:type="dxa"/>
            <w:gridSpan w:val="3"/>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0.001***</w:t>
            </w:r>
          </w:p>
        </w:tc>
        <w:tc>
          <w:tcPr>
            <w:tcW w:w="819"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0.000</w:t>
            </w:r>
          </w:p>
        </w:tc>
      </w:tr>
      <w:tr w:rsidR="00EC21BA" w:rsidRPr="005F5BC9" w:rsidTr="00655970">
        <w:trPr>
          <w:trHeight w:val="255"/>
        </w:trPr>
        <w:tc>
          <w:tcPr>
            <w:tcW w:w="2156" w:type="dxa"/>
            <w:gridSpan w:val="2"/>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PAB</w:t>
            </w:r>
          </w:p>
        </w:tc>
        <w:tc>
          <w:tcPr>
            <w:tcW w:w="1073"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0.854***</w:t>
            </w:r>
          </w:p>
        </w:tc>
        <w:tc>
          <w:tcPr>
            <w:tcW w:w="856"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0.051</w:t>
            </w:r>
          </w:p>
        </w:tc>
        <w:tc>
          <w:tcPr>
            <w:tcW w:w="1145"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0.869***</w:t>
            </w:r>
          </w:p>
        </w:tc>
        <w:tc>
          <w:tcPr>
            <w:tcW w:w="87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0.062</w:t>
            </w:r>
          </w:p>
        </w:tc>
        <w:tc>
          <w:tcPr>
            <w:tcW w:w="1142" w:type="dxa"/>
            <w:gridSpan w:val="3"/>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0.902***</w:t>
            </w:r>
          </w:p>
        </w:tc>
        <w:tc>
          <w:tcPr>
            <w:tcW w:w="819"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0.044</w:t>
            </w:r>
          </w:p>
        </w:tc>
      </w:tr>
      <w:tr w:rsidR="00EC21BA" w:rsidRPr="005F5BC9" w:rsidTr="00655970">
        <w:trPr>
          <w:trHeight w:val="255"/>
        </w:trPr>
        <w:tc>
          <w:tcPr>
            <w:tcW w:w="2156" w:type="dxa"/>
            <w:gridSpan w:val="2"/>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 xml:space="preserve">Outras </w:t>
            </w:r>
            <w:proofErr w:type="spellStart"/>
            <w:r>
              <w:rPr>
                <w:rFonts w:ascii="Arial" w:eastAsia="Times New Roman" w:hAnsi="Arial" w:cs="Arial"/>
                <w:vertAlign w:val="baseline"/>
                <w:lang w:eastAsia="pt-BR"/>
              </w:rPr>
              <w:t>transf</w:t>
            </w:r>
            <w:proofErr w:type="spellEnd"/>
            <w:r>
              <w:rPr>
                <w:rFonts w:ascii="Arial" w:eastAsia="Times New Roman" w:hAnsi="Arial" w:cs="Arial"/>
                <w:vertAlign w:val="baseline"/>
                <w:lang w:eastAsia="pt-BR"/>
              </w:rPr>
              <w:t>. SUS</w:t>
            </w:r>
          </w:p>
        </w:tc>
        <w:tc>
          <w:tcPr>
            <w:tcW w:w="1073"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0.968***</w:t>
            </w:r>
          </w:p>
        </w:tc>
        <w:tc>
          <w:tcPr>
            <w:tcW w:w="856"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0.007</w:t>
            </w:r>
          </w:p>
        </w:tc>
        <w:tc>
          <w:tcPr>
            <w:tcW w:w="1145"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0.989***</w:t>
            </w:r>
          </w:p>
        </w:tc>
        <w:tc>
          <w:tcPr>
            <w:tcW w:w="87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0.008</w:t>
            </w:r>
          </w:p>
        </w:tc>
        <w:tc>
          <w:tcPr>
            <w:tcW w:w="1142" w:type="dxa"/>
            <w:gridSpan w:val="3"/>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1.000***</w:t>
            </w:r>
          </w:p>
        </w:tc>
        <w:tc>
          <w:tcPr>
            <w:tcW w:w="819"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0.011</w:t>
            </w:r>
          </w:p>
        </w:tc>
      </w:tr>
      <w:tr w:rsidR="00EC21BA" w:rsidRPr="005F5BC9" w:rsidTr="00655970">
        <w:trPr>
          <w:trHeight w:val="255"/>
        </w:trPr>
        <w:tc>
          <w:tcPr>
            <w:tcW w:w="2156" w:type="dxa"/>
            <w:gridSpan w:val="2"/>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FPM</w:t>
            </w:r>
          </w:p>
        </w:tc>
        <w:tc>
          <w:tcPr>
            <w:tcW w:w="1073"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0.164***</w:t>
            </w:r>
          </w:p>
        </w:tc>
        <w:tc>
          <w:tcPr>
            <w:tcW w:w="856"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0.001</w:t>
            </w:r>
          </w:p>
        </w:tc>
        <w:tc>
          <w:tcPr>
            <w:tcW w:w="1145"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0.176***</w:t>
            </w:r>
          </w:p>
        </w:tc>
        <w:tc>
          <w:tcPr>
            <w:tcW w:w="87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0.002</w:t>
            </w:r>
          </w:p>
        </w:tc>
        <w:tc>
          <w:tcPr>
            <w:tcW w:w="1142" w:type="dxa"/>
            <w:gridSpan w:val="3"/>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0.194***</w:t>
            </w:r>
          </w:p>
        </w:tc>
        <w:tc>
          <w:tcPr>
            <w:tcW w:w="819"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0.003</w:t>
            </w:r>
          </w:p>
        </w:tc>
      </w:tr>
      <w:tr w:rsidR="00EC21BA" w:rsidRPr="005F5BC9" w:rsidTr="00655970">
        <w:trPr>
          <w:trHeight w:val="255"/>
        </w:trPr>
        <w:tc>
          <w:tcPr>
            <w:tcW w:w="2156" w:type="dxa"/>
            <w:gridSpan w:val="2"/>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Royalties</w:t>
            </w:r>
          </w:p>
        </w:tc>
        <w:tc>
          <w:tcPr>
            <w:tcW w:w="1073"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0.143***</w:t>
            </w:r>
          </w:p>
        </w:tc>
        <w:tc>
          <w:tcPr>
            <w:tcW w:w="856"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0.020</w:t>
            </w:r>
          </w:p>
        </w:tc>
        <w:tc>
          <w:tcPr>
            <w:tcW w:w="1145"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0.194***</w:t>
            </w:r>
          </w:p>
        </w:tc>
        <w:tc>
          <w:tcPr>
            <w:tcW w:w="87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0.017</w:t>
            </w:r>
          </w:p>
        </w:tc>
        <w:tc>
          <w:tcPr>
            <w:tcW w:w="1142" w:type="dxa"/>
            <w:gridSpan w:val="3"/>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0.264***</w:t>
            </w:r>
          </w:p>
        </w:tc>
        <w:tc>
          <w:tcPr>
            <w:tcW w:w="819"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0.021</w:t>
            </w:r>
          </w:p>
        </w:tc>
      </w:tr>
      <w:tr w:rsidR="00EC21BA" w:rsidRPr="005F5BC9" w:rsidTr="00655970">
        <w:trPr>
          <w:trHeight w:val="255"/>
        </w:trPr>
        <w:tc>
          <w:tcPr>
            <w:tcW w:w="2156" w:type="dxa"/>
            <w:gridSpan w:val="2"/>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 xml:space="preserve">Outras </w:t>
            </w:r>
            <w:proofErr w:type="spellStart"/>
            <w:r>
              <w:rPr>
                <w:rFonts w:ascii="Arial" w:eastAsia="Times New Roman" w:hAnsi="Arial" w:cs="Arial"/>
                <w:vertAlign w:val="baseline"/>
                <w:lang w:eastAsia="pt-BR"/>
              </w:rPr>
              <w:t>transf</w:t>
            </w:r>
            <w:proofErr w:type="spellEnd"/>
            <w:r>
              <w:rPr>
                <w:rFonts w:ascii="Arial" w:eastAsia="Times New Roman" w:hAnsi="Arial" w:cs="Arial"/>
                <w:vertAlign w:val="baseline"/>
                <w:lang w:eastAsia="pt-BR"/>
              </w:rPr>
              <w:t>.</w:t>
            </w:r>
          </w:p>
        </w:tc>
        <w:tc>
          <w:tcPr>
            <w:tcW w:w="1073"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0.126***</w:t>
            </w:r>
          </w:p>
        </w:tc>
        <w:tc>
          <w:tcPr>
            <w:tcW w:w="856"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0.002</w:t>
            </w:r>
          </w:p>
        </w:tc>
        <w:tc>
          <w:tcPr>
            <w:tcW w:w="1145"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0.142***</w:t>
            </w:r>
          </w:p>
        </w:tc>
        <w:tc>
          <w:tcPr>
            <w:tcW w:w="87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0.003</w:t>
            </w:r>
          </w:p>
        </w:tc>
        <w:tc>
          <w:tcPr>
            <w:tcW w:w="1142" w:type="dxa"/>
            <w:gridSpan w:val="3"/>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0.157***</w:t>
            </w:r>
          </w:p>
        </w:tc>
        <w:tc>
          <w:tcPr>
            <w:tcW w:w="819"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0.004</w:t>
            </w:r>
          </w:p>
        </w:tc>
      </w:tr>
      <w:tr w:rsidR="00EC21BA" w:rsidRPr="005F5BC9" w:rsidTr="00993E7A">
        <w:trPr>
          <w:trHeight w:val="255"/>
        </w:trPr>
        <w:tc>
          <w:tcPr>
            <w:tcW w:w="2156" w:type="dxa"/>
            <w:gridSpan w:val="2"/>
            <w:tcBorders>
              <w:top w:val="nil"/>
              <w:left w:val="nil"/>
              <w:bottom w:val="nil"/>
              <w:right w:val="nil"/>
            </w:tcBorders>
            <w:shd w:val="clear" w:color="auto" w:fill="auto"/>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Controles</w:t>
            </w:r>
          </w:p>
        </w:tc>
        <w:tc>
          <w:tcPr>
            <w:tcW w:w="1929" w:type="dxa"/>
            <w:gridSpan w:val="4"/>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2024" w:type="dxa"/>
            <w:gridSpan w:val="4"/>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961" w:type="dxa"/>
            <w:gridSpan w:val="4"/>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EC21BA" w:rsidRPr="005F5BC9" w:rsidTr="00993E7A">
        <w:trPr>
          <w:trHeight w:val="255"/>
        </w:trPr>
        <w:tc>
          <w:tcPr>
            <w:tcW w:w="2156" w:type="dxa"/>
            <w:gridSpan w:val="2"/>
            <w:tcBorders>
              <w:top w:val="nil"/>
              <w:left w:val="nil"/>
              <w:bottom w:val="nil"/>
              <w:right w:val="nil"/>
            </w:tcBorders>
            <w:shd w:val="clear" w:color="auto" w:fill="auto"/>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proofErr w:type="spellStart"/>
            <w:r w:rsidRPr="005F5BC9">
              <w:rPr>
                <w:rFonts w:ascii="Arial" w:eastAsia="Times New Roman" w:hAnsi="Arial" w:cs="Arial"/>
                <w:i/>
                <w:iCs/>
                <w:vertAlign w:val="baseline"/>
                <w:lang w:eastAsia="pt-BR"/>
              </w:rPr>
              <w:t>Dummies</w:t>
            </w:r>
            <w:r w:rsidRPr="005F5BC9">
              <w:rPr>
                <w:rFonts w:ascii="Arial" w:eastAsia="Times New Roman" w:hAnsi="Arial" w:cs="Arial"/>
                <w:vertAlign w:val="baseline"/>
                <w:lang w:eastAsia="pt-BR"/>
              </w:rPr>
              <w:t>de</w:t>
            </w:r>
            <w:proofErr w:type="spellEnd"/>
            <w:r w:rsidRPr="005F5BC9">
              <w:rPr>
                <w:rFonts w:ascii="Arial" w:eastAsia="Times New Roman" w:hAnsi="Arial" w:cs="Arial"/>
                <w:vertAlign w:val="baseline"/>
                <w:lang w:eastAsia="pt-BR"/>
              </w:rPr>
              <w:t xml:space="preserve"> ano</w:t>
            </w:r>
          </w:p>
        </w:tc>
        <w:tc>
          <w:tcPr>
            <w:tcW w:w="1929" w:type="dxa"/>
            <w:gridSpan w:val="4"/>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2024" w:type="dxa"/>
            <w:gridSpan w:val="4"/>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961" w:type="dxa"/>
            <w:gridSpan w:val="4"/>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EC21BA" w:rsidRPr="005F5BC9" w:rsidTr="00993E7A">
        <w:trPr>
          <w:trHeight w:val="255"/>
        </w:trPr>
        <w:tc>
          <w:tcPr>
            <w:tcW w:w="2156" w:type="dxa"/>
            <w:gridSpan w:val="2"/>
            <w:tcBorders>
              <w:top w:val="nil"/>
              <w:left w:val="nil"/>
              <w:bottom w:val="single" w:sz="4" w:space="0" w:color="auto"/>
              <w:right w:val="nil"/>
            </w:tcBorders>
            <w:shd w:val="clear" w:color="auto" w:fill="auto"/>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Observações</w:t>
            </w:r>
          </w:p>
        </w:tc>
        <w:tc>
          <w:tcPr>
            <w:tcW w:w="5914" w:type="dxa"/>
            <w:gridSpan w:val="12"/>
            <w:tcBorders>
              <w:top w:val="nil"/>
              <w:left w:val="nil"/>
              <w:bottom w:val="single" w:sz="4" w:space="0" w:color="auto"/>
              <w:right w:val="nil"/>
            </w:tcBorders>
            <w:shd w:val="clear" w:color="auto" w:fill="auto"/>
            <w:noWrap/>
            <w:vAlign w:val="center"/>
            <w:hideMark/>
          </w:tcPr>
          <w:p w:rsidR="00EC21BA" w:rsidRPr="005F5BC9" w:rsidRDefault="00EC21BA" w:rsidP="00EC49ED">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32,286</w:t>
            </w:r>
          </w:p>
        </w:tc>
      </w:tr>
      <w:tr w:rsidR="00EC21BA" w:rsidRPr="005F5BC9" w:rsidTr="00993E7A">
        <w:trPr>
          <w:trHeight w:val="255"/>
        </w:trPr>
        <w:tc>
          <w:tcPr>
            <w:tcW w:w="3229" w:type="dxa"/>
            <w:gridSpan w:val="4"/>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p&lt;0.01, ** p&lt;0.05, * p&lt;0.1</w:t>
            </w:r>
          </w:p>
          <w:p w:rsidR="00EC21BA" w:rsidRDefault="00EC21BA" w:rsidP="00EC49ED">
            <w:pPr>
              <w:spacing w:after="0" w:line="240" w:lineRule="auto"/>
              <w:jc w:val="left"/>
              <w:rPr>
                <w:rFonts w:ascii="Arial" w:eastAsia="Times New Roman" w:hAnsi="Arial" w:cs="Arial"/>
                <w:vertAlign w:val="baseline"/>
                <w:lang w:eastAsia="pt-BR"/>
              </w:rPr>
            </w:pPr>
          </w:p>
          <w:p w:rsidR="00EC21BA" w:rsidRPr="005F5BC9" w:rsidRDefault="00EC21BA" w:rsidP="00EC49ED">
            <w:pPr>
              <w:spacing w:after="0" w:line="240" w:lineRule="auto"/>
              <w:jc w:val="left"/>
              <w:rPr>
                <w:rFonts w:ascii="Arial" w:eastAsia="Times New Roman" w:hAnsi="Arial" w:cs="Arial"/>
                <w:vertAlign w:val="baseline"/>
                <w:lang w:eastAsia="pt-BR"/>
              </w:rPr>
            </w:pPr>
          </w:p>
        </w:tc>
        <w:tc>
          <w:tcPr>
            <w:tcW w:w="856"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left"/>
              <w:rPr>
                <w:rFonts w:ascii="Arial" w:eastAsia="Times New Roman" w:hAnsi="Arial" w:cs="Arial"/>
                <w:color w:val="000000"/>
                <w:vertAlign w:val="baseline"/>
                <w:lang w:eastAsia="pt-BR"/>
              </w:rPr>
            </w:pPr>
          </w:p>
          <w:p w:rsidR="00EC21BA" w:rsidRPr="005F5BC9" w:rsidRDefault="00EC21BA" w:rsidP="00EC49ED">
            <w:pPr>
              <w:spacing w:after="0" w:line="240" w:lineRule="auto"/>
              <w:jc w:val="left"/>
              <w:rPr>
                <w:rFonts w:ascii="Arial" w:eastAsia="Times New Roman" w:hAnsi="Arial" w:cs="Arial"/>
                <w:color w:val="000000"/>
                <w:vertAlign w:val="baseline"/>
                <w:lang w:eastAsia="pt-BR"/>
              </w:rPr>
            </w:pPr>
          </w:p>
        </w:tc>
        <w:tc>
          <w:tcPr>
            <w:tcW w:w="1145"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left"/>
              <w:rPr>
                <w:rFonts w:ascii="Arial" w:eastAsia="Times New Roman" w:hAnsi="Arial" w:cs="Arial"/>
                <w:color w:val="000000"/>
                <w:vertAlign w:val="baseline"/>
                <w:lang w:eastAsia="pt-BR"/>
              </w:rPr>
            </w:pPr>
          </w:p>
        </w:tc>
        <w:tc>
          <w:tcPr>
            <w:tcW w:w="87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left"/>
              <w:rPr>
                <w:rFonts w:ascii="Arial" w:eastAsia="Times New Roman" w:hAnsi="Arial" w:cs="Arial"/>
                <w:color w:val="000000"/>
                <w:vertAlign w:val="baseline"/>
                <w:lang w:eastAsia="pt-BR"/>
              </w:rPr>
            </w:pPr>
          </w:p>
        </w:tc>
        <w:tc>
          <w:tcPr>
            <w:tcW w:w="1142" w:type="dxa"/>
            <w:gridSpan w:val="3"/>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left"/>
              <w:rPr>
                <w:rFonts w:ascii="Arial" w:eastAsia="Times New Roman" w:hAnsi="Arial" w:cs="Arial"/>
                <w:color w:val="000000"/>
                <w:vertAlign w:val="baseline"/>
                <w:lang w:eastAsia="pt-BR"/>
              </w:rPr>
            </w:pPr>
          </w:p>
        </w:tc>
        <w:tc>
          <w:tcPr>
            <w:tcW w:w="819"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left"/>
              <w:rPr>
                <w:rFonts w:ascii="Arial" w:eastAsia="Times New Roman" w:hAnsi="Arial" w:cs="Arial"/>
                <w:color w:val="000000"/>
                <w:vertAlign w:val="baseline"/>
                <w:lang w:eastAsia="pt-BR"/>
              </w:rPr>
            </w:pPr>
          </w:p>
        </w:tc>
      </w:tr>
      <w:tr w:rsidR="00EC21BA" w:rsidRPr="005F5BC9" w:rsidTr="00993E7A">
        <w:trPr>
          <w:gridAfter w:val="2"/>
          <w:wAfter w:w="851" w:type="dxa"/>
          <w:trHeight w:val="255"/>
        </w:trPr>
        <w:tc>
          <w:tcPr>
            <w:tcW w:w="7219" w:type="dxa"/>
            <w:gridSpan w:val="12"/>
            <w:tcBorders>
              <w:top w:val="nil"/>
              <w:left w:val="nil"/>
              <w:bottom w:val="nil"/>
              <w:right w:val="nil"/>
            </w:tcBorders>
            <w:shd w:val="clear" w:color="auto" w:fill="auto"/>
            <w:vAlign w:val="center"/>
            <w:hideMark/>
          </w:tcPr>
          <w:p w:rsidR="00EC21BA" w:rsidRPr="005F5BC9" w:rsidRDefault="00EC21BA" w:rsidP="00E402B1">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Tabela 1</w:t>
            </w:r>
            <w:r>
              <w:rPr>
                <w:rFonts w:ascii="Arial" w:eastAsia="Times New Roman" w:hAnsi="Arial" w:cs="Arial"/>
                <w:b/>
                <w:bCs/>
                <w:vertAlign w:val="baseline"/>
                <w:lang w:eastAsia="pt-BR"/>
              </w:rPr>
              <w:t>9</w:t>
            </w:r>
            <w:r w:rsidRPr="005F5BC9">
              <w:rPr>
                <w:rFonts w:ascii="Arial" w:eastAsia="Times New Roman" w:hAnsi="Arial" w:cs="Arial"/>
                <w:b/>
                <w:bCs/>
                <w:vertAlign w:val="baseline"/>
                <w:lang w:eastAsia="pt-BR"/>
              </w:rPr>
              <w:t xml:space="preserve"> - Determinantes dos Gastos em Saúde: </w:t>
            </w:r>
            <w:proofErr w:type="spellStart"/>
            <w:r w:rsidRPr="005F5BC9">
              <w:rPr>
                <w:rFonts w:ascii="Arial" w:eastAsia="Times New Roman" w:hAnsi="Arial" w:cs="Arial"/>
                <w:b/>
                <w:bCs/>
                <w:vertAlign w:val="baseline"/>
                <w:lang w:eastAsia="pt-BR"/>
              </w:rPr>
              <w:t>Quantílica</w:t>
            </w:r>
            <w:proofErr w:type="spellEnd"/>
            <w:r w:rsidRPr="005F5BC9">
              <w:rPr>
                <w:rFonts w:ascii="Arial" w:eastAsia="Times New Roman" w:hAnsi="Arial" w:cs="Arial"/>
                <w:b/>
                <w:bCs/>
                <w:vertAlign w:val="baseline"/>
                <w:lang w:eastAsia="pt-BR"/>
              </w:rPr>
              <w:t xml:space="preserve"> com Efeitos Fixos Log-log com Penalidade</w:t>
            </w:r>
          </w:p>
        </w:tc>
      </w:tr>
      <w:tr w:rsidR="00EC21BA" w:rsidRPr="005F5BC9" w:rsidTr="00993E7A">
        <w:trPr>
          <w:gridAfter w:val="2"/>
          <w:wAfter w:w="851" w:type="dxa"/>
          <w:trHeight w:val="255"/>
        </w:trPr>
        <w:tc>
          <w:tcPr>
            <w:tcW w:w="2131" w:type="dxa"/>
            <w:tcBorders>
              <w:top w:val="single" w:sz="4" w:space="0" w:color="auto"/>
              <w:left w:val="nil"/>
              <w:bottom w:val="single" w:sz="4" w:space="0" w:color="auto"/>
              <w:right w:val="nil"/>
            </w:tcBorders>
            <w:shd w:val="clear" w:color="auto" w:fill="auto"/>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1693" w:type="dxa"/>
            <w:gridSpan w:val="4"/>
            <w:tcBorders>
              <w:top w:val="single" w:sz="4" w:space="0" w:color="auto"/>
              <w:left w:val="nil"/>
              <w:bottom w:val="single" w:sz="4" w:space="0" w:color="auto"/>
              <w:right w:val="nil"/>
            </w:tcBorders>
            <w:shd w:val="clear" w:color="auto" w:fill="auto"/>
            <w:vAlign w:val="center"/>
            <w:hideMark/>
          </w:tcPr>
          <w:p w:rsidR="00EC21BA" w:rsidRPr="005F5BC9" w:rsidRDefault="00EC21BA" w:rsidP="00EC49ED">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25%</w:t>
            </w:r>
          </w:p>
        </w:tc>
        <w:tc>
          <w:tcPr>
            <w:tcW w:w="1702" w:type="dxa"/>
            <w:gridSpan w:val="4"/>
            <w:tcBorders>
              <w:top w:val="single" w:sz="4" w:space="0" w:color="auto"/>
              <w:left w:val="nil"/>
              <w:bottom w:val="single" w:sz="4" w:space="0" w:color="auto"/>
              <w:right w:val="nil"/>
            </w:tcBorders>
            <w:shd w:val="clear" w:color="auto" w:fill="auto"/>
            <w:vAlign w:val="center"/>
            <w:hideMark/>
          </w:tcPr>
          <w:p w:rsidR="00EC21BA" w:rsidRPr="005F5BC9" w:rsidRDefault="00EC21BA" w:rsidP="00EC49ED">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50%</w:t>
            </w:r>
          </w:p>
        </w:tc>
        <w:tc>
          <w:tcPr>
            <w:tcW w:w="1693" w:type="dxa"/>
            <w:gridSpan w:val="3"/>
            <w:tcBorders>
              <w:top w:val="single" w:sz="4" w:space="0" w:color="auto"/>
              <w:left w:val="nil"/>
              <w:bottom w:val="single" w:sz="4" w:space="0" w:color="auto"/>
              <w:right w:val="nil"/>
            </w:tcBorders>
            <w:shd w:val="clear" w:color="auto" w:fill="auto"/>
            <w:vAlign w:val="center"/>
            <w:hideMark/>
          </w:tcPr>
          <w:p w:rsidR="00EC21BA" w:rsidRPr="005F5BC9" w:rsidRDefault="00EC21BA" w:rsidP="00EC49ED">
            <w:pPr>
              <w:spacing w:after="0" w:line="240" w:lineRule="auto"/>
              <w:jc w:val="center"/>
              <w:rPr>
                <w:rFonts w:ascii="Arial" w:eastAsia="Times New Roman" w:hAnsi="Arial" w:cs="Arial"/>
                <w:b/>
                <w:bCs/>
                <w:vertAlign w:val="baseline"/>
                <w:lang w:eastAsia="pt-BR"/>
              </w:rPr>
            </w:pPr>
            <w:proofErr w:type="gramStart"/>
            <w:r w:rsidRPr="005F5BC9">
              <w:rPr>
                <w:rFonts w:ascii="Arial" w:eastAsia="Times New Roman" w:hAnsi="Arial" w:cs="Arial"/>
                <w:b/>
                <w:bCs/>
                <w:vertAlign w:val="baseline"/>
                <w:lang w:eastAsia="pt-BR"/>
              </w:rPr>
              <w:t>quartil</w:t>
            </w:r>
            <w:proofErr w:type="gramEnd"/>
            <w:r w:rsidRPr="005F5BC9">
              <w:rPr>
                <w:rFonts w:ascii="Arial" w:eastAsia="Times New Roman" w:hAnsi="Arial" w:cs="Arial"/>
                <w:b/>
                <w:bCs/>
                <w:vertAlign w:val="baseline"/>
                <w:lang w:eastAsia="pt-BR"/>
              </w:rPr>
              <w:t xml:space="preserve"> 75%</w:t>
            </w:r>
          </w:p>
        </w:tc>
      </w:tr>
      <w:tr w:rsidR="00EC21BA" w:rsidRPr="005F5BC9" w:rsidTr="00993E7A">
        <w:trPr>
          <w:gridAfter w:val="2"/>
          <w:wAfter w:w="851" w:type="dxa"/>
          <w:trHeight w:val="510"/>
        </w:trPr>
        <w:tc>
          <w:tcPr>
            <w:tcW w:w="2131" w:type="dxa"/>
            <w:tcBorders>
              <w:top w:val="nil"/>
              <w:left w:val="nil"/>
              <w:bottom w:val="single" w:sz="4" w:space="0" w:color="auto"/>
              <w:right w:val="nil"/>
            </w:tcBorders>
            <w:shd w:val="clear" w:color="auto" w:fill="auto"/>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w:t>
            </w:r>
          </w:p>
        </w:tc>
        <w:tc>
          <w:tcPr>
            <w:tcW w:w="874" w:type="dxa"/>
            <w:gridSpan w:val="2"/>
            <w:tcBorders>
              <w:top w:val="nil"/>
              <w:left w:val="nil"/>
              <w:bottom w:val="single" w:sz="4" w:space="0" w:color="auto"/>
              <w:right w:val="nil"/>
            </w:tcBorders>
            <w:shd w:val="clear" w:color="auto" w:fill="auto"/>
            <w:vAlign w:val="center"/>
            <w:hideMark/>
          </w:tcPr>
          <w:p w:rsidR="00EC21BA" w:rsidRPr="005F5BC9" w:rsidRDefault="00EC21BA" w:rsidP="00EC49ED">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19" w:type="dxa"/>
            <w:gridSpan w:val="2"/>
            <w:tcBorders>
              <w:top w:val="nil"/>
              <w:left w:val="nil"/>
              <w:bottom w:val="single" w:sz="4" w:space="0" w:color="auto"/>
              <w:right w:val="nil"/>
            </w:tcBorders>
            <w:shd w:val="clear" w:color="auto" w:fill="auto"/>
            <w:vAlign w:val="center"/>
            <w:hideMark/>
          </w:tcPr>
          <w:p w:rsidR="00EC21BA" w:rsidRPr="005F5BC9" w:rsidRDefault="00EC21BA" w:rsidP="00EC49ED">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883" w:type="dxa"/>
            <w:gridSpan w:val="2"/>
            <w:tcBorders>
              <w:top w:val="nil"/>
              <w:left w:val="nil"/>
              <w:bottom w:val="single" w:sz="4" w:space="0" w:color="auto"/>
              <w:right w:val="nil"/>
            </w:tcBorders>
            <w:shd w:val="clear" w:color="auto" w:fill="auto"/>
            <w:vAlign w:val="center"/>
            <w:hideMark/>
          </w:tcPr>
          <w:p w:rsidR="00EC21BA" w:rsidRPr="005F5BC9" w:rsidRDefault="00EC21BA" w:rsidP="00EC49ED">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19" w:type="dxa"/>
            <w:gridSpan w:val="2"/>
            <w:tcBorders>
              <w:top w:val="nil"/>
              <w:left w:val="nil"/>
              <w:bottom w:val="single" w:sz="4" w:space="0" w:color="auto"/>
              <w:right w:val="nil"/>
            </w:tcBorders>
            <w:shd w:val="clear" w:color="auto" w:fill="auto"/>
            <w:vAlign w:val="center"/>
            <w:hideMark/>
          </w:tcPr>
          <w:p w:rsidR="00EC21BA" w:rsidRPr="005F5BC9" w:rsidRDefault="00EC21BA" w:rsidP="00EC49ED">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c>
          <w:tcPr>
            <w:tcW w:w="874" w:type="dxa"/>
            <w:gridSpan w:val="2"/>
            <w:tcBorders>
              <w:top w:val="nil"/>
              <w:left w:val="nil"/>
              <w:bottom w:val="single" w:sz="4" w:space="0" w:color="auto"/>
              <w:right w:val="nil"/>
            </w:tcBorders>
            <w:shd w:val="clear" w:color="auto" w:fill="auto"/>
            <w:vAlign w:val="center"/>
            <w:hideMark/>
          </w:tcPr>
          <w:p w:rsidR="00EC21BA" w:rsidRPr="005F5BC9" w:rsidRDefault="00EC21BA" w:rsidP="00EC49ED">
            <w:pPr>
              <w:spacing w:after="0" w:line="240" w:lineRule="auto"/>
              <w:jc w:val="center"/>
              <w:rPr>
                <w:rFonts w:ascii="Arial" w:eastAsia="Times New Roman" w:hAnsi="Arial" w:cs="Arial"/>
                <w:b/>
                <w:bCs/>
                <w:vertAlign w:val="baseline"/>
                <w:lang w:eastAsia="pt-BR"/>
              </w:rPr>
            </w:pPr>
            <w:proofErr w:type="spellStart"/>
            <w:r w:rsidRPr="005F5BC9">
              <w:rPr>
                <w:rFonts w:ascii="Arial" w:eastAsia="Times New Roman" w:hAnsi="Arial" w:cs="Arial"/>
                <w:b/>
                <w:bCs/>
                <w:vertAlign w:val="baseline"/>
                <w:lang w:eastAsia="pt-BR"/>
              </w:rPr>
              <w:t>Coef</w:t>
            </w:r>
            <w:proofErr w:type="spellEnd"/>
            <w:r w:rsidRPr="005F5BC9">
              <w:rPr>
                <w:rFonts w:ascii="Arial" w:eastAsia="Times New Roman" w:hAnsi="Arial" w:cs="Arial"/>
                <w:b/>
                <w:bCs/>
                <w:vertAlign w:val="baseline"/>
                <w:lang w:eastAsia="pt-BR"/>
              </w:rPr>
              <w:t>.</w:t>
            </w:r>
          </w:p>
        </w:tc>
        <w:tc>
          <w:tcPr>
            <w:tcW w:w="819" w:type="dxa"/>
            <w:tcBorders>
              <w:top w:val="nil"/>
              <w:left w:val="nil"/>
              <w:bottom w:val="single" w:sz="4" w:space="0" w:color="auto"/>
              <w:right w:val="nil"/>
            </w:tcBorders>
            <w:shd w:val="clear" w:color="auto" w:fill="auto"/>
            <w:vAlign w:val="center"/>
            <w:hideMark/>
          </w:tcPr>
          <w:p w:rsidR="00EC21BA" w:rsidRPr="005F5BC9" w:rsidRDefault="00EC21BA" w:rsidP="00EC49ED">
            <w:pPr>
              <w:spacing w:after="0" w:line="240" w:lineRule="auto"/>
              <w:jc w:val="center"/>
              <w:rPr>
                <w:rFonts w:ascii="Arial" w:eastAsia="Times New Roman" w:hAnsi="Arial" w:cs="Arial"/>
                <w:b/>
                <w:bCs/>
                <w:vertAlign w:val="baseline"/>
                <w:lang w:eastAsia="pt-BR"/>
              </w:rPr>
            </w:pPr>
            <w:r w:rsidRPr="005F5BC9">
              <w:rPr>
                <w:rFonts w:ascii="Arial" w:eastAsia="Times New Roman" w:hAnsi="Arial" w:cs="Arial"/>
                <w:b/>
                <w:bCs/>
                <w:vertAlign w:val="baseline"/>
                <w:lang w:eastAsia="pt-BR"/>
              </w:rPr>
              <w:t>Erro Padrão</w:t>
            </w:r>
          </w:p>
        </w:tc>
      </w:tr>
      <w:tr w:rsidR="00EC21BA" w:rsidRPr="005F5BC9" w:rsidTr="00993E7A">
        <w:trPr>
          <w:gridAfter w:val="2"/>
          <w:wAfter w:w="851" w:type="dxa"/>
          <w:trHeight w:val="255"/>
        </w:trPr>
        <w:tc>
          <w:tcPr>
            <w:tcW w:w="2131"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lef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Intercepto</w:t>
            </w:r>
          </w:p>
        </w:tc>
        <w:tc>
          <w:tcPr>
            <w:tcW w:w="874"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2.014***</w:t>
            </w: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0.300</w:t>
            </w:r>
          </w:p>
        </w:tc>
        <w:tc>
          <w:tcPr>
            <w:tcW w:w="883"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2.622***</w:t>
            </w: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0.342</w:t>
            </w:r>
          </w:p>
        </w:tc>
        <w:tc>
          <w:tcPr>
            <w:tcW w:w="874"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2.697***</w:t>
            </w:r>
          </w:p>
        </w:tc>
        <w:tc>
          <w:tcPr>
            <w:tcW w:w="819"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0.452</w:t>
            </w:r>
          </w:p>
        </w:tc>
      </w:tr>
      <w:tr w:rsidR="00EC21BA" w:rsidRPr="005F5BC9" w:rsidTr="005C465F">
        <w:trPr>
          <w:gridAfter w:val="2"/>
          <w:wAfter w:w="851" w:type="dxa"/>
          <w:trHeight w:val="255"/>
        </w:trPr>
        <w:tc>
          <w:tcPr>
            <w:tcW w:w="2131"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LPIB</w:t>
            </w:r>
          </w:p>
        </w:tc>
        <w:tc>
          <w:tcPr>
            <w:tcW w:w="874"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0.088***</w:t>
            </w: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0.005</w:t>
            </w:r>
          </w:p>
        </w:tc>
        <w:tc>
          <w:tcPr>
            <w:tcW w:w="883"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0.090***</w:t>
            </w: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0.006</w:t>
            </w:r>
          </w:p>
        </w:tc>
        <w:tc>
          <w:tcPr>
            <w:tcW w:w="874"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0.103***</w:t>
            </w:r>
          </w:p>
        </w:tc>
        <w:tc>
          <w:tcPr>
            <w:tcW w:w="819"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0.007</w:t>
            </w:r>
          </w:p>
        </w:tc>
      </w:tr>
      <w:tr w:rsidR="00EC21BA" w:rsidRPr="005F5BC9" w:rsidTr="005C465F">
        <w:trPr>
          <w:gridAfter w:val="2"/>
          <w:wAfter w:w="851" w:type="dxa"/>
          <w:trHeight w:val="255"/>
        </w:trPr>
        <w:tc>
          <w:tcPr>
            <w:tcW w:w="2131"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LPAB</w:t>
            </w:r>
          </w:p>
        </w:tc>
        <w:tc>
          <w:tcPr>
            <w:tcW w:w="874"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0.096***</w:t>
            </w: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0.009</w:t>
            </w:r>
          </w:p>
        </w:tc>
        <w:tc>
          <w:tcPr>
            <w:tcW w:w="883"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0.104***</w:t>
            </w: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0.009</w:t>
            </w:r>
          </w:p>
        </w:tc>
        <w:tc>
          <w:tcPr>
            <w:tcW w:w="874"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0.129***</w:t>
            </w:r>
          </w:p>
        </w:tc>
        <w:tc>
          <w:tcPr>
            <w:tcW w:w="819"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0.012</w:t>
            </w:r>
          </w:p>
        </w:tc>
      </w:tr>
      <w:tr w:rsidR="00EC21BA" w:rsidRPr="005F5BC9" w:rsidTr="005C465F">
        <w:trPr>
          <w:gridAfter w:val="2"/>
          <w:wAfter w:w="851" w:type="dxa"/>
          <w:trHeight w:val="255"/>
        </w:trPr>
        <w:tc>
          <w:tcPr>
            <w:tcW w:w="2131"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proofErr w:type="spellStart"/>
            <w:proofErr w:type="gramStart"/>
            <w:r>
              <w:rPr>
                <w:rFonts w:ascii="Arial" w:eastAsia="Times New Roman" w:hAnsi="Arial" w:cs="Arial"/>
                <w:vertAlign w:val="baseline"/>
                <w:lang w:eastAsia="pt-BR"/>
              </w:rPr>
              <w:t>LOutras</w:t>
            </w:r>
            <w:proofErr w:type="spellEnd"/>
            <w:proofErr w:type="gramEnd"/>
            <w:r>
              <w:rPr>
                <w:rFonts w:ascii="Arial" w:eastAsia="Times New Roman" w:hAnsi="Arial" w:cs="Arial"/>
                <w:vertAlign w:val="baseline"/>
                <w:lang w:eastAsia="pt-BR"/>
              </w:rPr>
              <w:t xml:space="preserve"> </w:t>
            </w:r>
            <w:proofErr w:type="spellStart"/>
            <w:r>
              <w:rPr>
                <w:rFonts w:ascii="Arial" w:eastAsia="Times New Roman" w:hAnsi="Arial" w:cs="Arial"/>
                <w:vertAlign w:val="baseline"/>
                <w:lang w:eastAsia="pt-BR"/>
              </w:rPr>
              <w:t>transf.SUS</w:t>
            </w:r>
            <w:proofErr w:type="spellEnd"/>
          </w:p>
        </w:tc>
        <w:tc>
          <w:tcPr>
            <w:tcW w:w="874"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0.323***</w:t>
            </w: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0.004</w:t>
            </w:r>
          </w:p>
        </w:tc>
        <w:tc>
          <w:tcPr>
            <w:tcW w:w="883"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0.307***</w:t>
            </w: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0.004</w:t>
            </w:r>
          </w:p>
        </w:tc>
        <w:tc>
          <w:tcPr>
            <w:tcW w:w="874"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0.289***</w:t>
            </w:r>
          </w:p>
        </w:tc>
        <w:tc>
          <w:tcPr>
            <w:tcW w:w="819"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0.005</w:t>
            </w:r>
          </w:p>
        </w:tc>
      </w:tr>
      <w:tr w:rsidR="00EC21BA" w:rsidRPr="005F5BC9" w:rsidTr="005C465F">
        <w:trPr>
          <w:gridAfter w:val="2"/>
          <w:wAfter w:w="851" w:type="dxa"/>
          <w:trHeight w:val="255"/>
        </w:trPr>
        <w:tc>
          <w:tcPr>
            <w:tcW w:w="2131"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r>
              <w:rPr>
                <w:rFonts w:ascii="Arial" w:eastAsia="Times New Roman" w:hAnsi="Arial" w:cs="Arial"/>
                <w:vertAlign w:val="baseline"/>
                <w:lang w:eastAsia="pt-BR"/>
              </w:rPr>
              <w:t>LFPM</w:t>
            </w:r>
          </w:p>
        </w:tc>
        <w:tc>
          <w:tcPr>
            <w:tcW w:w="874"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0.415***</w:t>
            </w: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0.005</w:t>
            </w:r>
          </w:p>
        </w:tc>
        <w:tc>
          <w:tcPr>
            <w:tcW w:w="883"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0.425***</w:t>
            </w: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0.006</w:t>
            </w:r>
          </w:p>
        </w:tc>
        <w:tc>
          <w:tcPr>
            <w:tcW w:w="874"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0.431***</w:t>
            </w:r>
          </w:p>
        </w:tc>
        <w:tc>
          <w:tcPr>
            <w:tcW w:w="819"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0.006</w:t>
            </w:r>
          </w:p>
        </w:tc>
      </w:tr>
      <w:tr w:rsidR="00EC21BA" w:rsidRPr="005F5BC9" w:rsidTr="005C465F">
        <w:trPr>
          <w:gridAfter w:val="2"/>
          <w:wAfter w:w="851" w:type="dxa"/>
          <w:trHeight w:val="255"/>
        </w:trPr>
        <w:tc>
          <w:tcPr>
            <w:tcW w:w="2131"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proofErr w:type="spellStart"/>
            <w:proofErr w:type="gramStart"/>
            <w:r>
              <w:rPr>
                <w:rFonts w:ascii="Arial" w:eastAsia="Times New Roman" w:hAnsi="Arial" w:cs="Arial"/>
                <w:vertAlign w:val="baseline"/>
                <w:lang w:eastAsia="pt-BR"/>
              </w:rPr>
              <w:t>LRoyalties</w:t>
            </w:r>
            <w:proofErr w:type="spellEnd"/>
            <w:proofErr w:type="gramEnd"/>
          </w:p>
        </w:tc>
        <w:tc>
          <w:tcPr>
            <w:tcW w:w="874"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0.023***</w:t>
            </w: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0.003</w:t>
            </w:r>
          </w:p>
        </w:tc>
        <w:tc>
          <w:tcPr>
            <w:tcW w:w="883"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0.033***</w:t>
            </w: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0.004</w:t>
            </w:r>
          </w:p>
        </w:tc>
        <w:tc>
          <w:tcPr>
            <w:tcW w:w="874"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0.047***</w:t>
            </w:r>
          </w:p>
        </w:tc>
        <w:tc>
          <w:tcPr>
            <w:tcW w:w="819"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0.005</w:t>
            </w:r>
          </w:p>
        </w:tc>
      </w:tr>
      <w:tr w:rsidR="00EC21BA" w:rsidRPr="005F5BC9" w:rsidTr="005C465F">
        <w:trPr>
          <w:gridAfter w:val="2"/>
          <w:wAfter w:w="851" w:type="dxa"/>
          <w:trHeight w:val="255"/>
        </w:trPr>
        <w:tc>
          <w:tcPr>
            <w:tcW w:w="2131" w:type="dxa"/>
            <w:tcBorders>
              <w:top w:val="nil"/>
              <w:left w:val="nil"/>
              <w:bottom w:val="nil"/>
              <w:right w:val="nil"/>
            </w:tcBorders>
            <w:shd w:val="clear" w:color="auto" w:fill="auto"/>
            <w:noWrap/>
            <w:vAlign w:val="center"/>
            <w:hideMark/>
          </w:tcPr>
          <w:p w:rsidR="00EC21BA" w:rsidRPr="005F5BC9" w:rsidRDefault="00EC21BA" w:rsidP="00E857BB">
            <w:pPr>
              <w:spacing w:after="0" w:line="240" w:lineRule="auto"/>
              <w:jc w:val="left"/>
              <w:rPr>
                <w:rFonts w:ascii="Arial" w:eastAsia="Times New Roman" w:hAnsi="Arial" w:cs="Arial"/>
                <w:vertAlign w:val="baseline"/>
                <w:lang w:eastAsia="pt-BR"/>
              </w:rPr>
            </w:pPr>
            <w:proofErr w:type="spellStart"/>
            <w:proofErr w:type="gramStart"/>
            <w:r>
              <w:rPr>
                <w:rFonts w:ascii="Arial" w:eastAsia="Times New Roman" w:hAnsi="Arial" w:cs="Arial"/>
                <w:vertAlign w:val="baseline"/>
                <w:lang w:eastAsia="pt-BR"/>
              </w:rPr>
              <w:t>LOutras</w:t>
            </w:r>
            <w:proofErr w:type="spellEnd"/>
            <w:proofErr w:type="gramEnd"/>
            <w:r>
              <w:rPr>
                <w:rFonts w:ascii="Arial" w:eastAsia="Times New Roman" w:hAnsi="Arial" w:cs="Arial"/>
                <w:vertAlign w:val="baseline"/>
                <w:lang w:eastAsia="pt-BR"/>
              </w:rPr>
              <w:t xml:space="preserve"> </w:t>
            </w:r>
            <w:proofErr w:type="spellStart"/>
            <w:r>
              <w:rPr>
                <w:rFonts w:ascii="Arial" w:eastAsia="Times New Roman" w:hAnsi="Arial" w:cs="Arial"/>
                <w:vertAlign w:val="baseline"/>
                <w:lang w:eastAsia="pt-BR"/>
              </w:rPr>
              <w:t>transf</w:t>
            </w:r>
            <w:proofErr w:type="spellEnd"/>
            <w:r>
              <w:rPr>
                <w:rFonts w:ascii="Arial" w:eastAsia="Times New Roman" w:hAnsi="Arial" w:cs="Arial"/>
                <w:vertAlign w:val="baseline"/>
                <w:lang w:eastAsia="pt-BR"/>
              </w:rPr>
              <w:t>.</w:t>
            </w:r>
          </w:p>
        </w:tc>
        <w:tc>
          <w:tcPr>
            <w:tcW w:w="874"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0.250***</w:t>
            </w: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0.007</w:t>
            </w:r>
          </w:p>
        </w:tc>
        <w:tc>
          <w:tcPr>
            <w:tcW w:w="883"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0.253***</w:t>
            </w: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0.007</w:t>
            </w:r>
          </w:p>
        </w:tc>
        <w:tc>
          <w:tcPr>
            <w:tcW w:w="874" w:type="dxa"/>
            <w:gridSpan w:val="2"/>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0.260***</w:t>
            </w:r>
          </w:p>
        </w:tc>
        <w:tc>
          <w:tcPr>
            <w:tcW w:w="819"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right"/>
              <w:rPr>
                <w:rFonts w:ascii="Arial" w:eastAsia="Times New Roman" w:hAnsi="Arial" w:cs="Arial"/>
                <w:color w:val="000000"/>
                <w:vertAlign w:val="baseline"/>
                <w:lang w:eastAsia="pt-BR"/>
              </w:rPr>
            </w:pPr>
            <w:r w:rsidRPr="005F5BC9">
              <w:rPr>
                <w:rFonts w:ascii="Arial" w:eastAsia="Times New Roman" w:hAnsi="Arial" w:cs="Arial"/>
                <w:color w:val="000000"/>
                <w:vertAlign w:val="baseline"/>
                <w:lang w:eastAsia="pt-BR"/>
              </w:rPr>
              <w:t>0.007</w:t>
            </w:r>
          </w:p>
        </w:tc>
      </w:tr>
      <w:tr w:rsidR="00EC21BA" w:rsidRPr="005F5BC9" w:rsidTr="00993E7A">
        <w:trPr>
          <w:gridAfter w:val="2"/>
          <w:wAfter w:w="851" w:type="dxa"/>
          <w:trHeight w:val="255"/>
        </w:trPr>
        <w:tc>
          <w:tcPr>
            <w:tcW w:w="2131" w:type="dxa"/>
            <w:tcBorders>
              <w:top w:val="nil"/>
              <w:left w:val="nil"/>
              <w:bottom w:val="nil"/>
              <w:right w:val="nil"/>
            </w:tcBorders>
            <w:shd w:val="clear" w:color="auto" w:fill="auto"/>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Controles</w:t>
            </w:r>
          </w:p>
        </w:tc>
        <w:tc>
          <w:tcPr>
            <w:tcW w:w="1693" w:type="dxa"/>
            <w:gridSpan w:val="4"/>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702" w:type="dxa"/>
            <w:gridSpan w:val="4"/>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693" w:type="dxa"/>
            <w:gridSpan w:val="3"/>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EC21BA" w:rsidRPr="005F5BC9" w:rsidTr="00993E7A">
        <w:trPr>
          <w:gridAfter w:val="2"/>
          <w:wAfter w:w="851" w:type="dxa"/>
          <w:trHeight w:val="255"/>
        </w:trPr>
        <w:tc>
          <w:tcPr>
            <w:tcW w:w="2131" w:type="dxa"/>
            <w:tcBorders>
              <w:top w:val="nil"/>
              <w:left w:val="nil"/>
              <w:bottom w:val="nil"/>
              <w:right w:val="nil"/>
            </w:tcBorders>
            <w:shd w:val="clear" w:color="auto" w:fill="auto"/>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proofErr w:type="spellStart"/>
            <w:r w:rsidRPr="005F5BC9">
              <w:rPr>
                <w:rFonts w:ascii="Arial" w:eastAsia="Times New Roman" w:hAnsi="Arial" w:cs="Arial"/>
                <w:i/>
                <w:iCs/>
                <w:vertAlign w:val="baseline"/>
                <w:lang w:eastAsia="pt-BR"/>
              </w:rPr>
              <w:lastRenderedPageBreak/>
              <w:t>Dummies</w:t>
            </w:r>
            <w:r w:rsidRPr="005F5BC9">
              <w:rPr>
                <w:rFonts w:ascii="Arial" w:eastAsia="Times New Roman" w:hAnsi="Arial" w:cs="Arial"/>
                <w:vertAlign w:val="baseline"/>
                <w:lang w:eastAsia="pt-BR"/>
              </w:rPr>
              <w:t>de</w:t>
            </w:r>
            <w:proofErr w:type="spellEnd"/>
            <w:r w:rsidRPr="005F5BC9">
              <w:rPr>
                <w:rFonts w:ascii="Arial" w:eastAsia="Times New Roman" w:hAnsi="Arial" w:cs="Arial"/>
                <w:vertAlign w:val="baseline"/>
                <w:lang w:eastAsia="pt-BR"/>
              </w:rPr>
              <w:t xml:space="preserve"> ano</w:t>
            </w:r>
          </w:p>
        </w:tc>
        <w:tc>
          <w:tcPr>
            <w:tcW w:w="1693" w:type="dxa"/>
            <w:gridSpan w:val="4"/>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702" w:type="dxa"/>
            <w:gridSpan w:val="4"/>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c>
          <w:tcPr>
            <w:tcW w:w="1693" w:type="dxa"/>
            <w:gridSpan w:val="3"/>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Sim</w:t>
            </w:r>
          </w:p>
        </w:tc>
      </w:tr>
      <w:tr w:rsidR="00EC21BA" w:rsidRPr="005F5BC9" w:rsidTr="00993E7A">
        <w:trPr>
          <w:gridAfter w:val="2"/>
          <w:wAfter w:w="851" w:type="dxa"/>
          <w:trHeight w:val="255"/>
        </w:trPr>
        <w:tc>
          <w:tcPr>
            <w:tcW w:w="2131" w:type="dxa"/>
            <w:tcBorders>
              <w:top w:val="nil"/>
              <w:left w:val="nil"/>
              <w:bottom w:val="single" w:sz="4" w:space="0" w:color="auto"/>
              <w:right w:val="nil"/>
            </w:tcBorders>
            <w:shd w:val="clear" w:color="auto" w:fill="auto"/>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Observações</w:t>
            </w:r>
          </w:p>
        </w:tc>
        <w:tc>
          <w:tcPr>
            <w:tcW w:w="5088" w:type="dxa"/>
            <w:gridSpan w:val="11"/>
            <w:tcBorders>
              <w:top w:val="nil"/>
              <w:left w:val="nil"/>
              <w:bottom w:val="single" w:sz="4" w:space="0" w:color="auto"/>
              <w:right w:val="nil"/>
            </w:tcBorders>
            <w:shd w:val="clear" w:color="auto" w:fill="auto"/>
            <w:noWrap/>
            <w:vAlign w:val="center"/>
            <w:hideMark/>
          </w:tcPr>
          <w:p w:rsidR="00EC21BA" w:rsidRPr="005F5BC9" w:rsidRDefault="00EC21BA" w:rsidP="00EC49ED">
            <w:pPr>
              <w:spacing w:after="0" w:line="240" w:lineRule="auto"/>
              <w:jc w:val="center"/>
              <w:rPr>
                <w:rFonts w:ascii="Arial" w:eastAsia="Times New Roman" w:hAnsi="Arial" w:cs="Arial"/>
                <w:vertAlign w:val="baseline"/>
                <w:lang w:eastAsia="pt-BR"/>
              </w:rPr>
            </w:pPr>
            <w:r w:rsidRPr="005F5BC9">
              <w:rPr>
                <w:rFonts w:ascii="Arial" w:eastAsia="Times New Roman" w:hAnsi="Arial" w:cs="Arial"/>
                <w:vertAlign w:val="baseline"/>
                <w:lang w:eastAsia="pt-BR"/>
              </w:rPr>
              <w:t>32,286</w:t>
            </w:r>
          </w:p>
        </w:tc>
      </w:tr>
      <w:tr w:rsidR="00EC21BA" w:rsidRPr="005F5BC9" w:rsidTr="00993E7A">
        <w:trPr>
          <w:gridAfter w:val="2"/>
          <w:wAfter w:w="851" w:type="dxa"/>
          <w:trHeight w:val="255"/>
        </w:trPr>
        <w:tc>
          <w:tcPr>
            <w:tcW w:w="3005" w:type="dxa"/>
            <w:gridSpan w:val="3"/>
            <w:tcBorders>
              <w:top w:val="nil"/>
              <w:left w:val="nil"/>
              <w:bottom w:val="nil"/>
              <w:right w:val="nil"/>
            </w:tcBorders>
            <w:shd w:val="clear" w:color="auto" w:fill="auto"/>
            <w:noWrap/>
            <w:vAlign w:val="center"/>
            <w:hideMark/>
          </w:tcPr>
          <w:p w:rsidR="00EC21BA" w:rsidRPr="005F5BC9" w:rsidRDefault="00EC21BA" w:rsidP="00EC49ED">
            <w:pPr>
              <w:spacing w:after="0" w:line="240" w:lineRule="auto"/>
              <w:jc w:val="left"/>
              <w:rPr>
                <w:rFonts w:ascii="Arial" w:eastAsia="Times New Roman" w:hAnsi="Arial" w:cs="Arial"/>
                <w:vertAlign w:val="baseline"/>
                <w:lang w:eastAsia="pt-BR"/>
              </w:rPr>
            </w:pPr>
            <w:r w:rsidRPr="005F5BC9">
              <w:rPr>
                <w:rFonts w:ascii="Arial" w:eastAsia="Times New Roman" w:hAnsi="Arial" w:cs="Arial"/>
                <w:vertAlign w:val="baseline"/>
                <w:lang w:eastAsia="pt-BR"/>
              </w:rPr>
              <w:t>*** p&lt;0.01, ** p&lt;0.05, * p&lt;0.1</w:t>
            </w: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left"/>
              <w:rPr>
                <w:rFonts w:ascii="Arial" w:eastAsia="Times New Roman" w:hAnsi="Arial" w:cs="Arial"/>
                <w:color w:val="000000"/>
                <w:vertAlign w:val="baseline"/>
                <w:lang w:eastAsia="pt-BR"/>
              </w:rPr>
            </w:pPr>
          </w:p>
        </w:tc>
        <w:tc>
          <w:tcPr>
            <w:tcW w:w="883"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left"/>
              <w:rPr>
                <w:rFonts w:ascii="Arial" w:eastAsia="Times New Roman" w:hAnsi="Arial" w:cs="Arial"/>
                <w:color w:val="000000"/>
                <w:vertAlign w:val="baseline"/>
                <w:lang w:eastAsia="pt-BR"/>
              </w:rPr>
            </w:pPr>
          </w:p>
        </w:tc>
        <w:tc>
          <w:tcPr>
            <w:tcW w:w="819"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left"/>
              <w:rPr>
                <w:rFonts w:ascii="Arial" w:eastAsia="Times New Roman" w:hAnsi="Arial" w:cs="Arial"/>
                <w:color w:val="000000"/>
                <w:vertAlign w:val="baseline"/>
                <w:lang w:eastAsia="pt-BR"/>
              </w:rPr>
            </w:pPr>
          </w:p>
        </w:tc>
        <w:tc>
          <w:tcPr>
            <w:tcW w:w="874" w:type="dxa"/>
            <w:gridSpan w:val="2"/>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left"/>
              <w:rPr>
                <w:rFonts w:ascii="Arial" w:eastAsia="Times New Roman" w:hAnsi="Arial" w:cs="Arial"/>
                <w:color w:val="000000"/>
                <w:vertAlign w:val="baseline"/>
                <w:lang w:eastAsia="pt-BR"/>
              </w:rPr>
            </w:pPr>
          </w:p>
        </w:tc>
        <w:tc>
          <w:tcPr>
            <w:tcW w:w="819" w:type="dxa"/>
            <w:tcBorders>
              <w:top w:val="nil"/>
              <w:left w:val="nil"/>
              <w:bottom w:val="nil"/>
              <w:right w:val="nil"/>
            </w:tcBorders>
            <w:shd w:val="clear" w:color="auto" w:fill="auto"/>
            <w:noWrap/>
            <w:vAlign w:val="bottom"/>
            <w:hideMark/>
          </w:tcPr>
          <w:p w:rsidR="00EC21BA" w:rsidRPr="005F5BC9" w:rsidRDefault="00EC21BA" w:rsidP="00EC49ED">
            <w:pPr>
              <w:spacing w:after="0" w:line="240" w:lineRule="auto"/>
              <w:jc w:val="left"/>
              <w:rPr>
                <w:rFonts w:ascii="Arial" w:eastAsia="Times New Roman" w:hAnsi="Arial" w:cs="Arial"/>
                <w:color w:val="000000"/>
                <w:vertAlign w:val="baseline"/>
                <w:lang w:eastAsia="pt-BR"/>
              </w:rPr>
            </w:pPr>
          </w:p>
        </w:tc>
      </w:tr>
    </w:tbl>
    <w:p w:rsidR="00EC49ED" w:rsidRDefault="00EC49ED" w:rsidP="00EC49ED">
      <w:pPr>
        <w:spacing w:after="0" w:line="240" w:lineRule="auto"/>
        <w:rPr>
          <w:rFonts w:ascii="Arial" w:hAnsi="Arial" w:cs="Arial"/>
          <w:sz w:val="24"/>
          <w:szCs w:val="24"/>
          <w:vertAlign w:val="baseline"/>
        </w:rPr>
      </w:pPr>
    </w:p>
    <w:p w:rsidR="00B7505E" w:rsidRDefault="00B7505E" w:rsidP="00EC49ED">
      <w:pPr>
        <w:spacing w:after="0" w:line="240" w:lineRule="auto"/>
        <w:rPr>
          <w:rFonts w:ascii="Arial" w:hAnsi="Arial" w:cs="Arial"/>
          <w:sz w:val="24"/>
          <w:szCs w:val="24"/>
          <w:vertAlign w:val="baseline"/>
        </w:rPr>
      </w:pPr>
    </w:p>
    <w:p w:rsidR="00B7505E" w:rsidRPr="005F5BC9" w:rsidRDefault="00B7505E" w:rsidP="00EC49ED">
      <w:pPr>
        <w:spacing w:after="0" w:line="240" w:lineRule="auto"/>
        <w:rPr>
          <w:rFonts w:ascii="Arial" w:hAnsi="Arial" w:cs="Arial"/>
          <w:sz w:val="24"/>
          <w:szCs w:val="24"/>
          <w:vertAlign w:val="baseline"/>
        </w:rPr>
      </w:pPr>
    </w:p>
    <w:p w:rsidR="0096154B" w:rsidRDefault="0096154B" w:rsidP="00C43DEC">
      <w:pPr>
        <w:pStyle w:val="PargrafodaLista"/>
        <w:numPr>
          <w:ilvl w:val="0"/>
          <w:numId w:val="5"/>
        </w:numPr>
        <w:spacing w:after="0" w:line="240" w:lineRule="auto"/>
        <w:rPr>
          <w:rFonts w:ascii="Arial" w:hAnsi="Arial" w:cs="Arial"/>
          <w:b/>
          <w:sz w:val="24"/>
          <w:szCs w:val="24"/>
          <w:vertAlign w:val="baseline"/>
        </w:rPr>
      </w:pPr>
      <w:r w:rsidRPr="005F5BC9">
        <w:rPr>
          <w:rFonts w:ascii="Arial" w:hAnsi="Arial" w:cs="Arial"/>
          <w:b/>
          <w:sz w:val="24"/>
          <w:szCs w:val="24"/>
          <w:vertAlign w:val="baseline"/>
        </w:rPr>
        <w:t>Conclusões</w:t>
      </w:r>
    </w:p>
    <w:p w:rsidR="00DB0640" w:rsidRDefault="00DB0640" w:rsidP="00047661">
      <w:pPr>
        <w:pStyle w:val="PargrafodaLista"/>
        <w:spacing w:after="0" w:line="240" w:lineRule="auto"/>
        <w:rPr>
          <w:rFonts w:ascii="Arial" w:hAnsi="Arial" w:cs="Arial"/>
          <w:sz w:val="24"/>
          <w:szCs w:val="24"/>
          <w:vertAlign w:val="baseline"/>
        </w:rPr>
      </w:pPr>
    </w:p>
    <w:p w:rsidR="00C43DEC" w:rsidRDefault="00C43DEC" w:rsidP="00C43DEC">
      <w:pPr>
        <w:autoSpaceDE w:val="0"/>
        <w:autoSpaceDN w:val="0"/>
        <w:adjustRightInd w:val="0"/>
        <w:spacing w:after="0" w:line="240" w:lineRule="auto"/>
        <w:ind w:firstLine="360"/>
        <w:rPr>
          <w:rFonts w:ascii="Arial" w:eastAsiaTheme="minorHAnsi" w:hAnsi="Arial" w:cs="Arial"/>
          <w:sz w:val="24"/>
          <w:szCs w:val="24"/>
          <w:vertAlign w:val="baseline"/>
        </w:rPr>
      </w:pPr>
      <w:r>
        <w:rPr>
          <w:rFonts w:ascii="Arial" w:eastAsiaTheme="minorHAnsi" w:hAnsi="Arial" w:cs="Arial"/>
          <w:sz w:val="24"/>
          <w:szCs w:val="24"/>
          <w:vertAlign w:val="baseline"/>
        </w:rPr>
        <w:t>Desde 2002 o mecanismo de repasse automático de transferências do Fundo Nacional de Saúde para os fundos municipais e estaduais está em pleno funcionamento. Uma parcela destas transferências, o</w:t>
      </w:r>
      <w:r w:rsidRPr="005F5BC9">
        <w:rPr>
          <w:rFonts w:ascii="Arial" w:eastAsiaTheme="minorHAnsi" w:hAnsi="Arial" w:cs="Arial"/>
          <w:sz w:val="24"/>
          <w:szCs w:val="24"/>
          <w:vertAlign w:val="baseline"/>
        </w:rPr>
        <w:t xml:space="preserve"> Piso de Atenção Básico Fixo Ampliado</w:t>
      </w:r>
      <w:r>
        <w:rPr>
          <w:rFonts w:ascii="Arial" w:eastAsiaTheme="minorHAnsi" w:hAnsi="Arial" w:cs="Arial"/>
          <w:sz w:val="24"/>
          <w:szCs w:val="24"/>
          <w:vertAlign w:val="baseline"/>
        </w:rPr>
        <w:t>, deve ser usada</w:t>
      </w:r>
      <w:r w:rsidRPr="005F5BC9">
        <w:rPr>
          <w:rFonts w:ascii="Arial" w:eastAsiaTheme="minorHAnsi" w:hAnsi="Arial" w:cs="Arial"/>
          <w:sz w:val="24"/>
          <w:szCs w:val="24"/>
          <w:vertAlign w:val="baseline"/>
        </w:rPr>
        <w:t xml:space="preserve"> obrigatoriamente nos programas de saúde estabelecidos</w:t>
      </w:r>
      <w:r>
        <w:rPr>
          <w:rFonts w:ascii="Arial" w:eastAsiaTheme="minorHAnsi" w:hAnsi="Arial" w:cs="Arial"/>
          <w:sz w:val="24"/>
          <w:szCs w:val="24"/>
          <w:vertAlign w:val="baseline"/>
        </w:rPr>
        <w:t xml:space="preserve"> e é determinada por</w:t>
      </w:r>
      <w:r w:rsidRPr="005F5BC9">
        <w:rPr>
          <w:rFonts w:ascii="Arial" w:eastAsiaTheme="minorHAnsi" w:hAnsi="Arial" w:cs="Arial"/>
          <w:sz w:val="24"/>
          <w:szCs w:val="24"/>
          <w:vertAlign w:val="baseline"/>
        </w:rPr>
        <w:t xml:space="preserve"> um valor fixo </w:t>
      </w:r>
      <w:r w:rsidRPr="005F5BC9">
        <w:rPr>
          <w:rFonts w:ascii="Arial" w:eastAsiaTheme="minorHAnsi" w:hAnsi="Arial" w:cs="Arial"/>
          <w:i/>
          <w:sz w:val="24"/>
          <w:szCs w:val="24"/>
          <w:vertAlign w:val="baseline"/>
        </w:rPr>
        <w:t>per capita</w:t>
      </w:r>
      <w:r w:rsidRPr="005F5BC9">
        <w:rPr>
          <w:rFonts w:ascii="Arial" w:eastAsiaTheme="minorHAnsi" w:hAnsi="Arial" w:cs="Arial"/>
          <w:sz w:val="24"/>
          <w:szCs w:val="24"/>
          <w:vertAlign w:val="baseline"/>
        </w:rPr>
        <w:t xml:space="preserve"> a cada governo subnacional. </w:t>
      </w:r>
    </w:p>
    <w:p w:rsidR="00C43DEC" w:rsidRDefault="00C43DEC" w:rsidP="00C43DEC">
      <w:pPr>
        <w:autoSpaceDE w:val="0"/>
        <w:autoSpaceDN w:val="0"/>
        <w:adjustRightInd w:val="0"/>
        <w:spacing w:after="0" w:line="240" w:lineRule="auto"/>
        <w:ind w:firstLine="360"/>
        <w:rPr>
          <w:rFonts w:ascii="Arial" w:eastAsiaTheme="minorHAnsi" w:hAnsi="Arial" w:cs="Arial"/>
          <w:sz w:val="24"/>
          <w:szCs w:val="24"/>
          <w:vertAlign w:val="baseline"/>
        </w:rPr>
      </w:pPr>
      <w:r>
        <w:rPr>
          <w:rFonts w:ascii="Arial" w:eastAsiaTheme="minorHAnsi" w:hAnsi="Arial" w:cs="Arial"/>
          <w:sz w:val="24"/>
          <w:szCs w:val="24"/>
          <w:vertAlign w:val="baseline"/>
        </w:rPr>
        <w:t>Sendo assim, os governos passaram a contar com uma fonte de recursos para saúde previsível e garantida, o que deveria facilitar sua gestão. Uma vez que as transferências do SUS são condicionais (</w:t>
      </w:r>
      <w:proofErr w:type="spellStart"/>
      <w:r w:rsidRPr="0035317B">
        <w:rPr>
          <w:rFonts w:ascii="Arial" w:eastAsiaTheme="minorHAnsi" w:hAnsi="Arial" w:cs="Arial"/>
          <w:i/>
          <w:sz w:val="24"/>
          <w:szCs w:val="24"/>
          <w:vertAlign w:val="baseline"/>
        </w:rPr>
        <w:t>earmarked</w:t>
      </w:r>
      <w:proofErr w:type="spellEnd"/>
      <w:r>
        <w:rPr>
          <w:rFonts w:ascii="Arial" w:eastAsiaTheme="minorHAnsi" w:hAnsi="Arial" w:cs="Arial"/>
          <w:sz w:val="24"/>
          <w:szCs w:val="24"/>
          <w:vertAlign w:val="baseline"/>
        </w:rPr>
        <w:t xml:space="preserve">), seria de se esperar que seus recursos fossem plenamente aplicados em saúde. No entanto, </w:t>
      </w:r>
      <w:r w:rsidRPr="005F5BC9">
        <w:rPr>
          <w:rFonts w:ascii="Arial" w:eastAsiaTheme="minorHAnsi" w:hAnsi="Arial" w:cs="Arial"/>
          <w:sz w:val="24"/>
          <w:szCs w:val="24"/>
          <w:vertAlign w:val="baseline"/>
        </w:rPr>
        <w:t>existe evidência</w:t>
      </w:r>
      <w:r>
        <w:rPr>
          <w:rFonts w:ascii="Arial" w:eastAsiaTheme="minorHAnsi" w:hAnsi="Arial" w:cs="Arial"/>
          <w:sz w:val="24"/>
          <w:szCs w:val="24"/>
          <w:vertAlign w:val="baseline"/>
        </w:rPr>
        <w:t xml:space="preserve"> na literatura</w:t>
      </w:r>
      <w:r w:rsidRPr="005F5BC9">
        <w:rPr>
          <w:rFonts w:ascii="Arial" w:eastAsiaTheme="minorHAnsi" w:hAnsi="Arial" w:cs="Arial"/>
          <w:sz w:val="24"/>
          <w:szCs w:val="24"/>
          <w:vertAlign w:val="baseline"/>
        </w:rPr>
        <w:t xml:space="preserve"> de que o gasto na área escolhida </w:t>
      </w:r>
      <w:r>
        <w:rPr>
          <w:rFonts w:ascii="Arial" w:eastAsiaTheme="minorHAnsi" w:hAnsi="Arial" w:cs="Arial"/>
          <w:sz w:val="24"/>
          <w:szCs w:val="24"/>
          <w:vertAlign w:val="baseline"/>
        </w:rPr>
        <w:t xml:space="preserve">pode </w:t>
      </w:r>
      <w:r w:rsidRPr="005F5BC9">
        <w:rPr>
          <w:rFonts w:ascii="Arial" w:eastAsiaTheme="minorHAnsi" w:hAnsi="Arial" w:cs="Arial"/>
          <w:sz w:val="24"/>
          <w:szCs w:val="24"/>
          <w:vertAlign w:val="baseline"/>
        </w:rPr>
        <w:t>aumenta</w:t>
      </w:r>
      <w:r>
        <w:rPr>
          <w:rFonts w:ascii="Arial" w:eastAsiaTheme="minorHAnsi" w:hAnsi="Arial" w:cs="Arial"/>
          <w:sz w:val="24"/>
          <w:szCs w:val="24"/>
          <w:vertAlign w:val="baseline"/>
        </w:rPr>
        <w:t>r</w:t>
      </w:r>
      <w:r w:rsidRPr="005F5BC9">
        <w:rPr>
          <w:rFonts w:ascii="Arial" w:eastAsiaTheme="minorHAnsi" w:hAnsi="Arial" w:cs="Arial"/>
          <w:sz w:val="24"/>
          <w:szCs w:val="24"/>
          <w:vertAlign w:val="baseline"/>
        </w:rPr>
        <w:t xml:space="preserve"> menos do que </w:t>
      </w:r>
      <w:r>
        <w:rPr>
          <w:rFonts w:ascii="Arial" w:eastAsiaTheme="minorHAnsi" w:hAnsi="Arial" w:cs="Arial"/>
          <w:sz w:val="24"/>
          <w:szCs w:val="24"/>
          <w:vertAlign w:val="baseline"/>
        </w:rPr>
        <w:t>o montante</w:t>
      </w:r>
      <w:r w:rsidRPr="005F5BC9">
        <w:rPr>
          <w:rFonts w:ascii="Arial" w:eastAsiaTheme="minorHAnsi" w:hAnsi="Arial" w:cs="Arial"/>
          <w:sz w:val="24"/>
          <w:szCs w:val="24"/>
          <w:vertAlign w:val="baseline"/>
        </w:rPr>
        <w:t xml:space="preserve"> da </w:t>
      </w:r>
      <w:r w:rsidRPr="0075104D">
        <w:rPr>
          <w:rFonts w:ascii="Arial" w:eastAsiaTheme="minorHAnsi" w:hAnsi="Arial" w:cs="Arial"/>
          <w:sz w:val="24"/>
          <w:szCs w:val="24"/>
          <w:vertAlign w:val="baseline"/>
        </w:rPr>
        <w:t>transferência, sendo o restante dos recursos destinados a outros bens e serviços público</w:t>
      </w:r>
      <w:r>
        <w:rPr>
          <w:rFonts w:ascii="Arial" w:eastAsiaTheme="minorHAnsi" w:hAnsi="Arial" w:cs="Arial"/>
          <w:sz w:val="24"/>
          <w:szCs w:val="24"/>
          <w:vertAlign w:val="baseline"/>
        </w:rPr>
        <w:t>s</w:t>
      </w:r>
      <w:r w:rsidRPr="0075104D">
        <w:rPr>
          <w:rFonts w:ascii="Arial" w:eastAsiaTheme="minorHAnsi" w:hAnsi="Arial" w:cs="Arial"/>
          <w:sz w:val="24"/>
          <w:szCs w:val="24"/>
          <w:vertAlign w:val="baseline"/>
        </w:rPr>
        <w:t>, resultado que ficou conhecido como efeito fungibilidade das transferências.</w:t>
      </w:r>
    </w:p>
    <w:p w:rsidR="0035317B" w:rsidRDefault="00C43DEC" w:rsidP="00DB0640">
      <w:pPr>
        <w:autoSpaceDE w:val="0"/>
        <w:autoSpaceDN w:val="0"/>
        <w:adjustRightInd w:val="0"/>
        <w:spacing w:after="0" w:line="240" w:lineRule="auto"/>
        <w:ind w:firstLine="360"/>
        <w:rPr>
          <w:rFonts w:ascii="Arial" w:eastAsiaTheme="minorHAnsi" w:hAnsi="Arial" w:cs="Arial"/>
          <w:sz w:val="24"/>
          <w:szCs w:val="24"/>
          <w:vertAlign w:val="baseline"/>
        </w:rPr>
      </w:pPr>
      <w:r>
        <w:rPr>
          <w:rFonts w:ascii="Arial" w:eastAsiaTheme="minorHAnsi" w:hAnsi="Arial" w:cs="Arial"/>
          <w:sz w:val="24"/>
          <w:szCs w:val="24"/>
          <w:vertAlign w:val="baseline"/>
        </w:rPr>
        <w:t>O objetivo do artigo é</w:t>
      </w:r>
      <w:r w:rsidR="00DB0640">
        <w:rPr>
          <w:rFonts w:ascii="Arial" w:eastAsiaTheme="minorHAnsi" w:hAnsi="Arial" w:cs="Arial"/>
          <w:sz w:val="24"/>
          <w:szCs w:val="24"/>
          <w:vertAlign w:val="baseline"/>
        </w:rPr>
        <w:t xml:space="preserve"> </w:t>
      </w:r>
      <w:r w:rsidR="00DB0640" w:rsidRPr="005F5BC9">
        <w:rPr>
          <w:rFonts w:ascii="Arial" w:eastAsiaTheme="minorHAnsi" w:hAnsi="Arial" w:cs="Arial"/>
          <w:sz w:val="24"/>
          <w:szCs w:val="24"/>
          <w:vertAlign w:val="baseline"/>
        </w:rPr>
        <w:t>avaliar o impacto das transferências do SUS sobre os gastos em saúde, procurando verificar se a maior parte dos recursos transferidos pel</w:t>
      </w:r>
      <w:r>
        <w:rPr>
          <w:rFonts w:ascii="Arial" w:eastAsiaTheme="minorHAnsi" w:hAnsi="Arial" w:cs="Arial"/>
          <w:sz w:val="24"/>
          <w:szCs w:val="24"/>
          <w:vertAlign w:val="baseline"/>
        </w:rPr>
        <w:t>o governo está sendo</w:t>
      </w:r>
      <w:r w:rsidR="00DB0640" w:rsidRPr="005F5BC9">
        <w:rPr>
          <w:rFonts w:ascii="Arial" w:eastAsiaTheme="minorHAnsi" w:hAnsi="Arial" w:cs="Arial"/>
          <w:sz w:val="24"/>
          <w:szCs w:val="24"/>
          <w:vertAlign w:val="baseline"/>
        </w:rPr>
        <w:t xml:space="preserve"> utilizada para serviços</w:t>
      </w:r>
      <w:r>
        <w:rPr>
          <w:rFonts w:ascii="Arial" w:eastAsiaTheme="minorHAnsi" w:hAnsi="Arial" w:cs="Arial"/>
          <w:sz w:val="24"/>
          <w:szCs w:val="24"/>
          <w:vertAlign w:val="baseline"/>
        </w:rPr>
        <w:t xml:space="preserve"> de saúde ou não. </w:t>
      </w:r>
    </w:p>
    <w:p w:rsidR="00047E3E" w:rsidRDefault="00C43DEC" w:rsidP="00C43DEC">
      <w:pPr>
        <w:spacing w:after="0" w:line="240" w:lineRule="auto"/>
        <w:ind w:firstLine="360"/>
        <w:rPr>
          <w:rFonts w:ascii="Arial" w:hAnsi="Arial" w:cs="Arial"/>
          <w:sz w:val="24"/>
          <w:szCs w:val="24"/>
          <w:vertAlign w:val="baseline"/>
        </w:rPr>
      </w:pPr>
      <w:r>
        <w:rPr>
          <w:rFonts w:ascii="Arial" w:eastAsiaTheme="minorHAnsi" w:hAnsi="Arial" w:cs="Arial"/>
          <w:sz w:val="24"/>
          <w:szCs w:val="24"/>
          <w:vertAlign w:val="baseline"/>
        </w:rPr>
        <w:t>F</w:t>
      </w:r>
      <w:r w:rsidR="00047E3E" w:rsidRPr="005F5BC9">
        <w:rPr>
          <w:rFonts w:ascii="Arial" w:hAnsi="Arial" w:cs="Arial"/>
          <w:sz w:val="24"/>
          <w:szCs w:val="24"/>
          <w:vertAlign w:val="baseline"/>
        </w:rPr>
        <w:t>oi estimado inicialmente um modelo de painel com efeitos fixos</w:t>
      </w:r>
      <w:r w:rsidR="00047E3E">
        <w:rPr>
          <w:rFonts w:ascii="Arial" w:hAnsi="Arial" w:cs="Arial"/>
          <w:sz w:val="24"/>
          <w:szCs w:val="24"/>
          <w:vertAlign w:val="baseline"/>
        </w:rPr>
        <w:t xml:space="preserve">, </w:t>
      </w:r>
      <w:r w:rsidR="00047E3E" w:rsidRPr="005F5BC9">
        <w:rPr>
          <w:rFonts w:ascii="Arial" w:hAnsi="Arial" w:cs="Arial"/>
          <w:sz w:val="24"/>
          <w:szCs w:val="24"/>
          <w:vertAlign w:val="baseline"/>
        </w:rPr>
        <w:t>usando-se especificação linear e logarítmica</w:t>
      </w:r>
      <w:r w:rsidR="00047E3E">
        <w:rPr>
          <w:rFonts w:ascii="Arial" w:hAnsi="Arial" w:cs="Arial"/>
          <w:sz w:val="24"/>
          <w:szCs w:val="24"/>
          <w:vertAlign w:val="baseline"/>
        </w:rPr>
        <w:t xml:space="preserve">. </w:t>
      </w:r>
      <w:r w:rsidR="00047E3E" w:rsidRPr="005F5BC9">
        <w:rPr>
          <w:rFonts w:ascii="Arial" w:hAnsi="Arial" w:cs="Arial"/>
          <w:sz w:val="24"/>
          <w:szCs w:val="24"/>
          <w:vertAlign w:val="baseline"/>
        </w:rPr>
        <w:t>As regressões foram estimadas utilizando inferência rob</w:t>
      </w:r>
      <w:r w:rsidR="00047E3E">
        <w:rPr>
          <w:rFonts w:ascii="Arial" w:hAnsi="Arial" w:cs="Arial"/>
          <w:sz w:val="24"/>
          <w:szCs w:val="24"/>
          <w:vertAlign w:val="baseline"/>
        </w:rPr>
        <w:t xml:space="preserve">usta, </w:t>
      </w:r>
      <w:r w:rsidR="00047E3E" w:rsidRPr="005F5BC9">
        <w:rPr>
          <w:rFonts w:ascii="Arial" w:hAnsi="Arial" w:cs="Arial"/>
          <w:sz w:val="24"/>
          <w:szCs w:val="24"/>
          <w:vertAlign w:val="baseline"/>
        </w:rPr>
        <w:t xml:space="preserve">controlando-se por </w:t>
      </w:r>
      <w:r w:rsidR="00047E3E" w:rsidRPr="005F5BC9">
        <w:rPr>
          <w:rFonts w:ascii="Arial" w:hAnsi="Arial" w:cs="Arial"/>
          <w:i/>
          <w:sz w:val="24"/>
          <w:szCs w:val="24"/>
          <w:vertAlign w:val="baseline"/>
        </w:rPr>
        <w:t>clusters</w:t>
      </w:r>
      <w:r w:rsidR="00047E3E" w:rsidRPr="005F5BC9">
        <w:rPr>
          <w:rFonts w:ascii="Arial" w:hAnsi="Arial" w:cs="Arial"/>
          <w:sz w:val="24"/>
          <w:szCs w:val="24"/>
          <w:vertAlign w:val="baseline"/>
        </w:rPr>
        <w:t xml:space="preserve"> para municípios de uma mesma microrregião</w:t>
      </w:r>
      <w:r w:rsidR="00AE5340">
        <w:rPr>
          <w:rFonts w:ascii="Arial" w:hAnsi="Arial" w:cs="Arial"/>
          <w:sz w:val="24"/>
          <w:szCs w:val="24"/>
          <w:vertAlign w:val="baseline"/>
        </w:rPr>
        <w:t xml:space="preserve">. Além disso, para efeito de comparação </w:t>
      </w:r>
      <w:r w:rsidR="00AE5340" w:rsidRPr="005F5BC9">
        <w:rPr>
          <w:rFonts w:ascii="Arial" w:hAnsi="Arial" w:cs="Arial"/>
          <w:sz w:val="24"/>
          <w:szCs w:val="24"/>
          <w:vertAlign w:val="baseline"/>
        </w:rPr>
        <w:t xml:space="preserve">foram utilizados </w:t>
      </w:r>
      <w:r w:rsidR="00AE5340">
        <w:rPr>
          <w:rFonts w:ascii="Arial" w:hAnsi="Arial" w:cs="Arial"/>
          <w:sz w:val="24"/>
          <w:szCs w:val="24"/>
          <w:vertAlign w:val="baseline"/>
        </w:rPr>
        <w:t xml:space="preserve">também </w:t>
      </w:r>
      <w:r w:rsidR="00AE5340" w:rsidRPr="005F5BC9">
        <w:rPr>
          <w:rFonts w:ascii="Arial" w:hAnsi="Arial" w:cs="Arial"/>
          <w:sz w:val="24"/>
          <w:szCs w:val="24"/>
          <w:vertAlign w:val="baseline"/>
        </w:rPr>
        <w:t>modelos ponderados pela população</w:t>
      </w:r>
      <w:r w:rsidR="00AE5340">
        <w:rPr>
          <w:rFonts w:ascii="Arial" w:hAnsi="Arial" w:cs="Arial"/>
          <w:sz w:val="24"/>
          <w:szCs w:val="24"/>
          <w:vertAlign w:val="baseline"/>
        </w:rPr>
        <w:t xml:space="preserve"> para que municípios grandes tivessem mais </w:t>
      </w:r>
      <w:proofErr w:type="gramStart"/>
      <w:r w:rsidR="00AE5340">
        <w:rPr>
          <w:rFonts w:ascii="Arial" w:hAnsi="Arial" w:cs="Arial"/>
          <w:sz w:val="24"/>
          <w:szCs w:val="24"/>
          <w:vertAlign w:val="baseline"/>
        </w:rPr>
        <w:t>peso.</w:t>
      </w:r>
      <w:proofErr w:type="gramEnd"/>
      <w:r w:rsidR="00AE5340">
        <w:rPr>
          <w:rFonts w:ascii="Arial" w:hAnsi="Arial" w:cs="Arial"/>
          <w:sz w:val="24"/>
          <w:szCs w:val="24"/>
          <w:vertAlign w:val="baseline"/>
        </w:rPr>
        <w:t>Ainda, aproveitando</w:t>
      </w:r>
      <w:r w:rsidR="00AE5340" w:rsidRPr="005F5BC9">
        <w:rPr>
          <w:rFonts w:ascii="Arial" w:hAnsi="Arial" w:cs="Arial"/>
          <w:sz w:val="24"/>
          <w:szCs w:val="24"/>
          <w:vertAlign w:val="baseline"/>
        </w:rPr>
        <w:t xml:space="preserve"> a heterogeneidade da amostra, fo</w:t>
      </w:r>
      <w:r w:rsidR="00AE5340">
        <w:rPr>
          <w:rFonts w:ascii="Arial" w:hAnsi="Arial" w:cs="Arial"/>
          <w:sz w:val="24"/>
          <w:szCs w:val="24"/>
          <w:vertAlign w:val="baseline"/>
        </w:rPr>
        <w:t>ram utilizadas</w:t>
      </w:r>
      <w:r w:rsidR="00AE5340" w:rsidRPr="005F5BC9">
        <w:rPr>
          <w:rFonts w:ascii="Arial" w:hAnsi="Arial" w:cs="Arial"/>
          <w:sz w:val="24"/>
          <w:szCs w:val="24"/>
          <w:vertAlign w:val="baseline"/>
        </w:rPr>
        <w:t xml:space="preserve"> regressões </w:t>
      </w:r>
      <w:proofErr w:type="spellStart"/>
      <w:r w:rsidR="00AE5340" w:rsidRPr="005F5BC9">
        <w:rPr>
          <w:rFonts w:ascii="Arial" w:hAnsi="Arial" w:cs="Arial"/>
          <w:sz w:val="24"/>
          <w:szCs w:val="24"/>
          <w:vertAlign w:val="baseline"/>
        </w:rPr>
        <w:t>quantílicas</w:t>
      </w:r>
      <w:proofErr w:type="spellEnd"/>
      <w:r w:rsidR="00AE5340" w:rsidRPr="005F5BC9">
        <w:rPr>
          <w:rFonts w:ascii="Arial" w:hAnsi="Arial" w:cs="Arial"/>
          <w:sz w:val="24"/>
          <w:szCs w:val="24"/>
          <w:vertAlign w:val="baseline"/>
        </w:rPr>
        <w:t>, uma vez que o impacto das transferências sobre os gastos pode ser diferente ao lo</w:t>
      </w:r>
      <w:r w:rsidR="00AE5340">
        <w:rPr>
          <w:rFonts w:ascii="Arial" w:hAnsi="Arial" w:cs="Arial"/>
          <w:sz w:val="24"/>
          <w:szCs w:val="24"/>
          <w:vertAlign w:val="baseline"/>
        </w:rPr>
        <w:t xml:space="preserve">ngo da distribuição dos gastos. </w:t>
      </w:r>
      <w:r w:rsidR="006D4374">
        <w:rPr>
          <w:rFonts w:ascii="Arial" w:hAnsi="Arial" w:cs="Arial"/>
          <w:sz w:val="24"/>
          <w:szCs w:val="24"/>
          <w:vertAlign w:val="baseline"/>
        </w:rPr>
        <w:t xml:space="preserve">Foram empregados, além dos modelos de regressões </w:t>
      </w:r>
      <w:proofErr w:type="spellStart"/>
      <w:r w:rsidR="006D4374">
        <w:rPr>
          <w:rFonts w:ascii="Arial" w:hAnsi="Arial" w:cs="Arial"/>
          <w:sz w:val="24"/>
          <w:szCs w:val="24"/>
          <w:vertAlign w:val="baseline"/>
        </w:rPr>
        <w:t>quantílicas</w:t>
      </w:r>
      <w:proofErr w:type="spellEnd"/>
      <w:r w:rsidR="006D4374">
        <w:rPr>
          <w:rFonts w:ascii="Arial" w:hAnsi="Arial" w:cs="Arial"/>
          <w:sz w:val="24"/>
          <w:szCs w:val="24"/>
          <w:vertAlign w:val="baseline"/>
        </w:rPr>
        <w:t xml:space="preserve"> empilhados, </w:t>
      </w:r>
      <w:r w:rsidR="006D4374" w:rsidRPr="005F5BC9">
        <w:rPr>
          <w:rFonts w:ascii="Arial" w:hAnsi="Arial" w:cs="Arial"/>
          <w:sz w:val="24"/>
          <w:szCs w:val="24"/>
          <w:vertAlign w:val="baseline"/>
        </w:rPr>
        <w:t>o</w:t>
      </w:r>
      <w:r w:rsidR="006D4374">
        <w:rPr>
          <w:rFonts w:ascii="Arial" w:hAnsi="Arial" w:cs="Arial"/>
          <w:sz w:val="24"/>
          <w:szCs w:val="24"/>
          <w:vertAlign w:val="baseline"/>
        </w:rPr>
        <w:t>s</w:t>
      </w:r>
      <w:r w:rsidR="006D4374" w:rsidRPr="005F5BC9">
        <w:rPr>
          <w:rFonts w:ascii="Arial" w:hAnsi="Arial" w:cs="Arial"/>
          <w:sz w:val="24"/>
          <w:szCs w:val="24"/>
          <w:vertAlign w:val="baseline"/>
        </w:rPr>
        <w:t xml:space="preserve"> modelo</w:t>
      </w:r>
      <w:r>
        <w:rPr>
          <w:rFonts w:ascii="Arial" w:hAnsi="Arial" w:cs="Arial"/>
          <w:sz w:val="24"/>
          <w:szCs w:val="24"/>
          <w:vertAlign w:val="baseline"/>
        </w:rPr>
        <w:t>s</w:t>
      </w:r>
      <w:r w:rsidR="006D4374" w:rsidRPr="005F5BC9">
        <w:rPr>
          <w:rFonts w:ascii="Arial" w:hAnsi="Arial" w:cs="Arial"/>
          <w:sz w:val="24"/>
          <w:szCs w:val="24"/>
          <w:vertAlign w:val="baseline"/>
        </w:rPr>
        <w:t xml:space="preserve"> de regressões </w:t>
      </w:r>
      <w:proofErr w:type="spellStart"/>
      <w:r w:rsidR="006D4374" w:rsidRPr="005F5BC9">
        <w:rPr>
          <w:rFonts w:ascii="Arial" w:hAnsi="Arial" w:cs="Arial"/>
          <w:sz w:val="24"/>
          <w:szCs w:val="24"/>
          <w:vertAlign w:val="baseline"/>
        </w:rPr>
        <w:t>quantílicas</w:t>
      </w:r>
      <w:proofErr w:type="spellEnd"/>
      <w:r w:rsidR="006D4374" w:rsidRPr="005F5BC9">
        <w:rPr>
          <w:rFonts w:ascii="Arial" w:hAnsi="Arial" w:cs="Arial"/>
          <w:sz w:val="24"/>
          <w:szCs w:val="24"/>
          <w:vertAlign w:val="baseline"/>
        </w:rPr>
        <w:t xml:space="preserve"> com efeitos fixos e o modelo de regressões </w:t>
      </w:r>
      <w:proofErr w:type="spellStart"/>
      <w:r w:rsidR="006D4374" w:rsidRPr="005F5BC9">
        <w:rPr>
          <w:rFonts w:ascii="Arial" w:hAnsi="Arial" w:cs="Arial"/>
          <w:sz w:val="24"/>
          <w:szCs w:val="24"/>
          <w:vertAlign w:val="baseline"/>
        </w:rPr>
        <w:t>quantílicas</w:t>
      </w:r>
      <w:proofErr w:type="spellEnd"/>
      <w:r w:rsidR="006D4374" w:rsidRPr="005F5BC9">
        <w:rPr>
          <w:rFonts w:ascii="Arial" w:hAnsi="Arial" w:cs="Arial"/>
          <w:sz w:val="24"/>
          <w:szCs w:val="24"/>
          <w:vertAlign w:val="baseline"/>
        </w:rPr>
        <w:t xml:space="preserve"> penalizado com efeitos fixos, de</w:t>
      </w:r>
      <w:r w:rsidR="009A0A79">
        <w:rPr>
          <w:rFonts w:ascii="Arial" w:hAnsi="Arial" w:cs="Arial"/>
          <w:sz w:val="24"/>
          <w:szCs w:val="24"/>
          <w:vertAlign w:val="baseline"/>
        </w:rPr>
        <w:t xml:space="preserve">senvolvidos por </w:t>
      </w:r>
      <w:proofErr w:type="spellStart"/>
      <w:r w:rsidR="009A0A79">
        <w:rPr>
          <w:rFonts w:ascii="Arial" w:hAnsi="Arial" w:cs="Arial"/>
          <w:sz w:val="24"/>
          <w:szCs w:val="24"/>
          <w:vertAlign w:val="baseline"/>
        </w:rPr>
        <w:t>Koenker</w:t>
      </w:r>
      <w:proofErr w:type="spellEnd"/>
      <w:r w:rsidR="009A0A79">
        <w:rPr>
          <w:rFonts w:ascii="Arial" w:hAnsi="Arial" w:cs="Arial"/>
          <w:sz w:val="24"/>
          <w:szCs w:val="24"/>
          <w:vertAlign w:val="baseline"/>
        </w:rPr>
        <w:t xml:space="preserve"> (2004).</w:t>
      </w:r>
    </w:p>
    <w:p w:rsidR="000967DD" w:rsidRDefault="009A0A79" w:rsidP="00017FD0">
      <w:pPr>
        <w:spacing w:after="0" w:line="240" w:lineRule="auto"/>
        <w:ind w:firstLine="708"/>
        <w:rPr>
          <w:rFonts w:ascii="Arial" w:eastAsia="Times New Roman" w:hAnsi="Arial" w:cs="Arial"/>
          <w:sz w:val="24"/>
          <w:szCs w:val="24"/>
          <w:vertAlign w:val="baseline"/>
          <w:lang w:eastAsia="pt-BR"/>
        </w:rPr>
      </w:pPr>
      <w:r>
        <w:rPr>
          <w:rFonts w:ascii="Arial" w:eastAsia="Times New Roman" w:hAnsi="Arial" w:cs="Arial"/>
          <w:sz w:val="24"/>
          <w:szCs w:val="24"/>
          <w:vertAlign w:val="baseline"/>
          <w:lang w:eastAsia="pt-BR"/>
        </w:rPr>
        <w:t xml:space="preserve"> </w:t>
      </w:r>
      <w:r w:rsidR="00C43DEC">
        <w:rPr>
          <w:rFonts w:ascii="Arial" w:hAnsi="Arial" w:cs="Arial"/>
          <w:sz w:val="24"/>
          <w:szCs w:val="24"/>
          <w:vertAlign w:val="baseline"/>
        </w:rPr>
        <w:t>Obtém-se evidência ainda que</w:t>
      </w:r>
      <w:r w:rsidR="000967DD">
        <w:rPr>
          <w:rFonts w:ascii="Arial" w:hAnsi="Arial" w:cs="Arial"/>
          <w:sz w:val="24"/>
          <w:szCs w:val="24"/>
          <w:vertAlign w:val="baseline"/>
        </w:rPr>
        <w:t xml:space="preserve"> </w:t>
      </w:r>
      <w:r w:rsidR="000967DD" w:rsidRPr="005F5BC9">
        <w:rPr>
          <w:rFonts w:ascii="Arial" w:eastAsia="Times New Roman" w:hAnsi="Arial" w:cs="Arial"/>
          <w:sz w:val="24"/>
          <w:szCs w:val="24"/>
          <w:vertAlign w:val="baseline"/>
          <w:lang w:eastAsia="pt-BR"/>
        </w:rPr>
        <w:t xml:space="preserve">nem todo o recurso do SUS </w:t>
      </w:r>
      <w:proofErr w:type="gramStart"/>
      <w:r w:rsidR="000967DD" w:rsidRPr="005F5BC9">
        <w:rPr>
          <w:rFonts w:ascii="Arial" w:eastAsia="Times New Roman" w:hAnsi="Arial" w:cs="Arial"/>
          <w:sz w:val="24"/>
          <w:szCs w:val="24"/>
          <w:vertAlign w:val="baseline"/>
          <w:lang w:eastAsia="pt-BR"/>
        </w:rPr>
        <w:t>é</w:t>
      </w:r>
      <w:proofErr w:type="gramEnd"/>
      <w:r w:rsidR="000967DD" w:rsidRPr="005F5BC9">
        <w:rPr>
          <w:rFonts w:ascii="Arial" w:eastAsia="Times New Roman" w:hAnsi="Arial" w:cs="Arial"/>
          <w:sz w:val="24"/>
          <w:szCs w:val="24"/>
          <w:vertAlign w:val="baseline"/>
          <w:lang w:eastAsia="pt-BR"/>
        </w:rPr>
        <w:t xml:space="preserve"> aplicado em saúde; no modelo linear de efeitos fixos ponderados para cada R$ 1 de aumento da transferência do Piso de Atenção Básica, cerca de R$ 0,20/capita é destinado para outros gastos, ou seja, há evidência de efeito fungibilidade para as transferências em saúde.</w:t>
      </w:r>
      <w:r w:rsidR="000967DD">
        <w:rPr>
          <w:rFonts w:ascii="Arial" w:eastAsia="Times New Roman" w:hAnsi="Arial" w:cs="Arial"/>
          <w:sz w:val="24"/>
          <w:szCs w:val="24"/>
          <w:vertAlign w:val="baseline"/>
          <w:lang w:eastAsia="pt-BR"/>
        </w:rPr>
        <w:t xml:space="preserve"> </w:t>
      </w:r>
      <w:r w:rsidR="000967DD">
        <w:rPr>
          <w:rFonts w:ascii="Arial" w:hAnsi="Arial" w:cs="Arial"/>
          <w:sz w:val="24"/>
          <w:szCs w:val="24"/>
          <w:vertAlign w:val="baseline"/>
        </w:rPr>
        <w:t>Ademais</w:t>
      </w:r>
      <w:r w:rsidR="000967DD" w:rsidRPr="005F5BC9">
        <w:rPr>
          <w:rFonts w:ascii="Arial" w:hAnsi="Arial" w:cs="Arial"/>
          <w:sz w:val="24"/>
          <w:szCs w:val="24"/>
          <w:vertAlign w:val="baseline"/>
        </w:rPr>
        <w:t>, nota-se que, para os modelos lineares o efeito das transferências condicionais em saúde é substancialmente maior que o efeito das transferências incondicionais, indicando que a condicionalidade afeta o comportamento do gasto</w:t>
      </w:r>
      <w:r w:rsidR="000967DD">
        <w:rPr>
          <w:rFonts w:ascii="Arial" w:hAnsi="Arial" w:cs="Arial"/>
          <w:sz w:val="24"/>
          <w:szCs w:val="24"/>
          <w:vertAlign w:val="baseline"/>
        </w:rPr>
        <w:t>;</w:t>
      </w:r>
      <w:r w:rsidR="000967DD" w:rsidRPr="005F5BC9">
        <w:rPr>
          <w:rFonts w:ascii="Arial" w:hAnsi="Arial" w:cs="Arial"/>
          <w:sz w:val="24"/>
          <w:szCs w:val="24"/>
          <w:vertAlign w:val="baseline"/>
        </w:rPr>
        <w:t xml:space="preserve"> enquanto o aumento de R$ 1/capita de uma transferência do PAB leva a um aumento médio de R$ 0,80/capita no gasto em saúde, uma transferência do FPM em R$ 1/capita se trad</w:t>
      </w:r>
      <w:r w:rsidR="000967DD">
        <w:rPr>
          <w:rFonts w:ascii="Arial" w:hAnsi="Arial" w:cs="Arial"/>
          <w:sz w:val="24"/>
          <w:szCs w:val="24"/>
          <w:vertAlign w:val="baseline"/>
        </w:rPr>
        <w:t>uz em R$ 0,18 em gasto em saúde</w:t>
      </w:r>
      <w:r w:rsidR="000967DD" w:rsidRPr="005F5BC9">
        <w:rPr>
          <w:rFonts w:ascii="Arial" w:hAnsi="Arial" w:cs="Arial"/>
          <w:sz w:val="24"/>
          <w:szCs w:val="24"/>
          <w:vertAlign w:val="baseline"/>
        </w:rPr>
        <w:t>.</w:t>
      </w:r>
      <w:r w:rsidR="00017FD0">
        <w:rPr>
          <w:rFonts w:ascii="Arial" w:hAnsi="Arial" w:cs="Arial"/>
          <w:sz w:val="24"/>
          <w:szCs w:val="24"/>
          <w:vertAlign w:val="baseline"/>
        </w:rPr>
        <w:t xml:space="preserve"> </w:t>
      </w:r>
      <w:r w:rsidR="000967DD">
        <w:rPr>
          <w:rFonts w:ascii="Arial" w:hAnsi="Arial" w:cs="Arial"/>
          <w:sz w:val="24"/>
          <w:szCs w:val="24"/>
          <w:vertAlign w:val="baseline"/>
        </w:rPr>
        <w:t xml:space="preserve">Adicionalmente, </w:t>
      </w:r>
      <w:r w:rsidR="000967DD" w:rsidRPr="005F5BC9">
        <w:rPr>
          <w:rFonts w:ascii="Arial" w:eastAsia="Times New Roman" w:hAnsi="Arial" w:cs="Arial"/>
          <w:sz w:val="24"/>
          <w:szCs w:val="24"/>
          <w:vertAlign w:val="baseline"/>
          <w:lang w:eastAsia="pt-BR"/>
        </w:rPr>
        <w:t xml:space="preserve">parece haver uma tendência de aumento do efeito </w:t>
      </w:r>
      <w:proofErr w:type="spellStart"/>
      <w:r w:rsidR="000967DD" w:rsidRPr="005F5BC9">
        <w:rPr>
          <w:rFonts w:ascii="Arial" w:eastAsia="Times New Roman" w:hAnsi="Arial" w:cs="Arial"/>
          <w:i/>
          <w:sz w:val="24"/>
          <w:szCs w:val="24"/>
          <w:vertAlign w:val="baseline"/>
          <w:lang w:eastAsia="pt-BR"/>
        </w:rPr>
        <w:t>flypaper</w:t>
      </w:r>
      <w:proofErr w:type="spellEnd"/>
      <w:r w:rsidR="00017FD0">
        <w:rPr>
          <w:rFonts w:ascii="Arial" w:eastAsia="Times New Roman" w:hAnsi="Arial" w:cs="Arial"/>
          <w:sz w:val="24"/>
          <w:szCs w:val="24"/>
          <w:vertAlign w:val="baseline"/>
          <w:lang w:eastAsia="pt-BR"/>
        </w:rPr>
        <w:t>,</w:t>
      </w:r>
      <w:r w:rsidR="000967DD">
        <w:rPr>
          <w:rFonts w:ascii="Arial" w:eastAsia="Times New Roman" w:hAnsi="Arial" w:cs="Arial"/>
          <w:i/>
          <w:sz w:val="24"/>
          <w:szCs w:val="24"/>
          <w:vertAlign w:val="baseline"/>
          <w:lang w:eastAsia="pt-BR"/>
        </w:rPr>
        <w:t xml:space="preserve"> </w:t>
      </w:r>
      <w:r w:rsidR="000967DD">
        <w:rPr>
          <w:rFonts w:ascii="Arial" w:eastAsia="Times New Roman" w:hAnsi="Arial" w:cs="Arial"/>
          <w:sz w:val="24"/>
          <w:szCs w:val="24"/>
          <w:vertAlign w:val="baseline"/>
          <w:lang w:eastAsia="pt-BR"/>
        </w:rPr>
        <w:t xml:space="preserve">e </w:t>
      </w:r>
      <w:proofErr w:type="spellStart"/>
      <w:r w:rsidR="000967DD">
        <w:rPr>
          <w:rFonts w:ascii="Arial" w:eastAsia="Times New Roman" w:hAnsi="Arial" w:cs="Arial"/>
          <w:sz w:val="24"/>
          <w:szCs w:val="24"/>
          <w:vertAlign w:val="baseline"/>
          <w:lang w:eastAsia="pt-BR"/>
        </w:rPr>
        <w:t>conseqüente</w:t>
      </w:r>
      <w:proofErr w:type="spellEnd"/>
      <w:r w:rsidR="000967DD">
        <w:rPr>
          <w:rFonts w:ascii="Arial" w:eastAsia="Times New Roman" w:hAnsi="Arial" w:cs="Arial"/>
          <w:sz w:val="24"/>
          <w:szCs w:val="24"/>
          <w:vertAlign w:val="baseline"/>
          <w:lang w:eastAsia="pt-BR"/>
        </w:rPr>
        <w:t xml:space="preserve"> diminuição do efeito fungibilidade</w:t>
      </w:r>
      <w:r w:rsidR="00017FD0">
        <w:rPr>
          <w:rFonts w:ascii="Arial" w:eastAsia="Times New Roman" w:hAnsi="Arial" w:cs="Arial"/>
          <w:sz w:val="24"/>
          <w:szCs w:val="24"/>
          <w:vertAlign w:val="baseline"/>
          <w:lang w:eastAsia="pt-BR"/>
        </w:rPr>
        <w:t xml:space="preserve">, quanto </w:t>
      </w:r>
      <w:r w:rsidR="000967DD" w:rsidRPr="005F5BC9">
        <w:rPr>
          <w:rFonts w:ascii="Arial" w:eastAsia="Times New Roman" w:hAnsi="Arial" w:cs="Arial"/>
          <w:sz w:val="24"/>
          <w:szCs w:val="24"/>
          <w:vertAlign w:val="baseline"/>
          <w:lang w:eastAsia="pt-BR"/>
        </w:rPr>
        <w:t xml:space="preserve">maior </w:t>
      </w:r>
      <w:r w:rsidR="00017FD0">
        <w:rPr>
          <w:rFonts w:ascii="Arial" w:eastAsia="Times New Roman" w:hAnsi="Arial" w:cs="Arial"/>
          <w:sz w:val="24"/>
          <w:szCs w:val="24"/>
          <w:vertAlign w:val="baseline"/>
          <w:lang w:eastAsia="pt-BR"/>
        </w:rPr>
        <w:t xml:space="preserve">o </w:t>
      </w:r>
      <w:r w:rsidR="000967DD" w:rsidRPr="005F5BC9">
        <w:rPr>
          <w:rFonts w:ascii="Arial" w:eastAsia="Times New Roman" w:hAnsi="Arial" w:cs="Arial"/>
          <w:sz w:val="24"/>
          <w:szCs w:val="24"/>
          <w:vertAlign w:val="baseline"/>
          <w:lang w:eastAsia="pt-BR"/>
        </w:rPr>
        <w:t>nível de gastos em saúde nos municípios</w:t>
      </w:r>
      <w:r w:rsidR="000967DD">
        <w:rPr>
          <w:rFonts w:ascii="Arial" w:eastAsia="Times New Roman" w:hAnsi="Arial" w:cs="Arial"/>
          <w:sz w:val="24"/>
          <w:szCs w:val="24"/>
          <w:vertAlign w:val="baseline"/>
          <w:lang w:eastAsia="pt-BR"/>
        </w:rPr>
        <w:t xml:space="preserve"> </w:t>
      </w:r>
      <w:r w:rsidR="00017FD0">
        <w:rPr>
          <w:rFonts w:ascii="Arial" w:eastAsia="Times New Roman" w:hAnsi="Arial" w:cs="Arial"/>
          <w:sz w:val="24"/>
          <w:szCs w:val="24"/>
          <w:vertAlign w:val="baseline"/>
          <w:lang w:eastAsia="pt-BR"/>
        </w:rPr>
        <w:t xml:space="preserve">para os </w:t>
      </w:r>
      <w:r w:rsidR="00017FD0">
        <w:rPr>
          <w:rFonts w:ascii="Arial" w:eastAsia="Times New Roman" w:hAnsi="Arial" w:cs="Arial"/>
          <w:sz w:val="24"/>
          <w:szCs w:val="24"/>
          <w:vertAlign w:val="baseline"/>
          <w:lang w:eastAsia="pt-BR"/>
        </w:rPr>
        <w:lastRenderedPageBreak/>
        <w:t xml:space="preserve">todos os modelos lineares de regressões </w:t>
      </w:r>
      <w:proofErr w:type="spellStart"/>
      <w:r w:rsidR="00017FD0">
        <w:rPr>
          <w:rFonts w:ascii="Arial" w:eastAsia="Times New Roman" w:hAnsi="Arial" w:cs="Arial"/>
          <w:sz w:val="24"/>
          <w:szCs w:val="24"/>
          <w:vertAlign w:val="baseline"/>
          <w:lang w:eastAsia="pt-BR"/>
        </w:rPr>
        <w:t>quantílicas</w:t>
      </w:r>
      <w:proofErr w:type="spellEnd"/>
      <w:r w:rsidR="00017FD0">
        <w:rPr>
          <w:rFonts w:ascii="Arial" w:eastAsia="Times New Roman" w:hAnsi="Arial" w:cs="Arial"/>
          <w:sz w:val="24"/>
          <w:szCs w:val="24"/>
          <w:vertAlign w:val="baseline"/>
          <w:lang w:eastAsia="pt-BR"/>
        </w:rPr>
        <w:t xml:space="preserve"> empregados, indicando que os </w:t>
      </w:r>
      <w:r w:rsidR="000967DD" w:rsidRPr="005F5BC9">
        <w:rPr>
          <w:rFonts w:ascii="Arial" w:eastAsia="Times New Roman" w:hAnsi="Arial" w:cs="Arial"/>
          <w:sz w:val="24"/>
          <w:szCs w:val="24"/>
          <w:vertAlign w:val="baseline"/>
          <w:lang w:eastAsia="pt-BR"/>
        </w:rPr>
        <w:t xml:space="preserve">resultados </w:t>
      </w:r>
      <w:r w:rsidR="00017FD0">
        <w:rPr>
          <w:rFonts w:ascii="Arial" w:eastAsia="Times New Roman" w:hAnsi="Arial" w:cs="Arial"/>
          <w:sz w:val="24"/>
          <w:szCs w:val="24"/>
          <w:vertAlign w:val="baseline"/>
          <w:lang w:eastAsia="pt-BR"/>
        </w:rPr>
        <w:t>são robustos.</w:t>
      </w:r>
    </w:p>
    <w:p w:rsidR="009A0A79" w:rsidRPr="003E002B" w:rsidRDefault="009A0A79" w:rsidP="009A0A79">
      <w:pPr>
        <w:spacing w:after="0" w:line="240" w:lineRule="auto"/>
        <w:ind w:firstLine="708"/>
        <w:rPr>
          <w:rFonts w:ascii="Arial" w:hAnsi="Arial" w:cs="Arial"/>
          <w:sz w:val="24"/>
          <w:szCs w:val="24"/>
          <w:vertAlign w:val="baseline"/>
        </w:rPr>
      </w:pPr>
      <w:r>
        <w:rPr>
          <w:rFonts w:ascii="Arial" w:eastAsia="Times New Roman" w:hAnsi="Arial" w:cs="Arial"/>
          <w:sz w:val="24"/>
          <w:szCs w:val="24"/>
          <w:vertAlign w:val="baseline"/>
          <w:lang w:eastAsia="pt-BR"/>
        </w:rPr>
        <w:t xml:space="preserve">Sendo assim, o resultado encontrado se alinha com a literatura do impacto de transferências condicionais, que relata substituição </w:t>
      </w:r>
      <w:r w:rsidRPr="003E002B">
        <w:rPr>
          <w:rFonts w:ascii="Arial" w:hAnsi="Arial" w:cs="Arial"/>
          <w:sz w:val="24"/>
          <w:szCs w:val="24"/>
          <w:vertAlign w:val="baseline"/>
        </w:rPr>
        <w:t>dos recursos próprios locais pelas transferências,</w:t>
      </w:r>
      <w:r>
        <w:rPr>
          <w:rFonts w:ascii="Arial" w:hAnsi="Arial" w:cs="Arial"/>
          <w:sz w:val="24"/>
          <w:szCs w:val="24"/>
          <w:vertAlign w:val="baseline"/>
        </w:rPr>
        <w:t xml:space="preserve"> levando a um nível de gastos nas áreas propostas menor que o desejado. Não parece estar havendo no Brasil incentivos corretos ao estímulo de gastos em saúde, sugerindo aperfeiçoamentos no sistema de repasse de transferências.</w:t>
      </w:r>
    </w:p>
    <w:p w:rsidR="009A0A79" w:rsidRPr="005F5BC9" w:rsidRDefault="009A0A79" w:rsidP="0096154B">
      <w:pPr>
        <w:pStyle w:val="PargrafodaLista"/>
        <w:spacing w:after="0" w:line="240" w:lineRule="auto"/>
        <w:rPr>
          <w:rFonts w:ascii="Arial" w:hAnsi="Arial" w:cs="Arial"/>
          <w:sz w:val="24"/>
          <w:szCs w:val="24"/>
          <w:vertAlign w:val="baseline"/>
        </w:rPr>
      </w:pPr>
    </w:p>
    <w:p w:rsidR="00A85EAF" w:rsidRPr="005F5BC9" w:rsidRDefault="00A85EAF" w:rsidP="00C43DEC">
      <w:pPr>
        <w:pStyle w:val="PargrafodaLista"/>
        <w:numPr>
          <w:ilvl w:val="0"/>
          <w:numId w:val="5"/>
        </w:numPr>
        <w:spacing w:after="0" w:line="240" w:lineRule="auto"/>
        <w:rPr>
          <w:rFonts w:ascii="Arial" w:hAnsi="Arial" w:cs="Arial"/>
          <w:b/>
          <w:sz w:val="24"/>
          <w:szCs w:val="24"/>
          <w:vertAlign w:val="baseline"/>
        </w:rPr>
      </w:pPr>
      <w:r w:rsidRPr="005F5BC9">
        <w:rPr>
          <w:rFonts w:ascii="Arial" w:hAnsi="Arial" w:cs="Arial"/>
          <w:b/>
          <w:sz w:val="24"/>
          <w:szCs w:val="24"/>
          <w:vertAlign w:val="baseline"/>
        </w:rPr>
        <w:t>Bibliografia</w:t>
      </w:r>
    </w:p>
    <w:p w:rsidR="00A85EAF" w:rsidRPr="005F5BC9" w:rsidRDefault="00A85EAF" w:rsidP="00A85EAF">
      <w:pPr>
        <w:spacing w:after="0" w:line="240" w:lineRule="auto"/>
        <w:rPr>
          <w:rFonts w:ascii="Arial" w:hAnsi="Arial" w:cs="Arial"/>
          <w:sz w:val="24"/>
          <w:szCs w:val="24"/>
          <w:vertAlign w:val="baseline"/>
        </w:rPr>
      </w:pPr>
    </w:p>
    <w:p w:rsidR="00A85EAF" w:rsidRPr="00B7200A" w:rsidRDefault="00A85EAF" w:rsidP="00A85EAF">
      <w:pPr>
        <w:spacing w:after="0" w:line="240" w:lineRule="auto"/>
        <w:rPr>
          <w:rFonts w:ascii="Arial" w:hAnsi="Arial" w:cs="Arial"/>
          <w:b/>
          <w:sz w:val="24"/>
          <w:szCs w:val="24"/>
          <w:vertAlign w:val="baseline"/>
          <w:lang w:val="en-US"/>
        </w:rPr>
      </w:pPr>
      <w:proofErr w:type="gramStart"/>
      <w:r w:rsidRPr="005F5BC9">
        <w:rPr>
          <w:rFonts w:ascii="Arial" w:hAnsi="Arial" w:cs="Arial"/>
          <w:sz w:val="24"/>
          <w:szCs w:val="24"/>
          <w:vertAlign w:val="baseline"/>
          <w:lang w:val="en-US"/>
        </w:rPr>
        <w:t>Bailey, S; Connolly, S. 1998.</w:t>
      </w:r>
      <w:proofErr w:type="gramEnd"/>
      <w:r w:rsidRPr="005F5BC9">
        <w:rPr>
          <w:rFonts w:ascii="Arial" w:hAnsi="Arial" w:cs="Arial"/>
          <w:sz w:val="24"/>
          <w:szCs w:val="24"/>
          <w:vertAlign w:val="baseline"/>
          <w:lang w:val="en-US"/>
        </w:rPr>
        <w:t xml:space="preserve"> The </w:t>
      </w:r>
      <w:proofErr w:type="spellStart"/>
      <w:r w:rsidRPr="005F5BC9">
        <w:rPr>
          <w:rFonts w:ascii="Arial" w:hAnsi="Arial" w:cs="Arial"/>
          <w:sz w:val="24"/>
          <w:szCs w:val="24"/>
          <w:vertAlign w:val="baseline"/>
          <w:lang w:val="en-US"/>
        </w:rPr>
        <w:t>FlypaperEffect</w:t>
      </w:r>
      <w:proofErr w:type="spellEnd"/>
      <w:r w:rsidRPr="005F5BC9">
        <w:rPr>
          <w:rFonts w:ascii="Arial" w:hAnsi="Arial" w:cs="Arial"/>
          <w:sz w:val="24"/>
          <w:szCs w:val="24"/>
          <w:vertAlign w:val="baseline"/>
          <w:lang w:val="en-US"/>
        </w:rPr>
        <w:t xml:space="preserve">: </w:t>
      </w:r>
      <w:proofErr w:type="spellStart"/>
      <w:r w:rsidRPr="005F5BC9">
        <w:rPr>
          <w:rFonts w:ascii="Arial" w:hAnsi="Arial" w:cs="Arial"/>
          <w:sz w:val="24"/>
          <w:szCs w:val="24"/>
          <w:vertAlign w:val="baseline"/>
          <w:lang w:val="en-US"/>
        </w:rPr>
        <w:t>IdentifyingAreas</w:t>
      </w:r>
      <w:proofErr w:type="spellEnd"/>
      <w:r w:rsidRPr="005F5BC9">
        <w:rPr>
          <w:rFonts w:ascii="Arial" w:hAnsi="Arial" w:cs="Arial"/>
          <w:sz w:val="24"/>
          <w:szCs w:val="24"/>
          <w:vertAlign w:val="baseline"/>
          <w:lang w:val="en-US"/>
        </w:rPr>
        <w:t xml:space="preserve"> for Further Research. </w:t>
      </w:r>
      <w:proofErr w:type="spellStart"/>
      <w:r w:rsidRPr="00B7200A">
        <w:rPr>
          <w:rFonts w:ascii="Arial" w:hAnsi="Arial" w:cs="Arial"/>
          <w:sz w:val="24"/>
          <w:szCs w:val="24"/>
          <w:vertAlign w:val="baseline"/>
          <w:lang w:val="en-US"/>
        </w:rPr>
        <w:t>PublicChoice</w:t>
      </w:r>
      <w:proofErr w:type="spellEnd"/>
      <w:r w:rsidRPr="00B7200A">
        <w:rPr>
          <w:rFonts w:ascii="Arial" w:hAnsi="Arial" w:cs="Arial"/>
          <w:sz w:val="24"/>
          <w:szCs w:val="24"/>
          <w:vertAlign w:val="baseline"/>
          <w:lang w:val="en-US"/>
        </w:rPr>
        <w:t xml:space="preserve"> 95: 335-361.</w:t>
      </w:r>
    </w:p>
    <w:p w:rsidR="00A85EAF" w:rsidRPr="00B7200A" w:rsidRDefault="00A85EAF" w:rsidP="00A85EAF">
      <w:pPr>
        <w:spacing w:after="0" w:line="240" w:lineRule="auto"/>
        <w:rPr>
          <w:rFonts w:ascii="Arial" w:hAnsi="Arial" w:cs="Arial"/>
          <w:b/>
          <w:sz w:val="24"/>
          <w:szCs w:val="24"/>
          <w:vertAlign w:val="baseline"/>
          <w:lang w:val="en-US"/>
        </w:rPr>
      </w:pPr>
    </w:p>
    <w:p w:rsidR="0096154B" w:rsidRPr="005F5BC9" w:rsidRDefault="009537EE" w:rsidP="009537EE">
      <w:pPr>
        <w:spacing w:after="0" w:line="240" w:lineRule="auto"/>
        <w:rPr>
          <w:rFonts w:ascii="Arial" w:hAnsi="Arial" w:cs="Arial"/>
          <w:sz w:val="24"/>
          <w:szCs w:val="24"/>
          <w:vertAlign w:val="baseline"/>
          <w:lang w:val="en-US"/>
        </w:rPr>
      </w:pPr>
      <w:proofErr w:type="gramStart"/>
      <w:r w:rsidRPr="005F5BC9">
        <w:rPr>
          <w:rFonts w:ascii="Arial" w:hAnsi="Arial" w:cs="Arial"/>
          <w:sz w:val="24"/>
          <w:szCs w:val="24"/>
          <w:vertAlign w:val="baseline"/>
          <w:lang w:val="en-US"/>
        </w:rPr>
        <w:t>Craig, S.; Inman, R.P. 1982.</w:t>
      </w:r>
      <w:proofErr w:type="gramEnd"/>
      <w:r w:rsidRPr="005F5BC9">
        <w:rPr>
          <w:rFonts w:ascii="Arial" w:hAnsi="Arial" w:cs="Arial"/>
          <w:sz w:val="24"/>
          <w:szCs w:val="24"/>
          <w:vertAlign w:val="baseline"/>
          <w:lang w:val="en-US"/>
        </w:rPr>
        <w:t xml:space="preserve"> Federal aid and public education: an empirical look at the new fiscal federalism. Review of Economic and Statistic 64(4): 541-52.</w:t>
      </w:r>
    </w:p>
    <w:p w:rsidR="0096154B" w:rsidRPr="005F5BC9" w:rsidRDefault="0096154B" w:rsidP="0096154B">
      <w:pPr>
        <w:pStyle w:val="PargrafodaLista"/>
        <w:spacing w:after="0" w:line="240" w:lineRule="auto"/>
        <w:rPr>
          <w:rFonts w:ascii="Arial" w:hAnsi="Arial" w:cs="Arial"/>
          <w:sz w:val="24"/>
          <w:szCs w:val="24"/>
          <w:vertAlign w:val="baseline"/>
          <w:lang w:val="en-US"/>
        </w:rPr>
      </w:pPr>
    </w:p>
    <w:p w:rsidR="0096154B" w:rsidRPr="005F5BC9" w:rsidRDefault="0096154B" w:rsidP="009537EE">
      <w:pPr>
        <w:autoSpaceDE w:val="0"/>
        <w:autoSpaceDN w:val="0"/>
        <w:adjustRightInd w:val="0"/>
        <w:spacing w:after="0" w:line="240" w:lineRule="auto"/>
        <w:rPr>
          <w:rFonts w:ascii="Arial" w:hAnsi="Arial" w:cs="Arial"/>
          <w:sz w:val="24"/>
          <w:szCs w:val="24"/>
          <w:vertAlign w:val="baseline"/>
          <w:lang w:val="en-US"/>
        </w:rPr>
      </w:pPr>
      <w:proofErr w:type="spellStart"/>
      <w:proofErr w:type="gramStart"/>
      <w:r w:rsidRPr="005F5BC9">
        <w:rPr>
          <w:rFonts w:ascii="Arial" w:hAnsi="Arial" w:cs="Arial"/>
          <w:sz w:val="24"/>
          <w:szCs w:val="24"/>
          <w:vertAlign w:val="baseline"/>
          <w:lang w:val="en-US"/>
        </w:rPr>
        <w:t>Du</w:t>
      </w:r>
      <w:r w:rsidR="00B509E8" w:rsidRPr="005F5BC9">
        <w:rPr>
          <w:rFonts w:ascii="Arial" w:hAnsi="Arial" w:cs="Arial"/>
          <w:sz w:val="24"/>
          <w:szCs w:val="24"/>
          <w:vertAlign w:val="baseline"/>
          <w:lang w:val="en-US"/>
        </w:rPr>
        <w:t>n</w:t>
      </w:r>
      <w:r w:rsidRPr="005F5BC9">
        <w:rPr>
          <w:rFonts w:ascii="Arial" w:hAnsi="Arial" w:cs="Arial"/>
          <w:sz w:val="24"/>
          <w:szCs w:val="24"/>
          <w:vertAlign w:val="baseline"/>
          <w:lang w:val="en-US"/>
        </w:rPr>
        <w:t>combe</w:t>
      </w:r>
      <w:proofErr w:type="spellEnd"/>
      <w:r w:rsidRPr="005F5BC9">
        <w:rPr>
          <w:rFonts w:ascii="Arial" w:hAnsi="Arial" w:cs="Arial"/>
          <w:sz w:val="24"/>
          <w:szCs w:val="24"/>
          <w:vertAlign w:val="baseline"/>
          <w:lang w:val="en-US"/>
        </w:rPr>
        <w:t xml:space="preserve">, W., </w:t>
      </w:r>
      <w:proofErr w:type="spellStart"/>
      <w:r w:rsidRPr="005F5BC9">
        <w:rPr>
          <w:rFonts w:ascii="Arial" w:hAnsi="Arial" w:cs="Arial"/>
          <w:sz w:val="24"/>
          <w:szCs w:val="24"/>
          <w:vertAlign w:val="baseline"/>
          <w:lang w:val="en-US"/>
        </w:rPr>
        <w:t>Yinger</w:t>
      </w:r>
      <w:proofErr w:type="spellEnd"/>
      <w:r w:rsidRPr="005F5BC9">
        <w:rPr>
          <w:rFonts w:ascii="Arial" w:hAnsi="Arial" w:cs="Arial"/>
          <w:sz w:val="24"/>
          <w:szCs w:val="24"/>
          <w:vertAlign w:val="baseline"/>
          <w:lang w:val="en-US"/>
        </w:rPr>
        <w:t>, J. 1988.</w:t>
      </w:r>
      <w:proofErr w:type="gramEnd"/>
      <w:r w:rsidRPr="005F5BC9">
        <w:rPr>
          <w:rFonts w:ascii="Arial" w:hAnsi="Arial" w:cs="Arial"/>
          <w:sz w:val="24"/>
          <w:szCs w:val="24"/>
          <w:vertAlign w:val="baseline"/>
          <w:lang w:val="en-US"/>
        </w:rPr>
        <w:t xml:space="preserve"> School finance reform: aid formulas and equity objectives. National Tax Journal 51(2): 239-62.</w:t>
      </w:r>
    </w:p>
    <w:p w:rsidR="0096154B" w:rsidRPr="005F5BC9" w:rsidRDefault="0096154B" w:rsidP="009537EE">
      <w:pPr>
        <w:autoSpaceDE w:val="0"/>
        <w:autoSpaceDN w:val="0"/>
        <w:adjustRightInd w:val="0"/>
        <w:spacing w:after="0" w:line="240" w:lineRule="auto"/>
        <w:rPr>
          <w:rFonts w:ascii="Arial" w:hAnsi="Arial" w:cs="Arial"/>
          <w:sz w:val="24"/>
          <w:szCs w:val="24"/>
          <w:vertAlign w:val="baseline"/>
          <w:lang w:val="en-US"/>
        </w:rPr>
      </w:pPr>
    </w:p>
    <w:p w:rsidR="009537EE" w:rsidRPr="005F5BC9" w:rsidRDefault="0096154B" w:rsidP="009537EE">
      <w:pPr>
        <w:autoSpaceDE w:val="0"/>
        <w:autoSpaceDN w:val="0"/>
        <w:adjustRightInd w:val="0"/>
        <w:spacing w:after="0" w:line="240" w:lineRule="auto"/>
        <w:rPr>
          <w:rFonts w:ascii="Arial" w:hAnsi="Arial" w:cs="Arial"/>
          <w:sz w:val="24"/>
          <w:szCs w:val="24"/>
          <w:vertAlign w:val="baseline"/>
          <w:lang w:val="en-US"/>
        </w:rPr>
      </w:pPr>
      <w:proofErr w:type="spellStart"/>
      <w:proofErr w:type="gramStart"/>
      <w:r w:rsidRPr="005F5BC9">
        <w:rPr>
          <w:rFonts w:ascii="Arial" w:hAnsi="Arial" w:cs="Arial"/>
          <w:sz w:val="24"/>
          <w:szCs w:val="24"/>
          <w:vertAlign w:val="baseline"/>
          <w:lang w:val="en-US"/>
        </w:rPr>
        <w:t>Filimon</w:t>
      </w:r>
      <w:proofErr w:type="spellEnd"/>
      <w:r w:rsidRPr="005F5BC9">
        <w:rPr>
          <w:rFonts w:ascii="Arial" w:hAnsi="Arial" w:cs="Arial"/>
          <w:sz w:val="24"/>
          <w:szCs w:val="24"/>
          <w:vertAlign w:val="baseline"/>
          <w:lang w:val="en-US"/>
        </w:rPr>
        <w:t xml:space="preserve">, R.; </w:t>
      </w:r>
      <w:proofErr w:type="spellStart"/>
      <w:r w:rsidRPr="005F5BC9">
        <w:rPr>
          <w:rFonts w:ascii="Arial" w:hAnsi="Arial" w:cs="Arial"/>
          <w:sz w:val="24"/>
          <w:szCs w:val="24"/>
          <w:vertAlign w:val="baseline"/>
          <w:lang w:val="en-US"/>
        </w:rPr>
        <w:t>Romer</w:t>
      </w:r>
      <w:proofErr w:type="spellEnd"/>
      <w:r w:rsidRPr="005F5BC9">
        <w:rPr>
          <w:rFonts w:ascii="Arial" w:hAnsi="Arial" w:cs="Arial"/>
          <w:sz w:val="24"/>
          <w:szCs w:val="24"/>
          <w:vertAlign w:val="baseline"/>
          <w:lang w:val="en-US"/>
        </w:rPr>
        <w:t>, T.; Rosenthal, H. 1982.</w:t>
      </w:r>
      <w:proofErr w:type="gramEnd"/>
      <w:r w:rsidRPr="005F5BC9">
        <w:rPr>
          <w:rFonts w:ascii="Arial" w:hAnsi="Arial" w:cs="Arial"/>
          <w:sz w:val="24"/>
          <w:szCs w:val="24"/>
          <w:vertAlign w:val="baseline"/>
          <w:lang w:val="en-US"/>
        </w:rPr>
        <w:t xml:space="preserve"> Asymmetric information and agenda control: the bases of monopoly power and public spending. Journal of Public Economics, 17(1): 51-70</w:t>
      </w:r>
      <w:r w:rsidR="009537EE" w:rsidRPr="005F5BC9">
        <w:rPr>
          <w:rFonts w:ascii="Arial" w:hAnsi="Arial" w:cs="Arial"/>
          <w:sz w:val="24"/>
          <w:szCs w:val="24"/>
          <w:vertAlign w:val="baseline"/>
          <w:lang w:val="en-US"/>
        </w:rPr>
        <w:t>.</w:t>
      </w:r>
    </w:p>
    <w:p w:rsidR="009537EE" w:rsidRPr="005F5BC9" w:rsidRDefault="009537EE" w:rsidP="009537EE">
      <w:pPr>
        <w:autoSpaceDE w:val="0"/>
        <w:autoSpaceDN w:val="0"/>
        <w:adjustRightInd w:val="0"/>
        <w:spacing w:after="0" w:line="240" w:lineRule="auto"/>
        <w:rPr>
          <w:rFonts w:ascii="Arial" w:hAnsi="Arial" w:cs="Arial"/>
          <w:sz w:val="24"/>
          <w:szCs w:val="24"/>
          <w:vertAlign w:val="baseline"/>
          <w:lang w:val="en-US"/>
        </w:rPr>
      </w:pPr>
    </w:p>
    <w:p w:rsidR="009537EE" w:rsidRPr="005F5BC9" w:rsidRDefault="009537EE" w:rsidP="009537EE">
      <w:pPr>
        <w:autoSpaceDE w:val="0"/>
        <w:autoSpaceDN w:val="0"/>
        <w:adjustRightInd w:val="0"/>
        <w:spacing w:after="0" w:line="240" w:lineRule="auto"/>
        <w:rPr>
          <w:rFonts w:ascii="Arial" w:hAnsi="Arial" w:cs="Arial"/>
          <w:sz w:val="24"/>
          <w:szCs w:val="24"/>
          <w:vertAlign w:val="baseline"/>
          <w:lang w:val="en-US"/>
        </w:rPr>
      </w:pPr>
      <w:proofErr w:type="gramStart"/>
      <w:r w:rsidRPr="005F5BC9">
        <w:rPr>
          <w:rFonts w:ascii="Arial" w:hAnsi="Arial" w:cs="Arial"/>
          <w:sz w:val="24"/>
          <w:szCs w:val="24"/>
          <w:vertAlign w:val="baseline"/>
          <w:lang w:val="en-US"/>
        </w:rPr>
        <w:t xml:space="preserve">Fisher, R.C.; </w:t>
      </w:r>
      <w:proofErr w:type="spellStart"/>
      <w:r w:rsidRPr="005F5BC9">
        <w:rPr>
          <w:rFonts w:ascii="Arial" w:hAnsi="Arial" w:cs="Arial"/>
          <w:sz w:val="24"/>
          <w:szCs w:val="24"/>
          <w:vertAlign w:val="baseline"/>
          <w:lang w:val="en-US"/>
        </w:rPr>
        <w:t>Papke</w:t>
      </w:r>
      <w:proofErr w:type="spellEnd"/>
      <w:r w:rsidRPr="005F5BC9">
        <w:rPr>
          <w:rFonts w:ascii="Arial" w:hAnsi="Arial" w:cs="Arial"/>
          <w:sz w:val="24"/>
          <w:szCs w:val="24"/>
          <w:vertAlign w:val="baseline"/>
          <w:lang w:val="en-US"/>
        </w:rPr>
        <w:t>, L.E. 2000.Local government responses to education grants.</w:t>
      </w:r>
      <w:proofErr w:type="gramEnd"/>
      <w:r w:rsidRPr="005F5BC9">
        <w:rPr>
          <w:rFonts w:ascii="Arial" w:hAnsi="Arial" w:cs="Arial"/>
          <w:sz w:val="24"/>
          <w:szCs w:val="24"/>
          <w:vertAlign w:val="baseline"/>
          <w:lang w:val="en-US"/>
        </w:rPr>
        <w:t xml:space="preserve"> National Tax Journal 53(1): 155-74.</w:t>
      </w:r>
    </w:p>
    <w:p w:rsidR="009537EE" w:rsidRPr="005F5BC9" w:rsidRDefault="009537EE" w:rsidP="009537EE">
      <w:pPr>
        <w:autoSpaceDE w:val="0"/>
        <w:autoSpaceDN w:val="0"/>
        <w:adjustRightInd w:val="0"/>
        <w:spacing w:after="0" w:line="240" w:lineRule="auto"/>
        <w:rPr>
          <w:rFonts w:ascii="Arial" w:hAnsi="Arial" w:cs="Arial"/>
          <w:sz w:val="24"/>
          <w:szCs w:val="24"/>
          <w:vertAlign w:val="baseline"/>
          <w:lang w:val="en-US"/>
        </w:rPr>
      </w:pPr>
    </w:p>
    <w:p w:rsidR="009537EE" w:rsidRPr="005F5BC9" w:rsidRDefault="009537EE" w:rsidP="009537EE">
      <w:pPr>
        <w:autoSpaceDE w:val="0"/>
        <w:autoSpaceDN w:val="0"/>
        <w:adjustRightInd w:val="0"/>
        <w:spacing w:after="0" w:line="240" w:lineRule="auto"/>
        <w:rPr>
          <w:rFonts w:ascii="Arial" w:hAnsi="Arial" w:cs="Arial"/>
          <w:sz w:val="24"/>
          <w:szCs w:val="24"/>
          <w:vertAlign w:val="baseline"/>
          <w:lang w:val="en-US"/>
        </w:rPr>
      </w:pPr>
      <w:proofErr w:type="gramStart"/>
      <w:r w:rsidRPr="005F5BC9">
        <w:rPr>
          <w:rFonts w:ascii="Arial" w:hAnsi="Arial" w:cs="Arial"/>
          <w:sz w:val="24"/>
          <w:szCs w:val="24"/>
          <w:vertAlign w:val="baseline"/>
          <w:lang w:val="en-US"/>
        </w:rPr>
        <w:t>Gordon, N. 2004.</w:t>
      </w:r>
      <w:proofErr w:type="gramEnd"/>
      <w:r w:rsidRPr="005F5BC9">
        <w:rPr>
          <w:rFonts w:ascii="Arial" w:hAnsi="Arial" w:cs="Arial"/>
          <w:sz w:val="24"/>
          <w:szCs w:val="24"/>
          <w:vertAlign w:val="baseline"/>
          <w:lang w:val="en-US"/>
        </w:rPr>
        <w:t xml:space="preserve"> Do federal grants boost school spending: evidence from Title I. Journal of Public Economics 88 (9-10): 177-92.</w:t>
      </w:r>
    </w:p>
    <w:p w:rsidR="0042606F" w:rsidRPr="005F5BC9" w:rsidRDefault="0042606F" w:rsidP="009537EE">
      <w:pPr>
        <w:autoSpaceDE w:val="0"/>
        <w:autoSpaceDN w:val="0"/>
        <w:adjustRightInd w:val="0"/>
        <w:spacing w:after="0" w:line="240" w:lineRule="auto"/>
        <w:rPr>
          <w:rFonts w:ascii="Arial" w:hAnsi="Arial" w:cs="Arial"/>
          <w:sz w:val="24"/>
          <w:szCs w:val="24"/>
          <w:vertAlign w:val="baseline"/>
          <w:lang w:val="en-US"/>
        </w:rPr>
      </w:pPr>
    </w:p>
    <w:p w:rsidR="0042606F" w:rsidRPr="005F5BC9" w:rsidRDefault="0042606F" w:rsidP="009537EE">
      <w:pPr>
        <w:autoSpaceDE w:val="0"/>
        <w:autoSpaceDN w:val="0"/>
        <w:adjustRightInd w:val="0"/>
        <w:spacing w:after="0" w:line="240" w:lineRule="auto"/>
        <w:rPr>
          <w:rFonts w:ascii="Arial" w:hAnsi="Arial" w:cs="Arial"/>
          <w:sz w:val="24"/>
          <w:szCs w:val="24"/>
          <w:vertAlign w:val="baseline"/>
          <w:lang w:val="en-US"/>
        </w:rPr>
      </w:pPr>
      <w:proofErr w:type="spellStart"/>
      <w:proofErr w:type="gramStart"/>
      <w:r w:rsidRPr="005F5BC9">
        <w:rPr>
          <w:rFonts w:ascii="Arial" w:hAnsi="Arial" w:cs="Arial"/>
          <w:sz w:val="24"/>
          <w:szCs w:val="24"/>
          <w:vertAlign w:val="baseline"/>
          <w:lang w:val="en-US"/>
        </w:rPr>
        <w:t>Gramkhar</w:t>
      </w:r>
      <w:proofErr w:type="spellEnd"/>
      <w:r w:rsidRPr="005F5BC9">
        <w:rPr>
          <w:rFonts w:ascii="Arial" w:hAnsi="Arial" w:cs="Arial"/>
          <w:sz w:val="24"/>
          <w:szCs w:val="24"/>
          <w:vertAlign w:val="baseline"/>
          <w:lang w:val="en-US"/>
        </w:rPr>
        <w:t>, S.; Oates, W. 1996.</w:t>
      </w:r>
      <w:proofErr w:type="gramEnd"/>
      <w:r w:rsidRPr="005F5BC9">
        <w:rPr>
          <w:rFonts w:ascii="Arial" w:hAnsi="Arial" w:cs="Arial"/>
          <w:sz w:val="24"/>
          <w:szCs w:val="24"/>
          <w:vertAlign w:val="baseline"/>
          <w:lang w:val="en-US"/>
        </w:rPr>
        <w:t xml:space="preserve"> Asymmetries in the response to increases and decreases in intergovernmental grants: some empirical findings. </w:t>
      </w:r>
      <w:r w:rsidRPr="005F5BC9">
        <w:rPr>
          <w:rFonts w:ascii="Arial" w:hAnsi="Arial" w:cs="Arial"/>
          <w:i/>
          <w:sz w:val="24"/>
          <w:szCs w:val="24"/>
          <w:vertAlign w:val="baseline"/>
          <w:lang w:val="en-US"/>
        </w:rPr>
        <w:t>National Tax Journal</w:t>
      </w:r>
      <w:r w:rsidRPr="005F5BC9">
        <w:rPr>
          <w:rFonts w:ascii="Arial" w:hAnsi="Arial" w:cs="Arial"/>
          <w:sz w:val="24"/>
          <w:szCs w:val="24"/>
          <w:vertAlign w:val="baseline"/>
          <w:lang w:val="en-US"/>
        </w:rPr>
        <w:t>, 49(4), 501-512.</w:t>
      </w:r>
    </w:p>
    <w:p w:rsidR="0042606F" w:rsidRPr="005F5BC9" w:rsidRDefault="0042606F" w:rsidP="009537EE">
      <w:pPr>
        <w:autoSpaceDE w:val="0"/>
        <w:autoSpaceDN w:val="0"/>
        <w:adjustRightInd w:val="0"/>
        <w:spacing w:after="0" w:line="240" w:lineRule="auto"/>
        <w:rPr>
          <w:rFonts w:ascii="Arial" w:hAnsi="Arial" w:cs="Arial"/>
          <w:sz w:val="24"/>
          <w:szCs w:val="24"/>
          <w:vertAlign w:val="baseline"/>
          <w:lang w:val="en-US"/>
        </w:rPr>
      </w:pPr>
    </w:p>
    <w:p w:rsidR="0042606F" w:rsidRPr="005F5BC9" w:rsidRDefault="0042606F" w:rsidP="009537EE">
      <w:pPr>
        <w:autoSpaceDE w:val="0"/>
        <w:autoSpaceDN w:val="0"/>
        <w:adjustRightInd w:val="0"/>
        <w:spacing w:after="0" w:line="240" w:lineRule="auto"/>
        <w:rPr>
          <w:rFonts w:ascii="Arial" w:hAnsi="Arial" w:cs="Arial"/>
          <w:sz w:val="24"/>
          <w:szCs w:val="24"/>
          <w:vertAlign w:val="baseline"/>
          <w:lang w:val="en-US"/>
        </w:rPr>
      </w:pPr>
      <w:proofErr w:type="spellStart"/>
      <w:r w:rsidRPr="005F5BC9">
        <w:rPr>
          <w:rFonts w:ascii="Arial" w:hAnsi="Arial" w:cs="Arial"/>
          <w:sz w:val="24"/>
          <w:szCs w:val="24"/>
          <w:vertAlign w:val="baseline"/>
          <w:lang w:val="en-US"/>
        </w:rPr>
        <w:t>Gramlich</w:t>
      </w:r>
      <w:proofErr w:type="spellEnd"/>
      <w:r w:rsidRPr="005F5BC9">
        <w:rPr>
          <w:rFonts w:ascii="Arial" w:hAnsi="Arial" w:cs="Arial"/>
          <w:sz w:val="24"/>
          <w:szCs w:val="24"/>
          <w:vertAlign w:val="baseline"/>
          <w:lang w:val="en-US"/>
        </w:rPr>
        <w:t xml:space="preserve">, E. M. 1977. Intergovernmental grants: a review of the empirical literature. </w:t>
      </w:r>
      <w:proofErr w:type="gramStart"/>
      <w:r w:rsidRPr="005F5BC9">
        <w:rPr>
          <w:rFonts w:ascii="Arial" w:hAnsi="Arial" w:cs="Arial"/>
          <w:sz w:val="24"/>
          <w:szCs w:val="24"/>
          <w:vertAlign w:val="baseline"/>
          <w:lang w:val="en-US"/>
        </w:rPr>
        <w:t>In  Wallace</w:t>
      </w:r>
      <w:proofErr w:type="gramEnd"/>
      <w:r w:rsidRPr="005F5BC9">
        <w:rPr>
          <w:rFonts w:ascii="Arial" w:hAnsi="Arial" w:cs="Arial"/>
          <w:sz w:val="24"/>
          <w:szCs w:val="24"/>
          <w:vertAlign w:val="baseline"/>
          <w:lang w:val="en-US"/>
        </w:rPr>
        <w:t xml:space="preserve"> Oates (ed.), </w:t>
      </w:r>
      <w:r w:rsidRPr="005F5BC9">
        <w:rPr>
          <w:rFonts w:ascii="Arial" w:hAnsi="Arial" w:cs="Arial"/>
          <w:i/>
          <w:sz w:val="24"/>
          <w:szCs w:val="24"/>
          <w:vertAlign w:val="baseline"/>
          <w:lang w:val="en-US"/>
        </w:rPr>
        <w:t>The political economy of fiscal federalism</w:t>
      </w:r>
      <w:r w:rsidRPr="005F5BC9">
        <w:rPr>
          <w:rFonts w:ascii="Arial" w:hAnsi="Arial" w:cs="Arial"/>
          <w:sz w:val="24"/>
          <w:szCs w:val="24"/>
          <w:vertAlign w:val="baseline"/>
          <w:lang w:val="en-US"/>
        </w:rPr>
        <w:t>, Lexington, Mass. D.C. Health &amp; Co.</w:t>
      </w:r>
    </w:p>
    <w:p w:rsidR="00006FEC" w:rsidRPr="005F5BC9" w:rsidRDefault="00006FEC" w:rsidP="009537EE">
      <w:pPr>
        <w:autoSpaceDE w:val="0"/>
        <w:autoSpaceDN w:val="0"/>
        <w:adjustRightInd w:val="0"/>
        <w:spacing w:after="0" w:line="240" w:lineRule="auto"/>
        <w:rPr>
          <w:rFonts w:ascii="Arial" w:hAnsi="Arial" w:cs="Arial"/>
          <w:sz w:val="24"/>
          <w:szCs w:val="24"/>
          <w:vertAlign w:val="baseline"/>
          <w:lang w:val="en-US"/>
        </w:rPr>
      </w:pPr>
    </w:p>
    <w:p w:rsidR="00E87F9E" w:rsidRPr="005F5BC9" w:rsidRDefault="00E87F9E" w:rsidP="00E87F9E">
      <w:pPr>
        <w:autoSpaceDE w:val="0"/>
        <w:autoSpaceDN w:val="0"/>
        <w:adjustRightInd w:val="0"/>
        <w:spacing w:after="0" w:line="240" w:lineRule="auto"/>
        <w:rPr>
          <w:rFonts w:ascii="Arial" w:hAnsi="Arial" w:cs="Arial"/>
          <w:sz w:val="24"/>
          <w:szCs w:val="24"/>
          <w:vertAlign w:val="baseline"/>
          <w:lang w:val="en-US"/>
        </w:rPr>
      </w:pPr>
      <w:proofErr w:type="gramStart"/>
      <w:r w:rsidRPr="005F5BC9">
        <w:rPr>
          <w:rFonts w:ascii="Arial" w:hAnsi="Arial" w:cs="Arial"/>
          <w:sz w:val="24"/>
          <w:szCs w:val="24"/>
          <w:vertAlign w:val="baseline"/>
          <w:lang w:val="en-US"/>
        </w:rPr>
        <w:t xml:space="preserve">Hahn, J. 1995.Bootstrapping </w:t>
      </w:r>
      <w:proofErr w:type="spellStart"/>
      <w:r w:rsidRPr="005F5BC9">
        <w:rPr>
          <w:rFonts w:ascii="Arial" w:hAnsi="Arial" w:cs="Arial"/>
          <w:sz w:val="24"/>
          <w:szCs w:val="24"/>
          <w:vertAlign w:val="baseline"/>
          <w:lang w:val="en-US"/>
        </w:rPr>
        <w:t>Quantile</w:t>
      </w:r>
      <w:proofErr w:type="spellEnd"/>
      <w:r w:rsidRPr="005F5BC9">
        <w:rPr>
          <w:rFonts w:ascii="Arial" w:hAnsi="Arial" w:cs="Arial"/>
          <w:sz w:val="24"/>
          <w:szCs w:val="24"/>
          <w:vertAlign w:val="baseline"/>
          <w:lang w:val="en-US"/>
        </w:rPr>
        <w:t xml:space="preserve"> Regression Estimators.</w:t>
      </w:r>
      <w:proofErr w:type="gramEnd"/>
      <w:r w:rsidRPr="005F5BC9">
        <w:rPr>
          <w:rFonts w:ascii="Arial" w:hAnsi="Arial" w:cs="Arial"/>
          <w:sz w:val="24"/>
          <w:szCs w:val="24"/>
          <w:vertAlign w:val="baseline"/>
          <w:lang w:val="en-US"/>
        </w:rPr>
        <w:t> Economic Theory 11 (1), 105-121.</w:t>
      </w:r>
    </w:p>
    <w:p w:rsidR="00E87F9E" w:rsidRPr="005F5BC9" w:rsidRDefault="00E87F9E" w:rsidP="009537EE">
      <w:pPr>
        <w:autoSpaceDE w:val="0"/>
        <w:autoSpaceDN w:val="0"/>
        <w:adjustRightInd w:val="0"/>
        <w:spacing w:after="0" w:line="240" w:lineRule="auto"/>
        <w:rPr>
          <w:rFonts w:ascii="Arial" w:hAnsi="Arial" w:cs="Arial"/>
          <w:sz w:val="24"/>
          <w:szCs w:val="24"/>
          <w:vertAlign w:val="baseline"/>
          <w:lang w:val="en-US"/>
        </w:rPr>
      </w:pPr>
    </w:p>
    <w:p w:rsidR="00006FEC" w:rsidRPr="005F5BC9" w:rsidRDefault="00006FEC" w:rsidP="00006FEC">
      <w:pPr>
        <w:autoSpaceDE w:val="0"/>
        <w:autoSpaceDN w:val="0"/>
        <w:adjustRightInd w:val="0"/>
        <w:spacing w:after="0" w:line="240" w:lineRule="auto"/>
        <w:rPr>
          <w:rFonts w:ascii="Arial" w:hAnsi="Arial" w:cs="Arial"/>
          <w:sz w:val="24"/>
          <w:szCs w:val="24"/>
          <w:vertAlign w:val="baseline"/>
          <w:lang w:val="en-US"/>
        </w:rPr>
      </w:pPr>
      <w:proofErr w:type="spellStart"/>
      <w:r w:rsidRPr="005F5BC9">
        <w:rPr>
          <w:rFonts w:ascii="Arial" w:hAnsi="Arial" w:cs="Arial"/>
          <w:sz w:val="24"/>
          <w:szCs w:val="24"/>
          <w:vertAlign w:val="baseline"/>
          <w:lang w:val="en-US"/>
        </w:rPr>
        <w:t>Koenker</w:t>
      </w:r>
      <w:proofErr w:type="spellEnd"/>
      <w:r w:rsidRPr="005F5BC9">
        <w:rPr>
          <w:rFonts w:ascii="Arial" w:hAnsi="Arial" w:cs="Arial"/>
          <w:sz w:val="24"/>
          <w:szCs w:val="24"/>
          <w:vertAlign w:val="baseline"/>
          <w:lang w:val="en-US"/>
        </w:rPr>
        <w:t xml:space="preserve">, R. 2004. </w:t>
      </w:r>
      <w:proofErr w:type="spellStart"/>
      <w:proofErr w:type="gramStart"/>
      <w:r w:rsidRPr="005F5BC9">
        <w:rPr>
          <w:rFonts w:ascii="Arial" w:hAnsi="Arial" w:cs="Arial"/>
          <w:sz w:val="24"/>
          <w:szCs w:val="24"/>
          <w:vertAlign w:val="baseline"/>
          <w:lang w:val="en-US"/>
        </w:rPr>
        <w:t>Quantile</w:t>
      </w:r>
      <w:proofErr w:type="spellEnd"/>
      <w:r w:rsidRPr="005F5BC9">
        <w:rPr>
          <w:rFonts w:ascii="Arial" w:hAnsi="Arial" w:cs="Arial"/>
          <w:sz w:val="24"/>
          <w:szCs w:val="24"/>
          <w:vertAlign w:val="baseline"/>
          <w:lang w:val="en-US"/>
        </w:rPr>
        <w:t xml:space="preserve"> Regression for Longitudinal Data.</w:t>
      </w:r>
      <w:proofErr w:type="gramEnd"/>
      <w:r w:rsidRPr="005F5BC9">
        <w:rPr>
          <w:rFonts w:ascii="Arial" w:hAnsi="Arial" w:cs="Arial"/>
          <w:sz w:val="24"/>
          <w:szCs w:val="24"/>
          <w:vertAlign w:val="baseline"/>
          <w:lang w:val="en-US"/>
        </w:rPr>
        <w:t xml:space="preserve"> Journal of Multivariate Analysis 91: 74-89.</w:t>
      </w:r>
    </w:p>
    <w:p w:rsidR="00006FEC" w:rsidRPr="005F5BC9" w:rsidRDefault="00006FEC" w:rsidP="00006FEC">
      <w:pPr>
        <w:autoSpaceDE w:val="0"/>
        <w:autoSpaceDN w:val="0"/>
        <w:adjustRightInd w:val="0"/>
        <w:spacing w:after="0" w:line="240" w:lineRule="auto"/>
        <w:rPr>
          <w:rFonts w:ascii="Arial" w:hAnsi="Arial" w:cs="Arial"/>
          <w:sz w:val="24"/>
          <w:szCs w:val="24"/>
          <w:vertAlign w:val="baseline"/>
          <w:lang w:val="en-US"/>
        </w:rPr>
      </w:pPr>
    </w:p>
    <w:p w:rsidR="00006FEC" w:rsidRPr="005F5BC9" w:rsidRDefault="00006FEC" w:rsidP="00006FEC">
      <w:pPr>
        <w:autoSpaceDE w:val="0"/>
        <w:autoSpaceDN w:val="0"/>
        <w:adjustRightInd w:val="0"/>
        <w:spacing w:after="0" w:line="240" w:lineRule="auto"/>
        <w:rPr>
          <w:rFonts w:ascii="Arial" w:hAnsi="Arial" w:cs="Arial"/>
          <w:sz w:val="24"/>
          <w:szCs w:val="24"/>
          <w:vertAlign w:val="baseline"/>
          <w:lang w:val="en-US"/>
        </w:rPr>
      </w:pPr>
      <w:proofErr w:type="spellStart"/>
      <w:r w:rsidRPr="005F5BC9">
        <w:rPr>
          <w:rFonts w:ascii="Arial" w:hAnsi="Arial" w:cs="Arial"/>
          <w:sz w:val="24"/>
          <w:szCs w:val="24"/>
          <w:vertAlign w:val="baseline"/>
          <w:lang w:val="en-US"/>
        </w:rPr>
        <w:t>Koenker</w:t>
      </w:r>
      <w:proofErr w:type="spellEnd"/>
      <w:r w:rsidRPr="005F5BC9">
        <w:rPr>
          <w:rFonts w:ascii="Arial" w:hAnsi="Arial" w:cs="Arial"/>
          <w:sz w:val="24"/>
          <w:szCs w:val="24"/>
          <w:vertAlign w:val="baseline"/>
          <w:lang w:val="en-US"/>
        </w:rPr>
        <w:t xml:space="preserve">, R; </w:t>
      </w:r>
      <w:proofErr w:type="spellStart"/>
      <w:r w:rsidRPr="005F5BC9">
        <w:rPr>
          <w:rFonts w:ascii="Arial" w:hAnsi="Arial" w:cs="Arial"/>
          <w:sz w:val="24"/>
          <w:szCs w:val="24"/>
          <w:vertAlign w:val="baseline"/>
          <w:lang w:val="en-US"/>
        </w:rPr>
        <w:t>Hallock</w:t>
      </w:r>
      <w:proofErr w:type="spellEnd"/>
      <w:r w:rsidRPr="005F5BC9">
        <w:rPr>
          <w:rFonts w:ascii="Arial" w:hAnsi="Arial" w:cs="Arial"/>
          <w:sz w:val="24"/>
          <w:szCs w:val="24"/>
          <w:vertAlign w:val="baseline"/>
          <w:lang w:val="en-US"/>
        </w:rPr>
        <w:t>, K. 2001.Quantile Regression: an introduction. Journal of Economic Perspectives 15: 143-156.</w:t>
      </w:r>
    </w:p>
    <w:p w:rsidR="00006FEC" w:rsidRPr="005F5BC9" w:rsidRDefault="00006FEC" w:rsidP="00006FEC">
      <w:pPr>
        <w:autoSpaceDE w:val="0"/>
        <w:autoSpaceDN w:val="0"/>
        <w:adjustRightInd w:val="0"/>
        <w:spacing w:after="0" w:line="240" w:lineRule="auto"/>
        <w:rPr>
          <w:rFonts w:ascii="Arial" w:hAnsi="Arial" w:cs="Arial"/>
          <w:sz w:val="24"/>
          <w:szCs w:val="24"/>
          <w:vertAlign w:val="baseline"/>
          <w:lang w:val="en-US"/>
        </w:rPr>
      </w:pPr>
    </w:p>
    <w:p w:rsidR="00006FEC" w:rsidRPr="005F5BC9" w:rsidRDefault="00006FEC" w:rsidP="00006FEC">
      <w:pPr>
        <w:autoSpaceDE w:val="0"/>
        <w:autoSpaceDN w:val="0"/>
        <w:adjustRightInd w:val="0"/>
        <w:spacing w:after="0" w:line="240" w:lineRule="auto"/>
        <w:rPr>
          <w:rFonts w:ascii="Arial" w:hAnsi="Arial" w:cs="Arial"/>
          <w:sz w:val="24"/>
          <w:szCs w:val="24"/>
          <w:vertAlign w:val="baseline"/>
          <w:lang w:val="en-US"/>
        </w:rPr>
      </w:pPr>
      <w:proofErr w:type="spellStart"/>
      <w:r w:rsidRPr="005F5BC9">
        <w:rPr>
          <w:rFonts w:ascii="Arial" w:hAnsi="Arial" w:cs="Arial"/>
          <w:sz w:val="24"/>
          <w:szCs w:val="24"/>
          <w:vertAlign w:val="baseline"/>
          <w:lang w:val="en-US"/>
        </w:rPr>
        <w:t>Lamarche</w:t>
      </w:r>
      <w:proofErr w:type="spellEnd"/>
      <w:r w:rsidRPr="005F5BC9">
        <w:rPr>
          <w:rFonts w:ascii="Arial" w:hAnsi="Arial" w:cs="Arial"/>
          <w:sz w:val="24"/>
          <w:szCs w:val="24"/>
          <w:vertAlign w:val="baseline"/>
          <w:lang w:val="en-US"/>
        </w:rPr>
        <w:t xml:space="preserve">, C. 2010. Robust penalized </w:t>
      </w:r>
      <w:proofErr w:type="spellStart"/>
      <w:r w:rsidRPr="005F5BC9">
        <w:rPr>
          <w:rFonts w:ascii="Arial" w:hAnsi="Arial" w:cs="Arial"/>
          <w:sz w:val="24"/>
          <w:szCs w:val="24"/>
          <w:vertAlign w:val="baseline"/>
          <w:lang w:val="en-US"/>
        </w:rPr>
        <w:t>quantile</w:t>
      </w:r>
      <w:proofErr w:type="spellEnd"/>
      <w:r w:rsidRPr="005F5BC9">
        <w:rPr>
          <w:rFonts w:ascii="Arial" w:hAnsi="Arial" w:cs="Arial"/>
          <w:sz w:val="24"/>
          <w:szCs w:val="24"/>
          <w:vertAlign w:val="baseline"/>
          <w:lang w:val="en-US"/>
        </w:rPr>
        <w:t xml:space="preserve"> regression estimation for panel data. Journal</w:t>
      </w:r>
    </w:p>
    <w:p w:rsidR="00006FEC" w:rsidRPr="005F5BC9" w:rsidRDefault="00006FEC" w:rsidP="00006FEC">
      <w:pPr>
        <w:autoSpaceDE w:val="0"/>
        <w:autoSpaceDN w:val="0"/>
        <w:adjustRightInd w:val="0"/>
        <w:spacing w:after="0" w:line="240" w:lineRule="auto"/>
        <w:rPr>
          <w:rFonts w:ascii="Arial" w:hAnsi="Arial" w:cs="Arial"/>
          <w:sz w:val="24"/>
          <w:szCs w:val="24"/>
          <w:vertAlign w:val="baseline"/>
          <w:lang w:val="en-US"/>
        </w:rPr>
      </w:pPr>
      <w:proofErr w:type="gramStart"/>
      <w:r w:rsidRPr="005F5BC9">
        <w:rPr>
          <w:rFonts w:ascii="Arial" w:hAnsi="Arial" w:cs="Arial"/>
          <w:sz w:val="24"/>
          <w:szCs w:val="24"/>
          <w:vertAlign w:val="baseline"/>
          <w:lang w:val="en-US"/>
        </w:rPr>
        <w:t>of</w:t>
      </w:r>
      <w:proofErr w:type="gramEnd"/>
      <w:r w:rsidRPr="005F5BC9">
        <w:rPr>
          <w:rFonts w:ascii="Arial" w:hAnsi="Arial" w:cs="Arial"/>
          <w:sz w:val="24"/>
          <w:szCs w:val="24"/>
          <w:vertAlign w:val="baseline"/>
          <w:lang w:val="en-US"/>
        </w:rPr>
        <w:t xml:space="preserve"> Econometrics 157: 396-408</w:t>
      </w:r>
    </w:p>
    <w:p w:rsidR="009537EE" w:rsidRPr="005F5BC9" w:rsidRDefault="009537EE" w:rsidP="009537EE">
      <w:pPr>
        <w:autoSpaceDE w:val="0"/>
        <w:autoSpaceDN w:val="0"/>
        <w:adjustRightInd w:val="0"/>
        <w:spacing w:after="0" w:line="240" w:lineRule="auto"/>
        <w:rPr>
          <w:rFonts w:ascii="Arial" w:hAnsi="Arial" w:cs="Arial"/>
          <w:sz w:val="24"/>
          <w:szCs w:val="24"/>
          <w:vertAlign w:val="baseline"/>
          <w:lang w:val="en-US"/>
        </w:rPr>
      </w:pPr>
    </w:p>
    <w:p w:rsidR="009537EE" w:rsidRPr="00E34615" w:rsidRDefault="009537EE" w:rsidP="009537EE">
      <w:pPr>
        <w:autoSpaceDE w:val="0"/>
        <w:autoSpaceDN w:val="0"/>
        <w:adjustRightInd w:val="0"/>
        <w:spacing w:after="0" w:line="240" w:lineRule="auto"/>
        <w:rPr>
          <w:rFonts w:ascii="Arial" w:hAnsi="Arial" w:cs="Arial"/>
          <w:sz w:val="24"/>
          <w:szCs w:val="24"/>
          <w:vertAlign w:val="baseline"/>
        </w:rPr>
      </w:pPr>
      <w:proofErr w:type="spellStart"/>
      <w:proofErr w:type="gramStart"/>
      <w:r w:rsidRPr="005F5BC9">
        <w:rPr>
          <w:rFonts w:ascii="Arial" w:hAnsi="Arial" w:cs="Arial"/>
          <w:sz w:val="24"/>
          <w:szCs w:val="24"/>
          <w:vertAlign w:val="baseline"/>
          <w:lang w:val="en-US"/>
        </w:rPr>
        <w:t>Levaggi</w:t>
      </w:r>
      <w:proofErr w:type="spellEnd"/>
      <w:r w:rsidRPr="005F5BC9">
        <w:rPr>
          <w:rFonts w:ascii="Arial" w:hAnsi="Arial" w:cs="Arial"/>
          <w:sz w:val="24"/>
          <w:szCs w:val="24"/>
          <w:vertAlign w:val="baseline"/>
          <w:lang w:val="en-US"/>
        </w:rPr>
        <w:t xml:space="preserve">, R.; </w:t>
      </w:r>
      <w:proofErr w:type="spellStart"/>
      <w:r w:rsidRPr="005F5BC9">
        <w:rPr>
          <w:rFonts w:ascii="Arial" w:hAnsi="Arial" w:cs="Arial"/>
          <w:sz w:val="24"/>
          <w:szCs w:val="24"/>
          <w:vertAlign w:val="baseline"/>
          <w:lang w:val="en-US"/>
        </w:rPr>
        <w:t>Zanola</w:t>
      </w:r>
      <w:proofErr w:type="spellEnd"/>
      <w:r w:rsidRPr="005F5BC9">
        <w:rPr>
          <w:rFonts w:ascii="Arial" w:hAnsi="Arial" w:cs="Arial"/>
          <w:sz w:val="24"/>
          <w:szCs w:val="24"/>
          <w:vertAlign w:val="baseline"/>
          <w:lang w:val="en-US"/>
        </w:rPr>
        <w:t>, R. 2003.</w:t>
      </w:r>
      <w:proofErr w:type="gramEnd"/>
      <w:r w:rsidRPr="005F5BC9">
        <w:rPr>
          <w:rFonts w:ascii="Arial" w:hAnsi="Arial" w:cs="Arial"/>
          <w:sz w:val="24"/>
          <w:szCs w:val="24"/>
          <w:vertAlign w:val="baseline"/>
          <w:lang w:val="en-US"/>
        </w:rPr>
        <w:t xml:space="preserve"> Flypaper effect and sluggishness: evidence from regional health expenditure in Italy. </w:t>
      </w:r>
      <w:proofErr w:type="spellStart"/>
      <w:r w:rsidRPr="00E34615">
        <w:rPr>
          <w:rFonts w:ascii="Arial" w:hAnsi="Arial" w:cs="Arial"/>
          <w:sz w:val="24"/>
          <w:szCs w:val="24"/>
          <w:vertAlign w:val="baseline"/>
        </w:rPr>
        <w:t>International</w:t>
      </w:r>
      <w:proofErr w:type="spellEnd"/>
      <w:r w:rsidRPr="00E34615">
        <w:rPr>
          <w:rFonts w:ascii="Arial" w:hAnsi="Arial" w:cs="Arial"/>
          <w:sz w:val="24"/>
          <w:szCs w:val="24"/>
          <w:vertAlign w:val="baseline"/>
        </w:rPr>
        <w:t xml:space="preserve"> </w:t>
      </w:r>
      <w:proofErr w:type="spellStart"/>
      <w:r w:rsidRPr="00E34615">
        <w:rPr>
          <w:rFonts w:ascii="Arial" w:hAnsi="Arial" w:cs="Arial"/>
          <w:sz w:val="24"/>
          <w:szCs w:val="24"/>
          <w:vertAlign w:val="baseline"/>
        </w:rPr>
        <w:t>Tax</w:t>
      </w:r>
      <w:proofErr w:type="spellEnd"/>
      <w:r w:rsidRPr="00E34615">
        <w:rPr>
          <w:rFonts w:ascii="Arial" w:hAnsi="Arial" w:cs="Arial"/>
          <w:sz w:val="24"/>
          <w:szCs w:val="24"/>
          <w:vertAlign w:val="baseline"/>
        </w:rPr>
        <w:t xml:space="preserve"> </w:t>
      </w:r>
      <w:proofErr w:type="spellStart"/>
      <w:r w:rsidRPr="00E34615">
        <w:rPr>
          <w:rFonts w:ascii="Arial" w:hAnsi="Arial" w:cs="Arial"/>
          <w:sz w:val="24"/>
          <w:szCs w:val="24"/>
          <w:vertAlign w:val="baseline"/>
        </w:rPr>
        <w:t>and</w:t>
      </w:r>
      <w:proofErr w:type="spellEnd"/>
      <w:r w:rsidRPr="00E34615">
        <w:rPr>
          <w:rFonts w:ascii="Arial" w:hAnsi="Arial" w:cs="Arial"/>
          <w:sz w:val="24"/>
          <w:szCs w:val="24"/>
          <w:vertAlign w:val="baseline"/>
        </w:rPr>
        <w:t xml:space="preserve"> </w:t>
      </w:r>
      <w:proofErr w:type="spellStart"/>
      <w:r w:rsidRPr="00E34615">
        <w:rPr>
          <w:rFonts w:ascii="Arial" w:hAnsi="Arial" w:cs="Arial"/>
          <w:sz w:val="24"/>
          <w:szCs w:val="24"/>
          <w:vertAlign w:val="baseline"/>
        </w:rPr>
        <w:t>Public</w:t>
      </w:r>
      <w:proofErr w:type="spellEnd"/>
      <w:r w:rsidRPr="00E34615">
        <w:rPr>
          <w:rFonts w:ascii="Arial" w:hAnsi="Arial" w:cs="Arial"/>
          <w:sz w:val="24"/>
          <w:szCs w:val="24"/>
          <w:vertAlign w:val="baseline"/>
        </w:rPr>
        <w:t xml:space="preserve"> </w:t>
      </w:r>
      <w:proofErr w:type="spellStart"/>
      <w:r w:rsidRPr="00E34615">
        <w:rPr>
          <w:rFonts w:ascii="Arial" w:hAnsi="Arial" w:cs="Arial"/>
          <w:sz w:val="24"/>
          <w:szCs w:val="24"/>
          <w:vertAlign w:val="baseline"/>
        </w:rPr>
        <w:t>Finance</w:t>
      </w:r>
      <w:proofErr w:type="spellEnd"/>
      <w:r w:rsidRPr="00E34615">
        <w:rPr>
          <w:rFonts w:ascii="Arial" w:hAnsi="Arial" w:cs="Arial"/>
          <w:sz w:val="24"/>
          <w:szCs w:val="24"/>
          <w:vertAlign w:val="baseline"/>
        </w:rPr>
        <w:t xml:space="preserve"> 10(5): 535-47.</w:t>
      </w:r>
    </w:p>
    <w:p w:rsidR="00DE55A0" w:rsidRPr="00E34615" w:rsidRDefault="00DE55A0" w:rsidP="009537EE">
      <w:pPr>
        <w:autoSpaceDE w:val="0"/>
        <w:autoSpaceDN w:val="0"/>
        <w:adjustRightInd w:val="0"/>
        <w:spacing w:after="0" w:line="240" w:lineRule="auto"/>
        <w:rPr>
          <w:rFonts w:ascii="Arial" w:hAnsi="Arial" w:cs="Arial"/>
          <w:sz w:val="24"/>
          <w:szCs w:val="24"/>
          <w:vertAlign w:val="baseline"/>
        </w:rPr>
      </w:pPr>
    </w:p>
    <w:p w:rsidR="00DE55A0" w:rsidRDefault="00DE55A0" w:rsidP="00DE55A0">
      <w:pPr>
        <w:spacing w:after="0" w:line="240" w:lineRule="auto"/>
        <w:jc w:val="left"/>
        <w:rPr>
          <w:rFonts w:ascii="Arial" w:eastAsia="Times New Roman" w:hAnsi="Arial" w:cs="Arial"/>
          <w:sz w:val="24"/>
          <w:szCs w:val="24"/>
          <w:vertAlign w:val="baseline"/>
          <w:lang w:eastAsia="pt-BR"/>
        </w:rPr>
      </w:pPr>
    </w:p>
    <w:p w:rsidR="00DE55A0" w:rsidRPr="00DE55A0" w:rsidRDefault="00C43DEC" w:rsidP="00256E3C">
      <w:pPr>
        <w:spacing w:after="0" w:line="240" w:lineRule="auto"/>
        <w:rPr>
          <w:rFonts w:ascii="Arial" w:eastAsia="Times New Roman" w:hAnsi="Arial" w:cs="Arial"/>
          <w:sz w:val="24"/>
          <w:szCs w:val="24"/>
          <w:vertAlign w:val="baseline"/>
          <w:lang w:eastAsia="pt-BR"/>
        </w:rPr>
      </w:pPr>
      <w:r>
        <w:rPr>
          <w:rFonts w:ascii="Arial" w:eastAsia="Times New Roman" w:hAnsi="Arial" w:cs="Arial"/>
          <w:sz w:val="24"/>
          <w:szCs w:val="24"/>
          <w:vertAlign w:val="baseline"/>
          <w:lang w:eastAsia="pt-BR"/>
        </w:rPr>
        <w:t>Mendes</w:t>
      </w:r>
      <w:r w:rsidR="00DE55A0">
        <w:rPr>
          <w:rFonts w:ascii="Arial" w:eastAsia="Times New Roman" w:hAnsi="Arial" w:cs="Arial"/>
          <w:sz w:val="24"/>
          <w:szCs w:val="24"/>
          <w:vertAlign w:val="baseline"/>
          <w:lang w:eastAsia="pt-BR"/>
        </w:rPr>
        <w:t>, M.;</w:t>
      </w:r>
      <w:r>
        <w:rPr>
          <w:rFonts w:ascii="Arial" w:eastAsia="Times New Roman" w:hAnsi="Arial" w:cs="Arial"/>
          <w:sz w:val="24"/>
          <w:szCs w:val="24"/>
          <w:vertAlign w:val="baseline"/>
          <w:lang w:eastAsia="pt-BR"/>
        </w:rPr>
        <w:t xml:space="preserve"> Miranda, R.; </w:t>
      </w:r>
      <w:proofErr w:type="spellStart"/>
      <w:r>
        <w:rPr>
          <w:rFonts w:ascii="Arial" w:eastAsia="Times New Roman" w:hAnsi="Arial" w:cs="Arial"/>
          <w:sz w:val="24"/>
          <w:szCs w:val="24"/>
          <w:vertAlign w:val="baseline"/>
          <w:lang w:eastAsia="pt-BR"/>
        </w:rPr>
        <w:t>Cossio</w:t>
      </w:r>
      <w:proofErr w:type="spellEnd"/>
      <w:r w:rsidR="00256E3C">
        <w:rPr>
          <w:rFonts w:ascii="Arial" w:eastAsia="Times New Roman" w:hAnsi="Arial" w:cs="Arial"/>
          <w:sz w:val="24"/>
          <w:szCs w:val="24"/>
          <w:vertAlign w:val="baseline"/>
          <w:lang w:eastAsia="pt-BR"/>
        </w:rPr>
        <w:t xml:space="preserve">, </w:t>
      </w:r>
      <w:r w:rsidR="00DE55A0" w:rsidRPr="00DE55A0">
        <w:rPr>
          <w:rFonts w:ascii="Arial" w:eastAsia="Times New Roman" w:hAnsi="Arial" w:cs="Arial"/>
          <w:sz w:val="24"/>
          <w:szCs w:val="24"/>
          <w:vertAlign w:val="baseline"/>
          <w:lang w:eastAsia="pt-BR"/>
        </w:rPr>
        <w:t>F.</w:t>
      </w:r>
      <w:r w:rsidR="00256E3C">
        <w:rPr>
          <w:rFonts w:ascii="Arial" w:eastAsia="Times New Roman" w:hAnsi="Arial" w:cs="Arial"/>
          <w:sz w:val="24"/>
          <w:szCs w:val="24"/>
          <w:vertAlign w:val="baseline"/>
          <w:lang w:eastAsia="pt-BR"/>
        </w:rPr>
        <w:t xml:space="preserve"> 2008. </w:t>
      </w:r>
      <w:r w:rsidR="00DE55A0" w:rsidRPr="00DE55A0">
        <w:rPr>
          <w:rFonts w:ascii="Arial" w:eastAsia="Times New Roman" w:hAnsi="Arial" w:cs="Arial"/>
          <w:sz w:val="24"/>
          <w:szCs w:val="24"/>
          <w:vertAlign w:val="baseline"/>
          <w:lang w:eastAsia="pt-BR"/>
        </w:rPr>
        <w:t>Transferências Intergovernamentais no</w:t>
      </w:r>
      <w:r w:rsidR="00256E3C">
        <w:rPr>
          <w:rFonts w:ascii="Arial" w:eastAsia="Times New Roman" w:hAnsi="Arial" w:cs="Arial"/>
          <w:sz w:val="24"/>
          <w:szCs w:val="24"/>
          <w:vertAlign w:val="baseline"/>
          <w:lang w:eastAsia="pt-BR"/>
        </w:rPr>
        <w:t xml:space="preserve"> Brasil: </w:t>
      </w:r>
      <w:r w:rsidR="00DE55A0" w:rsidRPr="00DE55A0">
        <w:rPr>
          <w:rFonts w:ascii="Arial" w:eastAsia="Times New Roman" w:hAnsi="Arial" w:cs="Arial"/>
          <w:sz w:val="24"/>
          <w:szCs w:val="24"/>
          <w:vertAlign w:val="baseline"/>
          <w:lang w:eastAsia="pt-BR"/>
        </w:rPr>
        <w:t xml:space="preserve">diagnóstico e proposta de reforma. Consultoria Legislativa do Senado Federal. Coordenação de Estudos. Textos para discussão </w:t>
      </w:r>
      <w:r w:rsidR="00256E3C">
        <w:rPr>
          <w:rFonts w:ascii="Arial" w:eastAsia="Times New Roman" w:hAnsi="Arial" w:cs="Arial"/>
          <w:sz w:val="24"/>
          <w:szCs w:val="24"/>
          <w:vertAlign w:val="baseline"/>
          <w:lang w:eastAsia="pt-BR"/>
        </w:rPr>
        <w:t>40</w:t>
      </w:r>
    </w:p>
    <w:p w:rsidR="00DE55A0" w:rsidRPr="00256E3C" w:rsidRDefault="00DE55A0" w:rsidP="009537EE">
      <w:pPr>
        <w:autoSpaceDE w:val="0"/>
        <w:autoSpaceDN w:val="0"/>
        <w:adjustRightInd w:val="0"/>
        <w:spacing w:after="0" w:line="240" w:lineRule="auto"/>
        <w:rPr>
          <w:rFonts w:ascii="Arial" w:hAnsi="Arial" w:cs="Arial"/>
          <w:sz w:val="24"/>
          <w:szCs w:val="24"/>
          <w:vertAlign w:val="baseline"/>
        </w:rPr>
      </w:pPr>
    </w:p>
    <w:p w:rsidR="0096154B" w:rsidRPr="00256E3C" w:rsidRDefault="0096154B" w:rsidP="009537EE">
      <w:pPr>
        <w:autoSpaceDE w:val="0"/>
        <w:autoSpaceDN w:val="0"/>
        <w:adjustRightInd w:val="0"/>
        <w:spacing w:after="0" w:line="240" w:lineRule="auto"/>
        <w:rPr>
          <w:rFonts w:ascii="Arial" w:hAnsi="Arial" w:cs="Arial"/>
          <w:sz w:val="24"/>
          <w:szCs w:val="24"/>
        </w:rPr>
      </w:pPr>
    </w:p>
    <w:p w:rsidR="0096154B" w:rsidRPr="005F5BC9" w:rsidRDefault="00AF62B6" w:rsidP="009537EE">
      <w:pPr>
        <w:pStyle w:val="PargrafodaLista"/>
        <w:spacing w:after="0" w:line="240" w:lineRule="auto"/>
        <w:ind w:left="0"/>
        <w:rPr>
          <w:rFonts w:ascii="Arial" w:hAnsi="Arial" w:cs="Arial"/>
          <w:sz w:val="24"/>
          <w:szCs w:val="24"/>
          <w:vertAlign w:val="baseline"/>
          <w:lang w:val="en-US"/>
        </w:rPr>
      </w:pPr>
      <w:proofErr w:type="gramStart"/>
      <w:r w:rsidRPr="00E34615">
        <w:rPr>
          <w:rFonts w:ascii="Arial" w:hAnsi="Arial" w:cs="Arial"/>
          <w:sz w:val="24"/>
          <w:szCs w:val="24"/>
          <w:vertAlign w:val="baseline"/>
          <w:lang w:val="en-US"/>
        </w:rPr>
        <w:t>Shah, A. 1985.</w:t>
      </w:r>
      <w:proofErr w:type="gramEnd"/>
      <w:r w:rsidRPr="00E34615">
        <w:rPr>
          <w:rFonts w:ascii="Arial" w:hAnsi="Arial" w:cs="Arial"/>
          <w:sz w:val="24"/>
          <w:szCs w:val="24"/>
          <w:vertAlign w:val="baseline"/>
          <w:lang w:val="en-US"/>
        </w:rPr>
        <w:t xml:space="preserve"> Provincial transportation grants </w:t>
      </w:r>
      <w:r w:rsidRPr="005F5BC9">
        <w:rPr>
          <w:rFonts w:ascii="Arial" w:hAnsi="Arial" w:cs="Arial"/>
          <w:sz w:val="24"/>
          <w:szCs w:val="24"/>
          <w:vertAlign w:val="baseline"/>
          <w:lang w:val="en-US"/>
        </w:rPr>
        <w:t xml:space="preserve">to Alberta cities: structure, evaluation, and a proposal for an alternative design. </w:t>
      </w:r>
      <w:proofErr w:type="gramStart"/>
      <w:r w:rsidRPr="005F5BC9">
        <w:rPr>
          <w:rFonts w:ascii="Arial" w:hAnsi="Arial" w:cs="Arial"/>
          <w:sz w:val="24"/>
          <w:szCs w:val="24"/>
          <w:vertAlign w:val="baseline"/>
          <w:lang w:val="en-US"/>
        </w:rPr>
        <w:t xml:space="preserve">In Quantity and quality in economic </w:t>
      </w:r>
      <w:proofErr w:type="spellStart"/>
      <w:r w:rsidRPr="005F5BC9">
        <w:rPr>
          <w:rFonts w:ascii="Arial" w:hAnsi="Arial" w:cs="Arial"/>
          <w:sz w:val="24"/>
          <w:szCs w:val="24"/>
          <w:vertAlign w:val="baseline"/>
          <w:lang w:val="en-US"/>
        </w:rPr>
        <w:t>research.</w:t>
      </w:r>
      <w:r w:rsidR="00C749B6" w:rsidRPr="005F5BC9">
        <w:rPr>
          <w:rFonts w:ascii="Arial" w:hAnsi="Arial" w:cs="Arial"/>
          <w:sz w:val="24"/>
          <w:szCs w:val="24"/>
          <w:vertAlign w:val="baseline"/>
          <w:lang w:val="en-US"/>
        </w:rPr>
        <w:t>ed</w:t>
      </w:r>
      <w:proofErr w:type="spellEnd"/>
      <w:r w:rsidR="00C749B6" w:rsidRPr="005F5BC9">
        <w:rPr>
          <w:rFonts w:ascii="Arial" w:hAnsi="Arial" w:cs="Arial"/>
          <w:sz w:val="24"/>
          <w:szCs w:val="24"/>
          <w:vertAlign w:val="baseline"/>
          <w:lang w:val="en-US"/>
        </w:rPr>
        <w:t>.</w:t>
      </w:r>
      <w:proofErr w:type="gramEnd"/>
      <w:r w:rsidR="00C749B6" w:rsidRPr="005F5BC9">
        <w:rPr>
          <w:rFonts w:ascii="Arial" w:hAnsi="Arial" w:cs="Arial"/>
          <w:sz w:val="24"/>
          <w:szCs w:val="24"/>
          <w:vertAlign w:val="baseline"/>
          <w:lang w:val="en-US"/>
        </w:rPr>
        <w:t xml:space="preserve"> </w:t>
      </w:r>
      <w:proofErr w:type="gramStart"/>
      <w:r w:rsidR="00C749B6" w:rsidRPr="005F5BC9">
        <w:rPr>
          <w:rFonts w:ascii="Arial" w:hAnsi="Arial" w:cs="Arial"/>
          <w:sz w:val="24"/>
          <w:szCs w:val="24"/>
          <w:vertAlign w:val="baseline"/>
          <w:lang w:val="en-US"/>
        </w:rPr>
        <w:t>Roy Chamberlain Brown, vol.</w:t>
      </w:r>
      <w:proofErr w:type="gramEnd"/>
      <w:r w:rsidR="00C749B6" w:rsidRPr="005F5BC9">
        <w:rPr>
          <w:rFonts w:ascii="Arial" w:hAnsi="Arial" w:cs="Arial"/>
          <w:sz w:val="24"/>
          <w:szCs w:val="24"/>
          <w:vertAlign w:val="baseline"/>
          <w:lang w:val="en-US"/>
        </w:rPr>
        <w:t xml:space="preserve"> I, 59-108. New York: University Press of America.</w:t>
      </w:r>
    </w:p>
    <w:p w:rsidR="00C749B6" w:rsidRPr="005F5BC9" w:rsidRDefault="00C749B6" w:rsidP="009537EE">
      <w:pPr>
        <w:pStyle w:val="PargrafodaLista"/>
        <w:spacing w:after="0" w:line="240" w:lineRule="auto"/>
        <w:ind w:left="0"/>
        <w:rPr>
          <w:rFonts w:ascii="Arial" w:hAnsi="Arial" w:cs="Arial"/>
          <w:sz w:val="24"/>
          <w:szCs w:val="24"/>
          <w:vertAlign w:val="baseline"/>
          <w:lang w:val="en-US"/>
        </w:rPr>
      </w:pPr>
    </w:p>
    <w:p w:rsidR="00C749B6" w:rsidRPr="005F5BC9" w:rsidRDefault="00C749B6" w:rsidP="00C749B6">
      <w:pPr>
        <w:pStyle w:val="PargrafodaLista"/>
        <w:spacing w:after="0" w:line="240" w:lineRule="auto"/>
        <w:ind w:left="0"/>
        <w:rPr>
          <w:rFonts w:ascii="Arial" w:hAnsi="Arial" w:cs="Arial"/>
          <w:sz w:val="24"/>
          <w:szCs w:val="24"/>
          <w:vertAlign w:val="baseline"/>
          <w:lang w:val="en-US"/>
        </w:rPr>
      </w:pPr>
      <w:proofErr w:type="gramStart"/>
      <w:r w:rsidRPr="005F5BC9">
        <w:rPr>
          <w:rFonts w:ascii="Arial" w:hAnsi="Arial" w:cs="Arial"/>
          <w:sz w:val="24"/>
          <w:szCs w:val="24"/>
          <w:vertAlign w:val="baseline"/>
          <w:lang w:val="en-US"/>
        </w:rPr>
        <w:t xml:space="preserve">Shah, A. 1988.An empirical analysis of public transit subsidies in </w:t>
      </w:r>
      <w:proofErr w:type="spellStart"/>
      <w:r w:rsidRPr="005F5BC9">
        <w:rPr>
          <w:rFonts w:ascii="Arial" w:hAnsi="Arial" w:cs="Arial"/>
          <w:sz w:val="24"/>
          <w:szCs w:val="24"/>
          <w:vertAlign w:val="baseline"/>
          <w:lang w:val="en-US"/>
        </w:rPr>
        <w:t>Canada.In</w:t>
      </w:r>
      <w:proofErr w:type="spellEnd"/>
      <w:r w:rsidRPr="005F5BC9">
        <w:rPr>
          <w:rFonts w:ascii="Arial" w:hAnsi="Arial" w:cs="Arial"/>
          <w:sz w:val="24"/>
          <w:szCs w:val="24"/>
          <w:vertAlign w:val="baseline"/>
          <w:lang w:val="en-US"/>
        </w:rPr>
        <w:t xml:space="preserve"> Quantity and quality in economic </w:t>
      </w:r>
      <w:proofErr w:type="spellStart"/>
      <w:r w:rsidRPr="005F5BC9">
        <w:rPr>
          <w:rFonts w:ascii="Arial" w:hAnsi="Arial" w:cs="Arial"/>
          <w:sz w:val="24"/>
          <w:szCs w:val="24"/>
          <w:vertAlign w:val="baseline"/>
          <w:lang w:val="en-US"/>
        </w:rPr>
        <w:t>research.ed</w:t>
      </w:r>
      <w:proofErr w:type="spellEnd"/>
      <w:r w:rsidRPr="005F5BC9">
        <w:rPr>
          <w:rFonts w:ascii="Arial" w:hAnsi="Arial" w:cs="Arial"/>
          <w:sz w:val="24"/>
          <w:szCs w:val="24"/>
          <w:vertAlign w:val="baseline"/>
          <w:lang w:val="en-US"/>
        </w:rPr>
        <w:t>.</w:t>
      </w:r>
      <w:proofErr w:type="gramEnd"/>
      <w:r w:rsidRPr="005F5BC9">
        <w:rPr>
          <w:rFonts w:ascii="Arial" w:hAnsi="Arial" w:cs="Arial"/>
          <w:sz w:val="24"/>
          <w:szCs w:val="24"/>
          <w:vertAlign w:val="baseline"/>
          <w:lang w:val="en-US"/>
        </w:rPr>
        <w:t xml:space="preserve"> Roy Chamberlain Brown, vol. II, 15-26. New York: University Press of America.</w:t>
      </w:r>
    </w:p>
    <w:p w:rsidR="00C749B6" w:rsidRPr="005F5BC9" w:rsidRDefault="00C749B6" w:rsidP="00C749B6">
      <w:pPr>
        <w:pStyle w:val="PargrafodaLista"/>
        <w:spacing w:after="0" w:line="240" w:lineRule="auto"/>
        <w:ind w:left="0"/>
        <w:rPr>
          <w:rFonts w:ascii="Arial" w:hAnsi="Arial" w:cs="Arial"/>
          <w:sz w:val="24"/>
          <w:szCs w:val="24"/>
          <w:vertAlign w:val="baseline"/>
          <w:lang w:val="en-US"/>
        </w:rPr>
      </w:pPr>
    </w:p>
    <w:p w:rsidR="00C749B6" w:rsidRPr="005F5BC9" w:rsidRDefault="00C749B6" w:rsidP="00C749B6">
      <w:pPr>
        <w:pStyle w:val="PargrafodaLista"/>
        <w:spacing w:after="0" w:line="240" w:lineRule="auto"/>
        <w:ind w:left="0"/>
        <w:rPr>
          <w:rFonts w:ascii="Arial" w:hAnsi="Arial" w:cs="Arial"/>
          <w:sz w:val="24"/>
          <w:szCs w:val="24"/>
          <w:vertAlign w:val="baseline"/>
          <w:lang w:val="en-US"/>
        </w:rPr>
      </w:pPr>
      <w:proofErr w:type="gramStart"/>
      <w:r w:rsidRPr="005F5BC9">
        <w:rPr>
          <w:rFonts w:ascii="Arial" w:hAnsi="Arial" w:cs="Arial"/>
          <w:sz w:val="24"/>
          <w:szCs w:val="24"/>
          <w:vertAlign w:val="baseline"/>
          <w:lang w:val="en-US"/>
        </w:rPr>
        <w:t>Shah, A. 1989.</w:t>
      </w:r>
      <w:proofErr w:type="gramEnd"/>
      <w:r w:rsidRPr="005F5BC9">
        <w:rPr>
          <w:rFonts w:ascii="Arial" w:hAnsi="Arial" w:cs="Arial"/>
          <w:sz w:val="24"/>
          <w:szCs w:val="24"/>
          <w:vertAlign w:val="baseline"/>
          <w:lang w:val="en-US"/>
        </w:rPr>
        <w:t xml:space="preserve"> A linear expenditure system estimation of local response to provincial transportation grants. Kentucky Journal of Economics and Business 2(3): 150-68.</w:t>
      </w:r>
    </w:p>
    <w:p w:rsidR="00C749B6" w:rsidRPr="005F5BC9" w:rsidRDefault="00C749B6" w:rsidP="00C749B6">
      <w:pPr>
        <w:pStyle w:val="PargrafodaLista"/>
        <w:spacing w:after="0" w:line="240" w:lineRule="auto"/>
        <w:ind w:left="0"/>
        <w:rPr>
          <w:rFonts w:ascii="Arial" w:hAnsi="Arial" w:cs="Arial"/>
          <w:sz w:val="24"/>
          <w:szCs w:val="24"/>
          <w:vertAlign w:val="baseline"/>
          <w:lang w:val="en-US"/>
        </w:rPr>
      </w:pPr>
    </w:p>
    <w:p w:rsidR="0042606F" w:rsidRPr="005F5BC9" w:rsidRDefault="0042606F" w:rsidP="00C749B6">
      <w:pPr>
        <w:pStyle w:val="PargrafodaLista"/>
        <w:spacing w:after="0" w:line="240" w:lineRule="auto"/>
        <w:ind w:left="0"/>
        <w:rPr>
          <w:rFonts w:ascii="Arial" w:hAnsi="Arial" w:cs="Arial"/>
          <w:sz w:val="24"/>
          <w:szCs w:val="24"/>
          <w:vertAlign w:val="baseline"/>
          <w:lang w:val="en-US"/>
        </w:rPr>
      </w:pPr>
      <w:r w:rsidRPr="005F5BC9">
        <w:rPr>
          <w:rFonts w:ascii="Arial" w:hAnsi="Arial" w:cs="Arial"/>
          <w:sz w:val="24"/>
          <w:szCs w:val="24"/>
          <w:vertAlign w:val="baseline"/>
          <w:lang w:val="en-US"/>
        </w:rPr>
        <w:t xml:space="preserve">Stine, W.F. 1994. Is local government revenue response to federal aid symmetrical? </w:t>
      </w:r>
      <w:proofErr w:type="gramStart"/>
      <w:r w:rsidRPr="005F5BC9">
        <w:rPr>
          <w:rFonts w:ascii="Arial" w:hAnsi="Arial" w:cs="Arial"/>
          <w:sz w:val="24"/>
          <w:szCs w:val="24"/>
          <w:vertAlign w:val="baseline"/>
          <w:lang w:val="en-US"/>
        </w:rPr>
        <w:t xml:space="preserve">Evidence from Pennsylvania county governments in an era of retrenchment, </w:t>
      </w:r>
      <w:r w:rsidRPr="005F5BC9">
        <w:rPr>
          <w:rFonts w:ascii="Arial" w:hAnsi="Arial" w:cs="Arial"/>
          <w:i/>
          <w:sz w:val="24"/>
          <w:szCs w:val="24"/>
          <w:vertAlign w:val="baseline"/>
          <w:lang w:val="en-US"/>
        </w:rPr>
        <w:t>National Tax Journal</w:t>
      </w:r>
      <w:r w:rsidRPr="005F5BC9">
        <w:rPr>
          <w:rFonts w:ascii="Arial" w:hAnsi="Arial" w:cs="Arial"/>
          <w:sz w:val="24"/>
          <w:szCs w:val="24"/>
          <w:vertAlign w:val="baseline"/>
          <w:lang w:val="en-US"/>
        </w:rPr>
        <w:t>, 47(4), 799-817.</w:t>
      </w:r>
      <w:proofErr w:type="gramEnd"/>
    </w:p>
    <w:p w:rsidR="00C749B6" w:rsidRPr="005F5BC9" w:rsidRDefault="00C749B6" w:rsidP="009537EE">
      <w:pPr>
        <w:pStyle w:val="PargrafodaLista"/>
        <w:spacing w:after="0" w:line="240" w:lineRule="auto"/>
        <w:ind w:left="0"/>
        <w:rPr>
          <w:rFonts w:ascii="Arial" w:hAnsi="Arial" w:cs="Arial"/>
          <w:sz w:val="24"/>
          <w:szCs w:val="24"/>
          <w:vertAlign w:val="baseline"/>
          <w:lang w:val="en-US"/>
        </w:rPr>
      </w:pPr>
    </w:p>
    <w:p w:rsidR="0096154B" w:rsidRPr="005F5BC9" w:rsidRDefault="0096154B" w:rsidP="0096154B">
      <w:pPr>
        <w:pStyle w:val="PargrafodaLista"/>
        <w:spacing w:after="0" w:line="240" w:lineRule="auto"/>
        <w:rPr>
          <w:rFonts w:ascii="Arial" w:hAnsi="Arial" w:cs="Arial"/>
          <w:sz w:val="24"/>
          <w:szCs w:val="24"/>
          <w:vertAlign w:val="baseline"/>
          <w:lang w:val="en-US"/>
        </w:rPr>
      </w:pPr>
    </w:p>
    <w:p w:rsidR="0096154B" w:rsidRPr="005F5BC9" w:rsidRDefault="0096154B" w:rsidP="0096154B">
      <w:pPr>
        <w:pStyle w:val="PargrafodaLista"/>
        <w:spacing w:after="0" w:line="240" w:lineRule="auto"/>
        <w:rPr>
          <w:rFonts w:ascii="Arial" w:hAnsi="Arial" w:cs="Arial"/>
          <w:b/>
          <w:sz w:val="24"/>
          <w:szCs w:val="24"/>
          <w:vertAlign w:val="baseline"/>
          <w:lang w:val="en-US"/>
        </w:rPr>
      </w:pPr>
    </w:p>
    <w:p w:rsidR="00AE2026" w:rsidRPr="005F5BC9" w:rsidRDefault="00AE2026" w:rsidP="00291764">
      <w:pPr>
        <w:spacing w:after="0" w:line="240" w:lineRule="auto"/>
        <w:rPr>
          <w:rFonts w:ascii="Arial" w:hAnsi="Arial" w:cs="Arial"/>
          <w:sz w:val="24"/>
          <w:szCs w:val="24"/>
          <w:vertAlign w:val="baseline"/>
          <w:lang w:val="en-US"/>
        </w:rPr>
      </w:pPr>
    </w:p>
    <w:p w:rsidR="00AE2026" w:rsidRPr="005F5BC9" w:rsidRDefault="00AE2026" w:rsidP="00291764">
      <w:pPr>
        <w:spacing w:after="0" w:line="240" w:lineRule="auto"/>
        <w:rPr>
          <w:rFonts w:ascii="Arial" w:hAnsi="Arial" w:cs="Arial"/>
          <w:sz w:val="24"/>
          <w:szCs w:val="24"/>
          <w:vertAlign w:val="baseline"/>
          <w:lang w:val="en-US"/>
        </w:rPr>
      </w:pPr>
    </w:p>
    <w:p w:rsidR="00AE2026" w:rsidRPr="005F5BC9" w:rsidRDefault="00AE2026" w:rsidP="00291764">
      <w:pPr>
        <w:spacing w:after="0" w:line="240" w:lineRule="auto"/>
        <w:rPr>
          <w:rFonts w:ascii="Arial" w:hAnsi="Arial" w:cs="Arial"/>
          <w:sz w:val="24"/>
          <w:szCs w:val="24"/>
          <w:vertAlign w:val="baseline"/>
          <w:lang w:val="en-US"/>
        </w:rPr>
      </w:pPr>
    </w:p>
    <w:p w:rsidR="00220A62" w:rsidRPr="005F5BC9" w:rsidRDefault="00220A62" w:rsidP="00291764">
      <w:pPr>
        <w:spacing w:after="0" w:line="240" w:lineRule="auto"/>
        <w:rPr>
          <w:rFonts w:ascii="Arial" w:hAnsi="Arial" w:cs="Arial"/>
          <w:sz w:val="24"/>
          <w:szCs w:val="24"/>
          <w:vertAlign w:val="baseline"/>
          <w:lang w:val="en-US"/>
        </w:rPr>
      </w:pPr>
    </w:p>
    <w:p w:rsidR="00E54602" w:rsidRPr="005F5BC9" w:rsidRDefault="00E54602" w:rsidP="00291764">
      <w:pPr>
        <w:spacing w:after="0" w:line="240" w:lineRule="auto"/>
        <w:rPr>
          <w:rFonts w:ascii="Arial" w:hAnsi="Arial" w:cs="Arial"/>
          <w:sz w:val="24"/>
          <w:szCs w:val="24"/>
          <w:vertAlign w:val="baseline"/>
          <w:lang w:val="en-US"/>
        </w:rPr>
      </w:pPr>
    </w:p>
    <w:sectPr w:rsidR="00E54602" w:rsidRPr="005F5BC9" w:rsidSect="00B7200A">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A36" w:rsidRDefault="00DD3A36" w:rsidP="003E6AD7">
      <w:pPr>
        <w:spacing w:after="0" w:line="240" w:lineRule="auto"/>
      </w:pPr>
      <w:r>
        <w:separator/>
      </w:r>
    </w:p>
  </w:endnote>
  <w:endnote w:type="continuationSeparator" w:id="0">
    <w:p w:rsidR="00DD3A36" w:rsidRDefault="00DD3A36" w:rsidP="003E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A36" w:rsidRDefault="00DD3A36" w:rsidP="003E6AD7">
      <w:pPr>
        <w:spacing w:after="0" w:line="240" w:lineRule="auto"/>
      </w:pPr>
      <w:r>
        <w:separator/>
      </w:r>
    </w:p>
  </w:footnote>
  <w:footnote w:type="continuationSeparator" w:id="0">
    <w:p w:rsidR="00DD3A36" w:rsidRDefault="00DD3A36" w:rsidP="003E6AD7">
      <w:pPr>
        <w:spacing w:after="0" w:line="240" w:lineRule="auto"/>
      </w:pPr>
      <w:r>
        <w:continuationSeparator/>
      </w:r>
    </w:p>
  </w:footnote>
  <w:footnote w:id="1">
    <w:p w:rsidR="001B6D15" w:rsidRPr="003637A6" w:rsidRDefault="001B6D15" w:rsidP="003637A6">
      <w:pPr>
        <w:spacing w:after="0" w:line="240" w:lineRule="auto"/>
        <w:ind w:firstLine="360"/>
        <w:rPr>
          <w:vertAlign w:val="baseline"/>
        </w:rPr>
      </w:pPr>
      <w:r>
        <w:rPr>
          <w:rStyle w:val="Refdenotaderodap"/>
        </w:rPr>
        <w:footnoteRef/>
      </w:r>
      <w:r w:rsidRPr="003637A6">
        <w:rPr>
          <w:vertAlign w:val="baseline"/>
        </w:rPr>
        <w:t>Esses re</w:t>
      </w:r>
      <w:r>
        <w:rPr>
          <w:vertAlign w:val="baseline"/>
        </w:rPr>
        <w:t>sultados foram confirmados para</w:t>
      </w:r>
      <w:r w:rsidRPr="003637A6">
        <w:rPr>
          <w:vertAlign w:val="baseline"/>
        </w:rPr>
        <w:t xml:space="preserve"> os distritos escolares no Oregon em 1971</w:t>
      </w:r>
      <w:r>
        <w:rPr>
          <w:vertAlign w:val="baseline"/>
        </w:rPr>
        <w:t xml:space="preserve"> por </w:t>
      </w:r>
      <w:proofErr w:type="spellStart"/>
      <w:r w:rsidRPr="003637A6">
        <w:rPr>
          <w:vertAlign w:val="baseline"/>
        </w:rPr>
        <w:t>Filmon</w:t>
      </w:r>
      <w:proofErr w:type="spellEnd"/>
      <w:r w:rsidRPr="003637A6">
        <w:rPr>
          <w:vertAlign w:val="baseline"/>
        </w:rPr>
        <w:t xml:space="preserve">, </w:t>
      </w:r>
      <w:proofErr w:type="spellStart"/>
      <w:r w:rsidRPr="003637A6">
        <w:rPr>
          <w:vertAlign w:val="baseline"/>
        </w:rPr>
        <w:t>Romer</w:t>
      </w:r>
      <w:proofErr w:type="spellEnd"/>
      <w:r w:rsidRPr="003637A6">
        <w:rPr>
          <w:vertAlign w:val="baseline"/>
        </w:rPr>
        <w:t xml:space="preserve"> e Rosenthal (1982</w:t>
      </w:r>
      <w:r>
        <w:rPr>
          <w:vertAlign w:val="baseline"/>
        </w:rPr>
        <w:t>) e para</w:t>
      </w:r>
      <w:r w:rsidRPr="003637A6">
        <w:rPr>
          <w:vertAlign w:val="baseline"/>
        </w:rPr>
        <w:t xml:space="preserve"> os distritos escolares em Nova Iorque em 1991</w:t>
      </w:r>
      <w:r>
        <w:rPr>
          <w:vertAlign w:val="baseline"/>
        </w:rPr>
        <w:t xml:space="preserve"> por </w:t>
      </w:r>
      <w:proofErr w:type="spellStart"/>
      <w:r>
        <w:rPr>
          <w:vertAlign w:val="baseline"/>
        </w:rPr>
        <w:t>Duncombe</w:t>
      </w:r>
      <w:proofErr w:type="spellEnd"/>
      <w:r>
        <w:rPr>
          <w:vertAlign w:val="baseline"/>
        </w:rPr>
        <w:t xml:space="preserve"> e </w:t>
      </w:r>
      <w:proofErr w:type="spellStart"/>
      <w:r>
        <w:rPr>
          <w:vertAlign w:val="baseline"/>
        </w:rPr>
        <w:t>Yinger</w:t>
      </w:r>
      <w:proofErr w:type="spellEnd"/>
      <w:r>
        <w:rPr>
          <w:vertAlign w:val="baseline"/>
        </w:rPr>
        <w:t xml:space="preserve"> (1998).</w:t>
      </w:r>
    </w:p>
    <w:p w:rsidR="001B6D15" w:rsidRDefault="001B6D15">
      <w:pPr>
        <w:pStyle w:val="Textodenotaderodap"/>
      </w:pPr>
    </w:p>
  </w:footnote>
  <w:footnote w:id="2">
    <w:p w:rsidR="001B6D15" w:rsidRDefault="001B6D15" w:rsidP="00641306">
      <w:pPr>
        <w:pStyle w:val="Textodenotaderodap"/>
        <w:jc w:val="both"/>
      </w:pPr>
      <w:r>
        <w:rPr>
          <w:rStyle w:val="Refdenotaderodap"/>
        </w:rPr>
        <w:footnoteRef/>
      </w:r>
      <w:r>
        <w:t xml:space="preserve"> Resultado da evidência empírica que mostra uma resposta maior do gasto a um aumento das transferências </w:t>
      </w:r>
      <w:proofErr w:type="spellStart"/>
      <w:r w:rsidRPr="00641306">
        <w:rPr>
          <w:i/>
        </w:rPr>
        <w:t>lump</w:t>
      </w:r>
      <w:proofErr w:type="spellEnd"/>
      <w:r w:rsidRPr="00641306">
        <w:rPr>
          <w:i/>
        </w:rPr>
        <w:t>-sum</w:t>
      </w:r>
      <w:r>
        <w:t xml:space="preserve"> para os governos subnacionais do que um aumento da renda privada local (</w:t>
      </w:r>
      <w:proofErr w:type="spellStart"/>
      <w:r>
        <w:t>Gramlich</w:t>
      </w:r>
      <w:proofErr w:type="spellEnd"/>
      <w:r>
        <w:t xml:space="preserve"> (1977)).</w:t>
      </w:r>
    </w:p>
  </w:footnote>
  <w:footnote w:id="3">
    <w:p w:rsidR="001B6D15" w:rsidRDefault="001B6D15">
      <w:pPr>
        <w:pStyle w:val="Textodenotaderodap"/>
      </w:pPr>
      <w:r>
        <w:rPr>
          <w:rStyle w:val="Refdenotaderodap"/>
        </w:rPr>
        <w:footnoteRef/>
      </w:r>
      <w:r>
        <w:t xml:space="preserve"> Para identificar o impacto do programa </w:t>
      </w:r>
      <w:proofErr w:type="spellStart"/>
      <w:r>
        <w:t>Title</w:t>
      </w:r>
      <w:proofErr w:type="spellEnd"/>
      <w:r>
        <w:t xml:space="preserve"> I (separar o efeito do Programa e o efeito da pobreza) são utilizadas as mudanças bruscas que ocorrem nas quantidades transferidas por aluno nas datas em torno da divulgação dos dados censitários decenais. </w:t>
      </w:r>
    </w:p>
  </w:footnote>
  <w:footnote w:id="4">
    <w:p w:rsidR="001B6D15" w:rsidRDefault="001B6D15" w:rsidP="00641306">
      <w:pPr>
        <w:pStyle w:val="Textodenotaderodap"/>
        <w:jc w:val="both"/>
      </w:pPr>
      <w:r>
        <w:rPr>
          <w:rStyle w:val="Refdenotaderodap"/>
        </w:rPr>
        <w:footnoteRef/>
      </w:r>
      <w:r>
        <w:t xml:space="preserve"> A motivação veio da literatura empírica relacionada a generalizações do </w:t>
      </w:r>
      <w:proofErr w:type="spellStart"/>
      <w:r>
        <w:t>efeito</w:t>
      </w:r>
      <w:r w:rsidRPr="00641306">
        <w:rPr>
          <w:i/>
        </w:rPr>
        <w:t>flypaper</w:t>
      </w:r>
      <w:proofErr w:type="spellEnd"/>
      <w:r>
        <w:t xml:space="preserve"> de forma a incluir assimetria na resposta às transferências intergovernamentais. O gasto local responderia amplamente a aumentos nas transferências, mas seria relativamente insensível a reduções nas transferências (</w:t>
      </w:r>
      <w:proofErr w:type="spellStart"/>
      <w:r>
        <w:t>Stine</w:t>
      </w:r>
      <w:proofErr w:type="spellEnd"/>
      <w:r>
        <w:t xml:space="preserve"> (1994); </w:t>
      </w:r>
      <w:proofErr w:type="spellStart"/>
      <w:r>
        <w:t>Gramkhar</w:t>
      </w:r>
      <w:proofErr w:type="spellEnd"/>
      <w:r>
        <w:t xml:space="preserve"> e </w:t>
      </w:r>
      <w:proofErr w:type="spellStart"/>
      <w:r>
        <w:t>Oates</w:t>
      </w:r>
      <w:proofErr w:type="spellEnd"/>
      <w:r>
        <w:t xml:space="preserve"> (1996)).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A10D9"/>
    <w:multiLevelType w:val="multilevel"/>
    <w:tmpl w:val="20D6F676"/>
    <w:lvl w:ilvl="0">
      <w:start w:val="5"/>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
    <w:nsid w:val="374D30E4"/>
    <w:multiLevelType w:val="hybridMultilevel"/>
    <w:tmpl w:val="C87CF5C6"/>
    <w:lvl w:ilvl="0" w:tplc="FC9A36B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3F6E1CA1"/>
    <w:multiLevelType w:val="hybridMultilevel"/>
    <w:tmpl w:val="4CA0F4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6433299"/>
    <w:multiLevelType w:val="multilevel"/>
    <w:tmpl w:val="93A48E1E"/>
    <w:lvl w:ilvl="0">
      <w:start w:val="5"/>
      <w:numFmt w:val="decimal"/>
      <w:lvlText w:val="%1."/>
      <w:lvlJc w:val="left"/>
      <w:pPr>
        <w:ind w:left="390" w:hanging="390"/>
      </w:pPr>
      <w:rPr>
        <w:rFonts w:hint="default"/>
      </w:rPr>
    </w:lvl>
    <w:lvl w:ilvl="1">
      <w:start w:val="2"/>
      <w:numFmt w:val="decimal"/>
      <w:lvlText w:val="%1.%2."/>
      <w:lvlJc w:val="left"/>
      <w:pPr>
        <w:ind w:left="1140" w:hanging="720"/>
      </w:pPr>
      <w:rPr>
        <w:rFonts w:hint="default"/>
      </w:rPr>
    </w:lvl>
    <w:lvl w:ilvl="2">
      <w:start w:val="1"/>
      <w:numFmt w:val="upperLetter"/>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nsid w:val="476F32B2"/>
    <w:multiLevelType w:val="multilevel"/>
    <w:tmpl w:val="56543DAC"/>
    <w:lvl w:ilvl="0">
      <w:start w:val="3"/>
      <w:numFmt w:val="decimal"/>
      <w:lvlText w:val="%1."/>
      <w:lvlJc w:val="left"/>
      <w:pPr>
        <w:ind w:left="7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5">
    <w:nsid w:val="51514DF8"/>
    <w:multiLevelType w:val="multilevel"/>
    <w:tmpl w:val="56543DAC"/>
    <w:lvl w:ilvl="0">
      <w:start w:val="3"/>
      <w:numFmt w:val="decimal"/>
      <w:lvlText w:val="%1."/>
      <w:lvlJc w:val="left"/>
      <w:pPr>
        <w:ind w:left="7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6">
    <w:nsid w:val="5F68547A"/>
    <w:multiLevelType w:val="multilevel"/>
    <w:tmpl w:val="0CDA49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F7974D7"/>
    <w:multiLevelType w:val="multilevel"/>
    <w:tmpl w:val="9B92CB16"/>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769219D3"/>
    <w:multiLevelType w:val="hybridMultilevel"/>
    <w:tmpl w:val="861A0C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8"/>
  </w:num>
  <w:num w:numId="5">
    <w:abstractNumId w:val="5"/>
  </w:num>
  <w:num w:numId="6">
    <w:abstractNumId w:val="4"/>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AD7"/>
    <w:rsid w:val="000002EF"/>
    <w:rsid w:val="00006FEC"/>
    <w:rsid w:val="000137BA"/>
    <w:rsid w:val="00017FD0"/>
    <w:rsid w:val="00022B78"/>
    <w:rsid w:val="00034CBC"/>
    <w:rsid w:val="00041F15"/>
    <w:rsid w:val="000441E9"/>
    <w:rsid w:val="0004711B"/>
    <w:rsid w:val="00047661"/>
    <w:rsid w:val="00047E3E"/>
    <w:rsid w:val="00051B29"/>
    <w:rsid w:val="0005299E"/>
    <w:rsid w:val="000967DD"/>
    <w:rsid w:val="000C0196"/>
    <w:rsid w:val="000E0C6F"/>
    <w:rsid w:val="000F565A"/>
    <w:rsid w:val="001245A4"/>
    <w:rsid w:val="001251B4"/>
    <w:rsid w:val="0013716B"/>
    <w:rsid w:val="00150A0E"/>
    <w:rsid w:val="001A3D3D"/>
    <w:rsid w:val="001B1E4D"/>
    <w:rsid w:val="001B6D15"/>
    <w:rsid w:val="001D6770"/>
    <w:rsid w:val="001F15DC"/>
    <w:rsid w:val="00200B1A"/>
    <w:rsid w:val="00210287"/>
    <w:rsid w:val="00220A62"/>
    <w:rsid w:val="00230158"/>
    <w:rsid w:val="00241F56"/>
    <w:rsid w:val="00243B2D"/>
    <w:rsid w:val="00256E3C"/>
    <w:rsid w:val="00261292"/>
    <w:rsid w:val="002724CF"/>
    <w:rsid w:val="00277EB0"/>
    <w:rsid w:val="0028435A"/>
    <w:rsid w:val="00285D69"/>
    <w:rsid w:val="00287F7B"/>
    <w:rsid w:val="00291764"/>
    <w:rsid w:val="002A678E"/>
    <w:rsid w:val="002C4047"/>
    <w:rsid w:val="002D28D8"/>
    <w:rsid w:val="002E4062"/>
    <w:rsid w:val="00306944"/>
    <w:rsid w:val="00315CB4"/>
    <w:rsid w:val="0032197D"/>
    <w:rsid w:val="00322509"/>
    <w:rsid w:val="00352E47"/>
    <w:rsid w:val="0035317B"/>
    <w:rsid w:val="003637A6"/>
    <w:rsid w:val="003A22A6"/>
    <w:rsid w:val="003C05A8"/>
    <w:rsid w:val="003C42AF"/>
    <w:rsid w:val="003E002B"/>
    <w:rsid w:val="003E6AD7"/>
    <w:rsid w:val="003F0068"/>
    <w:rsid w:val="0042606F"/>
    <w:rsid w:val="00436FE4"/>
    <w:rsid w:val="0044544D"/>
    <w:rsid w:val="00451C55"/>
    <w:rsid w:val="004B2B33"/>
    <w:rsid w:val="004D5AC1"/>
    <w:rsid w:val="00524516"/>
    <w:rsid w:val="0052497A"/>
    <w:rsid w:val="005273B3"/>
    <w:rsid w:val="005333F2"/>
    <w:rsid w:val="00570A72"/>
    <w:rsid w:val="005A06FF"/>
    <w:rsid w:val="005A644D"/>
    <w:rsid w:val="005B505A"/>
    <w:rsid w:val="005E685B"/>
    <w:rsid w:val="005F5BC9"/>
    <w:rsid w:val="00611BCF"/>
    <w:rsid w:val="006377E9"/>
    <w:rsid w:val="00641306"/>
    <w:rsid w:val="00661D9E"/>
    <w:rsid w:val="0069403F"/>
    <w:rsid w:val="006D4374"/>
    <w:rsid w:val="006F3A05"/>
    <w:rsid w:val="007008D4"/>
    <w:rsid w:val="00742788"/>
    <w:rsid w:val="00743C69"/>
    <w:rsid w:val="00747432"/>
    <w:rsid w:val="0075104D"/>
    <w:rsid w:val="00752BB6"/>
    <w:rsid w:val="0075582A"/>
    <w:rsid w:val="00755A8C"/>
    <w:rsid w:val="00764AEC"/>
    <w:rsid w:val="00780252"/>
    <w:rsid w:val="007B4172"/>
    <w:rsid w:val="007F6F0E"/>
    <w:rsid w:val="008017DF"/>
    <w:rsid w:val="00851062"/>
    <w:rsid w:val="0088565A"/>
    <w:rsid w:val="00886A50"/>
    <w:rsid w:val="008945C2"/>
    <w:rsid w:val="008B7741"/>
    <w:rsid w:val="008C7930"/>
    <w:rsid w:val="008C7E98"/>
    <w:rsid w:val="008F0F88"/>
    <w:rsid w:val="00916966"/>
    <w:rsid w:val="00943867"/>
    <w:rsid w:val="009531DC"/>
    <w:rsid w:val="009537EE"/>
    <w:rsid w:val="0096154B"/>
    <w:rsid w:val="009630B7"/>
    <w:rsid w:val="00976A6C"/>
    <w:rsid w:val="00993E7A"/>
    <w:rsid w:val="009A0A79"/>
    <w:rsid w:val="009B3618"/>
    <w:rsid w:val="009D67A4"/>
    <w:rsid w:val="009E6920"/>
    <w:rsid w:val="00A415C1"/>
    <w:rsid w:val="00A4480D"/>
    <w:rsid w:val="00A44B63"/>
    <w:rsid w:val="00A578A2"/>
    <w:rsid w:val="00A63287"/>
    <w:rsid w:val="00A85EAF"/>
    <w:rsid w:val="00AB1F06"/>
    <w:rsid w:val="00AC0549"/>
    <w:rsid w:val="00AD4439"/>
    <w:rsid w:val="00AE17C0"/>
    <w:rsid w:val="00AE2026"/>
    <w:rsid w:val="00AE5340"/>
    <w:rsid w:val="00AF134C"/>
    <w:rsid w:val="00AF62B6"/>
    <w:rsid w:val="00B10133"/>
    <w:rsid w:val="00B2089F"/>
    <w:rsid w:val="00B25CED"/>
    <w:rsid w:val="00B509E8"/>
    <w:rsid w:val="00B563DF"/>
    <w:rsid w:val="00B60E88"/>
    <w:rsid w:val="00B6114D"/>
    <w:rsid w:val="00B7200A"/>
    <w:rsid w:val="00B7505E"/>
    <w:rsid w:val="00B7711D"/>
    <w:rsid w:val="00B83488"/>
    <w:rsid w:val="00B94CA0"/>
    <w:rsid w:val="00BA0650"/>
    <w:rsid w:val="00BA4308"/>
    <w:rsid w:val="00BC1003"/>
    <w:rsid w:val="00BE218B"/>
    <w:rsid w:val="00BF74E7"/>
    <w:rsid w:val="00BF76F8"/>
    <w:rsid w:val="00C12E46"/>
    <w:rsid w:val="00C250CF"/>
    <w:rsid w:val="00C32353"/>
    <w:rsid w:val="00C325A7"/>
    <w:rsid w:val="00C35196"/>
    <w:rsid w:val="00C43DEC"/>
    <w:rsid w:val="00C569B6"/>
    <w:rsid w:val="00C744C7"/>
    <w:rsid w:val="00C749B6"/>
    <w:rsid w:val="00CB4A78"/>
    <w:rsid w:val="00D26AFC"/>
    <w:rsid w:val="00D52807"/>
    <w:rsid w:val="00DA094A"/>
    <w:rsid w:val="00DB0640"/>
    <w:rsid w:val="00DB78EB"/>
    <w:rsid w:val="00DD1D20"/>
    <w:rsid w:val="00DD3A36"/>
    <w:rsid w:val="00DE55A0"/>
    <w:rsid w:val="00E07C9F"/>
    <w:rsid w:val="00E20D59"/>
    <w:rsid w:val="00E21DAC"/>
    <w:rsid w:val="00E32FBC"/>
    <w:rsid w:val="00E34615"/>
    <w:rsid w:val="00E402B1"/>
    <w:rsid w:val="00E46160"/>
    <w:rsid w:val="00E507F0"/>
    <w:rsid w:val="00E54602"/>
    <w:rsid w:val="00E7031E"/>
    <w:rsid w:val="00E748DA"/>
    <w:rsid w:val="00E8539B"/>
    <w:rsid w:val="00E86254"/>
    <w:rsid w:val="00E87F9E"/>
    <w:rsid w:val="00E959C8"/>
    <w:rsid w:val="00EB04EF"/>
    <w:rsid w:val="00EC04A6"/>
    <w:rsid w:val="00EC0EDF"/>
    <w:rsid w:val="00EC21BA"/>
    <w:rsid w:val="00EC297C"/>
    <w:rsid w:val="00EC49ED"/>
    <w:rsid w:val="00ED12BD"/>
    <w:rsid w:val="00EE2C2E"/>
    <w:rsid w:val="00EF2AE1"/>
    <w:rsid w:val="00EF7CF3"/>
    <w:rsid w:val="00F11FAA"/>
    <w:rsid w:val="00F153A0"/>
    <w:rsid w:val="00F779E4"/>
    <w:rsid w:val="00F80365"/>
    <w:rsid w:val="00F84486"/>
    <w:rsid w:val="00FC6A00"/>
    <w:rsid w:val="00FD1E7F"/>
    <w:rsid w:val="00FE338F"/>
    <w:rsid w:val="00FE660C"/>
    <w:rsid w:val="00FF0BD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AD7"/>
    <w:pPr>
      <w:jc w:val="both"/>
    </w:pPr>
    <w:rPr>
      <w:rFonts w:ascii="Times New Roman" w:eastAsia="Calibri" w:hAnsi="Times New Roman" w:cs="Times New Roman"/>
      <w:sz w:val="20"/>
      <w:szCs w:val="20"/>
      <w:vertAlign w:val="superscript"/>
    </w:rPr>
  </w:style>
  <w:style w:type="paragraph" w:styleId="Ttulo1">
    <w:name w:val="heading 1"/>
    <w:basedOn w:val="Normal"/>
    <w:next w:val="Normal"/>
    <w:link w:val="Ttulo1Char"/>
    <w:qFormat/>
    <w:rsid w:val="00AE2026"/>
    <w:pPr>
      <w:keepNext/>
      <w:numPr>
        <w:numId w:val="1"/>
      </w:numPr>
      <w:spacing w:before="240" w:after="60" w:line="240" w:lineRule="auto"/>
      <w:jc w:val="left"/>
      <w:outlineLvl w:val="0"/>
    </w:pPr>
    <w:rPr>
      <w:rFonts w:ascii="Arial" w:eastAsia="Times New Roman" w:hAnsi="Arial" w:cs="Arial"/>
      <w:b/>
      <w:bCs/>
      <w:kern w:val="32"/>
      <w:sz w:val="32"/>
      <w:szCs w:val="32"/>
      <w:vertAlign w:val="baseline"/>
      <w:lang w:val="pt-PT"/>
    </w:rPr>
  </w:style>
  <w:style w:type="paragraph" w:styleId="Ttulo2">
    <w:name w:val="heading 2"/>
    <w:basedOn w:val="Normal"/>
    <w:next w:val="Normal"/>
    <w:link w:val="Ttulo2Char"/>
    <w:qFormat/>
    <w:rsid w:val="00AE2026"/>
    <w:pPr>
      <w:keepNext/>
      <w:numPr>
        <w:ilvl w:val="1"/>
        <w:numId w:val="1"/>
      </w:numPr>
      <w:spacing w:before="240" w:after="60" w:line="240" w:lineRule="auto"/>
      <w:jc w:val="left"/>
      <w:outlineLvl w:val="1"/>
    </w:pPr>
    <w:rPr>
      <w:rFonts w:ascii="Arial" w:eastAsia="Times New Roman" w:hAnsi="Arial" w:cs="Arial"/>
      <w:b/>
      <w:bCs/>
      <w:i/>
      <w:iCs/>
      <w:sz w:val="28"/>
      <w:szCs w:val="28"/>
      <w:vertAlign w:val="baseline"/>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E2026"/>
    <w:rPr>
      <w:rFonts w:ascii="Arial" w:eastAsia="Times New Roman" w:hAnsi="Arial" w:cs="Arial"/>
      <w:b/>
      <w:bCs/>
      <w:kern w:val="32"/>
      <w:sz w:val="32"/>
      <w:szCs w:val="32"/>
      <w:lang w:val="pt-PT"/>
    </w:rPr>
  </w:style>
  <w:style w:type="character" w:customStyle="1" w:styleId="Ttulo2Char">
    <w:name w:val="Título 2 Char"/>
    <w:basedOn w:val="Fontepargpadro"/>
    <w:link w:val="Ttulo2"/>
    <w:rsid w:val="00AE2026"/>
    <w:rPr>
      <w:rFonts w:ascii="Arial" w:eastAsia="Times New Roman" w:hAnsi="Arial" w:cs="Arial"/>
      <w:b/>
      <w:bCs/>
      <w:i/>
      <w:iCs/>
      <w:sz w:val="28"/>
      <w:szCs w:val="28"/>
      <w:lang w:val="pt-PT"/>
    </w:rPr>
  </w:style>
  <w:style w:type="paragraph" w:styleId="Textodenotaderodap">
    <w:name w:val="footnote text"/>
    <w:basedOn w:val="Normal"/>
    <w:link w:val="TextodenotaderodapChar"/>
    <w:rsid w:val="003E6AD7"/>
    <w:pPr>
      <w:spacing w:after="0" w:line="240" w:lineRule="auto"/>
      <w:jc w:val="left"/>
    </w:pPr>
    <w:rPr>
      <w:rFonts w:eastAsia="Times New Roman"/>
      <w:vertAlign w:val="baseline"/>
      <w:lang w:eastAsia="pt-BR"/>
    </w:rPr>
  </w:style>
  <w:style w:type="character" w:customStyle="1" w:styleId="TextodenotaderodapChar">
    <w:name w:val="Texto de nota de rodapé Char"/>
    <w:basedOn w:val="Fontepargpadro"/>
    <w:link w:val="Textodenotaderodap"/>
    <w:rsid w:val="003E6AD7"/>
    <w:rPr>
      <w:rFonts w:ascii="Times New Roman" w:eastAsia="Times New Roman" w:hAnsi="Times New Roman" w:cs="Times New Roman"/>
      <w:sz w:val="20"/>
      <w:szCs w:val="20"/>
      <w:lang w:eastAsia="pt-BR"/>
    </w:rPr>
  </w:style>
  <w:style w:type="character" w:styleId="Refdenotaderodap">
    <w:name w:val="footnote reference"/>
    <w:basedOn w:val="Fontepargpadro"/>
    <w:rsid w:val="003E6AD7"/>
    <w:rPr>
      <w:vertAlign w:val="superscript"/>
    </w:rPr>
  </w:style>
  <w:style w:type="character" w:styleId="Hyperlink">
    <w:name w:val="Hyperlink"/>
    <w:rsid w:val="003E6AD7"/>
    <w:rPr>
      <w:color w:val="0000FF"/>
      <w:u w:val="single"/>
    </w:rPr>
  </w:style>
  <w:style w:type="table" w:styleId="Tabelacomgrade">
    <w:name w:val="Table Grid"/>
    <w:basedOn w:val="Tabelanormal"/>
    <w:uiPriority w:val="59"/>
    <w:rsid w:val="003E6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1">
    <w:name w:val="Sombreamento Claro1"/>
    <w:basedOn w:val="Tabelanormal"/>
    <w:uiPriority w:val="60"/>
    <w:rsid w:val="003E6AD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balo">
    <w:name w:val="Balloon Text"/>
    <w:basedOn w:val="Normal"/>
    <w:link w:val="TextodebaloChar"/>
    <w:uiPriority w:val="99"/>
    <w:semiHidden/>
    <w:unhideWhenUsed/>
    <w:rsid w:val="00AE202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2026"/>
    <w:rPr>
      <w:rFonts w:ascii="Tahoma" w:eastAsia="Calibri" w:hAnsi="Tahoma" w:cs="Tahoma"/>
      <w:sz w:val="16"/>
      <w:szCs w:val="16"/>
      <w:vertAlign w:val="superscript"/>
    </w:rPr>
  </w:style>
  <w:style w:type="paragraph" w:styleId="PargrafodaLista">
    <w:name w:val="List Paragraph"/>
    <w:basedOn w:val="Normal"/>
    <w:uiPriority w:val="34"/>
    <w:qFormat/>
    <w:rsid w:val="0005299E"/>
    <w:pPr>
      <w:ind w:left="720"/>
      <w:contextualSpacing/>
    </w:pPr>
  </w:style>
  <w:style w:type="paragraph" w:styleId="Cabealho">
    <w:name w:val="header"/>
    <w:basedOn w:val="Normal"/>
    <w:link w:val="CabealhoChar"/>
    <w:uiPriority w:val="99"/>
    <w:semiHidden/>
    <w:unhideWhenUsed/>
    <w:rsid w:val="00886A50"/>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86A50"/>
    <w:rPr>
      <w:rFonts w:ascii="Times New Roman" w:eastAsia="Calibri" w:hAnsi="Times New Roman" w:cs="Times New Roman"/>
      <w:sz w:val="20"/>
      <w:szCs w:val="20"/>
      <w:vertAlign w:val="superscript"/>
    </w:rPr>
  </w:style>
  <w:style w:type="paragraph" w:styleId="Rodap">
    <w:name w:val="footer"/>
    <w:basedOn w:val="Normal"/>
    <w:link w:val="RodapChar"/>
    <w:uiPriority w:val="99"/>
    <w:semiHidden/>
    <w:unhideWhenUsed/>
    <w:rsid w:val="00886A50"/>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886A50"/>
    <w:rPr>
      <w:rFonts w:ascii="Times New Roman" w:eastAsia="Calibri" w:hAnsi="Times New Roman" w:cs="Times New Roman"/>
      <w:sz w:val="20"/>
      <w:szCs w:val="20"/>
      <w:vertAlign w:val="superscript"/>
    </w:rPr>
  </w:style>
  <w:style w:type="character" w:customStyle="1" w:styleId="hps">
    <w:name w:val="hps"/>
    <w:basedOn w:val="Fontepargpadro"/>
    <w:rsid w:val="005249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AD7"/>
    <w:pPr>
      <w:jc w:val="both"/>
    </w:pPr>
    <w:rPr>
      <w:rFonts w:ascii="Times New Roman" w:eastAsia="Calibri" w:hAnsi="Times New Roman" w:cs="Times New Roman"/>
      <w:sz w:val="20"/>
      <w:szCs w:val="20"/>
      <w:vertAlign w:val="superscript"/>
    </w:rPr>
  </w:style>
  <w:style w:type="paragraph" w:styleId="Ttulo1">
    <w:name w:val="heading 1"/>
    <w:basedOn w:val="Normal"/>
    <w:next w:val="Normal"/>
    <w:link w:val="Ttulo1Char"/>
    <w:qFormat/>
    <w:rsid w:val="00AE2026"/>
    <w:pPr>
      <w:keepNext/>
      <w:numPr>
        <w:numId w:val="1"/>
      </w:numPr>
      <w:spacing w:before="240" w:after="60" w:line="240" w:lineRule="auto"/>
      <w:jc w:val="left"/>
      <w:outlineLvl w:val="0"/>
    </w:pPr>
    <w:rPr>
      <w:rFonts w:ascii="Arial" w:eastAsia="Times New Roman" w:hAnsi="Arial" w:cs="Arial"/>
      <w:b/>
      <w:bCs/>
      <w:kern w:val="32"/>
      <w:sz w:val="32"/>
      <w:szCs w:val="32"/>
      <w:vertAlign w:val="baseline"/>
      <w:lang w:val="pt-PT"/>
    </w:rPr>
  </w:style>
  <w:style w:type="paragraph" w:styleId="Ttulo2">
    <w:name w:val="heading 2"/>
    <w:basedOn w:val="Normal"/>
    <w:next w:val="Normal"/>
    <w:link w:val="Ttulo2Char"/>
    <w:qFormat/>
    <w:rsid w:val="00AE2026"/>
    <w:pPr>
      <w:keepNext/>
      <w:numPr>
        <w:ilvl w:val="1"/>
        <w:numId w:val="1"/>
      </w:numPr>
      <w:spacing w:before="240" w:after="60" w:line="240" w:lineRule="auto"/>
      <w:jc w:val="left"/>
      <w:outlineLvl w:val="1"/>
    </w:pPr>
    <w:rPr>
      <w:rFonts w:ascii="Arial" w:eastAsia="Times New Roman" w:hAnsi="Arial" w:cs="Arial"/>
      <w:b/>
      <w:bCs/>
      <w:i/>
      <w:iCs/>
      <w:sz w:val="28"/>
      <w:szCs w:val="28"/>
      <w:vertAlign w:val="baseline"/>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E2026"/>
    <w:rPr>
      <w:rFonts w:ascii="Arial" w:eastAsia="Times New Roman" w:hAnsi="Arial" w:cs="Arial"/>
      <w:b/>
      <w:bCs/>
      <w:kern w:val="32"/>
      <w:sz w:val="32"/>
      <w:szCs w:val="32"/>
      <w:lang w:val="pt-PT"/>
    </w:rPr>
  </w:style>
  <w:style w:type="character" w:customStyle="1" w:styleId="Ttulo2Char">
    <w:name w:val="Título 2 Char"/>
    <w:basedOn w:val="Fontepargpadro"/>
    <w:link w:val="Ttulo2"/>
    <w:rsid w:val="00AE2026"/>
    <w:rPr>
      <w:rFonts w:ascii="Arial" w:eastAsia="Times New Roman" w:hAnsi="Arial" w:cs="Arial"/>
      <w:b/>
      <w:bCs/>
      <w:i/>
      <w:iCs/>
      <w:sz w:val="28"/>
      <w:szCs w:val="28"/>
      <w:lang w:val="pt-PT"/>
    </w:rPr>
  </w:style>
  <w:style w:type="paragraph" w:styleId="Textodenotaderodap">
    <w:name w:val="footnote text"/>
    <w:basedOn w:val="Normal"/>
    <w:link w:val="TextodenotaderodapChar"/>
    <w:rsid w:val="003E6AD7"/>
    <w:pPr>
      <w:spacing w:after="0" w:line="240" w:lineRule="auto"/>
      <w:jc w:val="left"/>
    </w:pPr>
    <w:rPr>
      <w:rFonts w:eastAsia="Times New Roman"/>
      <w:vertAlign w:val="baseline"/>
      <w:lang w:eastAsia="pt-BR"/>
    </w:rPr>
  </w:style>
  <w:style w:type="character" w:customStyle="1" w:styleId="TextodenotaderodapChar">
    <w:name w:val="Texto de nota de rodapé Char"/>
    <w:basedOn w:val="Fontepargpadro"/>
    <w:link w:val="Textodenotaderodap"/>
    <w:rsid w:val="003E6AD7"/>
    <w:rPr>
      <w:rFonts w:ascii="Times New Roman" w:eastAsia="Times New Roman" w:hAnsi="Times New Roman" w:cs="Times New Roman"/>
      <w:sz w:val="20"/>
      <w:szCs w:val="20"/>
      <w:lang w:eastAsia="pt-BR"/>
    </w:rPr>
  </w:style>
  <w:style w:type="character" w:styleId="Refdenotaderodap">
    <w:name w:val="footnote reference"/>
    <w:basedOn w:val="Fontepargpadro"/>
    <w:rsid w:val="003E6AD7"/>
    <w:rPr>
      <w:vertAlign w:val="superscript"/>
    </w:rPr>
  </w:style>
  <w:style w:type="character" w:styleId="Hyperlink">
    <w:name w:val="Hyperlink"/>
    <w:rsid w:val="003E6AD7"/>
    <w:rPr>
      <w:color w:val="0000FF"/>
      <w:u w:val="single"/>
    </w:rPr>
  </w:style>
  <w:style w:type="table" w:styleId="Tabelacomgrade">
    <w:name w:val="Table Grid"/>
    <w:basedOn w:val="Tabelanormal"/>
    <w:uiPriority w:val="59"/>
    <w:rsid w:val="003E6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1">
    <w:name w:val="Sombreamento Claro1"/>
    <w:basedOn w:val="Tabelanormal"/>
    <w:uiPriority w:val="60"/>
    <w:rsid w:val="003E6AD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balo">
    <w:name w:val="Balloon Text"/>
    <w:basedOn w:val="Normal"/>
    <w:link w:val="TextodebaloChar"/>
    <w:uiPriority w:val="99"/>
    <w:semiHidden/>
    <w:unhideWhenUsed/>
    <w:rsid w:val="00AE202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2026"/>
    <w:rPr>
      <w:rFonts w:ascii="Tahoma" w:eastAsia="Calibri" w:hAnsi="Tahoma" w:cs="Tahoma"/>
      <w:sz w:val="16"/>
      <w:szCs w:val="16"/>
      <w:vertAlign w:val="superscript"/>
    </w:rPr>
  </w:style>
  <w:style w:type="paragraph" w:styleId="PargrafodaLista">
    <w:name w:val="List Paragraph"/>
    <w:basedOn w:val="Normal"/>
    <w:uiPriority w:val="34"/>
    <w:qFormat/>
    <w:rsid w:val="0005299E"/>
    <w:pPr>
      <w:ind w:left="720"/>
      <w:contextualSpacing/>
    </w:pPr>
  </w:style>
  <w:style w:type="paragraph" w:styleId="Cabealho">
    <w:name w:val="header"/>
    <w:basedOn w:val="Normal"/>
    <w:link w:val="CabealhoChar"/>
    <w:uiPriority w:val="99"/>
    <w:semiHidden/>
    <w:unhideWhenUsed/>
    <w:rsid w:val="00886A50"/>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86A50"/>
    <w:rPr>
      <w:rFonts w:ascii="Times New Roman" w:eastAsia="Calibri" w:hAnsi="Times New Roman" w:cs="Times New Roman"/>
      <w:sz w:val="20"/>
      <w:szCs w:val="20"/>
      <w:vertAlign w:val="superscript"/>
    </w:rPr>
  </w:style>
  <w:style w:type="paragraph" w:styleId="Rodap">
    <w:name w:val="footer"/>
    <w:basedOn w:val="Normal"/>
    <w:link w:val="RodapChar"/>
    <w:uiPriority w:val="99"/>
    <w:semiHidden/>
    <w:unhideWhenUsed/>
    <w:rsid w:val="00886A50"/>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886A50"/>
    <w:rPr>
      <w:rFonts w:ascii="Times New Roman" w:eastAsia="Calibri" w:hAnsi="Times New Roman" w:cs="Times New Roman"/>
      <w:sz w:val="20"/>
      <w:szCs w:val="20"/>
      <w:vertAlign w:val="superscript"/>
    </w:rPr>
  </w:style>
  <w:style w:type="character" w:customStyle="1" w:styleId="hps">
    <w:name w:val="hps"/>
    <w:basedOn w:val="Fontepargpadro"/>
    <w:rsid w:val="00524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91039">
      <w:bodyDiv w:val="1"/>
      <w:marLeft w:val="0"/>
      <w:marRight w:val="0"/>
      <w:marTop w:val="0"/>
      <w:marBottom w:val="0"/>
      <w:divBdr>
        <w:top w:val="none" w:sz="0" w:space="0" w:color="auto"/>
        <w:left w:val="none" w:sz="0" w:space="0" w:color="auto"/>
        <w:bottom w:val="none" w:sz="0" w:space="0" w:color="auto"/>
        <w:right w:val="none" w:sz="0" w:space="0" w:color="auto"/>
      </w:divBdr>
    </w:div>
    <w:div w:id="271061369">
      <w:bodyDiv w:val="1"/>
      <w:marLeft w:val="0"/>
      <w:marRight w:val="0"/>
      <w:marTop w:val="0"/>
      <w:marBottom w:val="0"/>
      <w:divBdr>
        <w:top w:val="none" w:sz="0" w:space="0" w:color="auto"/>
        <w:left w:val="none" w:sz="0" w:space="0" w:color="auto"/>
        <w:bottom w:val="none" w:sz="0" w:space="0" w:color="auto"/>
        <w:right w:val="none" w:sz="0" w:space="0" w:color="auto"/>
      </w:divBdr>
    </w:div>
    <w:div w:id="311450296">
      <w:bodyDiv w:val="1"/>
      <w:marLeft w:val="0"/>
      <w:marRight w:val="0"/>
      <w:marTop w:val="0"/>
      <w:marBottom w:val="0"/>
      <w:divBdr>
        <w:top w:val="none" w:sz="0" w:space="0" w:color="auto"/>
        <w:left w:val="none" w:sz="0" w:space="0" w:color="auto"/>
        <w:bottom w:val="none" w:sz="0" w:space="0" w:color="auto"/>
        <w:right w:val="none" w:sz="0" w:space="0" w:color="auto"/>
      </w:divBdr>
    </w:div>
    <w:div w:id="384334601">
      <w:bodyDiv w:val="1"/>
      <w:marLeft w:val="0"/>
      <w:marRight w:val="0"/>
      <w:marTop w:val="0"/>
      <w:marBottom w:val="0"/>
      <w:divBdr>
        <w:top w:val="none" w:sz="0" w:space="0" w:color="auto"/>
        <w:left w:val="none" w:sz="0" w:space="0" w:color="auto"/>
        <w:bottom w:val="none" w:sz="0" w:space="0" w:color="auto"/>
        <w:right w:val="none" w:sz="0" w:space="0" w:color="auto"/>
      </w:divBdr>
    </w:div>
    <w:div w:id="494416214">
      <w:bodyDiv w:val="1"/>
      <w:marLeft w:val="0"/>
      <w:marRight w:val="0"/>
      <w:marTop w:val="0"/>
      <w:marBottom w:val="0"/>
      <w:divBdr>
        <w:top w:val="none" w:sz="0" w:space="0" w:color="auto"/>
        <w:left w:val="none" w:sz="0" w:space="0" w:color="auto"/>
        <w:bottom w:val="none" w:sz="0" w:space="0" w:color="auto"/>
        <w:right w:val="none" w:sz="0" w:space="0" w:color="auto"/>
      </w:divBdr>
    </w:div>
    <w:div w:id="520508548">
      <w:bodyDiv w:val="1"/>
      <w:marLeft w:val="0"/>
      <w:marRight w:val="0"/>
      <w:marTop w:val="0"/>
      <w:marBottom w:val="0"/>
      <w:divBdr>
        <w:top w:val="none" w:sz="0" w:space="0" w:color="auto"/>
        <w:left w:val="none" w:sz="0" w:space="0" w:color="auto"/>
        <w:bottom w:val="none" w:sz="0" w:space="0" w:color="auto"/>
        <w:right w:val="none" w:sz="0" w:space="0" w:color="auto"/>
      </w:divBdr>
    </w:div>
    <w:div w:id="653292032">
      <w:bodyDiv w:val="1"/>
      <w:marLeft w:val="0"/>
      <w:marRight w:val="0"/>
      <w:marTop w:val="0"/>
      <w:marBottom w:val="0"/>
      <w:divBdr>
        <w:top w:val="none" w:sz="0" w:space="0" w:color="auto"/>
        <w:left w:val="none" w:sz="0" w:space="0" w:color="auto"/>
        <w:bottom w:val="none" w:sz="0" w:space="0" w:color="auto"/>
        <w:right w:val="none" w:sz="0" w:space="0" w:color="auto"/>
      </w:divBdr>
    </w:div>
    <w:div w:id="671181260">
      <w:bodyDiv w:val="1"/>
      <w:marLeft w:val="0"/>
      <w:marRight w:val="0"/>
      <w:marTop w:val="0"/>
      <w:marBottom w:val="0"/>
      <w:divBdr>
        <w:top w:val="none" w:sz="0" w:space="0" w:color="auto"/>
        <w:left w:val="none" w:sz="0" w:space="0" w:color="auto"/>
        <w:bottom w:val="none" w:sz="0" w:space="0" w:color="auto"/>
        <w:right w:val="none" w:sz="0" w:space="0" w:color="auto"/>
      </w:divBdr>
    </w:div>
    <w:div w:id="695737805">
      <w:bodyDiv w:val="1"/>
      <w:marLeft w:val="0"/>
      <w:marRight w:val="0"/>
      <w:marTop w:val="0"/>
      <w:marBottom w:val="0"/>
      <w:divBdr>
        <w:top w:val="none" w:sz="0" w:space="0" w:color="auto"/>
        <w:left w:val="none" w:sz="0" w:space="0" w:color="auto"/>
        <w:bottom w:val="none" w:sz="0" w:space="0" w:color="auto"/>
        <w:right w:val="none" w:sz="0" w:space="0" w:color="auto"/>
      </w:divBdr>
    </w:div>
    <w:div w:id="815612813">
      <w:bodyDiv w:val="1"/>
      <w:marLeft w:val="0"/>
      <w:marRight w:val="0"/>
      <w:marTop w:val="0"/>
      <w:marBottom w:val="0"/>
      <w:divBdr>
        <w:top w:val="none" w:sz="0" w:space="0" w:color="auto"/>
        <w:left w:val="none" w:sz="0" w:space="0" w:color="auto"/>
        <w:bottom w:val="none" w:sz="0" w:space="0" w:color="auto"/>
        <w:right w:val="none" w:sz="0" w:space="0" w:color="auto"/>
      </w:divBdr>
    </w:div>
    <w:div w:id="1063411260">
      <w:bodyDiv w:val="1"/>
      <w:marLeft w:val="0"/>
      <w:marRight w:val="0"/>
      <w:marTop w:val="0"/>
      <w:marBottom w:val="0"/>
      <w:divBdr>
        <w:top w:val="none" w:sz="0" w:space="0" w:color="auto"/>
        <w:left w:val="none" w:sz="0" w:space="0" w:color="auto"/>
        <w:bottom w:val="none" w:sz="0" w:space="0" w:color="auto"/>
        <w:right w:val="none" w:sz="0" w:space="0" w:color="auto"/>
      </w:divBdr>
    </w:div>
    <w:div w:id="1166091425">
      <w:bodyDiv w:val="1"/>
      <w:marLeft w:val="0"/>
      <w:marRight w:val="0"/>
      <w:marTop w:val="0"/>
      <w:marBottom w:val="0"/>
      <w:divBdr>
        <w:top w:val="none" w:sz="0" w:space="0" w:color="auto"/>
        <w:left w:val="none" w:sz="0" w:space="0" w:color="auto"/>
        <w:bottom w:val="none" w:sz="0" w:space="0" w:color="auto"/>
        <w:right w:val="none" w:sz="0" w:space="0" w:color="auto"/>
      </w:divBdr>
    </w:div>
    <w:div w:id="1219901921">
      <w:bodyDiv w:val="1"/>
      <w:marLeft w:val="0"/>
      <w:marRight w:val="0"/>
      <w:marTop w:val="0"/>
      <w:marBottom w:val="0"/>
      <w:divBdr>
        <w:top w:val="none" w:sz="0" w:space="0" w:color="auto"/>
        <w:left w:val="none" w:sz="0" w:space="0" w:color="auto"/>
        <w:bottom w:val="none" w:sz="0" w:space="0" w:color="auto"/>
        <w:right w:val="none" w:sz="0" w:space="0" w:color="auto"/>
      </w:divBdr>
    </w:div>
    <w:div w:id="1225677381">
      <w:bodyDiv w:val="1"/>
      <w:marLeft w:val="0"/>
      <w:marRight w:val="0"/>
      <w:marTop w:val="0"/>
      <w:marBottom w:val="0"/>
      <w:divBdr>
        <w:top w:val="none" w:sz="0" w:space="0" w:color="auto"/>
        <w:left w:val="none" w:sz="0" w:space="0" w:color="auto"/>
        <w:bottom w:val="none" w:sz="0" w:space="0" w:color="auto"/>
        <w:right w:val="none" w:sz="0" w:space="0" w:color="auto"/>
      </w:divBdr>
    </w:div>
    <w:div w:id="1289120849">
      <w:bodyDiv w:val="1"/>
      <w:marLeft w:val="0"/>
      <w:marRight w:val="0"/>
      <w:marTop w:val="0"/>
      <w:marBottom w:val="0"/>
      <w:divBdr>
        <w:top w:val="none" w:sz="0" w:space="0" w:color="auto"/>
        <w:left w:val="none" w:sz="0" w:space="0" w:color="auto"/>
        <w:bottom w:val="none" w:sz="0" w:space="0" w:color="auto"/>
        <w:right w:val="none" w:sz="0" w:space="0" w:color="auto"/>
      </w:divBdr>
    </w:div>
    <w:div w:id="1348630778">
      <w:bodyDiv w:val="1"/>
      <w:marLeft w:val="0"/>
      <w:marRight w:val="0"/>
      <w:marTop w:val="0"/>
      <w:marBottom w:val="0"/>
      <w:divBdr>
        <w:top w:val="none" w:sz="0" w:space="0" w:color="auto"/>
        <w:left w:val="none" w:sz="0" w:space="0" w:color="auto"/>
        <w:bottom w:val="none" w:sz="0" w:space="0" w:color="auto"/>
        <w:right w:val="none" w:sz="0" w:space="0" w:color="auto"/>
      </w:divBdr>
      <w:divsChild>
        <w:div w:id="878589995">
          <w:marLeft w:val="0"/>
          <w:marRight w:val="0"/>
          <w:marTop w:val="0"/>
          <w:marBottom w:val="0"/>
          <w:divBdr>
            <w:top w:val="none" w:sz="0" w:space="0" w:color="auto"/>
            <w:left w:val="none" w:sz="0" w:space="0" w:color="auto"/>
            <w:bottom w:val="none" w:sz="0" w:space="0" w:color="auto"/>
            <w:right w:val="none" w:sz="0" w:space="0" w:color="auto"/>
          </w:divBdr>
          <w:divsChild>
            <w:div w:id="820655705">
              <w:marLeft w:val="0"/>
              <w:marRight w:val="0"/>
              <w:marTop w:val="0"/>
              <w:marBottom w:val="0"/>
              <w:divBdr>
                <w:top w:val="none" w:sz="0" w:space="0" w:color="auto"/>
                <w:left w:val="none" w:sz="0" w:space="0" w:color="auto"/>
                <w:bottom w:val="none" w:sz="0" w:space="0" w:color="auto"/>
                <w:right w:val="none" w:sz="0" w:space="0" w:color="auto"/>
              </w:divBdr>
            </w:div>
            <w:div w:id="303509764">
              <w:marLeft w:val="0"/>
              <w:marRight w:val="0"/>
              <w:marTop w:val="0"/>
              <w:marBottom w:val="0"/>
              <w:divBdr>
                <w:top w:val="none" w:sz="0" w:space="0" w:color="auto"/>
                <w:left w:val="none" w:sz="0" w:space="0" w:color="auto"/>
                <w:bottom w:val="none" w:sz="0" w:space="0" w:color="auto"/>
                <w:right w:val="none" w:sz="0" w:space="0" w:color="auto"/>
              </w:divBdr>
            </w:div>
            <w:div w:id="1912619236">
              <w:marLeft w:val="0"/>
              <w:marRight w:val="0"/>
              <w:marTop w:val="0"/>
              <w:marBottom w:val="0"/>
              <w:divBdr>
                <w:top w:val="none" w:sz="0" w:space="0" w:color="auto"/>
                <w:left w:val="none" w:sz="0" w:space="0" w:color="auto"/>
                <w:bottom w:val="none" w:sz="0" w:space="0" w:color="auto"/>
                <w:right w:val="none" w:sz="0" w:space="0" w:color="auto"/>
              </w:divBdr>
            </w:div>
            <w:div w:id="353464280">
              <w:marLeft w:val="0"/>
              <w:marRight w:val="0"/>
              <w:marTop w:val="0"/>
              <w:marBottom w:val="0"/>
              <w:divBdr>
                <w:top w:val="none" w:sz="0" w:space="0" w:color="auto"/>
                <w:left w:val="none" w:sz="0" w:space="0" w:color="auto"/>
                <w:bottom w:val="none" w:sz="0" w:space="0" w:color="auto"/>
                <w:right w:val="none" w:sz="0" w:space="0" w:color="auto"/>
              </w:divBdr>
            </w:div>
            <w:div w:id="1708874034">
              <w:marLeft w:val="0"/>
              <w:marRight w:val="0"/>
              <w:marTop w:val="0"/>
              <w:marBottom w:val="0"/>
              <w:divBdr>
                <w:top w:val="none" w:sz="0" w:space="0" w:color="auto"/>
                <w:left w:val="none" w:sz="0" w:space="0" w:color="auto"/>
                <w:bottom w:val="none" w:sz="0" w:space="0" w:color="auto"/>
                <w:right w:val="none" w:sz="0" w:space="0" w:color="auto"/>
              </w:divBdr>
            </w:div>
            <w:div w:id="2091462501">
              <w:marLeft w:val="0"/>
              <w:marRight w:val="0"/>
              <w:marTop w:val="0"/>
              <w:marBottom w:val="0"/>
              <w:divBdr>
                <w:top w:val="none" w:sz="0" w:space="0" w:color="auto"/>
                <w:left w:val="none" w:sz="0" w:space="0" w:color="auto"/>
                <w:bottom w:val="none" w:sz="0" w:space="0" w:color="auto"/>
                <w:right w:val="none" w:sz="0" w:space="0" w:color="auto"/>
              </w:divBdr>
            </w:div>
            <w:div w:id="12740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5245">
      <w:bodyDiv w:val="1"/>
      <w:marLeft w:val="0"/>
      <w:marRight w:val="0"/>
      <w:marTop w:val="0"/>
      <w:marBottom w:val="0"/>
      <w:divBdr>
        <w:top w:val="none" w:sz="0" w:space="0" w:color="auto"/>
        <w:left w:val="none" w:sz="0" w:space="0" w:color="auto"/>
        <w:bottom w:val="none" w:sz="0" w:space="0" w:color="auto"/>
        <w:right w:val="none" w:sz="0" w:space="0" w:color="auto"/>
      </w:divBdr>
    </w:div>
    <w:div w:id="1833328198">
      <w:bodyDiv w:val="1"/>
      <w:marLeft w:val="0"/>
      <w:marRight w:val="0"/>
      <w:marTop w:val="0"/>
      <w:marBottom w:val="0"/>
      <w:divBdr>
        <w:top w:val="none" w:sz="0" w:space="0" w:color="auto"/>
        <w:left w:val="none" w:sz="0" w:space="0" w:color="auto"/>
        <w:bottom w:val="none" w:sz="0" w:space="0" w:color="auto"/>
        <w:right w:val="none" w:sz="0" w:space="0" w:color="auto"/>
      </w:divBdr>
    </w:div>
    <w:div w:id="1890219528">
      <w:bodyDiv w:val="1"/>
      <w:marLeft w:val="0"/>
      <w:marRight w:val="0"/>
      <w:marTop w:val="0"/>
      <w:marBottom w:val="0"/>
      <w:divBdr>
        <w:top w:val="none" w:sz="0" w:space="0" w:color="auto"/>
        <w:left w:val="none" w:sz="0" w:space="0" w:color="auto"/>
        <w:bottom w:val="none" w:sz="0" w:space="0" w:color="auto"/>
        <w:right w:val="none" w:sz="0" w:space="0" w:color="auto"/>
      </w:divBdr>
    </w:div>
    <w:div w:id="1912275827">
      <w:bodyDiv w:val="1"/>
      <w:marLeft w:val="0"/>
      <w:marRight w:val="0"/>
      <w:marTop w:val="0"/>
      <w:marBottom w:val="0"/>
      <w:divBdr>
        <w:top w:val="none" w:sz="0" w:space="0" w:color="auto"/>
        <w:left w:val="none" w:sz="0" w:space="0" w:color="auto"/>
        <w:bottom w:val="none" w:sz="0" w:space="0" w:color="auto"/>
        <w:right w:val="none" w:sz="0" w:space="0" w:color="auto"/>
      </w:divBdr>
    </w:div>
    <w:div w:id="1960530985">
      <w:bodyDiv w:val="1"/>
      <w:marLeft w:val="0"/>
      <w:marRight w:val="0"/>
      <w:marTop w:val="0"/>
      <w:marBottom w:val="0"/>
      <w:divBdr>
        <w:top w:val="none" w:sz="0" w:space="0" w:color="auto"/>
        <w:left w:val="none" w:sz="0" w:space="0" w:color="auto"/>
        <w:bottom w:val="none" w:sz="0" w:space="0" w:color="auto"/>
        <w:right w:val="none" w:sz="0" w:space="0" w:color="auto"/>
      </w:divBdr>
    </w:div>
    <w:div w:id="1968244813">
      <w:bodyDiv w:val="1"/>
      <w:marLeft w:val="0"/>
      <w:marRight w:val="0"/>
      <w:marTop w:val="0"/>
      <w:marBottom w:val="0"/>
      <w:divBdr>
        <w:top w:val="none" w:sz="0" w:space="0" w:color="auto"/>
        <w:left w:val="none" w:sz="0" w:space="0" w:color="auto"/>
        <w:bottom w:val="none" w:sz="0" w:space="0" w:color="auto"/>
        <w:right w:val="none" w:sz="0" w:space="0" w:color="auto"/>
      </w:divBdr>
    </w:div>
    <w:div w:id="1971935058">
      <w:bodyDiv w:val="1"/>
      <w:marLeft w:val="0"/>
      <w:marRight w:val="0"/>
      <w:marTop w:val="0"/>
      <w:marBottom w:val="0"/>
      <w:divBdr>
        <w:top w:val="none" w:sz="0" w:space="0" w:color="auto"/>
        <w:left w:val="none" w:sz="0" w:space="0" w:color="auto"/>
        <w:bottom w:val="none" w:sz="0" w:space="0" w:color="auto"/>
        <w:right w:val="none" w:sz="0" w:space="0" w:color="auto"/>
      </w:divBdr>
    </w:div>
    <w:div w:id="2002151176">
      <w:bodyDiv w:val="1"/>
      <w:marLeft w:val="0"/>
      <w:marRight w:val="0"/>
      <w:marTop w:val="0"/>
      <w:marBottom w:val="0"/>
      <w:divBdr>
        <w:top w:val="none" w:sz="0" w:space="0" w:color="auto"/>
        <w:left w:val="none" w:sz="0" w:space="0" w:color="auto"/>
        <w:bottom w:val="none" w:sz="0" w:space="0" w:color="auto"/>
        <w:right w:val="none" w:sz="0" w:space="0" w:color="auto"/>
      </w:divBdr>
    </w:div>
    <w:div w:id="2077899484">
      <w:bodyDiv w:val="1"/>
      <w:marLeft w:val="0"/>
      <w:marRight w:val="0"/>
      <w:marTop w:val="0"/>
      <w:marBottom w:val="0"/>
      <w:divBdr>
        <w:top w:val="none" w:sz="0" w:space="0" w:color="auto"/>
        <w:left w:val="none" w:sz="0" w:space="0" w:color="auto"/>
        <w:bottom w:val="none" w:sz="0" w:space="0" w:color="auto"/>
        <w:right w:val="none" w:sz="0" w:space="0" w:color="auto"/>
      </w:divBdr>
    </w:div>
    <w:div w:id="21085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E59547-119E-4A80-AC42-346F2963B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7178</Words>
  <Characters>38767</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fabiana</cp:lastModifiedBy>
  <cp:revision>2</cp:revision>
  <cp:lastPrinted>2013-07-01T22:55:00Z</cp:lastPrinted>
  <dcterms:created xsi:type="dcterms:W3CDTF">2013-07-05T16:25:00Z</dcterms:created>
  <dcterms:modified xsi:type="dcterms:W3CDTF">2013-07-05T16:25:00Z</dcterms:modified>
</cp:coreProperties>
</file>