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CB" w:rsidRDefault="000A04CB" w:rsidP="00C16190">
      <w:pPr>
        <w:pStyle w:val="Ttulo1"/>
        <w:spacing w:line="240" w:lineRule="auto"/>
        <w:jc w:val="center"/>
        <w:rPr>
          <w:sz w:val="24"/>
          <w:szCs w:val="24"/>
        </w:rPr>
      </w:pPr>
      <w:r w:rsidRPr="00C16190">
        <w:rPr>
          <w:sz w:val="24"/>
          <w:szCs w:val="24"/>
        </w:rPr>
        <w:t>Um estudo sobre a d</w:t>
      </w:r>
      <w:r w:rsidR="00DD6AC9" w:rsidRPr="00C16190">
        <w:rPr>
          <w:sz w:val="24"/>
          <w:szCs w:val="24"/>
        </w:rPr>
        <w:t xml:space="preserve">istribuição das transferências para </w:t>
      </w:r>
      <w:r w:rsidRPr="00C16190">
        <w:rPr>
          <w:sz w:val="24"/>
          <w:szCs w:val="24"/>
        </w:rPr>
        <w:t>o setor de saúde no Brasil</w:t>
      </w:r>
    </w:p>
    <w:p w:rsidR="00253E45" w:rsidRPr="00253E45" w:rsidRDefault="00253E45" w:rsidP="00253E45"/>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173"/>
      </w:tblGrid>
      <w:tr w:rsidR="00664C2B" w:rsidTr="00664C2B">
        <w:tc>
          <w:tcPr>
            <w:tcW w:w="4503" w:type="dxa"/>
          </w:tcPr>
          <w:p w:rsidR="00664C2B" w:rsidRPr="00253E45" w:rsidRDefault="00664C2B" w:rsidP="00664C2B">
            <w:pPr>
              <w:pStyle w:val="Ttulo1"/>
              <w:spacing w:before="0" w:after="0" w:line="240" w:lineRule="auto"/>
              <w:ind w:left="1440"/>
              <w:contextualSpacing/>
              <w:jc w:val="center"/>
              <w:outlineLvl w:val="0"/>
              <w:rPr>
                <w:sz w:val="24"/>
                <w:szCs w:val="24"/>
              </w:rPr>
            </w:pPr>
            <w:r w:rsidRPr="00253E45">
              <w:rPr>
                <w:sz w:val="24"/>
                <w:szCs w:val="24"/>
              </w:rPr>
              <w:t>Juliana B. Simão</w:t>
            </w:r>
          </w:p>
          <w:p w:rsidR="00664C2B" w:rsidRDefault="00664C2B" w:rsidP="004E648C">
            <w:pPr>
              <w:pStyle w:val="Ttulo1"/>
              <w:spacing w:before="0" w:after="0" w:line="240" w:lineRule="auto"/>
              <w:ind w:left="1440"/>
              <w:contextualSpacing/>
              <w:jc w:val="center"/>
              <w:outlineLvl w:val="0"/>
              <w:rPr>
                <w:b w:val="0"/>
                <w:sz w:val="24"/>
                <w:szCs w:val="24"/>
              </w:rPr>
            </w:pPr>
            <w:r>
              <w:rPr>
                <w:b w:val="0"/>
                <w:sz w:val="24"/>
                <w:szCs w:val="24"/>
              </w:rPr>
              <w:t xml:space="preserve">FGV </w:t>
            </w:r>
            <w:r w:rsidR="004E648C">
              <w:rPr>
                <w:b w:val="0"/>
                <w:sz w:val="24"/>
                <w:szCs w:val="24"/>
              </w:rPr>
              <w:t>–</w:t>
            </w:r>
            <w:r>
              <w:rPr>
                <w:b w:val="0"/>
                <w:sz w:val="24"/>
                <w:szCs w:val="24"/>
              </w:rPr>
              <w:t xml:space="preserve"> EESP</w:t>
            </w:r>
          </w:p>
        </w:tc>
        <w:tc>
          <w:tcPr>
            <w:tcW w:w="5173" w:type="dxa"/>
          </w:tcPr>
          <w:p w:rsidR="00664C2B" w:rsidRPr="00253E45" w:rsidRDefault="00664C2B" w:rsidP="00664C2B">
            <w:pPr>
              <w:spacing w:before="0" w:line="240" w:lineRule="auto"/>
              <w:jc w:val="center"/>
              <w:rPr>
                <w:b/>
                <w:sz w:val="24"/>
                <w:szCs w:val="24"/>
              </w:rPr>
            </w:pPr>
            <w:r w:rsidRPr="00253E45">
              <w:rPr>
                <w:b/>
                <w:sz w:val="24"/>
                <w:szCs w:val="24"/>
              </w:rPr>
              <w:t>Veronica I.F. Orellano</w:t>
            </w:r>
          </w:p>
          <w:p w:rsidR="00664C2B" w:rsidRDefault="00664C2B" w:rsidP="004E648C">
            <w:pPr>
              <w:pStyle w:val="Ttulo1"/>
              <w:spacing w:before="0" w:after="0" w:line="240" w:lineRule="auto"/>
              <w:contextualSpacing/>
              <w:jc w:val="center"/>
              <w:outlineLvl w:val="0"/>
              <w:rPr>
                <w:b w:val="0"/>
                <w:sz w:val="24"/>
                <w:szCs w:val="24"/>
              </w:rPr>
            </w:pPr>
            <w:r>
              <w:rPr>
                <w:b w:val="0"/>
                <w:sz w:val="24"/>
                <w:szCs w:val="24"/>
              </w:rPr>
              <w:t xml:space="preserve">FGV </w:t>
            </w:r>
            <w:r w:rsidR="004E648C">
              <w:rPr>
                <w:b w:val="0"/>
                <w:sz w:val="24"/>
                <w:szCs w:val="24"/>
              </w:rPr>
              <w:t>–</w:t>
            </w:r>
            <w:r>
              <w:rPr>
                <w:b w:val="0"/>
                <w:sz w:val="24"/>
                <w:szCs w:val="24"/>
              </w:rPr>
              <w:t xml:space="preserve"> EESP</w:t>
            </w:r>
          </w:p>
        </w:tc>
      </w:tr>
    </w:tbl>
    <w:p w:rsidR="00A668ED" w:rsidRPr="00C16190" w:rsidRDefault="00A668ED" w:rsidP="00C16190">
      <w:pPr>
        <w:spacing w:line="240" w:lineRule="auto"/>
        <w:rPr>
          <w:sz w:val="24"/>
          <w:szCs w:val="24"/>
        </w:rPr>
      </w:pPr>
      <w:bookmarkStart w:id="0" w:name="_GoBack"/>
      <w:bookmarkEnd w:id="0"/>
    </w:p>
    <w:p w:rsidR="00E9008B" w:rsidRPr="00C16190" w:rsidRDefault="0013755C" w:rsidP="008A52BB">
      <w:pPr>
        <w:pStyle w:val="Ttulo1"/>
        <w:spacing w:before="120" w:line="240" w:lineRule="auto"/>
        <w:jc w:val="both"/>
        <w:rPr>
          <w:sz w:val="24"/>
          <w:szCs w:val="24"/>
        </w:rPr>
      </w:pPr>
      <w:r w:rsidRPr="00C16190">
        <w:rPr>
          <w:sz w:val="24"/>
          <w:szCs w:val="24"/>
        </w:rPr>
        <w:t>Resumo</w:t>
      </w:r>
    </w:p>
    <w:p w:rsidR="00E9008B" w:rsidRPr="00C16190" w:rsidRDefault="00DC7B5F" w:rsidP="008A52BB">
      <w:pPr>
        <w:spacing w:before="120" w:after="120" w:line="240" w:lineRule="auto"/>
        <w:rPr>
          <w:sz w:val="24"/>
          <w:szCs w:val="24"/>
        </w:rPr>
      </w:pPr>
      <w:r>
        <w:rPr>
          <w:sz w:val="24"/>
          <w:szCs w:val="24"/>
        </w:rPr>
        <w:t>Este trabalho estuda empiricam</w:t>
      </w:r>
      <w:r w:rsidR="0013755C" w:rsidRPr="00C16190">
        <w:rPr>
          <w:sz w:val="24"/>
          <w:szCs w:val="24"/>
        </w:rPr>
        <w:t>ente alguns fatores determinantes das transferências intergovernamentais na área da saúde no Brasil. Em especial, discute e investiga a existência de uma relação positiva entre arrecadação municipal e o recebimento de recursos federais através do Sistema Único de Saúde (SUS) pelos municípios brasileiros.</w:t>
      </w:r>
      <w:r w:rsidR="00A657CF" w:rsidRPr="00C16190">
        <w:rPr>
          <w:sz w:val="24"/>
          <w:szCs w:val="24"/>
        </w:rPr>
        <w:t xml:space="preserve"> Dada a elevada correlação positiva entre arrecadação</w:t>
      </w:r>
      <w:r w:rsidR="005A0E87" w:rsidRPr="00C16190">
        <w:rPr>
          <w:sz w:val="24"/>
          <w:szCs w:val="24"/>
        </w:rPr>
        <w:t xml:space="preserve"> local e gastos em saúde</w:t>
      </w:r>
      <w:r w:rsidR="00A657CF" w:rsidRPr="00C16190">
        <w:rPr>
          <w:sz w:val="24"/>
          <w:szCs w:val="24"/>
        </w:rPr>
        <w:t xml:space="preserve">, determinada </w:t>
      </w:r>
      <w:r w:rsidR="005A0E87" w:rsidRPr="00C16190">
        <w:rPr>
          <w:sz w:val="24"/>
          <w:szCs w:val="24"/>
        </w:rPr>
        <w:t>em parte</w:t>
      </w:r>
      <w:r w:rsidR="00A657CF" w:rsidRPr="00C16190">
        <w:rPr>
          <w:sz w:val="24"/>
          <w:szCs w:val="24"/>
        </w:rPr>
        <w:t xml:space="preserve"> por exigências legais</w:t>
      </w:r>
      <w:r w:rsidR="005A0E87" w:rsidRPr="00C16190">
        <w:rPr>
          <w:sz w:val="24"/>
          <w:szCs w:val="24"/>
        </w:rPr>
        <w:t>,</w:t>
      </w:r>
      <w:r w:rsidR="00A657CF" w:rsidRPr="00C16190">
        <w:rPr>
          <w:sz w:val="24"/>
          <w:szCs w:val="24"/>
        </w:rPr>
        <w:t xml:space="preserve"> o fenômeno também pôde ser investigado à luz da teoria do </w:t>
      </w:r>
      <w:r w:rsidR="00A657CF" w:rsidRPr="00FE2B2B">
        <w:rPr>
          <w:i/>
          <w:sz w:val="24"/>
          <w:szCs w:val="24"/>
        </w:rPr>
        <w:t>flypaper effect</w:t>
      </w:r>
      <w:r w:rsidR="00A657CF" w:rsidRPr="00C16190">
        <w:rPr>
          <w:sz w:val="24"/>
          <w:szCs w:val="24"/>
        </w:rPr>
        <w:t xml:space="preserve">. </w:t>
      </w:r>
      <w:r w:rsidR="0013755C" w:rsidRPr="00C16190">
        <w:rPr>
          <w:sz w:val="24"/>
          <w:szCs w:val="24"/>
        </w:rPr>
        <w:t>A análise empírica foi realizada através da estimação de modelos em painel com efeitos fixos. Para tanto, utilizou-se dados dos municípios brasileiros no período de 2002 a 2010, obtidos em sua maioria através do Departamento de Informaçõ</w:t>
      </w:r>
      <w:r w:rsidR="00C0304D" w:rsidRPr="00C16190">
        <w:rPr>
          <w:sz w:val="24"/>
          <w:szCs w:val="24"/>
        </w:rPr>
        <w:t>es do SUS (DATASUS) e</w:t>
      </w:r>
      <w:r w:rsidR="0013755C" w:rsidRPr="00C16190">
        <w:rPr>
          <w:sz w:val="24"/>
          <w:szCs w:val="24"/>
        </w:rPr>
        <w:t xml:space="preserve"> do Sistema de Informações sobre Orçamentos Públicos em Saúde (SIOPS</w:t>
      </w:r>
      <w:r w:rsidR="00C0304D" w:rsidRPr="00C16190">
        <w:rPr>
          <w:sz w:val="24"/>
          <w:szCs w:val="24"/>
        </w:rPr>
        <w:t>), am</w:t>
      </w:r>
      <w:r w:rsidR="0032216F" w:rsidRPr="00C16190">
        <w:rPr>
          <w:sz w:val="24"/>
          <w:szCs w:val="24"/>
        </w:rPr>
        <w:t xml:space="preserve">bos do Ministério da Saúde. Os dados de arrecadação desagregados foram obtidos através </w:t>
      </w:r>
      <w:r w:rsidR="00C0304D" w:rsidRPr="00C16190">
        <w:rPr>
          <w:sz w:val="24"/>
          <w:szCs w:val="24"/>
        </w:rPr>
        <w:t>da Secretaria do Tesouro Nacional</w:t>
      </w:r>
      <w:r w:rsidR="0085370E">
        <w:rPr>
          <w:sz w:val="24"/>
          <w:szCs w:val="24"/>
        </w:rPr>
        <w:t xml:space="preserve"> (STN)</w:t>
      </w:r>
      <w:r w:rsidR="00C0304D" w:rsidRPr="00C16190">
        <w:rPr>
          <w:sz w:val="24"/>
          <w:szCs w:val="24"/>
        </w:rPr>
        <w:t>.</w:t>
      </w:r>
      <w:r w:rsidR="0013755C" w:rsidRPr="00C16190">
        <w:rPr>
          <w:sz w:val="24"/>
          <w:szCs w:val="24"/>
        </w:rPr>
        <w:t xml:space="preserve"> Os resultados apontam que a arrecadação municipal exerce, de fato, um impacto positivo e significante sobre o recebimento de transferências</w:t>
      </w:r>
      <w:r w:rsidR="00E051E4" w:rsidRPr="00C16190">
        <w:rPr>
          <w:sz w:val="24"/>
          <w:szCs w:val="24"/>
        </w:rPr>
        <w:t xml:space="preserve"> para a saúde</w:t>
      </w:r>
      <w:r w:rsidR="0013755C" w:rsidRPr="00C16190">
        <w:rPr>
          <w:sz w:val="24"/>
          <w:szCs w:val="24"/>
        </w:rPr>
        <w:t>. Considerando o aspecto redistributivo, essa relação pode não ser desejável. Argumentamos sobre a possibilidade de que os recursos repassados pelo SUS não sejam suficientes, de modo que uma contrapartida financeira dos governos locais</w:t>
      </w:r>
      <w:r w:rsidR="00E051E4" w:rsidRPr="00C16190">
        <w:rPr>
          <w:sz w:val="24"/>
          <w:szCs w:val="24"/>
        </w:rPr>
        <w:t>, mesmo que não obrigatória por lei,</w:t>
      </w:r>
      <w:r w:rsidR="0013755C" w:rsidRPr="00C16190">
        <w:rPr>
          <w:sz w:val="24"/>
          <w:szCs w:val="24"/>
        </w:rPr>
        <w:t xml:space="preserve"> seria necessária para cobrir os custos dos programas e serviços em sua totalidade. Foram identificados também indícios de que pode haver fatores políticos influenciando o recebimento de recursos do SUS. </w:t>
      </w:r>
    </w:p>
    <w:p w:rsidR="008E205D" w:rsidRPr="00C16190" w:rsidRDefault="0013755C" w:rsidP="008A52BB">
      <w:pPr>
        <w:spacing w:before="120" w:after="120" w:line="240" w:lineRule="auto"/>
        <w:rPr>
          <w:sz w:val="24"/>
          <w:szCs w:val="24"/>
        </w:rPr>
      </w:pPr>
      <w:r w:rsidRPr="00C16190">
        <w:rPr>
          <w:b/>
          <w:bCs/>
          <w:sz w:val="24"/>
          <w:szCs w:val="24"/>
        </w:rPr>
        <w:t>Palavras-chave:</w:t>
      </w:r>
      <w:r w:rsidRPr="00C16190">
        <w:rPr>
          <w:sz w:val="24"/>
          <w:szCs w:val="24"/>
        </w:rPr>
        <w:t xml:space="preserve"> transferências intergovernamentais, </w:t>
      </w:r>
      <w:r w:rsidRPr="00C16190">
        <w:rPr>
          <w:i/>
          <w:iCs/>
          <w:sz w:val="24"/>
          <w:szCs w:val="24"/>
        </w:rPr>
        <w:t>flypaper effect</w:t>
      </w:r>
      <w:r w:rsidRPr="00C16190">
        <w:rPr>
          <w:sz w:val="24"/>
          <w:szCs w:val="24"/>
        </w:rPr>
        <w:t>, saúde, municípios.</w:t>
      </w:r>
    </w:p>
    <w:p w:rsidR="00C158E5" w:rsidRPr="00C16190" w:rsidRDefault="00C158E5" w:rsidP="008A52BB">
      <w:pPr>
        <w:pStyle w:val="Ttulo1"/>
        <w:spacing w:before="120" w:line="240" w:lineRule="auto"/>
        <w:jc w:val="both"/>
        <w:rPr>
          <w:sz w:val="24"/>
          <w:szCs w:val="24"/>
        </w:rPr>
      </w:pPr>
    </w:p>
    <w:p w:rsidR="00E9008B" w:rsidRPr="00C16190" w:rsidRDefault="0013755C" w:rsidP="008A52BB">
      <w:pPr>
        <w:pStyle w:val="Ttulo1"/>
        <w:spacing w:before="120" w:line="240" w:lineRule="auto"/>
        <w:jc w:val="both"/>
        <w:rPr>
          <w:sz w:val="24"/>
          <w:szCs w:val="24"/>
          <w:lang w:val="en-US"/>
        </w:rPr>
      </w:pPr>
      <w:r w:rsidRPr="00C16190">
        <w:rPr>
          <w:sz w:val="24"/>
          <w:szCs w:val="24"/>
          <w:lang w:val="en-US"/>
        </w:rPr>
        <w:t>Abstract</w:t>
      </w:r>
    </w:p>
    <w:p w:rsidR="00E9008B" w:rsidRPr="00C16190" w:rsidRDefault="0013755C" w:rsidP="008A52BB">
      <w:pPr>
        <w:spacing w:before="120" w:after="120" w:line="240" w:lineRule="auto"/>
        <w:rPr>
          <w:sz w:val="24"/>
          <w:szCs w:val="24"/>
          <w:lang w:val="en-US"/>
        </w:rPr>
      </w:pPr>
      <w:r w:rsidRPr="00C16190">
        <w:rPr>
          <w:sz w:val="24"/>
          <w:szCs w:val="24"/>
          <w:lang w:val="en-US"/>
        </w:rPr>
        <w:t>This paper empirically studies some determinants of the intergovernmental transfers in the Brazilian health care sector. In particular, we discuss and investigate the existence of a positive relationship between municipal revenues and federal transfers received through</w:t>
      </w:r>
      <w:r w:rsidR="005A0E87" w:rsidRPr="00C16190">
        <w:rPr>
          <w:sz w:val="24"/>
          <w:szCs w:val="24"/>
          <w:lang w:val="en-US"/>
        </w:rPr>
        <w:t xml:space="preserve"> the</w:t>
      </w:r>
      <w:r w:rsidRPr="00C16190">
        <w:rPr>
          <w:sz w:val="24"/>
          <w:szCs w:val="24"/>
          <w:lang w:val="en-US"/>
        </w:rPr>
        <w:t xml:space="preserve"> Unified Health System (</w:t>
      </w:r>
      <w:r w:rsidRPr="00C16190">
        <w:rPr>
          <w:i/>
          <w:iCs/>
          <w:sz w:val="24"/>
          <w:szCs w:val="24"/>
          <w:lang w:val="en-US"/>
        </w:rPr>
        <w:t>Sistema Único de Saúde</w:t>
      </w:r>
      <w:r w:rsidRPr="00C16190">
        <w:rPr>
          <w:sz w:val="24"/>
          <w:szCs w:val="24"/>
          <w:lang w:val="en-US"/>
        </w:rPr>
        <w:t xml:space="preserve"> – SUS) by municipalities.</w:t>
      </w:r>
      <w:r w:rsidR="005A0E87" w:rsidRPr="00C16190">
        <w:rPr>
          <w:sz w:val="24"/>
          <w:szCs w:val="24"/>
          <w:lang w:val="en-US"/>
        </w:rPr>
        <w:t xml:space="preserve"> Given the </w:t>
      </w:r>
      <w:r w:rsidR="00FC5015" w:rsidRPr="00C16190">
        <w:rPr>
          <w:sz w:val="24"/>
          <w:szCs w:val="24"/>
          <w:lang w:val="en-US"/>
        </w:rPr>
        <w:t>positive</w:t>
      </w:r>
      <w:r w:rsidR="005A0E87" w:rsidRPr="00C16190">
        <w:rPr>
          <w:sz w:val="24"/>
          <w:szCs w:val="24"/>
          <w:lang w:val="en-US"/>
        </w:rPr>
        <w:t xml:space="preserve"> correlation between municipal revenues and health expenditures</w:t>
      </w:r>
      <w:r w:rsidRPr="00C16190">
        <w:rPr>
          <w:sz w:val="24"/>
          <w:szCs w:val="24"/>
          <w:lang w:val="en-US"/>
        </w:rPr>
        <w:t>,</w:t>
      </w:r>
      <w:r w:rsidR="005A0E87" w:rsidRPr="00C16190">
        <w:rPr>
          <w:sz w:val="24"/>
          <w:szCs w:val="24"/>
          <w:lang w:val="en-US"/>
        </w:rPr>
        <w:t xml:space="preserve"> partly determined by legal exigencies, </w:t>
      </w:r>
      <w:r w:rsidRPr="00C16190">
        <w:rPr>
          <w:sz w:val="24"/>
          <w:szCs w:val="24"/>
          <w:lang w:val="en-US"/>
        </w:rPr>
        <w:t xml:space="preserve">the phenomenon was also investigated in the light of the flypaper effect theory. The empirical analysis was based on the estimation of fixed effect panel models. We considered a panel of Brazilian municipalities from 2002 to 2010. </w:t>
      </w:r>
      <w:r w:rsidRPr="00D40133">
        <w:rPr>
          <w:sz w:val="24"/>
          <w:szCs w:val="24"/>
          <w:lang w:val="en-US"/>
        </w:rPr>
        <w:t xml:space="preserve">Data was mostly obtained from </w:t>
      </w:r>
      <w:r w:rsidRPr="00D40133">
        <w:rPr>
          <w:i/>
          <w:iCs/>
          <w:sz w:val="24"/>
          <w:szCs w:val="24"/>
          <w:lang w:val="en-US"/>
        </w:rPr>
        <w:t>Departamento de Informações do SUS</w:t>
      </w:r>
      <w:r w:rsidRPr="00D40133">
        <w:rPr>
          <w:sz w:val="24"/>
          <w:szCs w:val="24"/>
          <w:lang w:val="en-US"/>
        </w:rPr>
        <w:t xml:space="preserve"> (DATASUS) and </w:t>
      </w:r>
      <w:r w:rsidRPr="00D40133">
        <w:rPr>
          <w:i/>
          <w:iCs/>
          <w:sz w:val="24"/>
          <w:szCs w:val="24"/>
          <w:lang w:val="en-US"/>
        </w:rPr>
        <w:t>Sistema de Informações sobre Orçamentos Públicos em Saúde</w:t>
      </w:r>
      <w:r w:rsidRPr="00D40133">
        <w:rPr>
          <w:sz w:val="24"/>
          <w:szCs w:val="24"/>
          <w:lang w:val="en-US"/>
        </w:rPr>
        <w:t xml:space="preserve"> (SIOPS), both from Ministry of Health of Brazil. </w:t>
      </w:r>
      <w:r w:rsidR="006B63C8" w:rsidRPr="006B63C8">
        <w:rPr>
          <w:sz w:val="24"/>
          <w:szCs w:val="24"/>
          <w:lang w:val="en-US"/>
        </w:rPr>
        <w:t xml:space="preserve">Disaggregated data </w:t>
      </w:r>
      <w:r w:rsidR="006B63C8" w:rsidRPr="0085370E">
        <w:rPr>
          <w:sz w:val="24"/>
          <w:szCs w:val="24"/>
          <w:lang w:val="en-US"/>
        </w:rPr>
        <w:t>on municipal revenues</w:t>
      </w:r>
      <w:r w:rsidR="006B63C8" w:rsidRPr="006B63C8">
        <w:rPr>
          <w:sz w:val="24"/>
          <w:szCs w:val="24"/>
          <w:lang w:val="en-US"/>
        </w:rPr>
        <w:t xml:space="preserve"> were obtained </w:t>
      </w:r>
      <w:r w:rsidR="006B63C8">
        <w:rPr>
          <w:sz w:val="24"/>
          <w:szCs w:val="24"/>
          <w:lang w:val="en-US"/>
        </w:rPr>
        <w:t>from</w:t>
      </w:r>
      <w:r w:rsidR="006B63C8" w:rsidRPr="006B63C8">
        <w:rPr>
          <w:sz w:val="24"/>
          <w:szCs w:val="24"/>
          <w:lang w:val="en-US"/>
        </w:rPr>
        <w:t xml:space="preserve"> </w:t>
      </w:r>
      <w:r w:rsidR="006B63C8" w:rsidRPr="006B63C8">
        <w:rPr>
          <w:i/>
          <w:sz w:val="24"/>
          <w:szCs w:val="24"/>
          <w:lang w:val="en-US"/>
        </w:rPr>
        <w:t>Secretaria do Tesouro Nacional</w:t>
      </w:r>
      <w:r w:rsidR="006B63C8" w:rsidRPr="0085370E">
        <w:rPr>
          <w:sz w:val="24"/>
          <w:szCs w:val="24"/>
          <w:lang w:val="en-US"/>
        </w:rPr>
        <w:t xml:space="preserve"> (STN).</w:t>
      </w:r>
      <w:r w:rsidR="006B63C8">
        <w:rPr>
          <w:sz w:val="24"/>
          <w:szCs w:val="24"/>
          <w:lang w:val="en-US"/>
        </w:rPr>
        <w:t xml:space="preserve"> </w:t>
      </w:r>
      <w:r w:rsidRPr="00C16190">
        <w:rPr>
          <w:sz w:val="24"/>
          <w:szCs w:val="24"/>
          <w:lang w:val="en-US"/>
        </w:rPr>
        <w:t xml:space="preserve">Our results show that municipal tax revenue has indeed a positive and significant impact on receiving transfers. Considering the redistributive aspect, this relation may not be desirable. We argue about the possibility that the funds transferred by SUS are not sufficient, so that a financial compensation of the local governments would be required to cover programs and services in their entirety. We also identified some evidence that there may be political factors influencing receipt of funds from SUS. </w:t>
      </w:r>
    </w:p>
    <w:p w:rsidR="00E9008B" w:rsidRPr="00C16190" w:rsidRDefault="0013755C" w:rsidP="008A52BB">
      <w:pPr>
        <w:spacing w:before="120" w:after="120" w:line="240" w:lineRule="auto"/>
        <w:rPr>
          <w:sz w:val="24"/>
          <w:szCs w:val="24"/>
          <w:lang w:val="en-US"/>
        </w:rPr>
      </w:pPr>
      <w:r w:rsidRPr="00C16190">
        <w:rPr>
          <w:b/>
          <w:bCs/>
          <w:sz w:val="24"/>
          <w:szCs w:val="24"/>
          <w:lang w:val="en-US"/>
        </w:rPr>
        <w:t>Keywords:</w:t>
      </w:r>
      <w:r w:rsidRPr="00C16190">
        <w:rPr>
          <w:sz w:val="24"/>
          <w:szCs w:val="24"/>
          <w:lang w:val="en-US"/>
        </w:rPr>
        <w:t xml:space="preserve"> intergovernmental transfers, flypaper effect, health care, Brazilian municipalities.</w:t>
      </w:r>
    </w:p>
    <w:p w:rsidR="00FE2B2B" w:rsidRPr="00D40133" w:rsidRDefault="00FE2B2B" w:rsidP="008A52BB">
      <w:pPr>
        <w:spacing w:before="120" w:after="120" w:line="240" w:lineRule="auto"/>
        <w:rPr>
          <w:b/>
          <w:bCs/>
          <w:sz w:val="24"/>
          <w:szCs w:val="24"/>
          <w:lang w:val="en-US"/>
        </w:rPr>
      </w:pPr>
    </w:p>
    <w:p w:rsidR="00C16190" w:rsidRPr="00F570E9" w:rsidRDefault="00C16190" w:rsidP="008A52BB">
      <w:pPr>
        <w:spacing w:before="120" w:after="120" w:line="240" w:lineRule="auto"/>
        <w:rPr>
          <w:rFonts w:eastAsia="TimesNewRoman"/>
          <w:sz w:val="24"/>
          <w:szCs w:val="24"/>
        </w:rPr>
      </w:pPr>
      <w:r w:rsidRPr="00C16190">
        <w:rPr>
          <w:b/>
          <w:bCs/>
          <w:sz w:val="24"/>
          <w:szCs w:val="24"/>
        </w:rPr>
        <w:t xml:space="preserve">Área Anpec: </w:t>
      </w:r>
      <w:r w:rsidRPr="00C16190">
        <w:rPr>
          <w:rFonts w:eastAsia="TimesNewRoman"/>
          <w:sz w:val="24"/>
          <w:szCs w:val="24"/>
        </w:rPr>
        <w:t xml:space="preserve">Área </w:t>
      </w:r>
      <w:r w:rsidR="002761BC">
        <w:rPr>
          <w:rFonts w:eastAsia="TimesNewRoman"/>
          <w:sz w:val="24"/>
          <w:szCs w:val="24"/>
        </w:rPr>
        <w:t>5</w:t>
      </w:r>
      <w:r w:rsidRPr="00C16190">
        <w:rPr>
          <w:rFonts w:eastAsia="TimesNewRoman"/>
          <w:sz w:val="24"/>
          <w:szCs w:val="24"/>
        </w:rPr>
        <w:t xml:space="preserve"> </w:t>
      </w:r>
      <w:r w:rsidR="00F570E9">
        <w:rPr>
          <w:rFonts w:eastAsia="TimesNewRoman"/>
          <w:sz w:val="24"/>
          <w:szCs w:val="24"/>
        </w:rPr>
        <w:t>–</w:t>
      </w:r>
      <w:r w:rsidRPr="00C16190">
        <w:rPr>
          <w:rFonts w:eastAsia="TimesNewRoman"/>
          <w:sz w:val="24"/>
          <w:szCs w:val="24"/>
        </w:rPr>
        <w:t xml:space="preserve"> Economia do Setor Público</w:t>
      </w:r>
    </w:p>
    <w:p w:rsidR="00A668ED" w:rsidRPr="008A52BB" w:rsidRDefault="00C16190" w:rsidP="006F0302">
      <w:pPr>
        <w:spacing w:before="120" w:after="120" w:line="240" w:lineRule="auto"/>
        <w:rPr>
          <w:sz w:val="24"/>
          <w:szCs w:val="24"/>
        </w:rPr>
      </w:pPr>
      <w:r w:rsidRPr="00C16190">
        <w:rPr>
          <w:b/>
          <w:bCs/>
          <w:sz w:val="24"/>
          <w:szCs w:val="24"/>
        </w:rPr>
        <w:t xml:space="preserve">Classificação JEL: </w:t>
      </w:r>
      <w:r w:rsidRPr="00C16190">
        <w:rPr>
          <w:bCs/>
          <w:sz w:val="24"/>
          <w:szCs w:val="24"/>
        </w:rPr>
        <w:t xml:space="preserve">H0, </w:t>
      </w:r>
      <w:r w:rsidR="00974CA9">
        <w:rPr>
          <w:sz w:val="24"/>
          <w:szCs w:val="24"/>
        </w:rPr>
        <w:t>H51</w:t>
      </w:r>
      <w:r w:rsidRPr="00C16190">
        <w:rPr>
          <w:bCs/>
          <w:sz w:val="24"/>
          <w:szCs w:val="24"/>
        </w:rPr>
        <w:t>,H77</w:t>
      </w:r>
      <w:r w:rsidR="00264D9F" w:rsidRPr="008A52BB">
        <w:rPr>
          <w:sz w:val="24"/>
          <w:szCs w:val="24"/>
        </w:rPr>
        <w:br w:type="page"/>
      </w:r>
    </w:p>
    <w:p w:rsidR="00E9008B" w:rsidRPr="00C158E5" w:rsidRDefault="0013755C" w:rsidP="00C16190">
      <w:pPr>
        <w:pStyle w:val="Ttulo1"/>
        <w:spacing w:before="120" w:line="240" w:lineRule="auto"/>
        <w:ind w:firstLine="709"/>
        <w:jc w:val="both"/>
        <w:rPr>
          <w:sz w:val="24"/>
          <w:szCs w:val="24"/>
        </w:rPr>
      </w:pPr>
      <w:r w:rsidRPr="00C158E5">
        <w:rPr>
          <w:sz w:val="24"/>
          <w:szCs w:val="24"/>
        </w:rPr>
        <w:lastRenderedPageBreak/>
        <w:t>1  Introdução</w:t>
      </w:r>
    </w:p>
    <w:p w:rsidR="00E9008B" w:rsidRPr="00C158E5" w:rsidRDefault="0013755C" w:rsidP="00C16190">
      <w:pPr>
        <w:spacing w:before="120" w:after="120" w:line="240" w:lineRule="auto"/>
        <w:ind w:firstLine="709"/>
        <w:rPr>
          <w:sz w:val="24"/>
          <w:szCs w:val="24"/>
        </w:rPr>
      </w:pPr>
      <w:r w:rsidRPr="00C158E5">
        <w:rPr>
          <w:sz w:val="24"/>
          <w:szCs w:val="24"/>
        </w:rPr>
        <w:t xml:space="preserve">A Constituição Federal de 1988 estabeleceu as bases do atual federalismo brasileiro e, em particular, fortaleceu os governos municipais. Entretanto, o Brasil é um país de dimensões continentais e grandes disparidades regionais, tanto no que se refere à distribuição da população, como nos aspectos sociais e econômicos. Há, inclusive, um descasamento entre demanda por bens e serviços públicos em determinadas regiões e a capacidade local de financiamento. Nesse cenário, o país vem se utilizando fortemente das transferências intergovernamentais. Idealmente, essa seria uma forma de atribuir maior autonomia e responsabilidade aos governos locais, além de redistribuir a capacidade fiscal e a qualidade e quantidade dos serviços públicos e da renda ao longo do território. </w:t>
      </w:r>
    </w:p>
    <w:p w:rsidR="00E9008B" w:rsidRPr="00C158E5" w:rsidRDefault="00F570E9" w:rsidP="00C16190">
      <w:pPr>
        <w:spacing w:before="120" w:after="120" w:line="240" w:lineRule="auto"/>
        <w:ind w:firstLine="709"/>
        <w:rPr>
          <w:sz w:val="24"/>
          <w:szCs w:val="24"/>
        </w:rPr>
      </w:pPr>
      <w:r>
        <w:rPr>
          <w:sz w:val="24"/>
          <w:szCs w:val="24"/>
        </w:rPr>
        <w:t xml:space="preserve">Em particular, </w:t>
      </w:r>
      <w:r w:rsidR="0013755C" w:rsidRPr="00C158E5">
        <w:rPr>
          <w:sz w:val="24"/>
          <w:szCs w:val="24"/>
        </w:rPr>
        <w:t>as transferências intergovernamentais desempenham um papel de destaque</w:t>
      </w:r>
      <w:r>
        <w:rPr>
          <w:sz w:val="24"/>
          <w:szCs w:val="24"/>
        </w:rPr>
        <w:t xml:space="preserve"> na área de saúde no Brasil</w:t>
      </w:r>
      <w:r w:rsidR="0013755C" w:rsidRPr="00C158E5">
        <w:rPr>
          <w:sz w:val="24"/>
          <w:szCs w:val="24"/>
        </w:rPr>
        <w:t>. Desde a criação do Sistema Único de Saúde (SUS), concebido a partir da Constituição de 1988, a descentralização fiscal e administrativa, além da redistribuição dos recursos entre as regiões brasileiras, são aspectos que vêm sendo perseguidos. Visando a garantir universalidade, equidade e integralidade na assistência à saúde e sob a ótica de que os governos locais têm mais condições de identificar necessidades específicas, o SUS to</w:t>
      </w:r>
      <w:r w:rsidR="00303E33" w:rsidRPr="00C158E5">
        <w:rPr>
          <w:sz w:val="24"/>
          <w:szCs w:val="24"/>
        </w:rPr>
        <w:t>rn</w:t>
      </w:r>
      <w:r w:rsidR="0013755C" w:rsidRPr="00C158E5">
        <w:rPr>
          <w:sz w:val="24"/>
          <w:szCs w:val="24"/>
        </w:rPr>
        <w:t>ou os municípios os principais responsáveis pela gestão da saúde de sua população. No que se refere ao financiamento, a legislação exige que recursos das três esferas de governo se</w:t>
      </w:r>
      <w:r w:rsidR="00303E33" w:rsidRPr="00C158E5">
        <w:rPr>
          <w:sz w:val="24"/>
          <w:szCs w:val="24"/>
        </w:rPr>
        <w:t>jam necessariamente aplicado</w:t>
      </w:r>
      <w:r w:rsidR="0013755C" w:rsidRPr="00C158E5">
        <w:rPr>
          <w:sz w:val="24"/>
          <w:szCs w:val="24"/>
        </w:rPr>
        <w:t xml:space="preserve">s na área da saúde. </w:t>
      </w:r>
      <w:r w:rsidR="00085086">
        <w:rPr>
          <w:sz w:val="24"/>
          <w:szCs w:val="24"/>
        </w:rPr>
        <w:t>Assim</w:t>
      </w:r>
      <w:r w:rsidR="0013755C" w:rsidRPr="00C158E5">
        <w:rPr>
          <w:sz w:val="24"/>
          <w:szCs w:val="24"/>
        </w:rPr>
        <w:t>, para que sejam geridos pelos governos municipais e para que haja uma redistribuição ao longo do território, os recursos são destinados a fundos e transferidos aos estados e municípios.</w:t>
      </w:r>
    </w:p>
    <w:p w:rsidR="00E9008B" w:rsidRPr="00C158E5" w:rsidRDefault="0013755C" w:rsidP="00C16190">
      <w:pPr>
        <w:spacing w:before="120" w:after="120" w:line="240" w:lineRule="auto"/>
        <w:ind w:firstLine="709"/>
        <w:rPr>
          <w:sz w:val="24"/>
          <w:szCs w:val="24"/>
        </w:rPr>
      </w:pPr>
      <w:r w:rsidRPr="00C158E5">
        <w:rPr>
          <w:sz w:val="24"/>
          <w:szCs w:val="24"/>
        </w:rPr>
        <w:t xml:space="preserve">A maior parte das transferências do governo federal realizadas através do SUS, que estão inseridas nas modalidades conhecidas como “fundo a fundo”, são obrigatórias e condicionais. Isso significa que elas são realizadas de forma automática e compulsória e devem, necessariamente, ser aplicadas em fins específicos na área da saúde. Além disso, em sua maioria, não exigem uma contrapartida financeira dos governos locais. </w:t>
      </w:r>
    </w:p>
    <w:p w:rsidR="00E9008B" w:rsidRPr="00C158E5" w:rsidRDefault="0013755C" w:rsidP="00C16190">
      <w:pPr>
        <w:spacing w:before="120" w:after="120" w:line="240" w:lineRule="auto"/>
        <w:ind w:firstLine="709"/>
        <w:rPr>
          <w:sz w:val="24"/>
          <w:szCs w:val="24"/>
        </w:rPr>
      </w:pPr>
      <w:r w:rsidRPr="00C158E5">
        <w:rPr>
          <w:sz w:val="24"/>
          <w:szCs w:val="24"/>
        </w:rPr>
        <w:t>No entanto, embora não explicitamente, o mecanismo de transferências pode estar induzindo a uma espécie de “exigência de contrapartida” e a eventuais distorções em seu papel redistributivo. Em análises preliminares, identificou-se uma relação positiva entre trans</w:t>
      </w:r>
      <w:r w:rsidRPr="00C158E5">
        <w:rPr>
          <w:sz w:val="24"/>
          <w:szCs w:val="24"/>
        </w:rPr>
        <w:softHyphen/>
        <w:t>fe</w:t>
      </w:r>
      <w:r w:rsidRPr="00C158E5">
        <w:rPr>
          <w:sz w:val="24"/>
          <w:szCs w:val="24"/>
        </w:rPr>
        <w:softHyphen/>
        <w:t>rên</w:t>
      </w:r>
      <w:r w:rsidRPr="00C158E5">
        <w:rPr>
          <w:sz w:val="24"/>
          <w:szCs w:val="24"/>
        </w:rPr>
        <w:softHyphen/>
        <w:t xml:space="preserve">cias recebidas pelos municípios </w:t>
      </w:r>
      <w:r w:rsidR="00D12D24" w:rsidRPr="00C158E5">
        <w:rPr>
          <w:sz w:val="24"/>
          <w:szCs w:val="24"/>
        </w:rPr>
        <w:t xml:space="preserve">para a saúde </w:t>
      </w:r>
      <w:r w:rsidRPr="00C158E5">
        <w:rPr>
          <w:sz w:val="24"/>
          <w:szCs w:val="24"/>
        </w:rPr>
        <w:t>e gastos próprios em saúde</w:t>
      </w:r>
      <w:r w:rsidR="00D12D24" w:rsidRPr="00C158E5">
        <w:rPr>
          <w:sz w:val="24"/>
          <w:szCs w:val="24"/>
        </w:rPr>
        <w:t>, assim como entre</w:t>
      </w:r>
      <w:r w:rsidRPr="00C158E5">
        <w:rPr>
          <w:sz w:val="24"/>
          <w:szCs w:val="24"/>
        </w:rPr>
        <w:t xml:space="preserve"> arrecadação municipal e o recebimento de transferências</w:t>
      </w:r>
      <w:r w:rsidR="00D12D24" w:rsidRPr="00C158E5">
        <w:rPr>
          <w:sz w:val="24"/>
          <w:szCs w:val="24"/>
        </w:rPr>
        <w:t xml:space="preserve"> para a saúde</w:t>
      </w:r>
      <w:r w:rsidRPr="00C158E5">
        <w:rPr>
          <w:sz w:val="24"/>
          <w:szCs w:val="24"/>
        </w:rPr>
        <w:t>. Em princípio, essa relação não seria desejável, pois levaria a uma situação em que os “mais ricos” poderiam estar recebendo mais recursos.</w:t>
      </w:r>
    </w:p>
    <w:p w:rsidR="00085086" w:rsidRDefault="0013755C" w:rsidP="00922A32">
      <w:pPr>
        <w:spacing w:before="120" w:after="120" w:line="240" w:lineRule="auto"/>
        <w:ind w:firstLine="709"/>
        <w:rPr>
          <w:sz w:val="24"/>
          <w:szCs w:val="24"/>
        </w:rPr>
      </w:pPr>
      <w:r w:rsidRPr="00C158E5">
        <w:rPr>
          <w:sz w:val="24"/>
          <w:szCs w:val="24"/>
        </w:rPr>
        <w:t xml:space="preserve">Embora no caso da saúde estejamos tratando de transferências condicionais, essa eventual relação entre gastos próprios e recebimento de transferências pode ser interpretada como uma observação do chamado </w:t>
      </w:r>
      <w:r w:rsidRPr="00C158E5">
        <w:rPr>
          <w:i/>
          <w:iCs/>
          <w:sz w:val="24"/>
          <w:szCs w:val="24"/>
        </w:rPr>
        <w:t>flypaper effect</w:t>
      </w:r>
      <w:r w:rsidR="00FC5015" w:rsidRPr="00C158E5">
        <w:rPr>
          <w:sz w:val="24"/>
          <w:szCs w:val="24"/>
        </w:rPr>
        <w:t xml:space="preserve">, </w:t>
      </w:r>
      <w:r w:rsidRPr="00C158E5">
        <w:rPr>
          <w:sz w:val="24"/>
          <w:szCs w:val="24"/>
        </w:rPr>
        <w:t xml:space="preserve">fenômeno bastante estudado no contexto de transferências intergovernamentais não condicionais, que são aquelas em que os recursos não recebem uma destinação específica. </w:t>
      </w:r>
    </w:p>
    <w:p w:rsidR="00922A32" w:rsidRPr="00922A32" w:rsidRDefault="00922A32" w:rsidP="00922A32">
      <w:pPr>
        <w:spacing w:before="120" w:after="120" w:line="240" w:lineRule="auto"/>
        <w:ind w:firstLine="709"/>
        <w:rPr>
          <w:sz w:val="24"/>
          <w:szCs w:val="24"/>
        </w:rPr>
      </w:pPr>
      <w:r w:rsidRPr="00922A32">
        <w:rPr>
          <w:sz w:val="24"/>
          <w:szCs w:val="24"/>
        </w:rPr>
        <w:t>Apesar de o termo estar mais associado a transferências não condicionais, alguns trabalhos também utilizam a terminologia no contexto de transferências condicionais quando se observa uma relação entre recebimento de transferências e gastos locais [</w:t>
      </w:r>
      <w:r w:rsidRPr="00922A32">
        <w:rPr>
          <w:sz w:val="24"/>
          <w:szCs w:val="24"/>
        </w:rPr>
        <w:fldChar w:fldCharType="begin"/>
      </w:r>
      <w:r w:rsidRPr="00922A32">
        <w:rPr>
          <w:sz w:val="24"/>
          <w:szCs w:val="24"/>
        </w:rPr>
        <w:instrText xml:space="preserve">REF BIB_hines_1995 \* MERGEFORMAT </w:instrText>
      </w:r>
      <w:r w:rsidRPr="00922A32">
        <w:rPr>
          <w:sz w:val="24"/>
          <w:szCs w:val="24"/>
        </w:rPr>
        <w:fldChar w:fldCharType="separate"/>
      </w:r>
      <w:r w:rsidR="008F7554" w:rsidRPr="008F7554">
        <w:rPr>
          <w:sz w:val="24"/>
          <w:szCs w:val="24"/>
        </w:rPr>
        <w:t>Hines e Thaler 1995</w:t>
      </w:r>
      <w:r w:rsidRPr="00922A32">
        <w:rPr>
          <w:sz w:val="24"/>
          <w:szCs w:val="24"/>
        </w:rPr>
        <w:fldChar w:fldCharType="end"/>
      </w:r>
      <w:r w:rsidRPr="00922A32">
        <w:rPr>
          <w:sz w:val="24"/>
          <w:szCs w:val="24"/>
        </w:rPr>
        <w:t xml:space="preserve">, </w:t>
      </w:r>
      <w:r w:rsidRPr="00922A32">
        <w:rPr>
          <w:sz w:val="24"/>
          <w:szCs w:val="24"/>
        </w:rPr>
        <w:fldChar w:fldCharType="begin"/>
      </w:r>
      <w:r w:rsidRPr="00922A32">
        <w:rPr>
          <w:sz w:val="24"/>
          <w:szCs w:val="24"/>
        </w:rPr>
        <w:instrText xml:space="preserve">REF BIB_chernick_1979 \* MERGEFORMAT </w:instrText>
      </w:r>
      <w:r w:rsidRPr="00922A32">
        <w:rPr>
          <w:sz w:val="24"/>
          <w:szCs w:val="24"/>
        </w:rPr>
        <w:fldChar w:fldCharType="separate"/>
      </w:r>
      <w:r w:rsidR="008F7554" w:rsidRPr="004C01D0">
        <w:rPr>
          <w:sz w:val="24"/>
          <w:szCs w:val="24"/>
        </w:rPr>
        <w:t>Chernick 1979</w:t>
      </w:r>
      <w:r w:rsidRPr="00922A32">
        <w:rPr>
          <w:sz w:val="24"/>
          <w:szCs w:val="24"/>
        </w:rPr>
        <w:fldChar w:fldCharType="end"/>
      </w:r>
      <w:r w:rsidRPr="00922A32">
        <w:rPr>
          <w:sz w:val="24"/>
          <w:szCs w:val="24"/>
        </w:rPr>
        <w:t xml:space="preserve">, </w:t>
      </w:r>
      <w:r w:rsidRPr="00922A32">
        <w:rPr>
          <w:sz w:val="24"/>
          <w:szCs w:val="24"/>
        </w:rPr>
        <w:fldChar w:fldCharType="begin"/>
      </w:r>
      <w:r w:rsidRPr="00922A32">
        <w:rPr>
          <w:sz w:val="24"/>
          <w:szCs w:val="24"/>
        </w:rPr>
        <w:instrText xml:space="preserve">REF BIB_knight_2002 \* MERGEFORMAT </w:instrText>
      </w:r>
      <w:r w:rsidRPr="00922A32">
        <w:rPr>
          <w:sz w:val="24"/>
          <w:szCs w:val="24"/>
        </w:rPr>
        <w:fldChar w:fldCharType="separate"/>
      </w:r>
      <w:r w:rsidR="008F7554" w:rsidRPr="008F7554">
        <w:rPr>
          <w:sz w:val="24"/>
          <w:szCs w:val="24"/>
        </w:rPr>
        <w:t>Knight 2002</w:t>
      </w:r>
      <w:r w:rsidRPr="00922A32">
        <w:rPr>
          <w:sz w:val="24"/>
          <w:szCs w:val="24"/>
        </w:rPr>
        <w:fldChar w:fldCharType="end"/>
      </w:r>
      <w:r w:rsidRPr="00922A32">
        <w:rPr>
          <w:sz w:val="24"/>
          <w:szCs w:val="24"/>
        </w:rPr>
        <w:t>]. Chernick [</w:t>
      </w:r>
      <w:r w:rsidRPr="00922A32">
        <w:rPr>
          <w:sz w:val="24"/>
          <w:szCs w:val="24"/>
        </w:rPr>
        <w:fldChar w:fldCharType="begin"/>
      </w:r>
      <w:r w:rsidRPr="00922A32">
        <w:rPr>
          <w:sz w:val="24"/>
          <w:szCs w:val="24"/>
        </w:rPr>
        <w:instrText xml:space="preserve">REF BIB_chernick_1979 \* MERGEFORMAT </w:instrText>
      </w:r>
      <w:r w:rsidRPr="00922A32">
        <w:rPr>
          <w:sz w:val="24"/>
          <w:szCs w:val="24"/>
        </w:rPr>
        <w:fldChar w:fldCharType="separate"/>
      </w:r>
      <w:r w:rsidR="008F7554" w:rsidRPr="004C01D0">
        <w:rPr>
          <w:sz w:val="24"/>
          <w:szCs w:val="24"/>
        </w:rPr>
        <w:t>Chernick 1979</w:t>
      </w:r>
      <w:r w:rsidRPr="00922A32">
        <w:rPr>
          <w:sz w:val="24"/>
          <w:szCs w:val="24"/>
        </w:rPr>
        <w:fldChar w:fldCharType="end"/>
      </w:r>
      <w:r w:rsidRPr="00922A32">
        <w:rPr>
          <w:sz w:val="24"/>
          <w:szCs w:val="24"/>
        </w:rPr>
        <w:t>] desenvolveu um modelo para tentar explicar um caso desse tipo nas transferências para o setor de saneamento do Departamento de Construção Civil e Desenvolvimento Urbano dos Estados Unidos.</w:t>
      </w:r>
    </w:p>
    <w:p w:rsidR="00E9008B" w:rsidRPr="00C158E5" w:rsidRDefault="0013755C" w:rsidP="00C16190">
      <w:pPr>
        <w:spacing w:before="120" w:after="120" w:line="240" w:lineRule="auto"/>
        <w:ind w:firstLine="709"/>
        <w:rPr>
          <w:sz w:val="24"/>
          <w:szCs w:val="24"/>
        </w:rPr>
      </w:pPr>
      <w:r w:rsidRPr="00C158E5">
        <w:rPr>
          <w:sz w:val="24"/>
          <w:szCs w:val="24"/>
        </w:rPr>
        <w:t>Nesse contexto, o objetivo principal deste trabalho é avaliar empiricamente a relação positiva entre arrecadação</w:t>
      </w:r>
      <w:r w:rsidR="0010194A" w:rsidRPr="00C158E5">
        <w:rPr>
          <w:sz w:val="24"/>
          <w:szCs w:val="24"/>
        </w:rPr>
        <w:t xml:space="preserve"> local</w:t>
      </w:r>
      <w:r w:rsidRPr="00C158E5">
        <w:rPr>
          <w:sz w:val="24"/>
          <w:szCs w:val="24"/>
        </w:rPr>
        <w:t xml:space="preserve"> e o recebimento de transferências do SUS pelos municípios brasileiros. O trabalho discute alguns aspectos redistributivos das transferências do SUS, como também sua sensibilidade às necessidades de saúde dos municípios e a fatores políticos. Desenvolvemos um modelo empírico para explicar alguns d</w:t>
      </w:r>
      <w:r w:rsidR="00076CFC" w:rsidRPr="00C158E5">
        <w:rPr>
          <w:sz w:val="24"/>
          <w:szCs w:val="24"/>
        </w:rPr>
        <w:t xml:space="preserve">eterminantes das transferências </w:t>
      </w:r>
      <w:r w:rsidRPr="00C158E5">
        <w:rPr>
          <w:sz w:val="24"/>
          <w:szCs w:val="24"/>
        </w:rPr>
        <w:t>na área da saúde, utiliza</w:t>
      </w:r>
      <w:r w:rsidR="007478E1">
        <w:rPr>
          <w:sz w:val="24"/>
          <w:szCs w:val="24"/>
        </w:rPr>
        <w:t>ndo</w:t>
      </w:r>
      <w:r w:rsidRPr="00C158E5">
        <w:rPr>
          <w:sz w:val="24"/>
          <w:szCs w:val="24"/>
        </w:rPr>
        <w:t xml:space="preserve"> um painel de municípios brasileiros no período de 2002 a 2010. Os dados foram obtidos principalmente através do Departamento de Informações do SUS (DATASUS) e do Sistema de Informações sobre Orçamentos Públicos em Saúde (SIOPS), ambos do Ministério da Saúde. O modelo de Chernick foi utilizado como motivação e referência. </w:t>
      </w:r>
    </w:p>
    <w:p w:rsidR="00E9008B" w:rsidRPr="00C158E5" w:rsidRDefault="0013755C" w:rsidP="005D7789">
      <w:pPr>
        <w:spacing w:before="120" w:after="240" w:line="240" w:lineRule="auto"/>
        <w:ind w:firstLine="709"/>
        <w:rPr>
          <w:sz w:val="24"/>
          <w:szCs w:val="24"/>
        </w:rPr>
      </w:pPr>
      <w:r w:rsidRPr="00C158E5">
        <w:rPr>
          <w:sz w:val="24"/>
          <w:szCs w:val="24"/>
        </w:rPr>
        <w:lastRenderedPageBreak/>
        <w:t xml:space="preserve">Este trabalho está organizado em seis </w:t>
      </w:r>
      <w:r w:rsidR="00D25F40">
        <w:rPr>
          <w:sz w:val="24"/>
          <w:szCs w:val="24"/>
        </w:rPr>
        <w:t>seções</w:t>
      </w:r>
      <w:r w:rsidRPr="00C158E5">
        <w:rPr>
          <w:sz w:val="24"/>
          <w:szCs w:val="24"/>
        </w:rPr>
        <w:t>, além desta introdução. N</w:t>
      </w:r>
      <w:r w:rsidR="00D25F40">
        <w:rPr>
          <w:sz w:val="24"/>
          <w:szCs w:val="24"/>
        </w:rPr>
        <w:t>a segunda seção</w:t>
      </w:r>
      <w:r w:rsidRPr="00C158E5">
        <w:rPr>
          <w:sz w:val="24"/>
          <w:szCs w:val="24"/>
        </w:rPr>
        <w:t>, trazemos um pequeno histórico do SUS, além de um resumo sobre as regras para financiamento e transferências na área da saúde. Julgamos importante entender o contexto em que o sistema foi criado, o qual demonstra a importância do aspecto redistributivo das transferências. Além disso, para melhor interpretação dos resultados do modelo empírico, é importante conhecer os critérios explícitos que definem es</w:t>
      </w:r>
      <w:r w:rsidR="00D25F40">
        <w:rPr>
          <w:sz w:val="24"/>
          <w:szCs w:val="24"/>
        </w:rPr>
        <w:t xml:space="preserve">sas transferências. Na seção </w:t>
      </w:r>
      <w:r w:rsidRPr="00C158E5">
        <w:rPr>
          <w:sz w:val="24"/>
          <w:szCs w:val="24"/>
        </w:rPr>
        <w:t>3, discutimos alguns aspectos teóricos associados às hipóteses empíricas que</w:t>
      </w:r>
      <w:r w:rsidR="00D25F40">
        <w:rPr>
          <w:sz w:val="24"/>
          <w:szCs w:val="24"/>
        </w:rPr>
        <w:t xml:space="preserve"> testamos no trabalho. A seção</w:t>
      </w:r>
      <w:r w:rsidRPr="00C158E5">
        <w:rPr>
          <w:sz w:val="24"/>
          <w:szCs w:val="24"/>
        </w:rPr>
        <w:t> 4 apresenta</w:t>
      </w:r>
      <w:r w:rsidR="00076CFC" w:rsidRPr="00C158E5">
        <w:rPr>
          <w:sz w:val="24"/>
          <w:szCs w:val="24"/>
        </w:rPr>
        <w:t xml:space="preserve"> a proposta de análise empírica</w:t>
      </w:r>
      <w:r w:rsidR="00791970">
        <w:rPr>
          <w:sz w:val="24"/>
          <w:szCs w:val="24"/>
        </w:rPr>
        <w:t>,</w:t>
      </w:r>
      <w:r w:rsidR="00076CFC" w:rsidRPr="00C158E5">
        <w:rPr>
          <w:sz w:val="24"/>
          <w:szCs w:val="24"/>
        </w:rPr>
        <w:t xml:space="preserve"> bem como os dados utilizados</w:t>
      </w:r>
      <w:r w:rsidR="00791970">
        <w:rPr>
          <w:sz w:val="24"/>
          <w:szCs w:val="24"/>
        </w:rPr>
        <w:t>.</w:t>
      </w:r>
      <w:r w:rsidRPr="00C158E5">
        <w:rPr>
          <w:sz w:val="24"/>
          <w:szCs w:val="24"/>
        </w:rPr>
        <w:t xml:space="preserve"> </w:t>
      </w:r>
      <w:r w:rsidR="00791970">
        <w:rPr>
          <w:sz w:val="24"/>
          <w:szCs w:val="24"/>
        </w:rPr>
        <w:t>A</w:t>
      </w:r>
      <w:r w:rsidRPr="00C158E5">
        <w:rPr>
          <w:sz w:val="24"/>
          <w:szCs w:val="24"/>
        </w:rPr>
        <w:t xml:space="preserve"> </w:t>
      </w:r>
      <w:r w:rsidR="00D25F40">
        <w:rPr>
          <w:sz w:val="24"/>
          <w:szCs w:val="24"/>
        </w:rPr>
        <w:t>seção</w:t>
      </w:r>
      <w:r w:rsidRPr="00C158E5">
        <w:rPr>
          <w:sz w:val="24"/>
          <w:szCs w:val="24"/>
        </w:rPr>
        <w:t xml:space="preserve"> 5 discute os </w:t>
      </w:r>
      <w:r w:rsidR="00D25F40">
        <w:rPr>
          <w:sz w:val="24"/>
          <w:szCs w:val="24"/>
        </w:rPr>
        <w:t xml:space="preserve">resultados. Por fim, a seção </w:t>
      </w:r>
      <w:r w:rsidRPr="00C158E5">
        <w:rPr>
          <w:sz w:val="24"/>
          <w:szCs w:val="24"/>
        </w:rPr>
        <w:t>6 traz as conclusões e considerações finais.</w:t>
      </w:r>
    </w:p>
    <w:p w:rsidR="00E9008B" w:rsidRPr="00C158E5" w:rsidRDefault="0013755C" w:rsidP="00C16190">
      <w:pPr>
        <w:pStyle w:val="Ttulo1"/>
        <w:spacing w:before="120" w:line="240" w:lineRule="auto"/>
        <w:ind w:firstLine="709"/>
        <w:jc w:val="both"/>
        <w:rPr>
          <w:sz w:val="24"/>
          <w:szCs w:val="24"/>
        </w:rPr>
      </w:pPr>
      <w:bookmarkStart w:id="1" w:name="BMcap_02"/>
      <w:r w:rsidRPr="00C158E5">
        <w:rPr>
          <w:sz w:val="24"/>
          <w:szCs w:val="24"/>
        </w:rPr>
        <w:t>2</w:t>
      </w:r>
      <w:bookmarkEnd w:id="1"/>
      <w:r w:rsidRPr="00C158E5">
        <w:rPr>
          <w:sz w:val="24"/>
          <w:szCs w:val="24"/>
        </w:rPr>
        <w:t xml:space="preserve">  Estrutura da assistência e do financiamento público à saúde no Brasil</w:t>
      </w:r>
    </w:p>
    <w:p w:rsidR="00E9008B" w:rsidRPr="00C158E5" w:rsidRDefault="0013755C" w:rsidP="00C16190">
      <w:pPr>
        <w:spacing w:before="120" w:after="120" w:line="240" w:lineRule="auto"/>
        <w:ind w:firstLine="709"/>
        <w:rPr>
          <w:sz w:val="24"/>
          <w:szCs w:val="24"/>
        </w:rPr>
      </w:pPr>
      <w:r w:rsidRPr="00C158E5">
        <w:rPr>
          <w:sz w:val="24"/>
          <w:szCs w:val="24"/>
        </w:rPr>
        <w:t>A assistência e o financiamento público à saúde no Brasil são realizados por intermédio do Sistema Único de Saúde, o SUS. Como descrevem Souza [</w:t>
      </w:r>
      <w:r w:rsidR="00A43E78" w:rsidRPr="00C158E5">
        <w:rPr>
          <w:sz w:val="24"/>
          <w:szCs w:val="24"/>
        </w:rPr>
        <w:fldChar w:fldCharType="begin"/>
      </w:r>
      <w:r w:rsidR="00A43E78" w:rsidRPr="00C158E5">
        <w:rPr>
          <w:sz w:val="24"/>
          <w:szCs w:val="24"/>
        </w:rPr>
        <w:instrText xml:space="preserve">REF BIB_souza_2002 \* MERGEFORMAT </w:instrText>
      </w:r>
      <w:r w:rsidR="00A43E78" w:rsidRPr="00C158E5">
        <w:rPr>
          <w:sz w:val="24"/>
          <w:szCs w:val="24"/>
        </w:rPr>
        <w:fldChar w:fldCharType="separate"/>
      </w:r>
      <w:r w:rsidR="008F7554" w:rsidRPr="00D435DE">
        <w:rPr>
          <w:sz w:val="24"/>
          <w:szCs w:val="24"/>
        </w:rPr>
        <w:t>Souza 2002</w:t>
      </w:r>
      <w:r w:rsidR="00A43E78" w:rsidRPr="00C158E5">
        <w:rPr>
          <w:sz w:val="24"/>
          <w:szCs w:val="24"/>
        </w:rPr>
        <w:fldChar w:fldCharType="end"/>
      </w:r>
      <w:r w:rsidRPr="00C158E5">
        <w:rPr>
          <w:sz w:val="24"/>
          <w:szCs w:val="24"/>
        </w:rPr>
        <w:t>] e Mendes, Miranda e Cossio [</w:t>
      </w:r>
      <w:r w:rsidR="00A43E78" w:rsidRPr="00C158E5">
        <w:rPr>
          <w:sz w:val="24"/>
          <w:szCs w:val="24"/>
        </w:rPr>
        <w:fldChar w:fldCharType="begin"/>
      </w:r>
      <w:r w:rsidR="00A43E78" w:rsidRPr="00C158E5">
        <w:rPr>
          <w:sz w:val="24"/>
          <w:szCs w:val="24"/>
        </w:rPr>
        <w:instrText xml:space="preserve">REF BIB_mendes_2008 \* MERGEFORMAT </w:instrText>
      </w:r>
      <w:r w:rsidR="00A43E78" w:rsidRPr="00C158E5">
        <w:rPr>
          <w:sz w:val="24"/>
          <w:szCs w:val="24"/>
        </w:rPr>
        <w:fldChar w:fldCharType="separate"/>
      </w:r>
      <w:r w:rsidR="008F7554" w:rsidRPr="00D435DE">
        <w:rPr>
          <w:sz w:val="24"/>
          <w:szCs w:val="24"/>
        </w:rPr>
        <w:t>Mendes, Miranda e Cossio 2008</w:t>
      </w:r>
      <w:r w:rsidR="00A43E78" w:rsidRPr="00C158E5">
        <w:rPr>
          <w:sz w:val="24"/>
          <w:szCs w:val="24"/>
        </w:rPr>
        <w:fldChar w:fldCharType="end"/>
      </w:r>
      <w:r w:rsidRPr="00C158E5">
        <w:rPr>
          <w:sz w:val="24"/>
          <w:szCs w:val="24"/>
        </w:rPr>
        <w:t>], o sistema, nos moldes em que conhecemos hoje, é resultado de mais de duas décadas de avanços na área de saúde pública brasileira. Ainda assim, o próprio trabal</w:t>
      </w:r>
      <w:r w:rsidR="00677B69" w:rsidRPr="00C158E5">
        <w:rPr>
          <w:sz w:val="24"/>
          <w:szCs w:val="24"/>
        </w:rPr>
        <w:t>ho de Mendes, Miranda e Cossio destaca pontos em</w:t>
      </w:r>
      <w:r w:rsidRPr="00C158E5">
        <w:rPr>
          <w:sz w:val="24"/>
          <w:szCs w:val="24"/>
        </w:rPr>
        <w:t xml:space="preserve"> que há espaço para discussões e evoluções.</w:t>
      </w:r>
    </w:p>
    <w:p w:rsidR="00E9008B" w:rsidRPr="00C158E5" w:rsidRDefault="008D578F" w:rsidP="00C16190">
      <w:pPr>
        <w:spacing w:before="120" w:after="120" w:line="240" w:lineRule="auto"/>
        <w:ind w:firstLine="709"/>
        <w:rPr>
          <w:sz w:val="24"/>
          <w:szCs w:val="24"/>
        </w:rPr>
      </w:pPr>
      <w:r w:rsidRPr="00C158E5">
        <w:rPr>
          <w:sz w:val="24"/>
          <w:szCs w:val="24"/>
        </w:rPr>
        <w:t>O SUS foi concebido com a promulgação da Constituição Federal de 1988</w:t>
      </w:r>
      <w:r>
        <w:rPr>
          <w:sz w:val="24"/>
          <w:szCs w:val="24"/>
        </w:rPr>
        <w:t xml:space="preserve"> e </w:t>
      </w:r>
      <w:r w:rsidR="0013755C" w:rsidRPr="00C158E5">
        <w:rPr>
          <w:sz w:val="24"/>
          <w:szCs w:val="24"/>
        </w:rPr>
        <w:t>institucionalizou a universalidade da assistência pública à saúde no Brasil</w:t>
      </w:r>
      <w:r>
        <w:rPr>
          <w:sz w:val="24"/>
          <w:szCs w:val="24"/>
        </w:rPr>
        <w:t>,</w:t>
      </w:r>
      <w:r w:rsidR="0013755C" w:rsidRPr="00C158E5">
        <w:rPr>
          <w:sz w:val="24"/>
          <w:szCs w:val="24"/>
        </w:rPr>
        <w:t xml:space="preserve"> procur</w:t>
      </w:r>
      <w:r>
        <w:rPr>
          <w:sz w:val="24"/>
          <w:szCs w:val="24"/>
        </w:rPr>
        <w:t>ando</w:t>
      </w:r>
      <w:r w:rsidR="0013755C" w:rsidRPr="00C158E5">
        <w:rPr>
          <w:sz w:val="24"/>
          <w:szCs w:val="24"/>
        </w:rPr>
        <w:t xml:space="preserve"> trazer um carácter mais redistributivo aos gastos públicos em saúde. A descentralização da gestão é um dos princípios chaves p</w:t>
      </w:r>
      <w:r w:rsidR="00677B69" w:rsidRPr="00C158E5">
        <w:rPr>
          <w:sz w:val="24"/>
          <w:szCs w:val="24"/>
        </w:rPr>
        <w:t xml:space="preserve">ara o funcionamento do sistema, sendo que </w:t>
      </w:r>
      <w:r w:rsidR="0013755C" w:rsidRPr="00C158E5">
        <w:rPr>
          <w:sz w:val="24"/>
          <w:szCs w:val="24"/>
        </w:rPr>
        <w:t>as políticas e diretrizes são definidas por comissões de que participam as três esferas de governo – federal, estadual e municipal</w:t>
      </w:r>
      <w:r w:rsidR="00677B69" w:rsidRPr="00C158E5">
        <w:rPr>
          <w:sz w:val="24"/>
          <w:szCs w:val="24"/>
        </w:rPr>
        <w:t xml:space="preserve"> –</w:t>
      </w:r>
      <w:r w:rsidR="0013755C" w:rsidRPr="00C158E5">
        <w:rPr>
          <w:sz w:val="24"/>
          <w:szCs w:val="24"/>
        </w:rPr>
        <w:t xml:space="preserve">, mas os recursos do governo federal são transferidos para que as ações sejam executadas pelos estados e, principalmente, pelos municípios. </w:t>
      </w:r>
    </w:p>
    <w:p w:rsidR="00E9008B" w:rsidRPr="00C158E5" w:rsidRDefault="0013755C" w:rsidP="00C16190">
      <w:pPr>
        <w:spacing w:before="120" w:after="120" w:line="240" w:lineRule="auto"/>
        <w:ind w:firstLine="709"/>
        <w:rPr>
          <w:sz w:val="24"/>
          <w:szCs w:val="24"/>
        </w:rPr>
      </w:pPr>
      <w:r w:rsidRPr="00C158E5">
        <w:rPr>
          <w:sz w:val="24"/>
          <w:szCs w:val="24"/>
        </w:rPr>
        <w:t>Antes da implantação do SUS, a cobertura do sistema público federal de saúde estava restrita principalmente aos trabalhadores do mercado formal e a seus dependentes. A assistência médica e hospitalar pública federal era prestada através do INAMPS – Instituto Nacional de Assistência Médica da Previdência Social, uma autarquia do Ministério da Pr</w:t>
      </w:r>
      <w:r w:rsidR="007A19D1" w:rsidRPr="00C158E5">
        <w:rPr>
          <w:sz w:val="24"/>
          <w:szCs w:val="24"/>
        </w:rPr>
        <w:t xml:space="preserve">evidência e Assistência Social. </w:t>
      </w:r>
      <w:r w:rsidRPr="00C158E5">
        <w:rPr>
          <w:sz w:val="24"/>
          <w:szCs w:val="24"/>
        </w:rPr>
        <w:t>Ao Ministério da Saúde cabiam ações como as campanhas de vacinação e de controle de endemias, além da gestão de alguns hospitais especializados nas áreas de psiquiatria e tuberculose, mas não a gestão completa da assistência à saúde da população.</w:t>
      </w:r>
    </w:p>
    <w:p w:rsidR="00E9008B" w:rsidRPr="00C158E5" w:rsidRDefault="0013755C" w:rsidP="00C16190">
      <w:pPr>
        <w:spacing w:before="120" w:after="120" w:line="240" w:lineRule="auto"/>
        <w:ind w:firstLine="709"/>
        <w:rPr>
          <w:sz w:val="24"/>
          <w:szCs w:val="24"/>
        </w:rPr>
      </w:pPr>
      <w:r w:rsidRPr="00C158E5">
        <w:rPr>
          <w:sz w:val="24"/>
          <w:szCs w:val="24"/>
        </w:rPr>
        <w:t xml:space="preserve">Além de não ter um carácter universal, o INAMPS ajudava a acentuar as desigualdades regionais no Brasil. Como a assistência era destinada apenas aos trabalhadores da economia formal, os estados e municípios mais ricos e desenvolvidos, que possuíam maior presença das relações formais de trabalho, eram os que contavam com o maior número de postos de assistência médica e hospitalar. Em dados da Secretaria de Planejamento do INAMPS de 1986, observa-se que, naquela época, gastava-se </w:t>
      </w:r>
      <w:r w:rsidRPr="00C158E5">
        <w:rPr>
          <w:sz w:val="24"/>
          <w:szCs w:val="24"/>
        </w:rPr>
        <w:fldChar w:fldCharType="begin"/>
      </w:r>
      <w:r w:rsidRPr="00C158E5">
        <w:rPr>
          <w:sz w:val="24"/>
          <w:szCs w:val="24"/>
        </w:rPr>
        <w:instrText xml:space="preserve"> COMMENTS " $59,28$" </w:instrText>
      </w:r>
      <w:r w:rsidRPr="00C158E5">
        <w:rPr>
          <w:sz w:val="24"/>
          <w:szCs w:val="24"/>
        </w:rPr>
        <w:fldChar w:fldCharType="end"/>
      </w:r>
      <w:r w:rsidRPr="00C158E5">
        <w:rPr>
          <w:sz w:val="24"/>
          <w:szCs w:val="24"/>
        </w:rPr>
        <w:t xml:space="preserve">59,28% dos recursos em saúde do país com a região Sudeste, enquanto esta representava somente </w:t>
      </w:r>
      <w:r w:rsidRPr="00C158E5">
        <w:rPr>
          <w:sz w:val="24"/>
          <w:szCs w:val="24"/>
        </w:rPr>
        <w:fldChar w:fldCharType="begin"/>
      </w:r>
      <w:r w:rsidRPr="00C158E5">
        <w:rPr>
          <w:sz w:val="24"/>
          <w:szCs w:val="24"/>
        </w:rPr>
        <w:instrText xml:space="preserve"> COMMENTS " $43,79$" </w:instrText>
      </w:r>
      <w:r w:rsidRPr="00C158E5">
        <w:rPr>
          <w:sz w:val="24"/>
          <w:szCs w:val="24"/>
        </w:rPr>
        <w:fldChar w:fldCharType="end"/>
      </w:r>
      <w:r w:rsidRPr="00C158E5">
        <w:rPr>
          <w:sz w:val="24"/>
          <w:szCs w:val="24"/>
        </w:rPr>
        <w:t xml:space="preserve">43,79% da população do país. Por outro lado, eram gastos apenas </w:t>
      </w:r>
      <w:r w:rsidRPr="00C158E5">
        <w:rPr>
          <w:sz w:val="24"/>
          <w:szCs w:val="24"/>
        </w:rPr>
        <w:fldChar w:fldCharType="begin"/>
      </w:r>
      <w:r w:rsidRPr="00C158E5">
        <w:rPr>
          <w:sz w:val="24"/>
          <w:szCs w:val="24"/>
        </w:rPr>
        <w:instrText xml:space="preserve"> COMMENTS " $18,10$" </w:instrText>
      </w:r>
      <w:r w:rsidRPr="00C158E5">
        <w:rPr>
          <w:sz w:val="24"/>
          <w:szCs w:val="24"/>
        </w:rPr>
        <w:fldChar w:fldCharType="end"/>
      </w:r>
      <w:r w:rsidRPr="00C158E5">
        <w:rPr>
          <w:sz w:val="24"/>
          <w:szCs w:val="24"/>
        </w:rPr>
        <w:t xml:space="preserve">18,10% dos recursos com o Nordeste, que totalizava </w:t>
      </w:r>
      <w:r w:rsidRPr="00C158E5">
        <w:rPr>
          <w:sz w:val="24"/>
          <w:szCs w:val="24"/>
        </w:rPr>
        <w:fldChar w:fldCharType="begin"/>
      </w:r>
      <w:r w:rsidRPr="00C158E5">
        <w:rPr>
          <w:sz w:val="24"/>
          <w:szCs w:val="24"/>
        </w:rPr>
        <w:instrText xml:space="preserve"> COMMENTS " $28,82$" </w:instrText>
      </w:r>
      <w:r w:rsidRPr="00C158E5">
        <w:rPr>
          <w:sz w:val="24"/>
          <w:szCs w:val="24"/>
        </w:rPr>
        <w:fldChar w:fldCharType="end"/>
      </w:r>
      <w:r w:rsidRPr="00C158E5">
        <w:rPr>
          <w:sz w:val="24"/>
          <w:szCs w:val="24"/>
        </w:rPr>
        <w:t xml:space="preserve">28,82% da população brasileira à época. </w:t>
      </w:r>
    </w:p>
    <w:p w:rsidR="00E9008B" w:rsidRPr="00C158E5" w:rsidRDefault="0013755C" w:rsidP="00C16190">
      <w:pPr>
        <w:spacing w:before="120" w:after="120" w:line="240" w:lineRule="auto"/>
        <w:ind w:firstLine="709"/>
        <w:rPr>
          <w:sz w:val="24"/>
          <w:szCs w:val="24"/>
        </w:rPr>
      </w:pPr>
      <w:r w:rsidRPr="00C158E5">
        <w:rPr>
          <w:sz w:val="24"/>
          <w:szCs w:val="24"/>
        </w:rPr>
        <w:t>Em 1990, com a transferência do INAMPS do Ministério da Previdência para o Ministério da Saúde, a rede de assistência médico-hospitalar financiada pelo governo federal deixou de ser restrita a apenas uma parcela da população brasileira, o que começou a proporcionar a universalidade no atendimento assegurada pela Constituição Federal. Entretanto, a redistribuição dos recursos ao longo das regiões do Brasil ainda levou algum tempo para se concretizar, uma vez que a assistência permaneceu vinculada às instalações do INAMPS.</w:t>
      </w:r>
      <w:r w:rsidR="00D770AD">
        <w:rPr>
          <w:sz w:val="24"/>
          <w:szCs w:val="24"/>
        </w:rPr>
        <w:t xml:space="preserve"> </w:t>
      </w:r>
      <w:r w:rsidRPr="00C158E5">
        <w:rPr>
          <w:sz w:val="24"/>
          <w:szCs w:val="24"/>
        </w:rPr>
        <w:t xml:space="preserve">Nesse sentido, foi preciso implementar um sistema de transferências de recursos e responsabilidades entre os entes da federação. </w:t>
      </w:r>
    </w:p>
    <w:p w:rsidR="004137E2" w:rsidRPr="00C158E5" w:rsidRDefault="0013755C" w:rsidP="007E67F9">
      <w:pPr>
        <w:spacing w:before="120" w:after="240" w:line="240" w:lineRule="auto"/>
        <w:ind w:firstLine="709"/>
        <w:rPr>
          <w:sz w:val="24"/>
          <w:szCs w:val="24"/>
        </w:rPr>
      </w:pPr>
      <w:r w:rsidRPr="00C158E5">
        <w:rPr>
          <w:sz w:val="24"/>
          <w:szCs w:val="24"/>
        </w:rPr>
        <w:t>Apenas no ano 2000, com a promulgação da Emenda Constitucional n.º 29, definiu-se efetivamente qual parcela das receitas da União, dos estados e dos municípios deveria compor os fundos de assistência à saúde. Além disso, as Normas Operacionais do SUS, publicadas nos anos 90 e início dos anos 2000, foram atribuindo maior responsabilidade aos estados e municípios na definição de estratégias e na gestão de recursos. O trabalho de Souza [</w:t>
      </w:r>
      <w:r w:rsidR="00A43E78" w:rsidRPr="00C158E5">
        <w:rPr>
          <w:sz w:val="24"/>
          <w:szCs w:val="24"/>
        </w:rPr>
        <w:fldChar w:fldCharType="begin"/>
      </w:r>
      <w:r w:rsidR="00A43E78" w:rsidRPr="00C158E5">
        <w:rPr>
          <w:sz w:val="24"/>
          <w:szCs w:val="24"/>
        </w:rPr>
        <w:instrText xml:space="preserve">REF BIB_souza_2002 \* MERGEFORMAT </w:instrText>
      </w:r>
      <w:r w:rsidR="00A43E78" w:rsidRPr="00C158E5">
        <w:rPr>
          <w:sz w:val="24"/>
          <w:szCs w:val="24"/>
        </w:rPr>
        <w:fldChar w:fldCharType="separate"/>
      </w:r>
      <w:r w:rsidR="008F7554" w:rsidRPr="00D435DE">
        <w:rPr>
          <w:sz w:val="24"/>
          <w:szCs w:val="24"/>
        </w:rPr>
        <w:t>Souza 2002</w:t>
      </w:r>
      <w:r w:rsidR="00A43E78" w:rsidRPr="00C158E5">
        <w:rPr>
          <w:sz w:val="24"/>
          <w:szCs w:val="24"/>
        </w:rPr>
        <w:fldChar w:fldCharType="end"/>
      </w:r>
      <w:r w:rsidRPr="00C158E5">
        <w:rPr>
          <w:sz w:val="24"/>
          <w:szCs w:val="24"/>
        </w:rPr>
        <w:t>] traz uma resenha completa sobre o processo de institucionalização e operacionalização do SUS, bem como um histórico das leis e normativas que constituíram a base do sistema hoje em vigor.</w:t>
      </w:r>
      <w:bookmarkStart w:id="2" w:name="BMsec_transf"/>
    </w:p>
    <w:p w:rsidR="00E9008B" w:rsidRPr="00C158E5" w:rsidRDefault="0013755C" w:rsidP="00C16190">
      <w:pPr>
        <w:spacing w:before="120" w:after="120" w:line="240" w:lineRule="auto"/>
        <w:ind w:firstLine="709"/>
        <w:rPr>
          <w:b/>
          <w:sz w:val="24"/>
          <w:szCs w:val="24"/>
        </w:rPr>
      </w:pPr>
      <w:r w:rsidRPr="00C158E5">
        <w:rPr>
          <w:b/>
          <w:sz w:val="24"/>
          <w:szCs w:val="24"/>
        </w:rPr>
        <w:lastRenderedPageBreak/>
        <w:t>2.</w:t>
      </w:r>
      <w:bookmarkEnd w:id="2"/>
      <w:r w:rsidR="00D6767C" w:rsidRPr="00C158E5">
        <w:rPr>
          <w:b/>
          <w:sz w:val="24"/>
          <w:szCs w:val="24"/>
        </w:rPr>
        <w:t>1</w:t>
      </w:r>
      <w:r w:rsidRPr="00C158E5">
        <w:rPr>
          <w:b/>
          <w:sz w:val="24"/>
          <w:szCs w:val="24"/>
        </w:rPr>
        <w:t xml:space="preserve">  Regras de financiamento e transferências</w:t>
      </w:r>
    </w:p>
    <w:p w:rsidR="00E9008B" w:rsidRPr="00C158E5" w:rsidRDefault="00D6767C" w:rsidP="00C16190">
      <w:pPr>
        <w:spacing w:before="120" w:after="120" w:line="240" w:lineRule="auto"/>
        <w:ind w:firstLine="709"/>
        <w:rPr>
          <w:sz w:val="24"/>
          <w:szCs w:val="24"/>
        </w:rPr>
      </w:pPr>
      <w:r w:rsidRPr="00C158E5">
        <w:rPr>
          <w:sz w:val="24"/>
          <w:szCs w:val="24"/>
        </w:rPr>
        <w:t>A</w:t>
      </w:r>
      <w:r w:rsidR="0013755C" w:rsidRPr="00C158E5">
        <w:rPr>
          <w:sz w:val="24"/>
          <w:szCs w:val="24"/>
        </w:rPr>
        <w:t xml:space="preserve"> Emenda Constitucional nº 29 (EC-29) determina a parcela mínima das receitas de cada ente da federação a ser aplicada na área de saúde. </w:t>
      </w:r>
      <w:r w:rsidRPr="00C158E5">
        <w:rPr>
          <w:sz w:val="24"/>
          <w:szCs w:val="24"/>
        </w:rPr>
        <w:t>De acordo com a EC-29, ficou estabelecido</w:t>
      </w:r>
      <w:r w:rsidR="0013755C" w:rsidRPr="00C158E5">
        <w:rPr>
          <w:sz w:val="24"/>
          <w:szCs w:val="24"/>
        </w:rPr>
        <w:t xml:space="preserve"> que a União deveria aplicar, em 2000, o montante empenhado em 1999 acrescido de, no mínimo, 5%. Para os demais anos, a EC-29 estabelece que a União deve dedicar à saúde um volume de receitas igual ao do ano anterior, corrigido pela variação nominal do Produto Interno Bruto (PIB). Já para os estados e municípios, estipula que devam dedicar, respectivamente, um mínimo de 12% e 15% de suas receitas anuais para o financiamento à saúde. A EC-29 foi regulamentada apenas em 2012, atr</w:t>
      </w:r>
      <w:r w:rsidR="004C07DD">
        <w:rPr>
          <w:sz w:val="24"/>
          <w:szCs w:val="24"/>
        </w:rPr>
        <w:t>avés da Lei Complementar nº 141, que</w:t>
      </w:r>
      <w:r w:rsidR="0013755C" w:rsidRPr="00C158E5">
        <w:rPr>
          <w:sz w:val="24"/>
          <w:szCs w:val="24"/>
        </w:rPr>
        <w:t xml:space="preserve"> trata de especificar de forma mais detalhada quais tipos de gastos são considerados como da área da saúde.</w:t>
      </w:r>
    </w:p>
    <w:p w:rsidR="00997CF1" w:rsidRDefault="0013755C" w:rsidP="00C16190">
      <w:pPr>
        <w:spacing w:before="120" w:after="120" w:line="240" w:lineRule="auto"/>
        <w:ind w:firstLine="709"/>
        <w:rPr>
          <w:sz w:val="24"/>
          <w:szCs w:val="24"/>
        </w:rPr>
      </w:pPr>
      <w:r w:rsidRPr="00C158E5">
        <w:rPr>
          <w:sz w:val="24"/>
          <w:szCs w:val="24"/>
        </w:rPr>
        <w:t>Para efeito de cumprimento da EC-29, a receita dos estados é proveniente d</w:t>
      </w:r>
      <w:r w:rsidR="0079507A" w:rsidRPr="00C158E5">
        <w:rPr>
          <w:sz w:val="24"/>
          <w:szCs w:val="24"/>
        </w:rPr>
        <w:t xml:space="preserve">e quatro fontes: </w:t>
      </w:r>
      <w:r w:rsidR="00BC404B">
        <w:rPr>
          <w:sz w:val="24"/>
          <w:szCs w:val="24"/>
        </w:rPr>
        <w:t xml:space="preserve">(i) </w:t>
      </w:r>
      <w:r w:rsidR="0079507A" w:rsidRPr="00C158E5">
        <w:rPr>
          <w:sz w:val="24"/>
          <w:szCs w:val="24"/>
        </w:rPr>
        <w:t>impostos estaduais</w:t>
      </w:r>
      <w:r w:rsidR="00DE676B">
        <w:rPr>
          <w:sz w:val="24"/>
          <w:szCs w:val="24"/>
        </w:rPr>
        <w:t xml:space="preserve"> (ICMS – sobre a circulação de mercadorias e serviços; IPVA – sobre a propriedade de veículos automotores; ITCMD – sobre heranças e doações)</w:t>
      </w:r>
      <w:r w:rsidR="0079507A" w:rsidRPr="00C158E5">
        <w:rPr>
          <w:sz w:val="24"/>
          <w:szCs w:val="24"/>
        </w:rPr>
        <w:t xml:space="preserve">, </w:t>
      </w:r>
      <w:r w:rsidR="00BC404B">
        <w:rPr>
          <w:sz w:val="24"/>
          <w:szCs w:val="24"/>
        </w:rPr>
        <w:t xml:space="preserve">(ii) </w:t>
      </w:r>
      <w:r w:rsidR="0079507A" w:rsidRPr="00C158E5">
        <w:rPr>
          <w:sz w:val="24"/>
          <w:szCs w:val="24"/>
        </w:rPr>
        <w:t>transferências da União</w:t>
      </w:r>
      <w:r w:rsidR="00BC404B">
        <w:rPr>
          <w:sz w:val="24"/>
          <w:szCs w:val="24"/>
        </w:rPr>
        <w:t xml:space="preserve"> (cota-parte do Fundo de Participação dos Estados (FPE); cota-parte do IPI-Exportação; transferências da Lei Complementar nº 87/96 – Lei Kandir)</w:t>
      </w:r>
      <w:r w:rsidR="0079507A" w:rsidRPr="00C158E5">
        <w:rPr>
          <w:sz w:val="24"/>
          <w:szCs w:val="24"/>
        </w:rPr>
        <w:t xml:space="preserve">, </w:t>
      </w:r>
      <w:r w:rsidR="00BC404B">
        <w:rPr>
          <w:sz w:val="24"/>
          <w:szCs w:val="24"/>
        </w:rPr>
        <w:t xml:space="preserve">(iii) </w:t>
      </w:r>
      <w:r w:rsidR="0079507A" w:rsidRPr="00C158E5">
        <w:rPr>
          <w:sz w:val="24"/>
          <w:szCs w:val="24"/>
        </w:rPr>
        <w:t>imposto de renda retido na fonte</w:t>
      </w:r>
      <w:r w:rsidR="00BC404B">
        <w:rPr>
          <w:sz w:val="24"/>
          <w:szCs w:val="24"/>
        </w:rPr>
        <w:t xml:space="preserve"> </w:t>
      </w:r>
      <w:r w:rsidR="0079507A" w:rsidRPr="00C158E5">
        <w:rPr>
          <w:sz w:val="24"/>
          <w:szCs w:val="24"/>
        </w:rPr>
        <w:t xml:space="preserve">e </w:t>
      </w:r>
      <w:r w:rsidR="00BC404B">
        <w:rPr>
          <w:sz w:val="24"/>
          <w:szCs w:val="24"/>
        </w:rPr>
        <w:t xml:space="preserve">(iv) </w:t>
      </w:r>
      <w:r w:rsidR="0079507A" w:rsidRPr="00C158E5">
        <w:rPr>
          <w:sz w:val="24"/>
          <w:szCs w:val="24"/>
        </w:rPr>
        <w:t>outras receitas correntes, como a receita da dívida ativa de impostos e multas.</w:t>
      </w:r>
      <w:r w:rsidRPr="00C158E5">
        <w:rPr>
          <w:sz w:val="24"/>
          <w:szCs w:val="24"/>
        </w:rPr>
        <w:t xml:space="preserve"> Para o cálculo da base de receitas dos estados sobre a qual se aplica o mínimo de 12% para o financiamento à saúde, deve-se subtrair, da soma das fontes listadas acima, o montante em transferências constitucionais e legais que é encaminhado dos estados aos municípios. </w:t>
      </w:r>
    </w:p>
    <w:p w:rsidR="00E9008B" w:rsidRPr="00C158E5" w:rsidRDefault="0013755C" w:rsidP="00C16190">
      <w:pPr>
        <w:spacing w:before="120" w:after="120" w:line="240" w:lineRule="auto"/>
        <w:ind w:firstLine="709"/>
        <w:rPr>
          <w:sz w:val="24"/>
          <w:szCs w:val="24"/>
        </w:rPr>
      </w:pPr>
      <w:r w:rsidRPr="00C158E5">
        <w:rPr>
          <w:sz w:val="24"/>
          <w:szCs w:val="24"/>
        </w:rPr>
        <w:t>Já no caso dos municípios, a base para o cálculo dos 15% sobre a receita é composta pela soma d</w:t>
      </w:r>
      <w:r w:rsidR="00B1341C" w:rsidRPr="00C158E5">
        <w:rPr>
          <w:sz w:val="24"/>
          <w:szCs w:val="24"/>
        </w:rPr>
        <w:t xml:space="preserve">e cinco </w:t>
      </w:r>
      <w:r w:rsidRPr="00C158E5">
        <w:rPr>
          <w:sz w:val="24"/>
          <w:szCs w:val="24"/>
        </w:rPr>
        <w:t>fontes:</w:t>
      </w:r>
      <w:r w:rsidR="00B1341C" w:rsidRPr="00C158E5">
        <w:rPr>
          <w:sz w:val="24"/>
          <w:szCs w:val="24"/>
        </w:rPr>
        <w:t xml:space="preserve"> </w:t>
      </w:r>
      <w:r w:rsidR="00BC404B">
        <w:rPr>
          <w:sz w:val="24"/>
          <w:szCs w:val="24"/>
        </w:rPr>
        <w:t xml:space="preserve">(i) </w:t>
      </w:r>
      <w:r w:rsidR="00B1341C" w:rsidRPr="00C158E5">
        <w:rPr>
          <w:sz w:val="24"/>
          <w:szCs w:val="24"/>
        </w:rPr>
        <w:t>impostos municipais</w:t>
      </w:r>
      <w:r w:rsidR="00BC404B">
        <w:rPr>
          <w:sz w:val="24"/>
          <w:szCs w:val="24"/>
        </w:rPr>
        <w:t xml:space="preserve"> (ISS – sobre serviços de qualquer natureza; IPTU – sobre a propriedade predial e territorial urbana; ITBI – sobre a transmissão de bens imóveis)</w:t>
      </w:r>
      <w:r w:rsidR="00B1341C" w:rsidRPr="00C158E5">
        <w:rPr>
          <w:sz w:val="24"/>
          <w:szCs w:val="24"/>
        </w:rPr>
        <w:t>,</w:t>
      </w:r>
      <w:r w:rsidR="00BC404B">
        <w:rPr>
          <w:sz w:val="24"/>
          <w:szCs w:val="24"/>
        </w:rPr>
        <w:t xml:space="preserve"> (ii)</w:t>
      </w:r>
      <w:r w:rsidR="00B1341C" w:rsidRPr="00C158E5">
        <w:rPr>
          <w:sz w:val="24"/>
          <w:szCs w:val="24"/>
        </w:rPr>
        <w:t xml:space="preserve"> transferências da União</w:t>
      </w:r>
      <w:r w:rsidR="00BC404B">
        <w:rPr>
          <w:sz w:val="24"/>
          <w:szCs w:val="24"/>
        </w:rPr>
        <w:t xml:space="preserve"> (cota-parte do Fundo de Participação dos Municípios (FPM); cota-parte do ITR; transferências da Lei Complementar nº 87/96 – Lei Kandir)</w:t>
      </w:r>
      <w:r w:rsidR="00B1341C" w:rsidRPr="00C158E5">
        <w:rPr>
          <w:sz w:val="24"/>
          <w:szCs w:val="24"/>
        </w:rPr>
        <w:t>,</w:t>
      </w:r>
      <w:r w:rsidR="00BC404B">
        <w:rPr>
          <w:sz w:val="24"/>
          <w:szCs w:val="24"/>
        </w:rPr>
        <w:t xml:space="preserve"> (iii)</w:t>
      </w:r>
      <w:r w:rsidR="00B1341C" w:rsidRPr="00C158E5">
        <w:rPr>
          <w:sz w:val="24"/>
          <w:szCs w:val="24"/>
        </w:rPr>
        <w:t xml:space="preserve"> imposto de renda retido na fonte,</w:t>
      </w:r>
      <w:r w:rsidR="00BC404B">
        <w:rPr>
          <w:sz w:val="24"/>
          <w:szCs w:val="24"/>
        </w:rPr>
        <w:t xml:space="preserve"> (iv)</w:t>
      </w:r>
      <w:r w:rsidR="00B1341C" w:rsidRPr="00C158E5">
        <w:rPr>
          <w:sz w:val="24"/>
          <w:szCs w:val="24"/>
        </w:rPr>
        <w:t xml:space="preserve"> transferências do Estado </w:t>
      </w:r>
      <w:r w:rsidR="00BC404B">
        <w:rPr>
          <w:sz w:val="24"/>
          <w:szCs w:val="24"/>
        </w:rPr>
        <w:t xml:space="preserve">(cota-parte do ICMS; cota parte do IPVA; cota-parte do IPI-Exportação) </w:t>
      </w:r>
      <w:r w:rsidR="00B1341C" w:rsidRPr="00C158E5">
        <w:rPr>
          <w:sz w:val="24"/>
          <w:szCs w:val="24"/>
        </w:rPr>
        <w:t>e</w:t>
      </w:r>
      <w:r w:rsidR="00BC404B">
        <w:rPr>
          <w:sz w:val="24"/>
          <w:szCs w:val="24"/>
        </w:rPr>
        <w:t xml:space="preserve"> (v)</w:t>
      </w:r>
      <w:r w:rsidR="00B1341C" w:rsidRPr="00C158E5">
        <w:rPr>
          <w:sz w:val="24"/>
          <w:szCs w:val="24"/>
        </w:rPr>
        <w:t xml:space="preserve"> outras receitas correntes</w:t>
      </w:r>
      <w:r w:rsidR="009F510E">
        <w:rPr>
          <w:sz w:val="24"/>
          <w:szCs w:val="24"/>
        </w:rPr>
        <w:t xml:space="preserve"> (receita da dívida ativa de impostos, multas, juros e correção monetária de impostos)</w:t>
      </w:r>
      <w:r w:rsidR="00B1341C" w:rsidRPr="00C158E5">
        <w:rPr>
          <w:sz w:val="24"/>
          <w:szCs w:val="24"/>
        </w:rPr>
        <w:t xml:space="preserve">. </w:t>
      </w:r>
      <w:r w:rsidRPr="00C158E5">
        <w:rPr>
          <w:sz w:val="24"/>
          <w:szCs w:val="24"/>
        </w:rPr>
        <w:t xml:space="preserve"> </w:t>
      </w:r>
    </w:p>
    <w:p w:rsidR="00E9008B" w:rsidRPr="00C158E5" w:rsidRDefault="0013755C" w:rsidP="00C16190">
      <w:pPr>
        <w:spacing w:before="120" w:after="120" w:line="240" w:lineRule="auto"/>
        <w:ind w:firstLine="709"/>
        <w:rPr>
          <w:sz w:val="24"/>
          <w:szCs w:val="24"/>
        </w:rPr>
      </w:pPr>
      <w:r w:rsidRPr="00C158E5">
        <w:rPr>
          <w:sz w:val="24"/>
          <w:szCs w:val="24"/>
        </w:rPr>
        <w:t>Para efeito de fiscalização e controle, a EC-29 estabelece que os estados e municípios devem constituir fundos de saúde para receber os recursos locais e os recursos transferidos a serem aplicados na área de saúde</w:t>
      </w:r>
      <w:r w:rsidR="003A0F16">
        <w:rPr>
          <w:sz w:val="24"/>
          <w:szCs w:val="24"/>
        </w:rPr>
        <w:t>.</w:t>
      </w:r>
      <w:r w:rsidR="00592A9F">
        <w:rPr>
          <w:sz w:val="24"/>
          <w:szCs w:val="24"/>
        </w:rPr>
        <w:t xml:space="preserve"> </w:t>
      </w:r>
      <w:r w:rsidR="003A0F16">
        <w:rPr>
          <w:sz w:val="24"/>
          <w:szCs w:val="24"/>
        </w:rPr>
        <w:t>A</w:t>
      </w:r>
      <w:r w:rsidR="00592A9F">
        <w:rPr>
          <w:sz w:val="24"/>
          <w:szCs w:val="24"/>
        </w:rPr>
        <w:t xml:space="preserve">lém </w:t>
      </w:r>
      <w:r w:rsidR="003A0F16">
        <w:rPr>
          <w:sz w:val="24"/>
          <w:szCs w:val="24"/>
        </w:rPr>
        <w:t xml:space="preserve">disso, </w:t>
      </w:r>
      <w:r w:rsidR="00592A9F">
        <w:rPr>
          <w:sz w:val="24"/>
          <w:szCs w:val="24"/>
        </w:rPr>
        <w:t xml:space="preserve">determina </w:t>
      </w:r>
      <w:r w:rsidRPr="00C158E5">
        <w:rPr>
          <w:sz w:val="24"/>
          <w:szCs w:val="24"/>
        </w:rPr>
        <w:t>a constituição dos Conselhos Estaduais e Municipais de Saúde, que são os responsáveis por fiscalizar a aplicação dos recursos. Desde 2006, quando foi estabelecido o “Pacto pela Saúde”, as transferências condicionais especificadas pela EC-29 são destinadas pela União aos governos locais por meio de um dos seguintes blocos de financiamento:</w:t>
      </w:r>
      <w:r w:rsidR="007A19D1" w:rsidRPr="00C158E5">
        <w:rPr>
          <w:sz w:val="24"/>
          <w:szCs w:val="24"/>
        </w:rPr>
        <w:t xml:space="preserve"> </w:t>
      </w:r>
      <w:r w:rsidR="00A42694">
        <w:rPr>
          <w:sz w:val="24"/>
          <w:szCs w:val="24"/>
        </w:rPr>
        <w:t xml:space="preserve">(i) </w:t>
      </w:r>
      <w:r w:rsidR="007A19D1" w:rsidRPr="00C158E5">
        <w:rPr>
          <w:sz w:val="24"/>
          <w:szCs w:val="24"/>
        </w:rPr>
        <w:t xml:space="preserve">Atenção Básica, </w:t>
      </w:r>
      <w:r w:rsidR="00A42694">
        <w:rPr>
          <w:sz w:val="24"/>
          <w:szCs w:val="24"/>
        </w:rPr>
        <w:t xml:space="preserve">(ii) </w:t>
      </w:r>
      <w:r w:rsidRPr="00C158E5">
        <w:rPr>
          <w:sz w:val="24"/>
          <w:szCs w:val="24"/>
        </w:rPr>
        <w:t>Atenç</w:t>
      </w:r>
      <w:r w:rsidR="007A19D1" w:rsidRPr="00C158E5">
        <w:rPr>
          <w:sz w:val="24"/>
          <w:szCs w:val="24"/>
        </w:rPr>
        <w:t xml:space="preserve">ão de Média e Alta Complexidade, </w:t>
      </w:r>
      <w:r w:rsidR="00A42694">
        <w:rPr>
          <w:sz w:val="24"/>
          <w:szCs w:val="24"/>
        </w:rPr>
        <w:t xml:space="preserve">(iii) </w:t>
      </w:r>
      <w:r w:rsidR="007A19D1" w:rsidRPr="00C158E5">
        <w:rPr>
          <w:sz w:val="24"/>
          <w:szCs w:val="24"/>
        </w:rPr>
        <w:t xml:space="preserve">Vigilância em Saúde, </w:t>
      </w:r>
      <w:r w:rsidR="00A42694">
        <w:rPr>
          <w:sz w:val="24"/>
          <w:szCs w:val="24"/>
        </w:rPr>
        <w:t xml:space="preserve">(iv) </w:t>
      </w:r>
      <w:r w:rsidR="007A19D1" w:rsidRPr="00C158E5">
        <w:rPr>
          <w:sz w:val="24"/>
          <w:szCs w:val="24"/>
        </w:rPr>
        <w:t>Assistência Farmacêutica,</w:t>
      </w:r>
      <w:r w:rsidR="00592A9F">
        <w:rPr>
          <w:sz w:val="24"/>
          <w:szCs w:val="24"/>
        </w:rPr>
        <w:t xml:space="preserve"> </w:t>
      </w:r>
      <w:r w:rsidR="00A42694">
        <w:rPr>
          <w:sz w:val="24"/>
          <w:szCs w:val="24"/>
        </w:rPr>
        <w:t xml:space="preserve">(v) </w:t>
      </w:r>
      <w:r w:rsidR="007A19D1" w:rsidRPr="00C158E5">
        <w:rPr>
          <w:sz w:val="24"/>
          <w:szCs w:val="24"/>
        </w:rPr>
        <w:t xml:space="preserve">Gestão do SUS e </w:t>
      </w:r>
      <w:r w:rsidR="00A42694">
        <w:rPr>
          <w:sz w:val="24"/>
          <w:szCs w:val="24"/>
        </w:rPr>
        <w:t xml:space="preserve">(vi) </w:t>
      </w:r>
      <w:r w:rsidRPr="00C158E5">
        <w:rPr>
          <w:sz w:val="24"/>
          <w:szCs w:val="24"/>
        </w:rPr>
        <w:t xml:space="preserve">Investimentos. Tais transferências são conhecidas como “fundo a fundo” e ocorrem de forma automática ao longo do ano. </w:t>
      </w:r>
      <w:r w:rsidR="00592A9F">
        <w:rPr>
          <w:sz w:val="24"/>
          <w:szCs w:val="24"/>
        </w:rPr>
        <w:t>A</w:t>
      </w:r>
      <w:r w:rsidRPr="00C158E5">
        <w:rPr>
          <w:sz w:val="24"/>
          <w:szCs w:val="24"/>
        </w:rPr>
        <w:t>ntes do Pacto havia mais de 100 formas de repasses de recursos financeiros, o que trazia algumas d</w:t>
      </w:r>
      <w:r w:rsidR="00792ACA">
        <w:rPr>
          <w:sz w:val="24"/>
          <w:szCs w:val="24"/>
        </w:rPr>
        <w:t>ificuldades para sua aplicação [</w:t>
      </w:r>
      <w:r w:rsidR="00792ACA">
        <w:rPr>
          <w:sz w:val="24"/>
          <w:szCs w:val="24"/>
        </w:rPr>
        <w:fldChar w:fldCharType="begin"/>
      </w:r>
      <w:r w:rsidR="00792ACA">
        <w:rPr>
          <w:sz w:val="24"/>
          <w:szCs w:val="24"/>
        </w:rPr>
        <w:instrText xml:space="preserve"> REF  BIB_sus_2006 </w:instrText>
      </w:r>
      <w:r w:rsidR="00792ACA">
        <w:rPr>
          <w:sz w:val="24"/>
          <w:szCs w:val="24"/>
        </w:rPr>
        <w:fldChar w:fldCharType="separate"/>
      </w:r>
      <w:r w:rsidR="008F7554">
        <w:rPr>
          <w:sz w:val="24"/>
          <w:szCs w:val="24"/>
        </w:rPr>
        <w:t xml:space="preserve">Brasil </w:t>
      </w:r>
      <w:r w:rsidR="008F7554" w:rsidRPr="00D435DE">
        <w:rPr>
          <w:sz w:val="24"/>
          <w:szCs w:val="24"/>
        </w:rPr>
        <w:t>2006</w:t>
      </w:r>
      <w:r w:rsidR="00792ACA">
        <w:rPr>
          <w:sz w:val="24"/>
          <w:szCs w:val="24"/>
        </w:rPr>
        <w:fldChar w:fldCharType="end"/>
      </w:r>
      <w:r w:rsidR="00792ACA">
        <w:rPr>
          <w:sz w:val="24"/>
          <w:szCs w:val="24"/>
        </w:rPr>
        <w:t>]. Embora as categorias tenham sido reformuladas, as regras para transferências e financiamento continuaram com características gerais similares ao que já era praticado antes [</w:t>
      </w:r>
      <w:r w:rsidR="00792ACA">
        <w:rPr>
          <w:sz w:val="24"/>
          <w:szCs w:val="24"/>
        </w:rPr>
        <w:fldChar w:fldCharType="begin"/>
      </w:r>
      <w:r w:rsidR="00792ACA">
        <w:rPr>
          <w:sz w:val="24"/>
          <w:szCs w:val="24"/>
        </w:rPr>
        <w:instrText xml:space="preserve"> REF  BIB_mendes_2008 </w:instrText>
      </w:r>
      <w:r w:rsidR="00792ACA">
        <w:rPr>
          <w:sz w:val="24"/>
          <w:szCs w:val="24"/>
        </w:rPr>
        <w:fldChar w:fldCharType="separate"/>
      </w:r>
      <w:r w:rsidR="008F7554" w:rsidRPr="00D435DE">
        <w:rPr>
          <w:sz w:val="24"/>
          <w:szCs w:val="24"/>
        </w:rPr>
        <w:t>Mendes, Miranda e Cossio 2008</w:t>
      </w:r>
      <w:r w:rsidR="00792ACA">
        <w:rPr>
          <w:sz w:val="24"/>
          <w:szCs w:val="24"/>
        </w:rPr>
        <w:fldChar w:fldCharType="end"/>
      </w:r>
      <w:r w:rsidR="00792ACA">
        <w:rPr>
          <w:sz w:val="24"/>
          <w:szCs w:val="24"/>
        </w:rPr>
        <w:t>].</w:t>
      </w:r>
    </w:p>
    <w:p w:rsidR="00E9008B" w:rsidRPr="00C158E5" w:rsidRDefault="0009359D" w:rsidP="00C16190">
      <w:pPr>
        <w:spacing w:before="120" w:after="120" w:line="240" w:lineRule="auto"/>
        <w:ind w:firstLine="709"/>
        <w:rPr>
          <w:sz w:val="24"/>
          <w:szCs w:val="24"/>
        </w:rPr>
      </w:pPr>
      <w:r w:rsidRPr="00C158E5">
        <w:rPr>
          <w:sz w:val="24"/>
          <w:szCs w:val="24"/>
        </w:rPr>
        <w:t>Para o fundo de Atenção Básica</w:t>
      </w:r>
      <w:r w:rsidR="0013755C" w:rsidRPr="00C158E5">
        <w:rPr>
          <w:sz w:val="24"/>
          <w:szCs w:val="24"/>
        </w:rPr>
        <w:t xml:space="preserve"> são transferidos os recursos do Piso de Atenção Básica Fixo Ampliado, além do Piso de Atenção Básica Variável. O primeiro constitui-se de um valor fixo </w:t>
      </w:r>
      <w:r w:rsidR="0013755C" w:rsidRPr="00C158E5">
        <w:rPr>
          <w:i/>
          <w:sz w:val="24"/>
          <w:szCs w:val="24"/>
        </w:rPr>
        <w:t>per capita</w:t>
      </w:r>
      <w:r w:rsidR="0013755C" w:rsidRPr="00C158E5">
        <w:rPr>
          <w:sz w:val="24"/>
          <w:szCs w:val="24"/>
        </w:rPr>
        <w:t xml:space="preserve"> e deve ser destinado a ações de assistência básica da população, tais como: controles de tuberculose, da hipertensão arterial e do diabetes; eliminação da hanseníase; e programas de saúde bucal, da criança e da mulher. O segundo piso é destinado ao desenvolvimento de programas específicos, tais como o de combate a carências nutricionais, o de Agentes Comunitários de Saúde (PACS) e o de Saúde da Família (PSF). Seu valor depende do nível total de produção ou de cobertura de cada programa, havendo, entretanto, um limite máximo por estado e/ou município. Mendes, Miranda e Cossio [</w:t>
      </w:r>
      <w:r w:rsidR="00A43E78" w:rsidRPr="00C158E5">
        <w:rPr>
          <w:sz w:val="24"/>
          <w:szCs w:val="24"/>
        </w:rPr>
        <w:fldChar w:fldCharType="begin"/>
      </w:r>
      <w:r w:rsidR="00A43E78" w:rsidRPr="00C158E5">
        <w:rPr>
          <w:sz w:val="24"/>
          <w:szCs w:val="24"/>
        </w:rPr>
        <w:instrText xml:space="preserve">REF BIB_mendes_2008 \* MERGEFORMAT </w:instrText>
      </w:r>
      <w:r w:rsidR="00A43E78" w:rsidRPr="00C158E5">
        <w:rPr>
          <w:sz w:val="24"/>
          <w:szCs w:val="24"/>
        </w:rPr>
        <w:fldChar w:fldCharType="separate"/>
      </w:r>
      <w:r w:rsidR="008F7554" w:rsidRPr="00D435DE">
        <w:rPr>
          <w:sz w:val="24"/>
          <w:szCs w:val="24"/>
        </w:rPr>
        <w:t>Mendes, Miranda e Cossio 2008</w:t>
      </w:r>
      <w:r w:rsidR="00A43E78" w:rsidRPr="00C158E5">
        <w:rPr>
          <w:sz w:val="24"/>
          <w:szCs w:val="24"/>
        </w:rPr>
        <w:fldChar w:fldCharType="end"/>
      </w:r>
      <w:r w:rsidR="0013755C" w:rsidRPr="00C158E5">
        <w:rPr>
          <w:sz w:val="24"/>
          <w:szCs w:val="24"/>
        </w:rPr>
        <w:t>] explicam, com informações do Banco Mundial [</w:t>
      </w:r>
      <w:r w:rsidR="00A43E78" w:rsidRPr="00C158E5">
        <w:rPr>
          <w:sz w:val="24"/>
          <w:szCs w:val="24"/>
        </w:rPr>
        <w:fldChar w:fldCharType="begin"/>
      </w:r>
      <w:r w:rsidR="00A43E78" w:rsidRPr="00C158E5">
        <w:rPr>
          <w:sz w:val="24"/>
          <w:szCs w:val="24"/>
        </w:rPr>
        <w:instrText xml:space="preserve">REF BIB_BM_2007 \* MERGEFORMAT </w:instrText>
      </w:r>
      <w:r w:rsidR="00A43E78" w:rsidRPr="00C158E5">
        <w:rPr>
          <w:sz w:val="24"/>
          <w:szCs w:val="24"/>
        </w:rPr>
        <w:fldChar w:fldCharType="separate"/>
      </w:r>
      <w:r w:rsidR="008F7554" w:rsidRPr="00D435DE">
        <w:rPr>
          <w:sz w:val="24"/>
          <w:szCs w:val="24"/>
        </w:rPr>
        <w:t>Banco Mundial 2007</w:t>
      </w:r>
      <w:r w:rsidR="00A43E78" w:rsidRPr="00C158E5">
        <w:rPr>
          <w:sz w:val="24"/>
          <w:szCs w:val="24"/>
        </w:rPr>
        <w:fldChar w:fldCharType="end"/>
      </w:r>
      <w:r w:rsidR="0013755C" w:rsidRPr="00C158E5">
        <w:rPr>
          <w:sz w:val="24"/>
          <w:szCs w:val="24"/>
        </w:rPr>
        <w:t>], que o teto de recursos para essas transferências ou pagamentos é redefinido anualmente, com base em critérios como a série histórica de produção e de pagamentos, parâmetros técnicos (como internação/habitante por ano) e metas fixadas para programas específicos.</w:t>
      </w:r>
    </w:p>
    <w:p w:rsidR="00E9008B" w:rsidRPr="00C158E5" w:rsidRDefault="0013755C" w:rsidP="00C16190">
      <w:pPr>
        <w:spacing w:before="120" w:after="120" w:line="240" w:lineRule="auto"/>
        <w:ind w:firstLine="709"/>
        <w:rPr>
          <w:sz w:val="24"/>
          <w:szCs w:val="24"/>
        </w:rPr>
      </w:pPr>
      <w:r w:rsidRPr="00C158E5">
        <w:rPr>
          <w:sz w:val="24"/>
          <w:szCs w:val="24"/>
        </w:rPr>
        <w:lastRenderedPageBreak/>
        <w:t>O fundo de Atenção de Média e Alta Complexidade agrega recursos a serem destinados a procedimentos ambulatoriais e hospitalares mais sofisticados e que exigem maior tecnologia e especialização, tais como: cirurgias, fisioterapia e exames mais complexos para diagnósticos. Essas transferências também são obrigatórias e condicionais, baseadas na produção e submetidas a um teto de recursos. O Ministério da Saúde também realiza um aporte adicional de recursos a estados e municípios capacitados a oferecer atendimentos de alta complexidade, para onde são encaminhados pacientes de todo o país [</w:t>
      </w:r>
      <w:r w:rsidR="00A43E78" w:rsidRPr="00C158E5">
        <w:rPr>
          <w:sz w:val="24"/>
          <w:szCs w:val="24"/>
        </w:rPr>
        <w:fldChar w:fldCharType="begin"/>
      </w:r>
      <w:r w:rsidR="00A43E78" w:rsidRPr="00C158E5">
        <w:rPr>
          <w:sz w:val="24"/>
          <w:szCs w:val="24"/>
        </w:rPr>
        <w:instrText xml:space="preserve">REF BIB_mendes_2008 \* MERGEFORMAT </w:instrText>
      </w:r>
      <w:r w:rsidR="00A43E78" w:rsidRPr="00C158E5">
        <w:rPr>
          <w:sz w:val="24"/>
          <w:szCs w:val="24"/>
        </w:rPr>
        <w:fldChar w:fldCharType="separate"/>
      </w:r>
      <w:r w:rsidR="008F7554" w:rsidRPr="00D435DE">
        <w:rPr>
          <w:sz w:val="24"/>
          <w:szCs w:val="24"/>
        </w:rPr>
        <w:t>Mendes, Miranda e Cossio 2008</w:t>
      </w:r>
      <w:r w:rsidR="00A43E78" w:rsidRPr="00C158E5">
        <w:rPr>
          <w:sz w:val="24"/>
          <w:szCs w:val="24"/>
        </w:rPr>
        <w:fldChar w:fldCharType="end"/>
      </w:r>
      <w:r w:rsidRPr="00C158E5">
        <w:rPr>
          <w:sz w:val="24"/>
          <w:szCs w:val="24"/>
        </w:rPr>
        <w:t>].</w:t>
      </w:r>
    </w:p>
    <w:p w:rsidR="00E9008B" w:rsidRPr="00C158E5" w:rsidRDefault="0013755C" w:rsidP="00C16190">
      <w:pPr>
        <w:spacing w:before="120" w:after="120" w:line="240" w:lineRule="auto"/>
        <w:ind w:firstLine="709"/>
        <w:rPr>
          <w:sz w:val="24"/>
          <w:szCs w:val="24"/>
        </w:rPr>
      </w:pPr>
      <w:r w:rsidRPr="00C158E5">
        <w:rPr>
          <w:sz w:val="24"/>
          <w:szCs w:val="24"/>
        </w:rPr>
        <w:t>A modalidade Vigilância em Saúde é composta pelos blocos Vigilância e Pro</w:t>
      </w:r>
      <w:r w:rsidRPr="00C158E5">
        <w:rPr>
          <w:sz w:val="24"/>
          <w:szCs w:val="24"/>
        </w:rPr>
        <w:softHyphen/>
        <w:t>mo</w:t>
      </w:r>
      <w:r w:rsidRPr="00C158E5">
        <w:rPr>
          <w:sz w:val="24"/>
          <w:szCs w:val="24"/>
        </w:rPr>
        <w:softHyphen/>
        <w:t>ção da Saúde e Vigilância Sanitária. Já a Assistência Farmacêutica engloba os componentes Básico e Estratégico da Assistência Farmacêutica, além de Medicamentos de Dispensação Excepcional [</w:t>
      </w:r>
      <w:r w:rsidR="00A43E78" w:rsidRPr="00C158E5">
        <w:rPr>
          <w:sz w:val="24"/>
          <w:szCs w:val="24"/>
        </w:rPr>
        <w:fldChar w:fldCharType="begin"/>
      </w:r>
      <w:r w:rsidR="00A43E78" w:rsidRPr="00C158E5">
        <w:rPr>
          <w:sz w:val="24"/>
          <w:szCs w:val="24"/>
        </w:rPr>
        <w:instrText xml:space="preserve">REF BIB_sus_2010 \* MERGEFORMAT </w:instrText>
      </w:r>
      <w:r w:rsidR="00A43E78" w:rsidRPr="00C158E5">
        <w:rPr>
          <w:sz w:val="24"/>
          <w:szCs w:val="24"/>
        </w:rPr>
        <w:fldChar w:fldCharType="separate"/>
      </w:r>
      <w:r w:rsidR="008F7554">
        <w:rPr>
          <w:sz w:val="24"/>
          <w:szCs w:val="24"/>
        </w:rPr>
        <w:t>Brasil</w:t>
      </w:r>
      <w:r w:rsidR="008F7554" w:rsidRPr="00D435DE">
        <w:rPr>
          <w:sz w:val="24"/>
          <w:szCs w:val="24"/>
        </w:rPr>
        <w:t xml:space="preserve"> 2010</w:t>
      </w:r>
      <w:r w:rsidR="00A43E78" w:rsidRPr="00C158E5">
        <w:rPr>
          <w:sz w:val="24"/>
          <w:szCs w:val="24"/>
        </w:rPr>
        <w:fldChar w:fldCharType="end"/>
      </w:r>
      <w:r w:rsidRPr="00C158E5">
        <w:rPr>
          <w:sz w:val="24"/>
          <w:szCs w:val="24"/>
        </w:rPr>
        <w:t xml:space="preserve">]. Ambas as modalidades contam com um componente básico, financiado através de recursos </w:t>
      </w:r>
      <w:r w:rsidRPr="00592A9F">
        <w:rPr>
          <w:i/>
          <w:sz w:val="24"/>
          <w:szCs w:val="24"/>
        </w:rPr>
        <w:t>per capita</w:t>
      </w:r>
      <w:r w:rsidRPr="00C158E5">
        <w:rPr>
          <w:sz w:val="24"/>
          <w:szCs w:val="24"/>
        </w:rPr>
        <w:t>, além de outros componentes financiados de acordo com a cobertura e/ou produção dos programas até um limite estabelecido por unidade subnacional.</w:t>
      </w:r>
    </w:p>
    <w:p w:rsidR="00E9008B" w:rsidRPr="00C158E5" w:rsidRDefault="0013755C" w:rsidP="00C16190">
      <w:pPr>
        <w:spacing w:before="120" w:after="120" w:line="240" w:lineRule="auto"/>
        <w:ind w:firstLine="709"/>
        <w:rPr>
          <w:sz w:val="24"/>
          <w:szCs w:val="24"/>
        </w:rPr>
      </w:pPr>
      <w:r w:rsidRPr="00C158E5">
        <w:rPr>
          <w:sz w:val="24"/>
          <w:szCs w:val="24"/>
        </w:rPr>
        <w:t>O fundo Gestão do SUS recebe recursos relacionados à Qualificação da Gestão do SUS e Implantação de Ações e Serviços de Saúde. Os recursos devem ser destinados a ações de regulação e controle, planejamento e orçamento, gestão do trabalho, educação em saúde, entre outros. O fundo também recebe recursos para a implantação de novas unidades de saúde de algumas categorias específicas, tais como Centro de Especialidades Odontológicas (CEO) e Serviço de Atendimento Móvel de Urgência (SAMU). Existem critérios específicos de valores a serem transferidos associados a cada tipo de ação, novamente com tetos delimitados [</w:t>
      </w:r>
      <w:r w:rsidR="00A43E78" w:rsidRPr="00C158E5">
        <w:rPr>
          <w:sz w:val="24"/>
          <w:szCs w:val="24"/>
        </w:rPr>
        <w:fldChar w:fldCharType="begin"/>
      </w:r>
      <w:r w:rsidR="00A43E78" w:rsidRPr="00C158E5">
        <w:rPr>
          <w:sz w:val="24"/>
          <w:szCs w:val="24"/>
        </w:rPr>
        <w:instrText xml:space="preserve">REF BIB_pt_2012 \* MERGEFORMAT </w:instrText>
      </w:r>
      <w:r w:rsidR="00A43E78" w:rsidRPr="00C158E5">
        <w:rPr>
          <w:sz w:val="24"/>
          <w:szCs w:val="24"/>
        </w:rPr>
        <w:fldChar w:fldCharType="separate"/>
      </w:r>
      <w:r w:rsidR="008F7554" w:rsidRPr="00D435DE">
        <w:rPr>
          <w:sz w:val="24"/>
          <w:szCs w:val="24"/>
        </w:rPr>
        <w:t>Brasil 2012</w:t>
      </w:r>
      <w:r w:rsidR="00A43E78" w:rsidRPr="00C158E5">
        <w:rPr>
          <w:sz w:val="24"/>
          <w:szCs w:val="24"/>
        </w:rPr>
        <w:fldChar w:fldCharType="end"/>
      </w:r>
      <w:r w:rsidRPr="00C158E5">
        <w:rPr>
          <w:sz w:val="24"/>
          <w:szCs w:val="24"/>
        </w:rPr>
        <w:t>].</w:t>
      </w:r>
    </w:p>
    <w:p w:rsidR="00E9008B" w:rsidRPr="00C158E5" w:rsidRDefault="0013755C" w:rsidP="00C16190">
      <w:pPr>
        <w:spacing w:before="120" w:after="120" w:line="240" w:lineRule="auto"/>
        <w:ind w:firstLine="709"/>
        <w:rPr>
          <w:sz w:val="24"/>
          <w:szCs w:val="24"/>
        </w:rPr>
      </w:pPr>
      <w:r w:rsidRPr="00C158E5">
        <w:rPr>
          <w:sz w:val="24"/>
          <w:szCs w:val="24"/>
        </w:rPr>
        <w:t>Após o Pacto pela Saúde, os estados e municípios passaram também a poder receber recursos através de um fundo destinado a investimentos adicionais (através do bloco Investimentos), que são liberados mediante a aprovação de projetos específicos pelo Ministério da Saúde. Esses projetos devem ser submetidos à Comissão Intergestores Bipartite (CIB), que avalia sua conformidade com os planos estaduais e municipais. Os projetos aprovados são formalizados em portaria do Ministério da Saúde, com o valor, o período de execução e o cronograma de desembolso dos recursos financeiros a serem transferidos [</w:t>
      </w:r>
      <w:r w:rsidR="00A43E78" w:rsidRPr="00C158E5">
        <w:rPr>
          <w:sz w:val="24"/>
          <w:szCs w:val="24"/>
        </w:rPr>
        <w:fldChar w:fldCharType="begin"/>
      </w:r>
      <w:r w:rsidR="00A43E78" w:rsidRPr="00C158E5">
        <w:rPr>
          <w:sz w:val="24"/>
          <w:szCs w:val="24"/>
        </w:rPr>
        <w:instrText xml:space="preserve">REF BIB_pt_2012 \* MERGEFORMAT </w:instrText>
      </w:r>
      <w:r w:rsidR="00A43E78" w:rsidRPr="00C158E5">
        <w:rPr>
          <w:sz w:val="24"/>
          <w:szCs w:val="24"/>
        </w:rPr>
        <w:fldChar w:fldCharType="separate"/>
      </w:r>
      <w:r w:rsidR="008F7554" w:rsidRPr="00D435DE">
        <w:rPr>
          <w:sz w:val="24"/>
          <w:szCs w:val="24"/>
        </w:rPr>
        <w:t>Brasil 2012</w:t>
      </w:r>
      <w:r w:rsidR="00A43E78" w:rsidRPr="00C158E5">
        <w:rPr>
          <w:sz w:val="24"/>
          <w:szCs w:val="24"/>
        </w:rPr>
        <w:fldChar w:fldCharType="end"/>
      </w:r>
      <w:r w:rsidRPr="00C158E5">
        <w:rPr>
          <w:sz w:val="24"/>
          <w:szCs w:val="24"/>
        </w:rPr>
        <w:t>].</w:t>
      </w:r>
    </w:p>
    <w:p w:rsidR="00E9008B" w:rsidRPr="00C158E5" w:rsidRDefault="00592A9F" w:rsidP="00C16190">
      <w:pPr>
        <w:spacing w:before="120" w:after="120" w:line="240" w:lineRule="auto"/>
        <w:ind w:firstLine="709"/>
        <w:rPr>
          <w:sz w:val="24"/>
          <w:szCs w:val="24"/>
        </w:rPr>
      </w:pPr>
      <w:r>
        <w:rPr>
          <w:sz w:val="24"/>
          <w:szCs w:val="24"/>
        </w:rPr>
        <w:t>E</w:t>
      </w:r>
      <w:r w:rsidR="0013755C" w:rsidRPr="00C158E5">
        <w:rPr>
          <w:sz w:val="24"/>
          <w:szCs w:val="24"/>
        </w:rPr>
        <w:t xml:space="preserve">xiste </w:t>
      </w:r>
      <w:r w:rsidR="003A0F16">
        <w:rPr>
          <w:sz w:val="24"/>
          <w:szCs w:val="24"/>
        </w:rPr>
        <w:t>ainda</w:t>
      </w:r>
      <w:r w:rsidR="0013755C" w:rsidRPr="00C158E5">
        <w:rPr>
          <w:sz w:val="24"/>
          <w:szCs w:val="24"/>
        </w:rPr>
        <w:t xml:space="preserve"> a possibilidade de que os estados e municípios estabeleçam Convênios com o governo federal para a realização de ações e programas de responsabilidade mútua. Nesses casos, o governo federal também transfere recursos para o ente conveniado e pode exigir algum tipo de contrapartida financeira, a depender do que foi acordado. Além dos estados e municípios, entidades filantrópicas e organizações não governamentais também podem estabelecer Convênios com o Ministério da Saúde para o financiamento de projetos específicos na área de saúde. Os repasses através de Convênios são transferências voluntárias e, segundo dados da Cartilha do Ministério da Saúde [</w:t>
      </w:r>
      <w:r w:rsidR="00A43E78" w:rsidRPr="00C158E5">
        <w:rPr>
          <w:sz w:val="24"/>
          <w:szCs w:val="24"/>
        </w:rPr>
        <w:fldChar w:fldCharType="begin"/>
      </w:r>
      <w:r w:rsidR="00A43E78" w:rsidRPr="00C158E5">
        <w:rPr>
          <w:sz w:val="24"/>
          <w:szCs w:val="24"/>
        </w:rPr>
        <w:instrText xml:space="preserve">REF BIB_sus_2006 \* MERGEFORMAT </w:instrText>
      </w:r>
      <w:r w:rsidR="00A43E78" w:rsidRPr="00C158E5">
        <w:rPr>
          <w:sz w:val="24"/>
          <w:szCs w:val="24"/>
        </w:rPr>
        <w:fldChar w:fldCharType="separate"/>
      </w:r>
      <w:r w:rsidR="008F7554">
        <w:rPr>
          <w:sz w:val="24"/>
          <w:szCs w:val="24"/>
        </w:rPr>
        <w:t xml:space="preserve">Brasil </w:t>
      </w:r>
      <w:r w:rsidR="008F7554" w:rsidRPr="00D435DE">
        <w:rPr>
          <w:sz w:val="24"/>
          <w:szCs w:val="24"/>
        </w:rPr>
        <w:t>2006</w:t>
      </w:r>
      <w:r w:rsidR="00A43E78" w:rsidRPr="00C158E5">
        <w:rPr>
          <w:sz w:val="24"/>
          <w:szCs w:val="24"/>
        </w:rPr>
        <w:fldChar w:fldCharType="end"/>
      </w:r>
      <w:r w:rsidR="0013755C" w:rsidRPr="00C158E5">
        <w:rPr>
          <w:sz w:val="24"/>
          <w:szCs w:val="24"/>
        </w:rPr>
        <w:t xml:space="preserve">], representavam menos de 10% do montante transferido em 2006. </w:t>
      </w:r>
    </w:p>
    <w:p w:rsidR="00E9008B" w:rsidRPr="00C158E5" w:rsidRDefault="0013755C" w:rsidP="00C16190">
      <w:pPr>
        <w:spacing w:before="120" w:after="120" w:line="240" w:lineRule="auto"/>
        <w:ind w:firstLine="709"/>
        <w:rPr>
          <w:sz w:val="24"/>
          <w:szCs w:val="24"/>
        </w:rPr>
      </w:pPr>
      <w:r w:rsidRPr="00C158E5">
        <w:rPr>
          <w:sz w:val="24"/>
          <w:szCs w:val="24"/>
        </w:rPr>
        <w:t xml:space="preserve">Conforme podemos perceber, todas as transferências e aportes de recursos realizados pelo Ministério da Saúde aos estados e municípios são condicionais. Isto é, precisam ser necessariamente aplicadas em propósitos específicos na área da saúde, embora haja flexibilidade entre as ações que se encaixam em cada bloco de financiamento. Além disso, com exceção das transferências para o bloco Investimentos, todas as demais transferências fundo a fundo são obrigatórias. Isto é, ocorrem de forma regular e automática, sem a necessidade de aprovação prévia, e seu valor é baseado em algum critério </w:t>
      </w:r>
      <w:r w:rsidRPr="00C158E5">
        <w:rPr>
          <w:i/>
          <w:sz w:val="24"/>
          <w:szCs w:val="24"/>
        </w:rPr>
        <w:t>per capita</w:t>
      </w:r>
      <w:r w:rsidRPr="00C158E5">
        <w:rPr>
          <w:sz w:val="24"/>
          <w:szCs w:val="24"/>
        </w:rPr>
        <w:t xml:space="preserve"> ou de produção e/ou cobertura dos programas a que se destina. </w:t>
      </w:r>
      <w:r w:rsidR="00592A9F">
        <w:rPr>
          <w:sz w:val="24"/>
          <w:szCs w:val="24"/>
        </w:rPr>
        <w:t>A</w:t>
      </w:r>
      <w:r w:rsidRPr="00C158E5">
        <w:rPr>
          <w:sz w:val="24"/>
          <w:szCs w:val="24"/>
        </w:rPr>
        <w:t xml:space="preserve">s transferências para o bloco de Investimentos, além dos recursos recebidos através de Convênios, são voluntárias. Isto é, só ocorrem mediante aprovação de projeto específico pelo Ministério da Saúde. </w:t>
      </w:r>
    </w:p>
    <w:p w:rsidR="00E9008B" w:rsidRPr="00C158E5" w:rsidRDefault="0013755C" w:rsidP="005D7789">
      <w:pPr>
        <w:spacing w:before="120" w:after="240" w:line="240" w:lineRule="auto"/>
        <w:ind w:firstLine="709"/>
        <w:rPr>
          <w:sz w:val="24"/>
          <w:szCs w:val="24"/>
        </w:rPr>
      </w:pPr>
      <w:r w:rsidRPr="00C158E5">
        <w:rPr>
          <w:sz w:val="24"/>
          <w:szCs w:val="24"/>
        </w:rPr>
        <w:t xml:space="preserve">É importante </w:t>
      </w:r>
      <w:r w:rsidR="00592A9F">
        <w:rPr>
          <w:sz w:val="24"/>
          <w:szCs w:val="24"/>
        </w:rPr>
        <w:t>salientar</w:t>
      </w:r>
      <w:r w:rsidRPr="00C158E5">
        <w:rPr>
          <w:sz w:val="24"/>
          <w:szCs w:val="24"/>
        </w:rPr>
        <w:t xml:space="preserve"> que, estritamente de acordo com as regras, apenas os recursos recebidos através dos Convênios, que são a minoria, podem exigir algum tipo de contrapartida financeira do ente que os recebe. Ou seja, a </w:t>
      </w:r>
      <w:r w:rsidRPr="00C158E5">
        <w:rPr>
          <w:i/>
          <w:sz w:val="24"/>
          <w:szCs w:val="24"/>
        </w:rPr>
        <w:t>priori</w:t>
      </w:r>
      <w:r w:rsidRPr="00C158E5">
        <w:rPr>
          <w:sz w:val="24"/>
          <w:szCs w:val="24"/>
        </w:rPr>
        <w:t xml:space="preserve">, e em conformidade com os princípios de redistribuição e equidade a que se propõe o SUS, não deveria haver uma relação positiva entre capacidade dos estados e municípios em arcar </w:t>
      </w:r>
      <w:r w:rsidRPr="00C158E5">
        <w:rPr>
          <w:sz w:val="24"/>
          <w:szCs w:val="24"/>
        </w:rPr>
        <w:lastRenderedPageBreak/>
        <w:t>com as despesas e/ou investimentos em saúde e as transferências recebidas do governo federal. Est</w:t>
      </w:r>
      <w:r w:rsidR="00EC3124" w:rsidRPr="00C158E5">
        <w:rPr>
          <w:sz w:val="24"/>
          <w:szCs w:val="24"/>
        </w:rPr>
        <w:t>e trabalho</w:t>
      </w:r>
      <w:r w:rsidRPr="00C158E5">
        <w:rPr>
          <w:sz w:val="24"/>
          <w:szCs w:val="24"/>
        </w:rPr>
        <w:t xml:space="preserve"> estuda empiricamente essa última relação citada.</w:t>
      </w:r>
    </w:p>
    <w:p w:rsidR="00E9008B" w:rsidRPr="00C158E5" w:rsidRDefault="0013755C" w:rsidP="00C16190">
      <w:pPr>
        <w:pStyle w:val="Ttulo1"/>
        <w:spacing w:before="120" w:line="240" w:lineRule="auto"/>
        <w:ind w:firstLine="709"/>
        <w:jc w:val="both"/>
        <w:rPr>
          <w:sz w:val="24"/>
          <w:szCs w:val="24"/>
        </w:rPr>
      </w:pPr>
      <w:bookmarkStart w:id="3" w:name="BMcap_03"/>
      <w:r w:rsidRPr="00C158E5">
        <w:rPr>
          <w:sz w:val="24"/>
          <w:szCs w:val="24"/>
        </w:rPr>
        <w:t>3</w:t>
      </w:r>
      <w:bookmarkEnd w:id="3"/>
      <w:r w:rsidR="000269EF" w:rsidRPr="00C158E5">
        <w:rPr>
          <w:sz w:val="24"/>
          <w:szCs w:val="24"/>
        </w:rPr>
        <w:t xml:space="preserve">  T</w:t>
      </w:r>
      <w:r w:rsidRPr="00C158E5">
        <w:rPr>
          <w:sz w:val="24"/>
          <w:szCs w:val="24"/>
        </w:rPr>
        <w:t>ra</w:t>
      </w:r>
      <w:r w:rsidR="000269EF" w:rsidRPr="00C158E5">
        <w:rPr>
          <w:sz w:val="24"/>
          <w:szCs w:val="24"/>
        </w:rPr>
        <w:t>nsferências intergovernamentais: aspectos teóricos,</w:t>
      </w:r>
      <w:r w:rsidRPr="00C158E5">
        <w:rPr>
          <w:sz w:val="24"/>
          <w:szCs w:val="24"/>
        </w:rPr>
        <w:t xml:space="preserve"> equidade e </w:t>
      </w:r>
      <w:r w:rsidRPr="00C158E5">
        <w:rPr>
          <w:i/>
          <w:iCs/>
          <w:sz w:val="24"/>
          <w:szCs w:val="24"/>
        </w:rPr>
        <w:t>flypaper effect</w:t>
      </w:r>
    </w:p>
    <w:p w:rsidR="00E9008B" w:rsidRPr="00C158E5" w:rsidRDefault="0013755C" w:rsidP="00C16190">
      <w:pPr>
        <w:spacing w:before="120" w:after="120" w:line="240" w:lineRule="auto"/>
        <w:ind w:firstLine="709"/>
        <w:rPr>
          <w:sz w:val="24"/>
          <w:szCs w:val="24"/>
        </w:rPr>
      </w:pPr>
      <w:r w:rsidRPr="00C158E5">
        <w:rPr>
          <w:sz w:val="24"/>
          <w:szCs w:val="24"/>
        </w:rPr>
        <w:t>Mendes, Miranda e Cossio [</w:t>
      </w:r>
      <w:r w:rsidR="00A43E78" w:rsidRPr="00C158E5">
        <w:rPr>
          <w:sz w:val="24"/>
          <w:szCs w:val="24"/>
        </w:rPr>
        <w:fldChar w:fldCharType="begin"/>
      </w:r>
      <w:r w:rsidR="00A43E78" w:rsidRPr="00C158E5">
        <w:rPr>
          <w:sz w:val="24"/>
          <w:szCs w:val="24"/>
        </w:rPr>
        <w:instrText xml:space="preserve">REF BIB_mendes_2008 \* MERGEFORMAT </w:instrText>
      </w:r>
      <w:r w:rsidR="00A43E78" w:rsidRPr="00C158E5">
        <w:rPr>
          <w:sz w:val="24"/>
          <w:szCs w:val="24"/>
        </w:rPr>
        <w:fldChar w:fldCharType="separate"/>
      </w:r>
      <w:r w:rsidR="008F7554" w:rsidRPr="00D435DE">
        <w:rPr>
          <w:sz w:val="24"/>
          <w:szCs w:val="24"/>
        </w:rPr>
        <w:t>Mendes, Miranda e Cossio 2008</w:t>
      </w:r>
      <w:r w:rsidR="00A43E78" w:rsidRPr="00C158E5">
        <w:rPr>
          <w:sz w:val="24"/>
          <w:szCs w:val="24"/>
        </w:rPr>
        <w:fldChar w:fldCharType="end"/>
      </w:r>
      <w:r w:rsidRPr="00C158E5">
        <w:rPr>
          <w:sz w:val="24"/>
          <w:szCs w:val="24"/>
        </w:rPr>
        <w:t xml:space="preserve">] </w:t>
      </w:r>
      <w:r w:rsidR="00C21CCC" w:rsidRPr="00C158E5">
        <w:rPr>
          <w:sz w:val="24"/>
          <w:szCs w:val="24"/>
        </w:rPr>
        <w:t>analisam</w:t>
      </w:r>
      <w:r w:rsidRPr="00C158E5">
        <w:rPr>
          <w:sz w:val="24"/>
          <w:szCs w:val="24"/>
        </w:rPr>
        <w:t xml:space="preserve"> a estrutura de transferências intergovernamentais no Brasil, procurando identificar se ela atend</w:t>
      </w:r>
      <w:r w:rsidR="00C21CCC" w:rsidRPr="00C158E5">
        <w:rPr>
          <w:sz w:val="24"/>
          <w:szCs w:val="24"/>
        </w:rPr>
        <w:t>e aos objetivos a que se propõe e</w:t>
      </w:r>
      <w:r w:rsidRPr="00C158E5">
        <w:rPr>
          <w:sz w:val="24"/>
          <w:szCs w:val="24"/>
        </w:rPr>
        <w:t xml:space="preserve"> </w:t>
      </w:r>
      <w:r w:rsidR="00C21CCC" w:rsidRPr="00C158E5">
        <w:rPr>
          <w:sz w:val="24"/>
          <w:szCs w:val="24"/>
        </w:rPr>
        <w:t>trazendo</w:t>
      </w:r>
      <w:r w:rsidRPr="00C158E5">
        <w:rPr>
          <w:sz w:val="24"/>
          <w:szCs w:val="24"/>
        </w:rPr>
        <w:t xml:space="preserve"> sugestões de aperfeiçoame</w:t>
      </w:r>
      <w:r w:rsidR="00C21CCC" w:rsidRPr="00C158E5">
        <w:rPr>
          <w:sz w:val="24"/>
          <w:szCs w:val="24"/>
        </w:rPr>
        <w:t>nto. O</w:t>
      </w:r>
      <w:r w:rsidRPr="00C158E5">
        <w:rPr>
          <w:sz w:val="24"/>
          <w:szCs w:val="24"/>
        </w:rPr>
        <w:t xml:space="preserve">s autores </w:t>
      </w:r>
      <w:r w:rsidR="005D623F" w:rsidRPr="00C158E5">
        <w:rPr>
          <w:sz w:val="24"/>
          <w:szCs w:val="24"/>
        </w:rPr>
        <w:t>destacam</w:t>
      </w:r>
      <w:r w:rsidRPr="00C158E5">
        <w:rPr>
          <w:sz w:val="24"/>
          <w:szCs w:val="24"/>
        </w:rPr>
        <w:t xml:space="preserve"> um conjunto de características desejáveis a um sistema de transferências, as quais, no entanto, podem ser total ou parcialmente conflitantes. </w:t>
      </w:r>
    </w:p>
    <w:p w:rsidR="00E9008B" w:rsidRPr="00C158E5" w:rsidRDefault="000269EF" w:rsidP="00C16190">
      <w:pPr>
        <w:spacing w:before="120" w:after="120" w:line="240" w:lineRule="auto"/>
        <w:ind w:firstLine="709"/>
        <w:rPr>
          <w:sz w:val="24"/>
          <w:szCs w:val="24"/>
        </w:rPr>
      </w:pPr>
      <w:r w:rsidRPr="00C158E5">
        <w:rPr>
          <w:sz w:val="24"/>
          <w:szCs w:val="24"/>
        </w:rPr>
        <w:t>O</w:t>
      </w:r>
      <w:r w:rsidR="00B75CE3" w:rsidRPr="00C158E5">
        <w:rPr>
          <w:sz w:val="24"/>
          <w:szCs w:val="24"/>
        </w:rPr>
        <w:t xml:space="preserve">ito características </w:t>
      </w:r>
      <w:r w:rsidRPr="00C158E5">
        <w:rPr>
          <w:sz w:val="24"/>
          <w:szCs w:val="24"/>
        </w:rPr>
        <w:t xml:space="preserve">são apontadas </w:t>
      </w:r>
      <w:r w:rsidR="0013755C" w:rsidRPr="00C158E5">
        <w:rPr>
          <w:sz w:val="24"/>
          <w:szCs w:val="24"/>
        </w:rPr>
        <w:t>como desejáveis a um sistema de transferências:</w:t>
      </w:r>
      <w:r w:rsidR="00C21CCC" w:rsidRPr="00C158E5">
        <w:rPr>
          <w:sz w:val="24"/>
          <w:szCs w:val="24"/>
        </w:rPr>
        <w:t xml:space="preserve"> (i) </w:t>
      </w:r>
      <w:r w:rsidR="00C21CCC" w:rsidRPr="00C158E5">
        <w:rPr>
          <w:i/>
          <w:sz w:val="24"/>
          <w:szCs w:val="24"/>
        </w:rPr>
        <w:t>autonomia subnacional</w:t>
      </w:r>
      <w:r w:rsidR="00C21CCC" w:rsidRPr="00C158E5">
        <w:rPr>
          <w:sz w:val="24"/>
          <w:szCs w:val="24"/>
        </w:rPr>
        <w:t xml:space="preserve">, que </w:t>
      </w:r>
      <w:r w:rsidR="00476085">
        <w:rPr>
          <w:sz w:val="24"/>
          <w:szCs w:val="24"/>
        </w:rPr>
        <w:t xml:space="preserve">se </w:t>
      </w:r>
      <w:r w:rsidR="00A25E8F">
        <w:rPr>
          <w:sz w:val="24"/>
          <w:szCs w:val="24"/>
        </w:rPr>
        <w:t>refere</w:t>
      </w:r>
      <w:r w:rsidR="0013755C" w:rsidRPr="00C158E5">
        <w:rPr>
          <w:sz w:val="24"/>
          <w:szCs w:val="24"/>
        </w:rPr>
        <w:t xml:space="preserve"> à autonomia dos governos locais para gerir seus recursos e fazer</w:t>
      </w:r>
      <w:r w:rsidR="00C21CCC" w:rsidRPr="00C158E5">
        <w:rPr>
          <w:sz w:val="24"/>
          <w:szCs w:val="24"/>
        </w:rPr>
        <w:t xml:space="preserve"> escolhas quanto à sua alocação</w:t>
      </w:r>
      <w:r w:rsidR="0013755C" w:rsidRPr="00C158E5">
        <w:rPr>
          <w:sz w:val="24"/>
          <w:szCs w:val="24"/>
        </w:rPr>
        <w:t xml:space="preserve"> </w:t>
      </w:r>
      <w:r w:rsidR="00C21CCC" w:rsidRPr="00C158E5">
        <w:rPr>
          <w:sz w:val="24"/>
          <w:szCs w:val="24"/>
        </w:rPr>
        <w:t>(a</w:t>
      </w:r>
      <w:r w:rsidR="0013755C" w:rsidRPr="00C158E5">
        <w:rPr>
          <w:sz w:val="24"/>
          <w:szCs w:val="24"/>
        </w:rPr>
        <w:t xml:space="preserve"> literatura argumenta que os governos locais, por estarem mais próximos aos cidadãos, têm melhores condições de priorizar as políticas de acordo com as suas necessidades, bem como de escolher a melhor forma de implementá-las</w:t>
      </w:r>
      <w:r w:rsidR="00C21CCC" w:rsidRPr="00C158E5">
        <w:rPr>
          <w:sz w:val="24"/>
          <w:szCs w:val="24"/>
        </w:rPr>
        <w:t>); (ii) a</w:t>
      </w:r>
      <w:r w:rsidR="0013755C" w:rsidRPr="00C158E5">
        <w:rPr>
          <w:bCs/>
          <w:i/>
          <w:iCs/>
          <w:sz w:val="24"/>
          <w:szCs w:val="24"/>
        </w:rPr>
        <w:t>ccountability</w:t>
      </w:r>
      <w:r w:rsidR="00C21CCC" w:rsidRPr="00C158E5">
        <w:rPr>
          <w:sz w:val="24"/>
          <w:szCs w:val="24"/>
        </w:rPr>
        <w:t xml:space="preserve">, que </w:t>
      </w:r>
      <w:r w:rsidR="00A25E8F">
        <w:rPr>
          <w:sz w:val="24"/>
          <w:szCs w:val="24"/>
        </w:rPr>
        <w:t>se refere</w:t>
      </w:r>
      <w:r w:rsidR="0013755C" w:rsidRPr="00C158E5">
        <w:rPr>
          <w:sz w:val="24"/>
          <w:szCs w:val="24"/>
        </w:rPr>
        <w:t xml:space="preserve"> ao grau em que os eleitores conseguem acompanhar e monitorar o recebimento e a aplicação </w:t>
      </w:r>
      <w:r w:rsidR="00C21CCC" w:rsidRPr="00C158E5">
        <w:rPr>
          <w:sz w:val="24"/>
          <w:szCs w:val="24"/>
        </w:rPr>
        <w:t>dos recursos pelo governo local;</w:t>
      </w:r>
      <w:r w:rsidR="0013755C" w:rsidRPr="00C158E5">
        <w:rPr>
          <w:sz w:val="24"/>
          <w:szCs w:val="24"/>
        </w:rPr>
        <w:t xml:space="preserve"> </w:t>
      </w:r>
      <w:r w:rsidR="00C21CCC" w:rsidRPr="00C158E5">
        <w:rPr>
          <w:sz w:val="24"/>
          <w:szCs w:val="24"/>
        </w:rPr>
        <w:t xml:space="preserve">(iii) </w:t>
      </w:r>
      <w:r w:rsidR="00C21CCC" w:rsidRPr="00C158E5">
        <w:rPr>
          <w:i/>
          <w:sz w:val="24"/>
          <w:szCs w:val="24"/>
        </w:rPr>
        <w:t>r</w:t>
      </w:r>
      <w:r w:rsidR="00C21CCC" w:rsidRPr="00C158E5">
        <w:rPr>
          <w:bCs/>
          <w:i/>
          <w:sz w:val="24"/>
          <w:szCs w:val="24"/>
        </w:rPr>
        <w:t>edistribuição regional</w:t>
      </w:r>
      <w:r w:rsidR="00C21CCC" w:rsidRPr="00C158E5">
        <w:rPr>
          <w:bCs/>
          <w:sz w:val="24"/>
          <w:szCs w:val="24"/>
        </w:rPr>
        <w:t xml:space="preserve">, </w:t>
      </w:r>
      <w:r w:rsidR="00476085">
        <w:rPr>
          <w:bCs/>
          <w:sz w:val="24"/>
          <w:szCs w:val="24"/>
        </w:rPr>
        <w:t xml:space="preserve">de modo que </w:t>
      </w:r>
      <w:r w:rsidR="0013755C" w:rsidRPr="00C158E5">
        <w:rPr>
          <w:sz w:val="24"/>
          <w:szCs w:val="24"/>
        </w:rPr>
        <w:t xml:space="preserve">o mecanismo de transferências </w:t>
      </w:r>
      <w:r w:rsidR="00476085">
        <w:rPr>
          <w:sz w:val="24"/>
          <w:szCs w:val="24"/>
        </w:rPr>
        <w:t xml:space="preserve">possa ser utilizado </w:t>
      </w:r>
      <w:r w:rsidR="0013755C" w:rsidRPr="00C158E5">
        <w:rPr>
          <w:sz w:val="24"/>
          <w:szCs w:val="24"/>
        </w:rPr>
        <w:t xml:space="preserve">para auxiliar na correção de </w:t>
      </w:r>
      <w:r w:rsidR="00C21CCC" w:rsidRPr="00C158E5">
        <w:rPr>
          <w:sz w:val="24"/>
          <w:szCs w:val="24"/>
        </w:rPr>
        <w:t xml:space="preserve">desigualdades sociais e econômicas que se manifestam entre as regiões; (iv) </w:t>
      </w:r>
      <w:r w:rsidR="006437BD" w:rsidRPr="00C158E5">
        <w:rPr>
          <w:bCs/>
          <w:i/>
          <w:sz w:val="24"/>
          <w:szCs w:val="24"/>
        </w:rPr>
        <w:t>r</w:t>
      </w:r>
      <w:r w:rsidR="0013755C" w:rsidRPr="00C158E5">
        <w:rPr>
          <w:bCs/>
          <w:i/>
          <w:sz w:val="24"/>
          <w:szCs w:val="24"/>
        </w:rPr>
        <w:t>edução do hiato fiscal</w:t>
      </w:r>
      <w:r w:rsidR="006437BD" w:rsidRPr="00C158E5">
        <w:rPr>
          <w:sz w:val="24"/>
          <w:szCs w:val="24"/>
        </w:rPr>
        <w:t>, que corresponde à</w:t>
      </w:r>
      <w:r w:rsidR="0013755C" w:rsidRPr="00C158E5">
        <w:rPr>
          <w:sz w:val="24"/>
          <w:szCs w:val="24"/>
        </w:rPr>
        <w:t xml:space="preserve"> </w:t>
      </w:r>
      <w:r w:rsidR="00A25E8F">
        <w:rPr>
          <w:sz w:val="24"/>
          <w:szCs w:val="24"/>
        </w:rPr>
        <w:t xml:space="preserve">busca pela redução da </w:t>
      </w:r>
      <w:r w:rsidR="006437BD" w:rsidRPr="00C158E5">
        <w:rPr>
          <w:sz w:val="24"/>
          <w:szCs w:val="24"/>
        </w:rPr>
        <w:t>“</w:t>
      </w:r>
      <w:r w:rsidR="0013755C" w:rsidRPr="00C158E5">
        <w:rPr>
          <w:sz w:val="24"/>
          <w:szCs w:val="24"/>
        </w:rPr>
        <w:t>diferença entre o custo do conjunto de bens e serviços públicos necessários e economicamente viáveis em determinada região e a capacidade local de financiamento dessa despesa para um dado custo marginal de financ</w:t>
      </w:r>
      <w:r w:rsidR="006437BD" w:rsidRPr="00C158E5">
        <w:rPr>
          <w:sz w:val="24"/>
          <w:szCs w:val="24"/>
        </w:rPr>
        <w:t xml:space="preserve">iamento”; (v) </w:t>
      </w:r>
      <w:r w:rsidR="006437BD" w:rsidRPr="00C158E5">
        <w:rPr>
          <w:i/>
          <w:sz w:val="24"/>
          <w:szCs w:val="24"/>
        </w:rPr>
        <w:t>f</w:t>
      </w:r>
      <w:r w:rsidR="0013755C" w:rsidRPr="00C158E5">
        <w:rPr>
          <w:bCs/>
          <w:i/>
          <w:sz w:val="24"/>
          <w:szCs w:val="24"/>
        </w:rPr>
        <w:t>lexibi</w:t>
      </w:r>
      <w:r w:rsidR="006437BD" w:rsidRPr="00C158E5">
        <w:rPr>
          <w:bCs/>
          <w:i/>
          <w:sz w:val="24"/>
          <w:szCs w:val="24"/>
        </w:rPr>
        <w:t>lidade para absorção de choques</w:t>
      </w:r>
      <w:r w:rsidR="006437BD" w:rsidRPr="00C158E5">
        <w:rPr>
          <w:bCs/>
          <w:sz w:val="24"/>
          <w:szCs w:val="24"/>
        </w:rPr>
        <w:t xml:space="preserve">, que </w:t>
      </w:r>
      <w:r w:rsidR="00894255">
        <w:rPr>
          <w:bCs/>
          <w:sz w:val="24"/>
          <w:szCs w:val="24"/>
        </w:rPr>
        <w:t xml:space="preserve">se </w:t>
      </w:r>
      <w:r w:rsidR="006437BD" w:rsidRPr="00C158E5">
        <w:rPr>
          <w:bCs/>
          <w:sz w:val="24"/>
          <w:szCs w:val="24"/>
        </w:rPr>
        <w:t>refe</w:t>
      </w:r>
      <w:r w:rsidR="00A25E8F">
        <w:rPr>
          <w:bCs/>
          <w:sz w:val="24"/>
          <w:szCs w:val="24"/>
        </w:rPr>
        <w:t>re</w:t>
      </w:r>
      <w:r w:rsidR="006437BD" w:rsidRPr="00C158E5">
        <w:rPr>
          <w:bCs/>
          <w:sz w:val="24"/>
          <w:szCs w:val="24"/>
        </w:rPr>
        <w:t xml:space="preserve"> à flexibilidade e agilidade do sistema de </w:t>
      </w:r>
      <w:r w:rsidR="0013755C" w:rsidRPr="00C158E5">
        <w:rPr>
          <w:sz w:val="24"/>
          <w:szCs w:val="24"/>
        </w:rPr>
        <w:t>redireciona</w:t>
      </w:r>
      <w:r w:rsidR="006437BD" w:rsidRPr="00C158E5">
        <w:rPr>
          <w:sz w:val="24"/>
          <w:szCs w:val="24"/>
        </w:rPr>
        <w:t>r recursos</w:t>
      </w:r>
      <w:r w:rsidR="0013755C" w:rsidRPr="00C158E5">
        <w:rPr>
          <w:sz w:val="24"/>
          <w:szCs w:val="24"/>
        </w:rPr>
        <w:t xml:space="preserve"> para necessidades específicas quando surgem s</w:t>
      </w:r>
      <w:r w:rsidR="006437BD" w:rsidRPr="00C158E5">
        <w:rPr>
          <w:sz w:val="24"/>
          <w:szCs w:val="24"/>
        </w:rPr>
        <w:t xml:space="preserve">ituações imprevistas (choques); (vi) </w:t>
      </w:r>
      <w:r w:rsidR="00883F67" w:rsidRPr="00C158E5">
        <w:rPr>
          <w:bCs/>
          <w:i/>
          <w:sz w:val="24"/>
          <w:szCs w:val="24"/>
        </w:rPr>
        <w:t>i</w:t>
      </w:r>
      <w:r w:rsidR="0013755C" w:rsidRPr="00C158E5">
        <w:rPr>
          <w:bCs/>
          <w:i/>
          <w:sz w:val="24"/>
          <w:szCs w:val="24"/>
        </w:rPr>
        <w:t>nternalização das externalidades</w:t>
      </w:r>
      <w:r w:rsidR="00883F67" w:rsidRPr="00C158E5">
        <w:rPr>
          <w:bCs/>
          <w:sz w:val="24"/>
          <w:szCs w:val="24"/>
        </w:rPr>
        <w:t xml:space="preserve">, que </w:t>
      </w:r>
      <w:r w:rsidR="00894255">
        <w:rPr>
          <w:bCs/>
          <w:sz w:val="24"/>
          <w:szCs w:val="24"/>
        </w:rPr>
        <w:t xml:space="preserve">se </w:t>
      </w:r>
      <w:r w:rsidR="00883F67" w:rsidRPr="00C158E5">
        <w:rPr>
          <w:bCs/>
          <w:sz w:val="24"/>
          <w:szCs w:val="24"/>
        </w:rPr>
        <w:t>refere</w:t>
      </w:r>
      <w:r w:rsidR="00894255">
        <w:rPr>
          <w:bCs/>
          <w:sz w:val="24"/>
          <w:szCs w:val="24"/>
        </w:rPr>
        <w:t xml:space="preserve"> à</w:t>
      </w:r>
      <w:r w:rsidR="00883F67" w:rsidRPr="00C158E5">
        <w:rPr>
          <w:bCs/>
          <w:sz w:val="24"/>
          <w:szCs w:val="24"/>
        </w:rPr>
        <w:t xml:space="preserve"> capacidade do sistema de equacionar de modo eficiente (ou internalizar) as externalidades </w:t>
      </w:r>
      <w:r w:rsidRPr="00C158E5">
        <w:rPr>
          <w:bCs/>
          <w:sz w:val="24"/>
          <w:szCs w:val="24"/>
        </w:rPr>
        <w:t xml:space="preserve">inerentes </w:t>
      </w:r>
      <w:r w:rsidR="00883F67" w:rsidRPr="00C158E5">
        <w:rPr>
          <w:bCs/>
          <w:sz w:val="24"/>
          <w:szCs w:val="24"/>
        </w:rPr>
        <w:t xml:space="preserve">ao serviço </w:t>
      </w:r>
      <w:r w:rsidRPr="00C158E5">
        <w:rPr>
          <w:bCs/>
          <w:sz w:val="24"/>
          <w:szCs w:val="24"/>
        </w:rPr>
        <w:t>prestado</w:t>
      </w:r>
      <w:r w:rsidR="00883F67" w:rsidRPr="00C158E5">
        <w:rPr>
          <w:bCs/>
          <w:sz w:val="24"/>
          <w:szCs w:val="24"/>
        </w:rPr>
        <w:t xml:space="preserve"> (p</w:t>
      </w:r>
      <w:r w:rsidR="0013755C" w:rsidRPr="00C158E5">
        <w:rPr>
          <w:sz w:val="24"/>
          <w:szCs w:val="24"/>
        </w:rPr>
        <w:t>ode ser de interesse nacional que uma localidade mais desenvolvida forneça determinado serviço a uma população maior do que a sua própria</w:t>
      </w:r>
      <w:r w:rsidR="00894255">
        <w:rPr>
          <w:sz w:val="24"/>
          <w:szCs w:val="24"/>
        </w:rPr>
        <w:t>, gerando</w:t>
      </w:r>
      <w:r w:rsidR="0013755C" w:rsidRPr="00C158E5">
        <w:rPr>
          <w:sz w:val="24"/>
          <w:szCs w:val="24"/>
        </w:rPr>
        <w:t xml:space="preserve"> uma externalidade positiva para outras localidades</w:t>
      </w:r>
      <w:r w:rsidR="00894255">
        <w:rPr>
          <w:sz w:val="24"/>
          <w:szCs w:val="24"/>
        </w:rPr>
        <w:t>. Nesse</w:t>
      </w:r>
      <w:r w:rsidR="002419E3">
        <w:rPr>
          <w:sz w:val="24"/>
          <w:szCs w:val="24"/>
        </w:rPr>
        <w:t>s</w:t>
      </w:r>
      <w:r w:rsidR="00894255">
        <w:rPr>
          <w:sz w:val="24"/>
          <w:szCs w:val="24"/>
        </w:rPr>
        <w:t xml:space="preserve"> caso</w:t>
      </w:r>
      <w:r w:rsidR="002419E3">
        <w:rPr>
          <w:sz w:val="24"/>
          <w:szCs w:val="24"/>
        </w:rPr>
        <w:t>s</w:t>
      </w:r>
      <w:r w:rsidR="00C20874">
        <w:rPr>
          <w:sz w:val="24"/>
          <w:szCs w:val="24"/>
        </w:rPr>
        <w:t xml:space="preserve">, </w:t>
      </w:r>
      <w:r w:rsidR="001D7C94">
        <w:rPr>
          <w:sz w:val="24"/>
          <w:szCs w:val="24"/>
        </w:rPr>
        <w:t>as transferências podem atuar no alinhamento de objetivos entre os governos central e local no que se refere à avaliação de custos e benefícios do serviço</w:t>
      </w:r>
      <w:r w:rsidR="00C20874">
        <w:rPr>
          <w:sz w:val="24"/>
          <w:szCs w:val="24"/>
        </w:rPr>
        <w:t xml:space="preserve"> oferecido</w:t>
      </w:r>
      <w:r w:rsidR="001D7C94">
        <w:rPr>
          <w:sz w:val="24"/>
          <w:szCs w:val="24"/>
        </w:rPr>
        <w:t>)</w:t>
      </w:r>
      <w:r w:rsidR="00883F67" w:rsidRPr="00C158E5">
        <w:rPr>
          <w:sz w:val="24"/>
          <w:szCs w:val="24"/>
        </w:rPr>
        <w:t xml:space="preserve">; (vii) </w:t>
      </w:r>
      <w:r w:rsidR="00883F67" w:rsidRPr="00C158E5">
        <w:rPr>
          <w:i/>
          <w:sz w:val="24"/>
          <w:szCs w:val="24"/>
        </w:rPr>
        <w:t>i</w:t>
      </w:r>
      <w:r w:rsidR="0013755C" w:rsidRPr="00C158E5">
        <w:rPr>
          <w:bCs/>
          <w:i/>
          <w:sz w:val="24"/>
          <w:szCs w:val="24"/>
        </w:rPr>
        <w:t>ndependência de fatores políticos e responsabilidade fiscal</w:t>
      </w:r>
      <w:r w:rsidR="00883F67" w:rsidRPr="00C158E5">
        <w:rPr>
          <w:bCs/>
          <w:sz w:val="24"/>
          <w:szCs w:val="24"/>
        </w:rPr>
        <w:t xml:space="preserve">, pois </w:t>
      </w:r>
      <w:r w:rsidR="0013755C" w:rsidRPr="00C158E5">
        <w:rPr>
          <w:sz w:val="24"/>
          <w:szCs w:val="24"/>
        </w:rPr>
        <w:t>é desejável que as regras sejam independentes de fatores políticos</w:t>
      </w:r>
      <w:r w:rsidR="00883F67" w:rsidRPr="00C158E5">
        <w:rPr>
          <w:sz w:val="24"/>
          <w:szCs w:val="24"/>
        </w:rPr>
        <w:t xml:space="preserve"> e que</w:t>
      </w:r>
      <w:r w:rsidR="00F1405B" w:rsidRPr="00C158E5">
        <w:rPr>
          <w:sz w:val="24"/>
          <w:szCs w:val="24"/>
        </w:rPr>
        <w:t xml:space="preserve"> mantenham</w:t>
      </w:r>
      <w:r w:rsidR="00883F67" w:rsidRPr="00C158E5">
        <w:rPr>
          <w:sz w:val="24"/>
          <w:szCs w:val="24"/>
        </w:rPr>
        <w:t xml:space="preserve"> o interesse dos governos locais em explorar </w:t>
      </w:r>
      <w:r w:rsidR="00F1405B" w:rsidRPr="00C158E5">
        <w:rPr>
          <w:sz w:val="24"/>
          <w:szCs w:val="24"/>
        </w:rPr>
        <w:t xml:space="preserve">suas próprias bases tributárias; e, finalmente, (viii) </w:t>
      </w:r>
      <w:r w:rsidR="00F1405B" w:rsidRPr="00C158E5">
        <w:rPr>
          <w:i/>
          <w:sz w:val="24"/>
          <w:szCs w:val="24"/>
        </w:rPr>
        <w:t>i</w:t>
      </w:r>
      <w:r w:rsidR="00F1405B" w:rsidRPr="00C158E5">
        <w:rPr>
          <w:bCs/>
          <w:i/>
          <w:sz w:val="24"/>
          <w:szCs w:val="24"/>
        </w:rPr>
        <w:t>ncentivo à gestão eficiente</w:t>
      </w:r>
      <w:r w:rsidR="00F1405B" w:rsidRPr="00C158E5">
        <w:rPr>
          <w:bCs/>
          <w:sz w:val="24"/>
          <w:szCs w:val="24"/>
        </w:rPr>
        <w:t>, que</w:t>
      </w:r>
      <w:r w:rsidR="00894255">
        <w:rPr>
          <w:bCs/>
          <w:sz w:val="24"/>
          <w:szCs w:val="24"/>
        </w:rPr>
        <w:t xml:space="preserve"> se</w:t>
      </w:r>
      <w:r w:rsidR="00F1405B" w:rsidRPr="00C158E5">
        <w:rPr>
          <w:bCs/>
          <w:sz w:val="24"/>
          <w:szCs w:val="24"/>
        </w:rPr>
        <w:t xml:space="preserve"> refere à capacidade do </w:t>
      </w:r>
      <w:r w:rsidR="0013755C" w:rsidRPr="00C158E5">
        <w:rPr>
          <w:sz w:val="24"/>
          <w:szCs w:val="24"/>
        </w:rPr>
        <w:t xml:space="preserve">sistema de </w:t>
      </w:r>
      <w:r w:rsidR="00F1405B" w:rsidRPr="00C158E5">
        <w:rPr>
          <w:sz w:val="24"/>
          <w:szCs w:val="24"/>
        </w:rPr>
        <w:t>aumentar</w:t>
      </w:r>
      <w:r w:rsidR="0013755C" w:rsidRPr="00C158E5">
        <w:rPr>
          <w:sz w:val="24"/>
          <w:szCs w:val="24"/>
        </w:rPr>
        <w:t xml:space="preserve"> os valores recebidos por aqueles governos que demonstrem melhor desempenho</w:t>
      </w:r>
      <w:r w:rsidR="00F1405B" w:rsidRPr="00C158E5">
        <w:rPr>
          <w:sz w:val="24"/>
          <w:szCs w:val="24"/>
        </w:rPr>
        <w:t>,</w:t>
      </w:r>
      <w:r w:rsidR="0013755C" w:rsidRPr="00C158E5">
        <w:rPr>
          <w:sz w:val="24"/>
          <w:szCs w:val="24"/>
        </w:rPr>
        <w:t xml:space="preserve"> gera</w:t>
      </w:r>
      <w:r w:rsidR="00F1405B" w:rsidRPr="00C158E5">
        <w:rPr>
          <w:sz w:val="24"/>
          <w:szCs w:val="24"/>
        </w:rPr>
        <w:t>ndo</w:t>
      </w:r>
      <w:r w:rsidR="0013755C" w:rsidRPr="00C158E5">
        <w:rPr>
          <w:sz w:val="24"/>
          <w:szCs w:val="24"/>
        </w:rPr>
        <w:t xml:space="preserve"> incentivos a uma boa gestão. </w:t>
      </w:r>
    </w:p>
    <w:p w:rsidR="00BE6B25" w:rsidRDefault="0013755C" w:rsidP="00C16190">
      <w:pPr>
        <w:spacing w:before="120" w:after="120" w:line="240" w:lineRule="auto"/>
        <w:ind w:firstLine="709"/>
        <w:rPr>
          <w:sz w:val="24"/>
          <w:szCs w:val="24"/>
        </w:rPr>
      </w:pPr>
      <w:r w:rsidRPr="00C158E5">
        <w:rPr>
          <w:sz w:val="24"/>
          <w:szCs w:val="24"/>
        </w:rPr>
        <w:t xml:space="preserve">Mendes, Miranda e Cossio </w:t>
      </w:r>
      <w:r w:rsidR="006437BD" w:rsidRPr="00C158E5">
        <w:rPr>
          <w:sz w:val="24"/>
          <w:szCs w:val="24"/>
        </w:rPr>
        <w:t>discutem</w:t>
      </w:r>
      <w:r w:rsidRPr="00C158E5">
        <w:rPr>
          <w:sz w:val="24"/>
          <w:szCs w:val="24"/>
        </w:rPr>
        <w:t xml:space="preserve"> os prós e contras das transferências do SUS à luz das características desejáveis </w:t>
      </w:r>
      <w:r w:rsidR="006437BD" w:rsidRPr="00C158E5">
        <w:rPr>
          <w:sz w:val="24"/>
          <w:szCs w:val="24"/>
        </w:rPr>
        <w:t>por eles apontadas</w:t>
      </w:r>
      <w:r w:rsidRPr="00C158E5">
        <w:rPr>
          <w:sz w:val="24"/>
          <w:szCs w:val="24"/>
        </w:rPr>
        <w:t>. Como ponto positivo, ressaltam a independência de fatores políticos, especialmente para as modalidades fundo a fundo, uma vez que as regras são pré-estabelecidas e têm se tornado cada vez mais transparentes. Comentam ainda que o ponto não é tão válido para a modalidade de convênios, que hoje já representa a minoria dos recur</w:t>
      </w:r>
      <w:r w:rsidR="004A2362" w:rsidRPr="00C158E5">
        <w:rPr>
          <w:sz w:val="24"/>
          <w:szCs w:val="24"/>
        </w:rPr>
        <w:t>sos transferidos.</w:t>
      </w:r>
      <w:r w:rsidR="002F7CAE">
        <w:rPr>
          <w:sz w:val="24"/>
          <w:szCs w:val="24"/>
        </w:rPr>
        <w:t xml:space="preserve"> </w:t>
      </w:r>
    </w:p>
    <w:p w:rsidR="00E9008B" w:rsidRPr="00C158E5" w:rsidRDefault="0013755C" w:rsidP="00C16190">
      <w:pPr>
        <w:spacing w:before="120" w:after="120" w:line="240" w:lineRule="auto"/>
        <w:ind w:firstLine="709"/>
        <w:rPr>
          <w:sz w:val="24"/>
          <w:szCs w:val="24"/>
        </w:rPr>
      </w:pPr>
      <w:r w:rsidRPr="00C158E5">
        <w:rPr>
          <w:sz w:val="24"/>
          <w:szCs w:val="24"/>
        </w:rPr>
        <w:t xml:space="preserve">Com relação à autonomia subnacional, algo fortemente presente nos princípios que nortearam a criação SUS, os autores comentam que ela ocorre de </w:t>
      </w:r>
      <w:r w:rsidR="006437BD" w:rsidRPr="00C158E5">
        <w:rPr>
          <w:sz w:val="24"/>
          <w:szCs w:val="24"/>
        </w:rPr>
        <w:t>forma parcial, pois,</w:t>
      </w:r>
      <w:r w:rsidRPr="00C158E5">
        <w:rPr>
          <w:sz w:val="24"/>
          <w:szCs w:val="24"/>
        </w:rPr>
        <w:t xml:space="preserve"> embora as transferências </w:t>
      </w:r>
      <w:r w:rsidRPr="00C158E5">
        <w:rPr>
          <w:i/>
          <w:sz w:val="24"/>
          <w:szCs w:val="24"/>
        </w:rPr>
        <w:t>per capita</w:t>
      </w:r>
      <w:r w:rsidRPr="00C158E5">
        <w:rPr>
          <w:sz w:val="24"/>
          <w:szCs w:val="24"/>
        </w:rPr>
        <w:t xml:space="preserve"> devam ser aplicadas no bloco a que se destinam, os governos locais possuem liberdade para escolher a melhor alocação dentro das ações e programas previstos em cada bloco. Além disso, a adesão a programas específicos que são financiados acontece segundo escolha dos próprios governos locais, desde que discutidos e aprovados pelos respectivos Conselhos de Saúde. Os autores comentam</w:t>
      </w:r>
      <w:r w:rsidR="006437BD" w:rsidRPr="00C158E5">
        <w:rPr>
          <w:sz w:val="24"/>
          <w:szCs w:val="24"/>
        </w:rPr>
        <w:t>, ainda,</w:t>
      </w:r>
      <w:r w:rsidRPr="00C158E5">
        <w:rPr>
          <w:sz w:val="24"/>
          <w:szCs w:val="24"/>
        </w:rPr>
        <w:t xml:space="preserve"> que o SUS apresenta bons resultados na questão da redistribuição de recursos ao longo do território. Por outro lado, como as transferências do SUS são obrigatórias e pró-cíclicas, uma vez que estão diretamente relacionadas ao crescimento do PIB e da arrecadação anual dos governos locais, há baixa flexibilidade para absorção de choques.</w:t>
      </w:r>
    </w:p>
    <w:p w:rsidR="004A2362" w:rsidRDefault="0013755C" w:rsidP="00C16190">
      <w:pPr>
        <w:spacing w:before="120" w:after="120" w:line="240" w:lineRule="auto"/>
        <w:ind w:firstLine="709"/>
        <w:rPr>
          <w:sz w:val="24"/>
          <w:szCs w:val="24"/>
        </w:rPr>
      </w:pPr>
      <w:r w:rsidRPr="00C158E5">
        <w:rPr>
          <w:sz w:val="24"/>
          <w:szCs w:val="24"/>
        </w:rPr>
        <w:t xml:space="preserve">Para Mendes, Miranda e Cossio, o grande problema no processo de transferências do SUS é justamente a sua incapacidade de distribuir os recursos segundo critérios de necessidade de saúde, como também de premiar bons resultados. Aparentemente, não há incentivos a uma gestão eficiente de recursos. A Lei Orgânica da Saúde, de 1990, previa inicialmente critérios de transferências baseados no perfil </w:t>
      </w:r>
      <w:r w:rsidRPr="00C158E5">
        <w:rPr>
          <w:sz w:val="24"/>
          <w:szCs w:val="24"/>
        </w:rPr>
        <w:lastRenderedPageBreak/>
        <w:t>demográfico e epidemiológico de cada região, além de características quantitativas e qualitativas da rede de saúde e desempenho no período anterior. Entretanto, a falta de acordo político em torno desses critérios impossibilitou sua aplicação na prática</w:t>
      </w:r>
      <w:r w:rsidR="00A176C4">
        <w:rPr>
          <w:sz w:val="24"/>
          <w:szCs w:val="24"/>
        </w:rPr>
        <w:t xml:space="preserve">. </w:t>
      </w:r>
      <w:r w:rsidRPr="00C158E5">
        <w:rPr>
          <w:sz w:val="24"/>
          <w:szCs w:val="24"/>
        </w:rPr>
        <w:t>Uma consequência desse fenômeno é o fato de que, embora os recursos estejam hoje mais homogeneamente distribuídos ao longo do terrítório, os indicadores de saúde estão convergindo para patamares difer</w:t>
      </w:r>
      <w:r w:rsidR="00A176C4">
        <w:rPr>
          <w:sz w:val="24"/>
          <w:szCs w:val="24"/>
        </w:rPr>
        <w:t>entes entre as regiões do país.</w:t>
      </w:r>
      <w:r w:rsidR="00BE6B25">
        <w:rPr>
          <w:sz w:val="24"/>
          <w:szCs w:val="24"/>
        </w:rPr>
        <w:t xml:space="preserve"> </w:t>
      </w:r>
    </w:p>
    <w:p w:rsidR="007C4053" w:rsidRPr="00C158E5" w:rsidRDefault="007C4053" w:rsidP="00C16190">
      <w:pPr>
        <w:spacing w:before="120" w:after="120" w:line="240" w:lineRule="auto"/>
        <w:ind w:firstLine="709"/>
        <w:rPr>
          <w:sz w:val="24"/>
          <w:szCs w:val="24"/>
        </w:rPr>
      </w:pPr>
      <w:r>
        <w:rPr>
          <w:sz w:val="24"/>
          <w:szCs w:val="24"/>
        </w:rPr>
        <w:t xml:space="preserve">A análise empírica realizada neste trabalho teve foco no aspecto redistributivo das transferências do SUS. Além disso, embora não seja o </w:t>
      </w:r>
      <w:r w:rsidR="00C963DE">
        <w:rPr>
          <w:sz w:val="24"/>
          <w:szCs w:val="24"/>
        </w:rPr>
        <w:t>tópico</w:t>
      </w:r>
      <w:r>
        <w:rPr>
          <w:sz w:val="24"/>
          <w:szCs w:val="24"/>
        </w:rPr>
        <w:t xml:space="preserve"> principal, </w:t>
      </w:r>
      <w:r w:rsidR="00C20874">
        <w:rPr>
          <w:sz w:val="24"/>
          <w:szCs w:val="24"/>
        </w:rPr>
        <w:t>ajuda a discutir algumas das</w:t>
      </w:r>
      <w:r>
        <w:rPr>
          <w:sz w:val="24"/>
          <w:szCs w:val="24"/>
        </w:rPr>
        <w:t xml:space="preserve"> </w:t>
      </w:r>
      <w:r w:rsidR="00C20874">
        <w:rPr>
          <w:sz w:val="24"/>
          <w:szCs w:val="24"/>
        </w:rPr>
        <w:t>outra</w:t>
      </w:r>
      <w:r>
        <w:rPr>
          <w:sz w:val="24"/>
          <w:szCs w:val="24"/>
        </w:rPr>
        <w:t xml:space="preserve">s </w:t>
      </w:r>
      <w:r w:rsidR="00C20874">
        <w:rPr>
          <w:sz w:val="24"/>
          <w:szCs w:val="24"/>
        </w:rPr>
        <w:t>características desejáveis apontadas</w:t>
      </w:r>
      <w:r>
        <w:rPr>
          <w:sz w:val="24"/>
          <w:szCs w:val="24"/>
        </w:rPr>
        <w:t xml:space="preserve"> acima, como a independência de fatores políticos e a relação do volume transferido com as necessidades de saúde de cada localidade.</w:t>
      </w:r>
    </w:p>
    <w:p w:rsidR="00E9008B" w:rsidRPr="00C158E5" w:rsidRDefault="007C4053" w:rsidP="00C16190">
      <w:pPr>
        <w:spacing w:before="120" w:after="120" w:line="240" w:lineRule="auto"/>
        <w:ind w:firstLine="709"/>
        <w:rPr>
          <w:sz w:val="24"/>
          <w:szCs w:val="24"/>
        </w:rPr>
      </w:pPr>
      <w:r>
        <w:rPr>
          <w:sz w:val="24"/>
          <w:szCs w:val="24"/>
        </w:rPr>
        <w:t>Em particular, nossa a</w:t>
      </w:r>
      <w:r w:rsidR="0013755C" w:rsidRPr="00C158E5">
        <w:rPr>
          <w:sz w:val="24"/>
          <w:szCs w:val="24"/>
        </w:rPr>
        <w:t xml:space="preserve">nálise empírica traz evidências </w:t>
      </w:r>
      <w:r w:rsidR="004A2362" w:rsidRPr="00C158E5">
        <w:rPr>
          <w:sz w:val="24"/>
          <w:szCs w:val="24"/>
        </w:rPr>
        <w:t>de que, apesar dos bons resultados do SUS com relação</w:t>
      </w:r>
      <w:r w:rsidR="000971DE" w:rsidRPr="00C158E5">
        <w:rPr>
          <w:sz w:val="24"/>
          <w:szCs w:val="24"/>
        </w:rPr>
        <w:t xml:space="preserve"> à redistribuição de recursos ao longo do território comparativamente ao período anterior à implantação do sistema, ainda é possível que os municípios e regiões mais ricas estejam se beneficiando de maiores montantes de transferências </w:t>
      </w:r>
      <w:r w:rsidR="000971DE" w:rsidRPr="00C158E5">
        <w:rPr>
          <w:i/>
          <w:sz w:val="24"/>
          <w:szCs w:val="24"/>
        </w:rPr>
        <w:t>per capita</w:t>
      </w:r>
      <w:r w:rsidR="000971DE" w:rsidRPr="00C158E5">
        <w:rPr>
          <w:sz w:val="24"/>
          <w:szCs w:val="24"/>
        </w:rPr>
        <w:t xml:space="preserve">. A </w:t>
      </w:r>
      <w:r w:rsidR="000971DE" w:rsidRPr="00C158E5">
        <w:rPr>
          <w:i/>
          <w:sz w:val="24"/>
          <w:szCs w:val="24"/>
        </w:rPr>
        <w:t>priori</w:t>
      </w:r>
      <w:r w:rsidR="000971DE" w:rsidRPr="00C158E5">
        <w:rPr>
          <w:sz w:val="24"/>
          <w:szCs w:val="24"/>
        </w:rPr>
        <w:t>, a principal evidência nesse sentido é a correlação positiva e signifi</w:t>
      </w:r>
      <w:r w:rsidR="00550E90">
        <w:rPr>
          <w:sz w:val="24"/>
          <w:szCs w:val="24"/>
        </w:rPr>
        <w:t>cante</w:t>
      </w:r>
      <w:r w:rsidR="000971DE" w:rsidRPr="00C158E5">
        <w:rPr>
          <w:sz w:val="24"/>
          <w:szCs w:val="24"/>
        </w:rPr>
        <w:t xml:space="preserve"> entre a arrecadação municipal (receita cujas fontes foram</w:t>
      </w:r>
      <w:r w:rsidR="002F754C" w:rsidRPr="00C158E5">
        <w:rPr>
          <w:sz w:val="24"/>
          <w:szCs w:val="24"/>
        </w:rPr>
        <w:t xml:space="preserve"> detalhadas na seção anterior</w:t>
      </w:r>
      <w:r w:rsidR="00C20874">
        <w:rPr>
          <w:sz w:val="24"/>
          <w:szCs w:val="24"/>
        </w:rPr>
        <w:t xml:space="preserve"> </w:t>
      </w:r>
      <w:r w:rsidR="003A0F16">
        <w:rPr>
          <w:sz w:val="24"/>
          <w:szCs w:val="24"/>
        </w:rPr>
        <w:t>deste artigo</w:t>
      </w:r>
      <w:r w:rsidR="002F754C" w:rsidRPr="00C158E5">
        <w:rPr>
          <w:sz w:val="24"/>
          <w:szCs w:val="24"/>
        </w:rPr>
        <w:t>) e o recebimento de transferências para a saúde por parte dos municípios.</w:t>
      </w:r>
    </w:p>
    <w:p w:rsidR="00E9008B" w:rsidRPr="00C158E5" w:rsidRDefault="0013755C" w:rsidP="00C16190">
      <w:pPr>
        <w:spacing w:before="120" w:after="120" w:line="240" w:lineRule="auto"/>
        <w:ind w:firstLine="709"/>
        <w:rPr>
          <w:sz w:val="24"/>
          <w:szCs w:val="24"/>
        </w:rPr>
      </w:pPr>
      <w:r w:rsidRPr="00C158E5">
        <w:rPr>
          <w:sz w:val="24"/>
          <w:szCs w:val="24"/>
        </w:rPr>
        <w:t>Uma análise d</w:t>
      </w:r>
      <w:r w:rsidR="007F5FDC" w:rsidRPr="00C158E5">
        <w:rPr>
          <w:sz w:val="24"/>
          <w:szCs w:val="24"/>
        </w:rPr>
        <w:t>as</w:t>
      </w:r>
      <w:r w:rsidRPr="00C158E5">
        <w:rPr>
          <w:sz w:val="24"/>
          <w:szCs w:val="24"/>
        </w:rPr>
        <w:t xml:space="preserve"> transferências de recursos do governo federal para os municípios nos mostra que existe uma dispersão relativamente grande </w:t>
      </w:r>
      <w:r w:rsidR="007F5FDC" w:rsidRPr="00C158E5">
        <w:rPr>
          <w:sz w:val="24"/>
          <w:szCs w:val="24"/>
        </w:rPr>
        <w:t>d</w:t>
      </w:r>
      <w:r w:rsidRPr="00C158E5">
        <w:rPr>
          <w:sz w:val="24"/>
          <w:szCs w:val="24"/>
        </w:rPr>
        <w:t xml:space="preserve">os volumes transferidos quando analisamos em uma base </w:t>
      </w:r>
      <w:r w:rsidRPr="00C158E5">
        <w:rPr>
          <w:i/>
          <w:sz w:val="24"/>
          <w:szCs w:val="24"/>
        </w:rPr>
        <w:t>per capita</w:t>
      </w:r>
      <w:r w:rsidRPr="00C158E5">
        <w:rPr>
          <w:sz w:val="24"/>
          <w:szCs w:val="24"/>
        </w:rPr>
        <w:t xml:space="preserve">, mesmo quando nos restringimos a regiões específicas. </w:t>
      </w:r>
      <w:r w:rsidR="00D612CC">
        <w:rPr>
          <w:sz w:val="24"/>
          <w:szCs w:val="24"/>
        </w:rPr>
        <w:t xml:space="preserve">Utilizando </w:t>
      </w:r>
      <w:r w:rsidR="0097127A" w:rsidRPr="00C158E5">
        <w:rPr>
          <w:sz w:val="24"/>
          <w:szCs w:val="24"/>
        </w:rPr>
        <w:t>dado</w:t>
      </w:r>
      <w:r w:rsidR="00D612CC">
        <w:rPr>
          <w:sz w:val="24"/>
          <w:szCs w:val="24"/>
        </w:rPr>
        <w:t xml:space="preserve">s do SIOPS/Ministério da Saúde e </w:t>
      </w:r>
      <w:r w:rsidR="0097127A" w:rsidRPr="00C158E5">
        <w:rPr>
          <w:sz w:val="24"/>
          <w:szCs w:val="24"/>
        </w:rPr>
        <w:t>c</w:t>
      </w:r>
      <w:r w:rsidRPr="00C158E5">
        <w:rPr>
          <w:sz w:val="24"/>
          <w:szCs w:val="24"/>
        </w:rPr>
        <w:t>onsider</w:t>
      </w:r>
      <w:r w:rsidR="008B3692" w:rsidRPr="00C158E5">
        <w:rPr>
          <w:sz w:val="24"/>
          <w:szCs w:val="24"/>
        </w:rPr>
        <w:t>ando</w:t>
      </w:r>
      <w:r w:rsidRPr="00C158E5">
        <w:rPr>
          <w:sz w:val="24"/>
          <w:szCs w:val="24"/>
        </w:rPr>
        <w:t xml:space="preserve"> apenas os recursos transferidos atravé</w:t>
      </w:r>
      <w:r w:rsidR="008B3692" w:rsidRPr="00C158E5">
        <w:rPr>
          <w:sz w:val="24"/>
          <w:szCs w:val="24"/>
        </w:rPr>
        <w:t xml:space="preserve">s das modalidades fundo a fundo, </w:t>
      </w:r>
      <w:r w:rsidR="00D612CC">
        <w:rPr>
          <w:sz w:val="24"/>
          <w:szCs w:val="24"/>
        </w:rPr>
        <w:t xml:space="preserve">observamos que </w:t>
      </w:r>
      <w:r w:rsidRPr="00C158E5">
        <w:rPr>
          <w:sz w:val="24"/>
          <w:szCs w:val="24"/>
        </w:rPr>
        <w:t>o coeficiente de variação (CV) </w:t>
      </w:r>
      <w:r w:rsidRPr="00C158E5">
        <w:rPr>
          <w:rStyle w:val="Refdenotaderodap"/>
          <w:sz w:val="24"/>
          <w:szCs w:val="24"/>
        </w:rPr>
        <w:footnoteReference w:id="1"/>
      </w:r>
      <w:r w:rsidRPr="00C158E5">
        <w:rPr>
          <w:sz w:val="24"/>
          <w:szCs w:val="24"/>
        </w:rPr>
        <w:t xml:space="preserve"> </w:t>
      </w:r>
      <w:r w:rsidR="008B3692" w:rsidRPr="00C158E5">
        <w:rPr>
          <w:sz w:val="24"/>
          <w:szCs w:val="24"/>
        </w:rPr>
        <w:t xml:space="preserve">dos recursos </w:t>
      </w:r>
      <w:r w:rsidR="00744D2B" w:rsidRPr="00C158E5">
        <w:rPr>
          <w:i/>
          <w:sz w:val="24"/>
          <w:szCs w:val="24"/>
        </w:rPr>
        <w:t>per capita</w:t>
      </w:r>
      <w:r w:rsidR="00744D2B" w:rsidRPr="00C158E5">
        <w:rPr>
          <w:sz w:val="24"/>
          <w:szCs w:val="24"/>
        </w:rPr>
        <w:t xml:space="preserve"> </w:t>
      </w:r>
      <w:r w:rsidR="008B3692" w:rsidRPr="00C158E5">
        <w:rPr>
          <w:sz w:val="24"/>
          <w:szCs w:val="24"/>
        </w:rPr>
        <w:t xml:space="preserve">do SUS recebidos pelos municípios </w:t>
      </w:r>
      <w:r w:rsidR="0097127A" w:rsidRPr="00C158E5">
        <w:rPr>
          <w:sz w:val="24"/>
          <w:szCs w:val="24"/>
        </w:rPr>
        <w:t xml:space="preserve">brasileiros </w:t>
      </w:r>
      <w:r w:rsidR="008B3692" w:rsidRPr="00C158E5">
        <w:rPr>
          <w:sz w:val="24"/>
          <w:szCs w:val="24"/>
        </w:rPr>
        <w:t xml:space="preserve">é igual a </w:t>
      </w:r>
      <w:r w:rsidR="0097127A" w:rsidRPr="00C158E5">
        <w:rPr>
          <w:sz w:val="24"/>
          <w:szCs w:val="24"/>
        </w:rPr>
        <w:t>46%, sendo menor</w:t>
      </w:r>
      <w:r w:rsidR="00C20874">
        <w:rPr>
          <w:sz w:val="24"/>
          <w:szCs w:val="24"/>
        </w:rPr>
        <w:t xml:space="preserve"> na</w:t>
      </w:r>
      <w:r w:rsidR="0097127A" w:rsidRPr="00C158E5">
        <w:rPr>
          <w:sz w:val="24"/>
          <w:szCs w:val="24"/>
        </w:rPr>
        <w:t xml:space="preserve"> Região Nordeste</w:t>
      </w:r>
      <w:r w:rsidR="00D612CC">
        <w:rPr>
          <w:sz w:val="24"/>
          <w:szCs w:val="24"/>
        </w:rPr>
        <w:t xml:space="preserve"> (</w:t>
      </w:r>
      <w:r w:rsidR="00744D2B" w:rsidRPr="00C158E5">
        <w:rPr>
          <w:sz w:val="24"/>
          <w:szCs w:val="24"/>
        </w:rPr>
        <w:t xml:space="preserve">CV de </w:t>
      </w:r>
      <w:r w:rsidR="00C20874">
        <w:rPr>
          <w:sz w:val="24"/>
          <w:szCs w:val="24"/>
        </w:rPr>
        <w:t>39%</w:t>
      </w:r>
      <w:r w:rsidR="00D612CC">
        <w:rPr>
          <w:sz w:val="24"/>
          <w:szCs w:val="24"/>
        </w:rPr>
        <w:t>)</w:t>
      </w:r>
      <w:r w:rsidR="00C20874">
        <w:rPr>
          <w:sz w:val="24"/>
          <w:szCs w:val="24"/>
        </w:rPr>
        <w:t xml:space="preserve"> e maior n</w:t>
      </w:r>
      <w:r w:rsidR="0097127A" w:rsidRPr="00C158E5">
        <w:rPr>
          <w:sz w:val="24"/>
          <w:szCs w:val="24"/>
        </w:rPr>
        <w:t>a Região S</w:t>
      </w:r>
      <w:r w:rsidR="00744D2B" w:rsidRPr="00C158E5">
        <w:rPr>
          <w:sz w:val="24"/>
          <w:szCs w:val="24"/>
        </w:rPr>
        <w:t>udeste</w:t>
      </w:r>
      <w:r w:rsidR="00D612CC">
        <w:rPr>
          <w:sz w:val="24"/>
          <w:szCs w:val="24"/>
        </w:rPr>
        <w:t xml:space="preserve"> (</w:t>
      </w:r>
      <w:r w:rsidR="00744D2B" w:rsidRPr="00C158E5">
        <w:rPr>
          <w:sz w:val="24"/>
          <w:szCs w:val="24"/>
        </w:rPr>
        <w:t>CV de 56%</w:t>
      </w:r>
      <w:r w:rsidR="00D612CC">
        <w:rPr>
          <w:sz w:val="24"/>
          <w:szCs w:val="24"/>
        </w:rPr>
        <w:t>)</w:t>
      </w:r>
      <w:r w:rsidR="0097127A" w:rsidRPr="00C158E5">
        <w:rPr>
          <w:sz w:val="24"/>
          <w:szCs w:val="24"/>
        </w:rPr>
        <w:t xml:space="preserve">. </w:t>
      </w:r>
      <w:r w:rsidR="008B3692" w:rsidRPr="00C158E5">
        <w:rPr>
          <w:sz w:val="24"/>
          <w:szCs w:val="24"/>
        </w:rPr>
        <w:t xml:space="preserve"> </w:t>
      </w:r>
    </w:p>
    <w:p w:rsidR="00E9008B" w:rsidRPr="00C158E5" w:rsidRDefault="0097127A" w:rsidP="00C16190">
      <w:pPr>
        <w:spacing w:before="120" w:after="120" w:line="240" w:lineRule="auto"/>
        <w:ind w:firstLine="709"/>
        <w:rPr>
          <w:sz w:val="24"/>
          <w:szCs w:val="24"/>
        </w:rPr>
      </w:pPr>
      <w:r w:rsidRPr="00C158E5">
        <w:rPr>
          <w:sz w:val="24"/>
          <w:szCs w:val="24"/>
        </w:rPr>
        <w:t>Além disso, conforme já foi destacado, observa-se</w:t>
      </w:r>
      <w:r w:rsidR="0013755C" w:rsidRPr="00C158E5">
        <w:rPr>
          <w:sz w:val="24"/>
          <w:szCs w:val="24"/>
        </w:rPr>
        <w:t xml:space="preserve"> uma correlação positiva entre o volume recebido em transferências </w:t>
      </w:r>
      <w:r w:rsidRPr="00C158E5">
        <w:rPr>
          <w:sz w:val="24"/>
          <w:szCs w:val="24"/>
        </w:rPr>
        <w:t xml:space="preserve">para a saúde </w:t>
      </w:r>
      <w:r w:rsidR="0013755C" w:rsidRPr="00C158E5">
        <w:rPr>
          <w:sz w:val="24"/>
          <w:szCs w:val="24"/>
        </w:rPr>
        <w:t xml:space="preserve">por município e </w:t>
      </w:r>
      <w:r w:rsidRPr="00C158E5">
        <w:rPr>
          <w:sz w:val="24"/>
          <w:szCs w:val="24"/>
        </w:rPr>
        <w:t>a arrecadação local</w:t>
      </w:r>
      <w:r w:rsidR="0013755C" w:rsidRPr="00C158E5">
        <w:rPr>
          <w:sz w:val="24"/>
          <w:szCs w:val="24"/>
        </w:rPr>
        <w:t xml:space="preserve">, ambos em uma base </w:t>
      </w:r>
      <w:r w:rsidR="0013755C" w:rsidRPr="00C158E5">
        <w:rPr>
          <w:i/>
          <w:sz w:val="24"/>
          <w:szCs w:val="24"/>
        </w:rPr>
        <w:t>per capita</w:t>
      </w:r>
      <w:r w:rsidRPr="00C158E5">
        <w:rPr>
          <w:sz w:val="24"/>
          <w:szCs w:val="24"/>
        </w:rPr>
        <w:t>, sendo que essa</w:t>
      </w:r>
      <w:r w:rsidR="0013755C" w:rsidRPr="00C158E5">
        <w:rPr>
          <w:sz w:val="24"/>
          <w:szCs w:val="24"/>
        </w:rPr>
        <w:t xml:space="preserve"> correlação persiste mesmo quando analisamos separadamente cada uma das regiões brasileiras.</w:t>
      </w:r>
      <w:r w:rsidR="0002176C">
        <w:rPr>
          <w:sz w:val="24"/>
          <w:szCs w:val="24"/>
        </w:rPr>
        <w:t xml:space="preserve"> A Tabela 1</w:t>
      </w:r>
      <w:r w:rsidR="00744D2B" w:rsidRPr="00C158E5">
        <w:rPr>
          <w:sz w:val="24"/>
          <w:szCs w:val="24"/>
        </w:rPr>
        <w:t xml:space="preserve">, a seguir, apresenta </w:t>
      </w:r>
      <w:r w:rsidR="00B0535F" w:rsidRPr="00C158E5">
        <w:rPr>
          <w:sz w:val="24"/>
          <w:szCs w:val="24"/>
        </w:rPr>
        <w:t xml:space="preserve">o coeficiente de correlação de Pearson entre essas variáveis </w:t>
      </w:r>
      <w:r w:rsidR="00744D2B" w:rsidRPr="00C158E5">
        <w:rPr>
          <w:sz w:val="24"/>
          <w:szCs w:val="24"/>
        </w:rPr>
        <w:t xml:space="preserve">por região, além da correlação entre o gasto </w:t>
      </w:r>
      <w:r w:rsidR="00744D2B" w:rsidRPr="00C158E5">
        <w:rPr>
          <w:i/>
          <w:sz w:val="24"/>
          <w:szCs w:val="24"/>
        </w:rPr>
        <w:t>per capita</w:t>
      </w:r>
      <w:r w:rsidR="00744D2B" w:rsidRPr="00C158E5">
        <w:rPr>
          <w:sz w:val="24"/>
          <w:szCs w:val="24"/>
        </w:rPr>
        <w:t xml:space="preserve"> local em s</w:t>
      </w:r>
      <w:r w:rsidR="00B0535F" w:rsidRPr="00C158E5">
        <w:rPr>
          <w:sz w:val="24"/>
          <w:szCs w:val="24"/>
        </w:rPr>
        <w:t>aúde</w:t>
      </w:r>
      <w:r w:rsidR="007F5FDC" w:rsidRPr="00C158E5">
        <w:rPr>
          <w:sz w:val="24"/>
          <w:szCs w:val="24"/>
        </w:rPr>
        <w:t xml:space="preserve"> e as transferências do SUS, usando</w:t>
      </w:r>
      <w:r w:rsidR="00B0535F" w:rsidRPr="00C158E5">
        <w:rPr>
          <w:sz w:val="24"/>
          <w:szCs w:val="24"/>
        </w:rPr>
        <w:t xml:space="preserve"> dados referentes aos municípios brasileiros no período de 2002 a 2010. Para comparabilidade dos valores monetários, todos eles foram corrigidos com o IPCA para valores na mesma referência </w:t>
      </w:r>
      <w:r w:rsidR="00B0535F" w:rsidRPr="00C158E5">
        <w:rPr>
          <w:rStyle w:val="Refdenotaderodap"/>
          <w:sz w:val="24"/>
          <w:szCs w:val="24"/>
        </w:rPr>
        <w:footnoteReference w:id="2"/>
      </w:r>
      <w:r w:rsidR="00B0535F" w:rsidRPr="00C158E5">
        <w:rPr>
          <w:sz w:val="24"/>
          <w:szCs w:val="24"/>
        </w:rPr>
        <w:t xml:space="preserve">. Todas as correlações foram significantes a </w:t>
      </w:r>
      <w:r w:rsidR="00B0535F" w:rsidRPr="00C158E5">
        <w:rPr>
          <w:sz w:val="24"/>
          <w:szCs w:val="24"/>
        </w:rPr>
        <w:fldChar w:fldCharType="begin"/>
      </w:r>
      <w:r w:rsidR="00B0535F" w:rsidRPr="00C158E5">
        <w:rPr>
          <w:sz w:val="24"/>
          <w:szCs w:val="24"/>
        </w:rPr>
        <w:instrText xml:space="preserve"> COMMENTS " $1\%$" </w:instrText>
      </w:r>
      <w:r w:rsidR="00B0535F" w:rsidRPr="00C158E5">
        <w:rPr>
          <w:sz w:val="24"/>
          <w:szCs w:val="24"/>
        </w:rPr>
        <w:fldChar w:fldCharType="end"/>
      </w:r>
      <w:r w:rsidR="00B0535F" w:rsidRPr="00C158E5">
        <w:rPr>
          <w:sz w:val="24"/>
          <w:szCs w:val="24"/>
        </w:rPr>
        <w:t>1%.</w:t>
      </w:r>
    </w:p>
    <w:p w:rsidR="00744D2B" w:rsidRPr="00BC44A7" w:rsidRDefault="0002176C" w:rsidP="002F7CAE">
      <w:pPr>
        <w:pStyle w:val="Legenda"/>
        <w:spacing w:before="0" w:after="0" w:line="240" w:lineRule="auto"/>
        <w:ind w:left="426" w:right="424"/>
        <w:contextualSpacing/>
        <w:jc w:val="center"/>
        <w:rPr>
          <w:b/>
        </w:rPr>
      </w:pPr>
      <w:r>
        <w:rPr>
          <w:b/>
        </w:rPr>
        <w:t>Tabela 1</w:t>
      </w:r>
      <w:r w:rsidR="00E34CD8" w:rsidRPr="00BC44A7">
        <w:rPr>
          <w:b/>
        </w:rPr>
        <w:t>: Correlação entre as</w:t>
      </w:r>
      <w:r w:rsidR="00744D2B" w:rsidRPr="00BC44A7">
        <w:rPr>
          <w:b/>
        </w:rPr>
        <w:t xml:space="preserve"> transferências </w:t>
      </w:r>
      <w:r w:rsidR="00744D2B" w:rsidRPr="00BC44A7">
        <w:rPr>
          <w:b/>
          <w:i/>
        </w:rPr>
        <w:t>per capita</w:t>
      </w:r>
      <w:r w:rsidR="00744D2B" w:rsidRPr="00BC44A7">
        <w:rPr>
          <w:b/>
        </w:rPr>
        <w:t xml:space="preserve"> recebidas do SUS pelos municípios brasileiros com gastos próprios em saúde e arrecadação municipal</w:t>
      </w:r>
      <w:r w:rsidR="00E34CD8" w:rsidRPr="00BC44A7">
        <w:rPr>
          <w:b/>
        </w:rPr>
        <w:t>,</w:t>
      </w:r>
      <w:r w:rsidR="00744D2B" w:rsidRPr="00BC44A7">
        <w:rPr>
          <w:b/>
        </w:rPr>
        <w:t xml:space="preserve"> no período de 2002 a 2010</w:t>
      </w:r>
      <w:r w:rsidR="00744D2B" w:rsidRPr="00BC44A7">
        <w:rPr>
          <w:b/>
        </w:rPr>
        <w:fldChar w:fldCharType="begin"/>
      </w:r>
      <w:r w:rsidR="00744D2B" w:rsidRPr="00BC44A7">
        <w:rPr>
          <w:b/>
        </w:rPr>
        <w:instrText>TC "4 Correlação de transferências per capita recebidas do SUS pelos municípios brasileiros com gastos próprios em saúde e arrecadação municipal no período de 2002 a 2010" \f t</w:instrText>
      </w:r>
      <w:r w:rsidR="00744D2B" w:rsidRPr="00BC44A7">
        <w:rPr>
          <w:b/>
        </w:rPr>
        <w:fldChar w:fldCharType="end"/>
      </w:r>
    </w:p>
    <w:tbl>
      <w:tblPr>
        <w:tblpPr w:leftFromText="141" w:rightFromText="141" w:vertAnchor="text" w:horzAnchor="margin" w:tblpXSpec="center" w:tblpY="100"/>
        <w:tblW w:w="0" w:type="auto"/>
        <w:tblLayout w:type="fixed"/>
        <w:tblCellMar>
          <w:left w:w="0" w:type="dxa"/>
          <w:right w:w="0" w:type="dxa"/>
        </w:tblCellMar>
        <w:tblLook w:val="0000" w:firstRow="0" w:lastRow="0" w:firstColumn="0" w:lastColumn="0" w:noHBand="0" w:noVBand="0"/>
      </w:tblPr>
      <w:tblGrid>
        <w:gridCol w:w="2987"/>
        <w:gridCol w:w="2162"/>
        <w:gridCol w:w="1750"/>
      </w:tblGrid>
      <w:tr w:rsidR="00E34CD8" w:rsidRPr="00BC44A7" w:rsidTr="00E34CD8">
        <w:tc>
          <w:tcPr>
            <w:tcW w:w="2987" w:type="dxa"/>
            <w:tcBorders>
              <w:top w:val="single" w:sz="4" w:space="0" w:color="auto"/>
              <w:left w:val="single" w:sz="4" w:space="0" w:color="auto"/>
              <w:bottom w:val="nil"/>
              <w:right w:val="single" w:sz="4" w:space="0" w:color="auto"/>
            </w:tcBorders>
          </w:tcPr>
          <w:p w:rsidR="00E34CD8" w:rsidRPr="00BC44A7" w:rsidRDefault="00E34CD8" w:rsidP="002F7CAE">
            <w:pPr>
              <w:spacing w:before="0" w:line="240" w:lineRule="auto"/>
              <w:contextualSpacing/>
              <w:jc w:val="center"/>
              <w:rPr>
                <w:b/>
              </w:rPr>
            </w:pPr>
          </w:p>
        </w:tc>
        <w:tc>
          <w:tcPr>
            <w:tcW w:w="2162" w:type="dxa"/>
            <w:tcBorders>
              <w:top w:val="single" w:sz="4" w:space="0" w:color="auto"/>
              <w:left w:val="single" w:sz="4" w:space="0" w:color="auto"/>
              <w:bottom w:val="nil"/>
              <w:right w:val="single" w:sz="4" w:space="0" w:color="auto"/>
            </w:tcBorders>
          </w:tcPr>
          <w:p w:rsidR="00E34CD8" w:rsidRPr="00BC44A7" w:rsidRDefault="00E34CD8" w:rsidP="002F7CAE">
            <w:pPr>
              <w:spacing w:before="0" w:line="240" w:lineRule="auto"/>
              <w:contextualSpacing/>
              <w:jc w:val="center"/>
              <w:rPr>
                <w:b/>
              </w:rPr>
            </w:pPr>
            <w:r w:rsidRPr="00BC44A7">
              <w:rPr>
                <w:b/>
              </w:rPr>
              <w:t>Gastos próprios</w:t>
            </w:r>
          </w:p>
        </w:tc>
        <w:tc>
          <w:tcPr>
            <w:tcW w:w="1750" w:type="dxa"/>
            <w:tcBorders>
              <w:top w:val="single" w:sz="4" w:space="0" w:color="auto"/>
              <w:left w:val="single" w:sz="4" w:space="0" w:color="auto"/>
              <w:bottom w:val="nil"/>
              <w:right w:val="single" w:sz="4" w:space="0" w:color="auto"/>
            </w:tcBorders>
          </w:tcPr>
          <w:p w:rsidR="00E34CD8" w:rsidRPr="00BC44A7" w:rsidRDefault="00E34CD8" w:rsidP="002F7CAE">
            <w:pPr>
              <w:spacing w:before="0" w:line="240" w:lineRule="auto"/>
              <w:contextualSpacing/>
              <w:jc w:val="center"/>
              <w:rPr>
                <w:b/>
              </w:rPr>
            </w:pPr>
            <w:r w:rsidRPr="00BC44A7">
              <w:rPr>
                <w:b/>
              </w:rPr>
              <w:t>Arrecadação</w:t>
            </w:r>
          </w:p>
        </w:tc>
      </w:tr>
      <w:tr w:rsidR="00E34CD8" w:rsidRPr="00BC44A7" w:rsidTr="00E34CD8">
        <w:tc>
          <w:tcPr>
            <w:tcW w:w="2987" w:type="dxa"/>
            <w:tcBorders>
              <w:top w:val="nil"/>
              <w:left w:val="single" w:sz="4" w:space="0" w:color="auto"/>
              <w:bottom w:val="single" w:sz="4" w:space="0" w:color="auto"/>
              <w:right w:val="single" w:sz="4" w:space="0" w:color="auto"/>
            </w:tcBorders>
          </w:tcPr>
          <w:p w:rsidR="00E34CD8" w:rsidRPr="00BC44A7" w:rsidRDefault="00E34CD8" w:rsidP="002F7CAE">
            <w:pPr>
              <w:spacing w:before="0" w:line="240" w:lineRule="auto"/>
              <w:contextualSpacing/>
              <w:jc w:val="center"/>
              <w:rPr>
                <w:b/>
              </w:rPr>
            </w:pPr>
            <w:r w:rsidRPr="00BC44A7">
              <w:rPr>
                <w:b/>
              </w:rPr>
              <w:t>Região</w:t>
            </w:r>
          </w:p>
        </w:tc>
        <w:tc>
          <w:tcPr>
            <w:tcW w:w="2162" w:type="dxa"/>
            <w:tcBorders>
              <w:top w:val="nil"/>
              <w:left w:val="single" w:sz="4" w:space="0" w:color="auto"/>
              <w:bottom w:val="single" w:sz="4" w:space="0" w:color="auto"/>
              <w:right w:val="single" w:sz="4" w:space="0" w:color="auto"/>
            </w:tcBorders>
          </w:tcPr>
          <w:p w:rsidR="00E34CD8" w:rsidRPr="00BC44A7" w:rsidRDefault="00E34CD8" w:rsidP="002F7CAE">
            <w:pPr>
              <w:spacing w:before="0" w:line="240" w:lineRule="auto"/>
              <w:contextualSpacing/>
              <w:jc w:val="center"/>
              <w:rPr>
                <w:b/>
              </w:rPr>
            </w:pPr>
            <w:r w:rsidRPr="00BC44A7">
              <w:rPr>
                <w:b/>
              </w:rPr>
              <w:t>em saúde</w:t>
            </w:r>
          </w:p>
        </w:tc>
        <w:tc>
          <w:tcPr>
            <w:tcW w:w="1750" w:type="dxa"/>
            <w:tcBorders>
              <w:top w:val="nil"/>
              <w:left w:val="single" w:sz="4" w:space="0" w:color="auto"/>
              <w:bottom w:val="single" w:sz="4" w:space="0" w:color="auto"/>
              <w:right w:val="single" w:sz="4" w:space="0" w:color="auto"/>
            </w:tcBorders>
          </w:tcPr>
          <w:p w:rsidR="00E34CD8" w:rsidRPr="00BC44A7" w:rsidRDefault="00C20874" w:rsidP="002F7CAE">
            <w:pPr>
              <w:spacing w:before="0" w:line="240" w:lineRule="auto"/>
              <w:contextualSpacing/>
              <w:jc w:val="center"/>
              <w:rPr>
                <w:b/>
              </w:rPr>
            </w:pPr>
            <w:r w:rsidRPr="00BC44A7">
              <w:rPr>
                <w:b/>
              </w:rPr>
              <w:t>M</w:t>
            </w:r>
            <w:r w:rsidR="00E34CD8" w:rsidRPr="00BC44A7">
              <w:rPr>
                <w:b/>
              </w:rPr>
              <w:t>unicipal</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Centro-Oeste</w:t>
            </w:r>
          </w:p>
        </w:tc>
        <w:tc>
          <w:tcPr>
            <w:tcW w:w="2162"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24</w:t>
            </w:r>
            <w:r w:rsidR="00C47065">
              <w:t>,</w:t>
            </w:r>
            <w:r w:rsidRPr="00BC44A7">
              <w:t>6%</w:t>
            </w:r>
          </w:p>
        </w:tc>
        <w:tc>
          <w:tcPr>
            <w:tcW w:w="1750"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21</w:t>
            </w:r>
            <w:r w:rsidR="00C47065">
              <w:t>,</w:t>
            </w:r>
            <w:r w:rsidRPr="00BC44A7">
              <w:t>7%</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Nordeste</w:t>
            </w:r>
          </w:p>
        </w:tc>
        <w:tc>
          <w:tcPr>
            <w:tcW w:w="2162"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14</w:t>
            </w:r>
            <w:r w:rsidR="00C47065">
              <w:t>,</w:t>
            </w:r>
            <w:r w:rsidRPr="00BC44A7">
              <w:t>4%</w:t>
            </w:r>
          </w:p>
        </w:tc>
        <w:tc>
          <w:tcPr>
            <w:tcW w:w="1750"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12</w:t>
            </w:r>
            <w:r w:rsidR="00C47065">
              <w:t>,</w:t>
            </w:r>
            <w:r w:rsidRPr="00BC44A7">
              <w:t>7%</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Norte</w:t>
            </w:r>
          </w:p>
        </w:tc>
        <w:tc>
          <w:tcPr>
            <w:tcW w:w="2162"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34</w:t>
            </w:r>
            <w:r w:rsidR="00C47065">
              <w:t>,</w:t>
            </w:r>
            <w:r w:rsidRPr="00BC44A7">
              <w:t>2%</w:t>
            </w:r>
          </w:p>
        </w:tc>
        <w:tc>
          <w:tcPr>
            <w:tcW w:w="1750"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33</w:t>
            </w:r>
            <w:r w:rsidR="00C47065">
              <w:t>,</w:t>
            </w:r>
            <w:r w:rsidRPr="00BC44A7">
              <w:t>5%</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Sudeste</w:t>
            </w:r>
          </w:p>
        </w:tc>
        <w:tc>
          <w:tcPr>
            <w:tcW w:w="2162"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19</w:t>
            </w:r>
            <w:r w:rsidR="00C47065">
              <w:t>,</w:t>
            </w:r>
            <w:r w:rsidRPr="00BC44A7">
              <w:t>2%</w:t>
            </w:r>
          </w:p>
        </w:tc>
        <w:tc>
          <w:tcPr>
            <w:tcW w:w="1750"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18</w:t>
            </w:r>
            <w:r w:rsidR="00C47065">
              <w:t>,</w:t>
            </w:r>
            <w:r w:rsidRPr="00BC44A7">
              <w:t>9%</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Sul</w:t>
            </w:r>
          </w:p>
        </w:tc>
        <w:tc>
          <w:tcPr>
            <w:tcW w:w="2162"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32</w:t>
            </w:r>
            <w:r w:rsidR="00C47065">
              <w:t>,</w:t>
            </w:r>
            <w:r w:rsidRPr="00BC44A7">
              <w:t>2%</w:t>
            </w:r>
          </w:p>
        </w:tc>
        <w:tc>
          <w:tcPr>
            <w:tcW w:w="1750" w:type="dxa"/>
            <w:tcBorders>
              <w:top w:val="single" w:sz="4" w:space="0" w:color="auto"/>
              <w:left w:val="single" w:sz="4" w:space="0" w:color="auto"/>
              <w:bottom w:val="single" w:sz="4" w:space="0" w:color="auto"/>
              <w:right w:val="single" w:sz="4" w:space="0" w:color="auto"/>
            </w:tcBorders>
          </w:tcPr>
          <w:p w:rsidR="00E34CD8" w:rsidRPr="00BC44A7" w:rsidRDefault="00E34CD8" w:rsidP="002F7CAE">
            <w:pPr>
              <w:spacing w:line="240" w:lineRule="auto"/>
              <w:contextualSpacing/>
              <w:jc w:val="center"/>
            </w:pPr>
            <w:r w:rsidRPr="00BC44A7">
              <w:t>30</w:t>
            </w:r>
            <w:r w:rsidR="00C47065">
              <w:t>,</w:t>
            </w:r>
            <w:r w:rsidRPr="00BC44A7">
              <w:t>6%</w:t>
            </w:r>
          </w:p>
        </w:tc>
      </w:tr>
      <w:tr w:rsidR="00E34CD8" w:rsidRPr="00BC44A7" w:rsidTr="00E34CD8">
        <w:tc>
          <w:tcPr>
            <w:tcW w:w="2987" w:type="dxa"/>
            <w:tcBorders>
              <w:top w:val="single" w:sz="4" w:space="0" w:color="auto"/>
              <w:left w:val="single" w:sz="4" w:space="0" w:color="auto"/>
              <w:bottom w:val="single" w:sz="4" w:space="0" w:color="auto"/>
              <w:right w:val="single" w:sz="4" w:space="0" w:color="auto"/>
            </w:tcBorders>
          </w:tcPr>
          <w:p w:rsidR="00E34CD8" w:rsidRPr="002F7CAE" w:rsidRDefault="00E34CD8" w:rsidP="002F7CAE">
            <w:pPr>
              <w:spacing w:line="240" w:lineRule="auto"/>
              <w:contextualSpacing/>
              <w:jc w:val="center"/>
              <w:rPr>
                <w:b/>
              </w:rPr>
            </w:pPr>
            <w:r w:rsidRPr="002F7CAE">
              <w:rPr>
                <w:b/>
              </w:rPr>
              <w:t>Brasil</w:t>
            </w:r>
          </w:p>
        </w:tc>
        <w:tc>
          <w:tcPr>
            <w:tcW w:w="2162" w:type="dxa"/>
            <w:tcBorders>
              <w:top w:val="single" w:sz="4" w:space="0" w:color="auto"/>
              <w:left w:val="single" w:sz="4" w:space="0" w:color="auto"/>
              <w:bottom w:val="single" w:sz="4" w:space="0" w:color="auto"/>
              <w:right w:val="single" w:sz="4" w:space="0" w:color="auto"/>
            </w:tcBorders>
          </w:tcPr>
          <w:p w:rsidR="00E34CD8" w:rsidRPr="002F7CAE" w:rsidRDefault="00E34CD8" w:rsidP="002F7CAE">
            <w:pPr>
              <w:spacing w:line="240" w:lineRule="auto"/>
              <w:contextualSpacing/>
              <w:jc w:val="center"/>
              <w:rPr>
                <w:b/>
              </w:rPr>
            </w:pPr>
            <w:r w:rsidRPr="002F7CAE">
              <w:rPr>
                <w:b/>
              </w:rPr>
              <w:t>16</w:t>
            </w:r>
            <w:r w:rsidR="00C47065">
              <w:rPr>
                <w:b/>
              </w:rPr>
              <w:t>,</w:t>
            </w:r>
            <w:r w:rsidRPr="002F7CAE">
              <w:rPr>
                <w:b/>
              </w:rPr>
              <w:t>1%</w:t>
            </w:r>
          </w:p>
        </w:tc>
        <w:tc>
          <w:tcPr>
            <w:tcW w:w="1750" w:type="dxa"/>
            <w:tcBorders>
              <w:top w:val="single" w:sz="4" w:space="0" w:color="auto"/>
              <w:left w:val="single" w:sz="4" w:space="0" w:color="auto"/>
              <w:bottom w:val="single" w:sz="4" w:space="0" w:color="auto"/>
              <w:right w:val="single" w:sz="4" w:space="0" w:color="auto"/>
            </w:tcBorders>
          </w:tcPr>
          <w:p w:rsidR="00E34CD8" w:rsidRPr="002F7CAE" w:rsidRDefault="00E34CD8" w:rsidP="002F7CAE">
            <w:pPr>
              <w:spacing w:line="240" w:lineRule="auto"/>
              <w:contextualSpacing/>
              <w:jc w:val="center"/>
              <w:rPr>
                <w:b/>
              </w:rPr>
            </w:pPr>
            <w:r w:rsidRPr="002F7CAE">
              <w:rPr>
                <w:b/>
              </w:rPr>
              <w:t>14</w:t>
            </w:r>
            <w:r w:rsidR="00C47065">
              <w:rPr>
                <w:b/>
              </w:rPr>
              <w:t>,</w:t>
            </w:r>
            <w:r w:rsidRPr="002F7CAE">
              <w:rPr>
                <w:b/>
              </w:rPr>
              <w:t>9%</w:t>
            </w:r>
          </w:p>
        </w:tc>
      </w:tr>
      <w:tr w:rsidR="00E34CD8" w:rsidRPr="00BC44A7" w:rsidTr="00E34CD8">
        <w:tc>
          <w:tcPr>
            <w:tcW w:w="6899" w:type="dxa"/>
            <w:gridSpan w:val="3"/>
            <w:tcBorders>
              <w:top w:val="single" w:sz="4" w:space="0" w:color="auto"/>
              <w:left w:val="nil"/>
              <w:bottom w:val="nil"/>
              <w:right w:val="nil"/>
            </w:tcBorders>
          </w:tcPr>
          <w:p w:rsidR="00E34CD8" w:rsidRPr="00D40133" w:rsidRDefault="00E34CD8" w:rsidP="002F7CAE">
            <w:pPr>
              <w:spacing w:before="480" w:after="480" w:line="240" w:lineRule="auto"/>
              <w:contextualSpacing/>
              <w:rPr>
                <w:sz w:val="18"/>
                <w:szCs w:val="18"/>
              </w:rPr>
            </w:pPr>
            <w:r w:rsidRPr="00D40133">
              <w:rPr>
                <w:sz w:val="18"/>
                <w:szCs w:val="18"/>
              </w:rPr>
              <w:t>Fonte: SIOPS/Ministério da Saúde. Elaboração própria</w:t>
            </w:r>
            <w:r w:rsidR="002F7CAE" w:rsidRPr="00D40133">
              <w:rPr>
                <w:sz w:val="18"/>
                <w:szCs w:val="18"/>
              </w:rPr>
              <w:t>.</w:t>
            </w:r>
          </w:p>
        </w:tc>
      </w:tr>
    </w:tbl>
    <w:p w:rsidR="00744D2B" w:rsidRPr="00BC44A7" w:rsidRDefault="00744D2B" w:rsidP="00C16190">
      <w:pPr>
        <w:pStyle w:val="Legenda"/>
        <w:spacing w:line="240" w:lineRule="auto"/>
        <w:contextualSpacing/>
      </w:pPr>
    </w:p>
    <w:p w:rsidR="00744D2B" w:rsidRPr="00C158E5" w:rsidRDefault="00744D2B" w:rsidP="00C16190">
      <w:pPr>
        <w:spacing w:line="240" w:lineRule="auto"/>
        <w:ind w:firstLine="720"/>
        <w:contextualSpacing/>
        <w:rPr>
          <w:color w:val="FF0000"/>
          <w:sz w:val="24"/>
          <w:szCs w:val="24"/>
        </w:rPr>
      </w:pPr>
    </w:p>
    <w:p w:rsidR="00E34CD8" w:rsidRPr="00C158E5" w:rsidRDefault="00E34CD8" w:rsidP="00C16190">
      <w:pPr>
        <w:spacing w:line="240" w:lineRule="auto"/>
        <w:ind w:firstLine="720"/>
        <w:contextualSpacing/>
        <w:rPr>
          <w:sz w:val="24"/>
          <w:szCs w:val="24"/>
        </w:rPr>
      </w:pPr>
    </w:p>
    <w:p w:rsidR="00E34CD8" w:rsidRPr="00C158E5" w:rsidRDefault="00E34CD8" w:rsidP="00C16190">
      <w:pPr>
        <w:spacing w:line="240" w:lineRule="auto"/>
        <w:ind w:firstLine="720"/>
        <w:contextualSpacing/>
        <w:rPr>
          <w:sz w:val="24"/>
          <w:szCs w:val="24"/>
        </w:rPr>
      </w:pPr>
    </w:p>
    <w:p w:rsidR="00E34CD8" w:rsidRPr="00C158E5" w:rsidRDefault="00E34CD8" w:rsidP="00C16190">
      <w:pPr>
        <w:spacing w:line="240" w:lineRule="auto"/>
        <w:ind w:firstLine="720"/>
        <w:contextualSpacing/>
        <w:rPr>
          <w:sz w:val="24"/>
          <w:szCs w:val="24"/>
        </w:rPr>
      </w:pPr>
    </w:p>
    <w:p w:rsidR="0002176C" w:rsidRDefault="0002176C" w:rsidP="00C16190">
      <w:pPr>
        <w:spacing w:line="240" w:lineRule="auto"/>
        <w:ind w:firstLine="720"/>
        <w:contextualSpacing/>
        <w:rPr>
          <w:sz w:val="24"/>
          <w:szCs w:val="24"/>
        </w:rPr>
      </w:pPr>
    </w:p>
    <w:p w:rsidR="0002176C" w:rsidRDefault="0002176C" w:rsidP="00C16190">
      <w:pPr>
        <w:spacing w:line="240" w:lineRule="auto"/>
        <w:ind w:firstLine="720"/>
        <w:contextualSpacing/>
        <w:rPr>
          <w:sz w:val="24"/>
          <w:szCs w:val="24"/>
        </w:rPr>
      </w:pPr>
    </w:p>
    <w:p w:rsidR="00E9008B" w:rsidRPr="00C158E5" w:rsidRDefault="00C82D2A" w:rsidP="00C16190">
      <w:pPr>
        <w:spacing w:before="120" w:after="120" w:line="240" w:lineRule="auto"/>
        <w:ind w:firstLine="709"/>
        <w:rPr>
          <w:sz w:val="24"/>
          <w:szCs w:val="24"/>
        </w:rPr>
      </w:pPr>
      <w:r w:rsidRPr="00C158E5">
        <w:rPr>
          <w:sz w:val="24"/>
          <w:szCs w:val="24"/>
        </w:rPr>
        <w:t>Em</w:t>
      </w:r>
      <w:r w:rsidR="0002176C">
        <w:rPr>
          <w:sz w:val="24"/>
          <w:szCs w:val="24"/>
        </w:rPr>
        <w:t xml:space="preserve"> </w:t>
      </w:r>
      <w:r w:rsidRPr="00C158E5">
        <w:rPr>
          <w:sz w:val="24"/>
          <w:szCs w:val="24"/>
        </w:rPr>
        <w:t>princípio, tais relações</w:t>
      </w:r>
      <w:r w:rsidR="0013755C" w:rsidRPr="00C158E5">
        <w:rPr>
          <w:sz w:val="24"/>
          <w:szCs w:val="24"/>
        </w:rPr>
        <w:t xml:space="preserve"> não seria</w:t>
      </w:r>
      <w:r w:rsidRPr="00C158E5">
        <w:rPr>
          <w:sz w:val="24"/>
          <w:szCs w:val="24"/>
        </w:rPr>
        <w:t>m</w:t>
      </w:r>
      <w:r w:rsidR="0013755C" w:rsidRPr="00C158E5">
        <w:rPr>
          <w:sz w:val="24"/>
          <w:szCs w:val="24"/>
        </w:rPr>
        <w:t xml:space="preserve"> necessariamente esperada</w:t>
      </w:r>
      <w:r w:rsidRPr="00C158E5">
        <w:rPr>
          <w:sz w:val="24"/>
          <w:szCs w:val="24"/>
        </w:rPr>
        <w:t xml:space="preserve">s. O que se espera, no mínimo em decorrência das exigências legais, é uma correlação positiva entre arrecadação local </w:t>
      </w:r>
      <w:r w:rsidRPr="00C158E5">
        <w:rPr>
          <w:i/>
          <w:sz w:val="24"/>
          <w:szCs w:val="24"/>
        </w:rPr>
        <w:t>per capita</w:t>
      </w:r>
      <w:r w:rsidRPr="00C158E5">
        <w:rPr>
          <w:sz w:val="24"/>
          <w:szCs w:val="24"/>
        </w:rPr>
        <w:t xml:space="preserve"> e gastos locais </w:t>
      </w:r>
      <w:r w:rsidRPr="00C158E5">
        <w:rPr>
          <w:i/>
          <w:sz w:val="24"/>
          <w:szCs w:val="24"/>
        </w:rPr>
        <w:t>per capita</w:t>
      </w:r>
      <w:r w:rsidRPr="00C158E5">
        <w:rPr>
          <w:sz w:val="24"/>
          <w:szCs w:val="24"/>
        </w:rPr>
        <w:t xml:space="preserve"> em saúde</w:t>
      </w:r>
      <w:r w:rsidR="0013755C" w:rsidRPr="00C158E5">
        <w:rPr>
          <w:sz w:val="24"/>
          <w:szCs w:val="24"/>
        </w:rPr>
        <w:t xml:space="preserve">. </w:t>
      </w:r>
      <w:r w:rsidRPr="00C158E5">
        <w:rPr>
          <w:sz w:val="24"/>
          <w:szCs w:val="24"/>
        </w:rPr>
        <w:t>Contudo, c</w:t>
      </w:r>
      <w:r w:rsidR="0013755C" w:rsidRPr="00C158E5">
        <w:rPr>
          <w:sz w:val="24"/>
          <w:szCs w:val="24"/>
        </w:rPr>
        <w:t>omo estamos nos restringindo a transferências fundo a fundo, o recebimento de recursos</w:t>
      </w:r>
      <w:r w:rsidRPr="00C158E5">
        <w:rPr>
          <w:sz w:val="24"/>
          <w:szCs w:val="24"/>
        </w:rPr>
        <w:t xml:space="preserve"> via transferências</w:t>
      </w:r>
      <w:r w:rsidR="0013755C" w:rsidRPr="00C158E5">
        <w:rPr>
          <w:sz w:val="24"/>
          <w:szCs w:val="24"/>
        </w:rPr>
        <w:t xml:space="preserve"> </w:t>
      </w:r>
      <w:r w:rsidRPr="00C158E5">
        <w:rPr>
          <w:sz w:val="24"/>
          <w:szCs w:val="24"/>
        </w:rPr>
        <w:t xml:space="preserve">para a saúde </w:t>
      </w:r>
      <w:r w:rsidR="0013755C" w:rsidRPr="00C158E5">
        <w:rPr>
          <w:sz w:val="24"/>
          <w:szCs w:val="24"/>
        </w:rPr>
        <w:t>não exige explicitamente uma contrapartida financeira</w:t>
      </w:r>
      <w:r w:rsidR="007F5FDC" w:rsidRPr="00C158E5">
        <w:rPr>
          <w:sz w:val="24"/>
          <w:szCs w:val="24"/>
        </w:rPr>
        <w:t xml:space="preserve"> </w:t>
      </w:r>
      <w:r w:rsidR="0002176C">
        <w:rPr>
          <w:sz w:val="24"/>
          <w:szCs w:val="24"/>
        </w:rPr>
        <w:t>de</w:t>
      </w:r>
      <w:r w:rsidRPr="00C158E5">
        <w:rPr>
          <w:sz w:val="24"/>
          <w:szCs w:val="24"/>
        </w:rPr>
        <w:t xml:space="preserve"> gasto </w:t>
      </w:r>
      <w:r w:rsidR="007F5FDC" w:rsidRPr="00C158E5">
        <w:rPr>
          <w:sz w:val="24"/>
          <w:szCs w:val="24"/>
        </w:rPr>
        <w:t>de recursos locais</w:t>
      </w:r>
      <w:r w:rsidR="0013755C" w:rsidRPr="00C158E5">
        <w:rPr>
          <w:sz w:val="24"/>
          <w:szCs w:val="24"/>
        </w:rPr>
        <w:t xml:space="preserve">. Apesar de tetos serem estipulados para as transferências em cada </w:t>
      </w:r>
      <w:r w:rsidR="0013755C" w:rsidRPr="00C158E5">
        <w:rPr>
          <w:sz w:val="24"/>
          <w:szCs w:val="24"/>
        </w:rPr>
        <w:lastRenderedPageBreak/>
        <w:t xml:space="preserve">fundo, </w:t>
      </w:r>
      <w:r w:rsidR="0002176C">
        <w:rPr>
          <w:sz w:val="24"/>
          <w:szCs w:val="24"/>
        </w:rPr>
        <w:t>a princípio</w:t>
      </w:r>
      <w:r w:rsidR="00D612CC">
        <w:rPr>
          <w:sz w:val="24"/>
          <w:szCs w:val="24"/>
        </w:rPr>
        <w:t>,</w:t>
      </w:r>
      <w:r w:rsidR="0002176C">
        <w:rPr>
          <w:sz w:val="24"/>
          <w:szCs w:val="24"/>
        </w:rPr>
        <w:t xml:space="preserve"> os municípios </w:t>
      </w:r>
      <w:r w:rsidR="0013755C" w:rsidRPr="00C158E5">
        <w:rPr>
          <w:sz w:val="24"/>
          <w:szCs w:val="24"/>
        </w:rPr>
        <w:t>deveria</w:t>
      </w:r>
      <w:r w:rsidR="0002176C">
        <w:rPr>
          <w:sz w:val="24"/>
          <w:szCs w:val="24"/>
        </w:rPr>
        <w:t>m</w:t>
      </w:r>
      <w:r w:rsidR="0013755C" w:rsidRPr="00C158E5">
        <w:rPr>
          <w:sz w:val="24"/>
          <w:szCs w:val="24"/>
        </w:rPr>
        <w:t xml:space="preserve"> ser capaz</w:t>
      </w:r>
      <w:r w:rsidR="0002176C">
        <w:rPr>
          <w:sz w:val="24"/>
          <w:szCs w:val="24"/>
        </w:rPr>
        <w:t>es</w:t>
      </w:r>
      <w:r w:rsidR="0013755C" w:rsidRPr="00C158E5">
        <w:rPr>
          <w:sz w:val="24"/>
          <w:szCs w:val="24"/>
        </w:rPr>
        <w:t xml:space="preserve"> de pr</w:t>
      </w:r>
      <w:r w:rsidR="00162E42" w:rsidRPr="00C158E5">
        <w:rPr>
          <w:sz w:val="24"/>
          <w:szCs w:val="24"/>
        </w:rPr>
        <w:t>over os mesmos serviços de atenção básica à saúde</w:t>
      </w:r>
      <w:r w:rsidR="0013755C" w:rsidRPr="00C158E5">
        <w:rPr>
          <w:sz w:val="24"/>
          <w:szCs w:val="24"/>
        </w:rPr>
        <w:t xml:space="preserve">, mesmo que </w:t>
      </w:r>
      <w:r w:rsidR="0002176C">
        <w:rPr>
          <w:sz w:val="24"/>
          <w:szCs w:val="24"/>
        </w:rPr>
        <w:t xml:space="preserve">alguns </w:t>
      </w:r>
      <w:r w:rsidR="0013755C" w:rsidRPr="00C158E5">
        <w:rPr>
          <w:sz w:val="24"/>
          <w:szCs w:val="24"/>
        </w:rPr>
        <w:t>disp</w:t>
      </w:r>
      <w:r w:rsidR="0002176C">
        <w:rPr>
          <w:sz w:val="24"/>
          <w:szCs w:val="24"/>
        </w:rPr>
        <w:t>onham</w:t>
      </w:r>
      <w:r w:rsidR="0013755C" w:rsidRPr="00C158E5">
        <w:rPr>
          <w:sz w:val="24"/>
          <w:szCs w:val="24"/>
        </w:rPr>
        <w:t xml:space="preserve"> de menos recursos próprios.</w:t>
      </w:r>
    </w:p>
    <w:p w:rsidR="00E9008B" w:rsidRDefault="0013755C" w:rsidP="007E67F9">
      <w:pPr>
        <w:spacing w:before="120" w:after="240" w:line="240" w:lineRule="auto"/>
        <w:ind w:firstLine="709"/>
        <w:rPr>
          <w:sz w:val="24"/>
          <w:szCs w:val="24"/>
        </w:rPr>
      </w:pPr>
      <w:r w:rsidRPr="00C158E5">
        <w:rPr>
          <w:sz w:val="24"/>
          <w:szCs w:val="24"/>
        </w:rPr>
        <w:t xml:space="preserve">A análise empírica </w:t>
      </w:r>
      <w:r w:rsidR="00FA28F7" w:rsidRPr="00C158E5">
        <w:rPr>
          <w:sz w:val="24"/>
          <w:szCs w:val="24"/>
        </w:rPr>
        <w:t xml:space="preserve">empreendida neste estudo </w:t>
      </w:r>
      <w:r w:rsidR="0026339C" w:rsidRPr="00C158E5">
        <w:rPr>
          <w:sz w:val="24"/>
          <w:szCs w:val="24"/>
        </w:rPr>
        <w:t>explora e investiga</w:t>
      </w:r>
      <w:r w:rsidRPr="00C158E5">
        <w:rPr>
          <w:sz w:val="24"/>
          <w:szCs w:val="24"/>
        </w:rPr>
        <w:t xml:space="preserve"> essa relação positiva entre arrecadação municipal e transferências. A </w:t>
      </w:r>
      <w:r w:rsidR="007F5FDC" w:rsidRPr="00C158E5">
        <w:rPr>
          <w:sz w:val="24"/>
          <w:szCs w:val="24"/>
        </w:rPr>
        <w:t>depender dos motivos que levem a essa</w:t>
      </w:r>
      <w:r w:rsidRPr="00C158E5">
        <w:rPr>
          <w:sz w:val="24"/>
          <w:szCs w:val="24"/>
        </w:rPr>
        <w:t xml:space="preserve"> relação, não necessariamente ela seria desejada, uma vez que os municípios que arrecadam mais, em princípio, têm mais condições de arcar com as necessidades de saúde de sua população. </w:t>
      </w:r>
      <w:r w:rsidR="00FA28F7" w:rsidRPr="00C158E5">
        <w:rPr>
          <w:sz w:val="24"/>
          <w:szCs w:val="24"/>
        </w:rPr>
        <w:t>E</w:t>
      </w:r>
      <w:r w:rsidRPr="00C158E5">
        <w:rPr>
          <w:sz w:val="24"/>
          <w:szCs w:val="24"/>
        </w:rPr>
        <w:t xml:space="preserve">m função da correlação </w:t>
      </w:r>
      <w:r w:rsidR="00863312" w:rsidRPr="00C158E5">
        <w:rPr>
          <w:sz w:val="24"/>
          <w:szCs w:val="24"/>
        </w:rPr>
        <w:t>existente</w:t>
      </w:r>
      <w:r w:rsidRPr="00C158E5">
        <w:rPr>
          <w:sz w:val="24"/>
          <w:szCs w:val="24"/>
        </w:rPr>
        <w:t xml:space="preserve"> entre gastos próprios e transferências, surge ainda uma oportunidade de investigar a observação no contexto da teoria do </w:t>
      </w:r>
      <w:r w:rsidRPr="00C158E5">
        <w:rPr>
          <w:i/>
          <w:iCs/>
          <w:sz w:val="24"/>
          <w:szCs w:val="24"/>
        </w:rPr>
        <w:t>flypaper effect</w:t>
      </w:r>
      <w:r w:rsidRPr="00C158E5">
        <w:rPr>
          <w:sz w:val="24"/>
          <w:szCs w:val="24"/>
        </w:rPr>
        <w:t xml:space="preserve">, </w:t>
      </w:r>
      <w:r w:rsidR="007F5FDC" w:rsidRPr="00C158E5">
        <w:rPr>
          <w:sz w:val="24"/>
          <w:szCs w:val="24"/>
        </w:rPr>
        <w:t>cujas bases teóricas apresentamos</w:t>
      </w:r>
      <w:r w:rsidRPr="00C158E5">
        <w:rPr>
          <w:sz w:val="24"/>
          <w:szCs w:val="24"/>
        </w:rPr>
        <w:t xml:space="preserve"> na sequência.</w:t>
      </w:r>
    </w:p>
    <w:p w:rsidR="00E9008B" w:rsidRPr="00C158E5" w:rsidRDefault="009F3CDD" w:rsidP="00C16190">
      <w:pPr>
        <w:pStyle w:val="Ttulo2"/>
        <w:spacing w:before="120" w:line="240" w:lineRule="auto"/>
        <w:ind w:firstLine="709"/>
        <w:jc w:val="both"/>
      </w:pPr>
      <w:r w:rsidRPr="00C158E5">
        <w:t>3.1</w:t>
      </w:r>
      <w:r w:rsidR="0013755C" w:rsidRPr="00C158E5">
        <w:t xml:space="preserve">  </w:t>
      </w:r>
      <w:r w:rsidR="0013755C" w:rsidRPr="00C158E5">
        <w:rPr>
          <w:i/>
          <w:iCs/>
        </w:rPr>
        <w:t>Flypaper effect</w:t>
      </w:r>
      <w:r w:rsidR="0013755C" w:rsidRPr="00C158E5">
        <w:t xml:space="preserve"> </w:t>
      </w:r>
      <w:r w:rsidR="007F5FDC" w:rsidRPr="00C158E5">
        <w:t xml:space="preserve">e </w:t>
      </w:r>
      <w:r w:rsidR="0013755C" w:rsidRPr="00C158E5">
        <w:t>transferências condicionais</w:t>
      </w:r>
    </w:p>
    <w:p w:rsidR="00E9008B" w:rsidRPr="00C158E5" w:rsidRDefault="0013755C" w:rsidP="00C16190">
      <w:pPr>
        <w:spacing w:before="120" w:after="120" w:line="240" w:lineRule="auto"/>
        <w:ind w:firstLine="709"/>
        <w:rPr>
          <w:sz w:val="24"/>
          <w:szCs w:val="24"/>
        </w:rPr>
      </w:pPr>
      <w:r w:rsidRPr="00C158E5">
        <w:rPr>
          <w:sz w:val="24"/>
          <w:szCs w:val="24"/>
        </w:rPr>
        <w:t>Um tópico bastante explorado na literatura que trata das transferências intergovernamentais é um fenômeno que ficou conhecido como o “</w:t>
      </w:r>
      <w:r w:rsidRPr="00C158E5">
        <w:rPr>
          <w:i/>
          <w:iCs/>
          <w:sz w:val="24"/>
          <w:szCs w:val="24"/>
        </w:rPr>
        <w:t>flypaper effect</w:t>
      </w:r>
      <w:r w:rsidRPr="00C158E5">
        <w:rPr>
          <w:sz w:val="24"/>
          <w:szCs w:val="24"/>
        </w:rPr>
        <w:t>”. Tal fenômeno, em princípio, contradiz uma previsão teórica simples. Se a decisão do governo local reflete as preferências do eleitor mediano, as tranferências incondicionais (</w:t>
      </w:r>
      <w:r w:rsidRPr="00C158E5">
        <w:rPr>
          <w:i/>
          <w:iCs/>
          <w:sz w:val="24"/>
          <w:szCs w:val="24"/>
        </w:rPr>
        <w:t>lump-sum</w:t>
      </w:r>
      <w:r w:rsidRPr="00C158E5">
        <w:rPr>
          <w:sz w:val="24"/>
          <w:szCs w:val="24"/>
        </w:rPr>
        <w:t>) para governos locais deveriam ser gastas do mesmo modo que qualquer outro aumento de renda. Em particu</w:t>
      </w:r>
      <w:r w:rsidR="00C15950" w:rsidRPr="00C158E5">
        <w:rPr>
          <w:sz w:val="24"/>
          <w:szCs w:val="24"/>
        </w:rPr>
        <w:t xml:space="preserve">lar, seria possível </w:t>
      </w:r>
      <w:r w:rsidRPr="00C158E5">
        <w:rPr>
          <w:sz w:val="24"/>
          <w:szCs w:val="24"/>
        </w:rPr>
        <w:t>que se observasse uma redução de impostos locais, uma vez que, em determinadas situações, nem todo aumento de renda deveria ser gasto em bens públicos.</w:t>
      </w:r>
    </w:p>
    <w:p w:rsidR="00E9008B" w:rsidRPr="00C158E5" w:rsidRDefault="0013755C" w:rsidP="00C16190">
      <w:pPr>
        <w:spacing w:before="120" w:after="120" w:line="240" w:lineRule="auto"/>
        <w:ind w:firstLine="709"/>
        <w:rPr>
          <w:sz w:val="24"/>
          <w:szCs w:val="24"/>
        </w:rPr>
      </w:pPr>
      <w:r w:rsidRPr="00C158E5">
        <w:rPr>
          <w:sz w:val="24"/>
          <w:szCs w:val="24"/>
        </w:rPr>
        <w:t>Entretanto, conforme descrevem Hines e Thaler [</w:t>
      </w:r>
      <w:r w:rsidR="00A43E78" w:rsidRPr="00C158E5">
        <w:rPr>
          <w:sz w:val="24"/>
          <w:szCs w:val="24"/>
        </w:rPr>
        <w:fldChar w:fldCharType="begin"/>
      </w:r>
      <w:r w:rsidR="00A43E78" w:rsidRPr="00C158E5">
        <w:rPr>
          <w:sz w:val="24"/>
          <w:szCs w:val="24"/>
        </w:rPr>
        <w:instrText xml:space="preserve">REF BIB_hines_1995 \* MERGEFORMAT </w:instrText>
      </w:r>
      <w:r w:rsidR="00A43E78" w:rsidRPr="00C158E5">
        <w:rPr>
          <w:sz w:val="24"/>
          <w:szCs w:val="24"/>
        </w:rPr>
        <w:fldChar w:fldCharType="separate"/>
      </w:r>
      <w:r w:rsidR="008F7554" w:rsidRPr="008F7554">
        <w:rPr>
          <w:sz w:val="24"/>
          <w:szCs w:val="24"/>
        </w:rPr>
        <w:t>Hines e Thaler 1995</w:t>
      </w:r>
      <w:r w:rsidR="00A43E78" w:rsidRPr="00C158E5">
        <w:rPr>
          <w:sz w:val="24"/>
          <w:szCs w:val="24"/>
        </w:rPr>
        <w:fldChar w:fldCharType="end"/>
      </w:r>
      <w:r w:rsidRPr="00C158E5">
        <w:rPr>
          <w:sz w:val="24"/>
          <w:szCs w:val="24"/>
        </w:rPr>
        <w:t xml:space="preserve">], diversos estudos investigaram os efeitos de vários tipos de tranferências para governos locais e a grande maioria deles concluiu que o gasto público local é muito mais estimulado quando ocorrem transferências do que seria esperado pela teoria. Essa observação empírica ficou conhecida como o </w:t>
      </w:r>
      <w:r w:rsidRPr="00C158E5">
        <w:rPr>
          <w:i/>
          <w:iCs/>
          <w:sz w:val="24"/>
          <w:szCs w:val="24"/>
        </w:rPr>
        <w:t>flypaper effect</w:t>
      </w:r>
      <w:r w:rsidRPr="00C158E5">
        <w:rPr>
          <w:sz w:val="24"/>
          <w:szCs w:val="24"/>
        </w:rPr>
        <w:t>, pois o dinheiro tende a ser gasto pela jurisdição local que o recebe </w:t>
      </w:r>
      <w:r w:rsidRPr="00C158E5">
        <w:rPr>
          <w:rStyle w:val="Refdenotaderodap"/>
          <w:sz w:val="24"/>
          <w:szCs w:val="24"/>
        </w:rPr>
        <w:footnoteReference w:id="3"/>
      </w:r>
      <w:r w:rsidRPr="00C158E5">
        <w:rPr>
          <w:sz w:val="24"/>
          <w:szCs w:val="24"/>
        </w:rPr>
        <w:t xml:space="preserve">. </w:t>
      </w:r>
    </w:p>
    <w:p w:rsidR="00E9008B" w:rsidRPr="00C158E5" w:rsidRDefault="0013755C" w:rsidP="00C16190">
      <w:pPr>
        <w:spacing w:before="120" w:after="120" w:line="240" w:lineRule="auto"/>
        <w:ind w:firstLine="709"/>
        <w:rPr>
          <w:sz w:val="24"/>
          <w:szCs w:val="24"/>
        </w:rPr>
      </w:pPr>
      <w:r w:rsidRPr="00C158E5">
        <w:rPr>
          <w:sz w:val="24"/>
          <w:szCs w:val="24"/>
        </w:rPr>
        <w:t xml:space="preserve">Muitas proposições foram levantadas e investigadas na literatura para explicar a observação do </w:t>
      </w:r>
      <w:r w:rsidRPr="00C158E5">
        <w:rPr>
          <w:i/>
          <w:iCs/>
          <w:sz w:val="24"/>
          <w:szCs w:val="24"/>
        </w:rPr>
        <w:t>flypaper effect</w:t>
      </w:r>
      <w:r w:rsidRPr="00C158E5">
        <w:rPr>
          <w:sz w:val="24"/>
          <w:szCs w:val="24"/>
        </w:rPr>
        <w:t>. Segundo Wyckoff [</w:t>
      </w:r>
      <w:r w:rsidR="00A43E78" w:rsidRPr="00C158E5">
        <w:rPr>
          <w:sz w:val="24"/>
          <w:szCs w:val="24"/>
        </w:rPr>
        <w:fldChar w:fldCharType="begin"/>
      </w:r>
      <w:r w:rsidR="00A43E78" w:rsidRPr="00C158E5">
        <w:rPr>
          <w:sz w:val="24"/>
          <w:szCs w:val="24"/>
        </w:rPr>
        <w:instrText xml:space="preserve">REF BIB_wyckoff_1991 \* MERGEFORMAT </w:instrText>
      </w:r>
      <w:r w:rsidR="00A43E78" w:rsidRPr="00C158E5">
        <w:rPr>
          <w:sz w:val="24"/>
          <w:szCs w:val="24"/>
        </w:rPr>
        <w:fldChar w:fldCharType="separate"/>
      </w:r>
      <w:r w:rsidR="008F7554" w:rsidRPr="008F7554">
        <w:rPr>
          <w:sz w:val="24"/>
          <w:szCs w:val="24"/>
        </w:rPr>
        <w:t>Wyckoff 1991</w:t>
      </w:r>
      <w:r w:rsidR="00A43E78" w:rsidRPr="00C158E5">
        <w:rPr>
          <w:sz w:val="24"/>
          <w:szCs w:val="24"/>
        </w:rPr>
        <w:fldChar w:fldCharType="end"/>
      </w:r>
      <w:r w:rsidRPr="00C158E5">
        <w:rPr>
          <w:sz w:val="24"/>
          <w:szCs w:val="24"/>
        </w:rPr>
        <w:t xml:space="preserve">], quatro importantes explicações podem ser destacadas: má especificação econométrica, variáveis omitidas, o fato de que os eleitores usam o preço médio dos bens públicos como </w:t>
      </w:r>
      <w:r w:rsidRPr="00C158E5">
        <w:rPr>
          <w:i/>
          <w:sz w:val="24"/>
          <w:szCs w:val="24"/>
        </w:rPr>
        <w:t>proxy</w:t>
      </w:r>
      <w:r w:rsidRPr="00C158E5">
        <w:rPr>
          <w:sz w:val="24"/>
          <w:szCs w:val="24"/>
        </w:rPr>
        <w:t xml:space="preserve"> para o seu preço marginal (ilusão fiscal) e, finalmente, o fato de os eleitores não terem conhecimento das transferências intergovernamentais. O autor apresenta testes empíricos para essas explicações e conclui que nenhuma dessas teorias consegue explicar o fenômeno observado, basicamente porque o </w:t>
      </w:r>
      <w:r w:rsidRPr="00C158E5">
        <w:rPr>
          <w:i/>
          <w:iCs/>
          <w:sz w:val="24"/>
          <w:szCs w:val="24"/>
        </w:rPr>
        <w:t>flypaper effect</w:t>
      </w:r>
      <w:r w:rsidRPr="00C158E5">
        <w:rPr>
          <w:sz w:val="24"/>
          <w:szCs w:val="24"/>
        </w:rPr>
        <w:t xml:space="preserve"> continua sendo observado na ausência das condições necessárias para essas explicações serem válidas.</w:t>
      </w:r>
    </w:p>
    <w:p w:rsidR="00E9008B" w:rsidRPr="00C158E5" w:rsidRDefault="0013755C" w:rsidP="00C16190">
      <w:pPr>
        <w:spacing w:before="120" w:after="120" w:line="240" w:lineRule="auto"/>
        <w:ind w:firstLine="709"/>
        <w:rPr>
          <w:sz w:val="24"/>
          <w:szCs w:val="24"/>
        </w:rPr>
      </w:pPr>
      <w:r w:rsidRPr="00C158E5">
        <w:rPr>
          <w:sz w:val="24"/>
          <w:szCs w:val="24"/>
        </w:rPr>
        <w:t>O próprio Wyckoff [</w:t>
      </w:r>
      <w:r w:rsidR="00A43E78" w:rsidRPr="00C158E5">
        <w:rPr>
          <w:sz w:val="24"/>
          <w:szCs w:val="24"/>
        </w:rPr>
        <w:fldChar w:fldCharType="begin"/>
      </w:r>
      <w:r w:rsidR="00A43E78" w:rsidRPr="00C158E5">
        <w:rPr>
          <w:sz w:val="24"/>
          <w:szCs w:val="24"/>
        </w:rPr>
        <w:instrText xml:space="preserve">REF BIB_wyckoff_1988 \* MERGEFORMAT </w:instrText>
      </w:r>
      <w:r w:rsidR="00A43E78" w:rsidRPr="00C158E5">
        <w:rPr>
          <w:sz w:val="24"/>
          <w:szCs w:val="24"/>
        </w:rPr>
        <w:fldChar w:fldCharType="separate"/>
      </w:r>
      <w:r w:rsidR="008F7554" w:rsidRPr="008F7554">
        <w:rPr>
          <w:sz w:val="24"/>
          <w:szCs w:val="24"/>
        </w:rPr>
        <w:t>Wyckoff 1988</w:t>
      </w:r>
      <w:r w:rsidR="00A43E78" w:rsidRPr="00C158E5">
        <w:rPr>
          <w:sz w:val="24"/>
          <w:szCs w:val="24"/>
        </w:rPr>
        <w:fldChar w:fldCharType="end"/>
      </w:r>
      <w:r w:rsidRPr="00C158E5">
        <w:rPr>
          <w:sz w:val="24"/>
          <w:szCs w:val="24"/>
        </w:rPr>
        <w:t>] apresenta um modelo alternativo, do tipo sugerido inicialmente por Niskanen [</w:t>
      </w:r>
      <w:r w:rsidR="00A43E78" w:rsidRPr="00C158E5">
        <w:rPr>
          <w:sz w:val="24"/>
          <w:szCs w:val="24"/>
        </w:rPr>
        <w:fldChar w:fldCharType="begin"/>
      </w:r>
      <w:r w:rsidR="00A43E78" w:rsidRPr="00C158E5">
        <w:rPr>
          <w:sz w:val="24"/>
          <w:szCs w:val="24"/>
        </w:rPr>
        <w:instrText xml:space="preserve">REF BIB_niskanen_1971 \* MERGEFORMAT </w:instrText>
      </w:r>
      <w:r w:rsidR="00A43E78" w:rsidRPr="00C158E5">
        <w:rPr>
          <w:sz w:val="24"/>
          <w:szCs w:val="24"/>
        </w:rPr>
        <w:fldChar w:fldCharType="separate"/>
      </w:r>
      <w:r w:rsidR="008F7554" w:rsidRPr="008F7554">
        <w:rPr>
          <w:sz w:val="24"/>
          <w:szCs w:val="24"/>
        </w:rPr>
        <w:t>Niskanen 1971</w:t>
      </w:r>
      <w:r w:rsidR="00A43E78" w:rsidRPr="00C158E5">
        <w:rPr>
          <w:sz w:val="24"/>
          <w:szCs w:val="24"/>
        </w:rPr>
        <w:fldChar w:fldCharType="end"/>
      </w:r>
      <w:r w:rsidRPr="00C158E5">
        <w:rPr>
          <w:sz w:val="24"/>
          <w:szCs w:val="24"/>
        </w:rPr>
        <w:t>] e adotado por Filimon, Romer e Rosental [</w:t>
      </w:r>
      <w:r w:rsidR="00A43E78" w:rsidRPr="00C158E5">
        <w:rPr>
          <w:sz w:val="24"/>
          <w:szCs w:val="24"/>
        </w:rPr>
        <w:fldChar w:fldCharType="begin"/>
      </w:r>
      <w:r w:rsidR="00A43E78" w:rsidRPr="00C158E5">
        <w:rPr>
          <w:sz w:val="24"/>
          <w:szCs w:val="24"/>
        </w:rPr>
        <w:instrText xml:space="preserve">REF BIB_filimon_1982 \* MERGEFORMAT </w:instrText>
      </w:r>
      <w:r w:rsidR="00A43E78" w:rsidRPr="00C158E5">
        <w:rPr>
          <w:sz w:val="24"/>
          <w:szCs w:val="24"/>
        </w:rPr>
        <w:fldChar w:fldCharType="separate"/>
      </w:r>
      <w:r w:rsidR="008F7554" w:rsidRPr="008F7554">
        <w:rPr>
          <w:sz w:val="24"/>
          <w:szCs w:val="24"/>
        </w:rPr>
        <w:t>Filimon, Romer e Rosenthal 1982</w:t>
      </w:r>
      <w:r w:rsidR="00A43E78" w:rsidRPr="00C158E5">
        <w:rPr>
          <w:sz w:val="24"/>
          <w:szCs w:val="24"/>
        </w:rPr>
        <w:fldChar w:fldCharType="end"/>
      </w:r>
      <w:r w:rsidRPr="00C158E5">
        <w:rPr>
          <w:sz w:val="24"/>
          <w:szCs w:val="24"/>
        </w:rPr>
        <w:t>], em que se assume que os burocratas maximizam o orçamento. O foco desse e de outros modelos desse tipo sempre é o de explicar o </w:t>
      </w:r>
      <w:r w:rsidRPr="00C158E5">
        <w:rPr>
          <w:i/>
          <w:iCs/>
          <w:sz w:val="24"/>
          <w:szCs w:val="24"/>
        </w:rPr>
        <w:t>flypaper effect</w:t>
      </w:r>
      <w:r w:rsidRPr="00C158E5">
        <w:rPr>
          <w:sz w:val="24"/>
          <w:szCs w:val="24"/>
        </w:rPr>
        <w:t xml:space="preserve">, isto é, explicar porque as transferências recebidas estimulam mais do que o esperado os gastos em bens públicos. </w:t>
      </w:r>
    </w:p>
    <w:p w:rsidR="00181871" w:rsidRPr="00C158E5" w:rsidRDefault="0013755C" w:rsidP="00C16190">
      <w:pPr>
        <w:spacing w:before="120" w:after="120" w:line="240" w:lineRule="auto"/>
        <w:ind w:firstLine="709"/>
        <w:rPr>
          <w:sz w:val="24"/>
          <w:szCs w:val="24"/>
        </w:rPr>
      </w:pPr>
      <w:r w:rsidRPr="00C158E5">
        <w:rPr>
          <w:sz w:val="24"/>
          <w:szCs w:val="24"/>
        </w:rPr>
        <w:t>Mesmo quando tratamos de transferências condicionais, como é o caso das transferências na área da saúde no Brasil, Hines e Thaler [</w:t>
      </w:r>
      <w:r w:rsidR="00A43E78" w:rsidRPr="00C158E5">
        <w:rPr>
          <w:sz w:val="24"/>
          <w:szCs w:val="24"/>
        </w:rPr>
        <w:fldChar w:fldCharType="begin"/>
      </w:r>
      <w:r w:rsidR="00A43E78" w:rsidRPr="00C158E5">
        <w:rPr>
          <w:sz w:val="24"/>
          <w:szCs w:val="24"/>
        </w:rPr>
        <w:instrText xml:space="preserve">REF BIB_hines_1995 \* MERGEFORMAT </w:instrText>
      </w:r>
      <w:r w:rsidR="00A43E78" w:rsidRPr="00C158E5">
        <w:rPr>
          <w:sz w:val="24"/>
          <w:szCs w:val="24"/>
        </w:rPr>
        <w:fldChar w:fldCharType="separate"/>
      </w:r>
      <w:r w:rsidR="008F7554" w:rsidRPr="008F7554">
        <w:rPr>
          <w:sz w:val="24"/>
          <w:szCs w:val="24"/>
        </w:rPr>
        <w:t>Hines e Thaler 1995</w:t>
      </w:r>
      <w:r w:rsidR="00A43E78" w:rsidRPr="00C158E5">
        <w:rPr>
          <w:sz w:val="24"/>
          <w:szCs w:val="24"/>
        </w:rPr>
        <w:fldChar w:fldCharType="end"/>
      </w:r>
      <w:r w:rsidRPr="00C158E5">
        <w:rPr>
          <w:sz w:val="24"/>
          <w:szCs w:val="24"/>
        </w:rPr>
        <w:t>] comentam que sempre é possível deri</w:t>
      </w:r>
      <w:r w:rsidR="00181871" w:rsidRPr="00C158E5">
        <w:rPr>
          <w:sz w:val="24"/>
          <w:szCs w:val="24"/>
        </w:rPr>
        <w:t xml:space="preserve">var uma previsão baseada na teoria econômica ortodoxa </w:t>
      </w:r>
      <w:r w:rsidRPr="00C158E5">
        <w:rPr>
          <w:sz w:val="24"/>
          <w:szCs w:val="24"/>
        </w:rPr>
        <w:t>a respeito</w:t>
      </w:r>
      <w:r w:rsidR="00181871" w:rsidRPr="00C158E5">
        <w:rPr>
          <w:sz w:val="24"/>
          <w:szCs w:val="24"/>
        </w:rPr>
        <w:t xml:space="preserve"> da relação entre</w:t>
      </w:r>
      <w:r w:rsidRPr="00C158E5">
        <w:rPr>
          <w:sz w:val="24"/>
          <w:szCs w:val="24"/>
        </w:rPr>
        <w:t xml:space="preserve"> </w:t>
      </w:r>
      <w:r w:rsidR="00181871" w:rsidRPr="00C158E5">
        <w:rPr>
          <w:sz w:val="24"/>
          <w:szCs w:val="24"/>
        </w:rPr>
        <w:t xml:space="preserve">essas tranferências e os gastos e </w:t>
      </w:r>
      <w:r w:rsidRPr="00C158E5">
        <w:rPr>
          <w:sz w:val="24"/>
          <w:szCs w:val="24"/>
        </w:rPr>
        <w:t>arrecadação local</w:t>
      </w:r>
      <w:r w:rsidR="00181871" w:rsidRPr="00C158E5">
        <w:rPr>
          <w:sz w:val="24"/>
          <w:szCs w:val="24"/>
        </w:rPr>
        <w:t>. Muitas vezes essas previsões</w:t>
      </w:r>
      <w:r w:rsidRPr="00C158E5">
        <w:rPr>
          <w:sz w:val="24"/>
          <w:szCs w:val="24"/>
        </w:rPr>
        <w:t xml:space="preserve"> continua</w:t>
      </w:r>
      <w:r w:rsidR="00181871" w:rsidRPr="00C158E5">
        <w:rPr>
          <w:sz w:val="24"/>
          <w:szCs w:val="24"/>
        </w:rPr>
        <w:t>m</w:t>
      </w:r>
      <w:r w:rsidRPr="00C158E5">
        <w:rPr>
          <w:sz w:val="24"/>
          <w:szCs w:val="24"/>
        </w:rPr>
        <w:t xml:space="preserve"> sendo refutada</w:t>
      </w:r>
      <w:r w:rsidR="00181871" w:rsidRPr="00C158E5">
        <w:rPr>
          <w:sz w:val="24"/>
          <w:szCs w:val="24"/>
        </w:rPr>
        <w:t>s pelas análises empíricas.</w:t>
      </w:r>
    </w:p>
    <w:p w:rsidR="00E9008B" w:rsidRPr="00C158E5" w:rsidRDefault="0013755C" w:rsidP="00C16190">
      <w:pPr>
        <w:spacing w:before="120" w:after="120" w:line="240" w:lineRule="auto"/>
        <w:ind w:firstLine="709"/>
        <w:rPr>
          <w:sz w:val="24"/>
          <w:szCs w:val="24"/>
        </w:rPr>
      </w:pPr>
      <w:r w:rsidRPr="00C158E5">
        <w:rPr>
          <w:sz w:val="24"/>
          <w:szCs w:val="24"/>
        </w:rPr>
        <w:t xml:space="preserve">De forma geral, convencionou-se chamar de observações do </w:t>
      </w:r>
      <w:r w:rsidRPr="00C158E5">
        <w:rPr>
          <w:i/>
          <w:iCs/>
          <w:sz w:val="24"/>
          <w:szCs w:val="24"/>
        </w:rPr>
        <w:t>flypaper effect</w:t>
      </w:r>
      <w:r w:rsidRPr="00C158E5">
        <w:rPr>
          <w:sz w:val="24"/>
          <w:szCs w:val="24"/>
        </w:rPr>
        <w:t xml:space="preserve"> aquelas em que se tenha uma relação positiva entre gastos locais e as transferências intergovernamentais recebidas, mesmo quando se tratam de transferências condicionais.</w:t>
      </w:r>
      <w:r w:rsidR="00181871" w:rsidRPr="00C158E5">
        <w:rPr>
          <w:sz w:val="24"/>
          <w:szCs w:val="24"/>
        </w:rPr>
        <w:t xml:space="preserve"> </w:t>
      </w:r>
      <w:r w:rsidRPr="00C158E5">
        <w:rPr>
          <w:sz w:val="24"/>
          <w:szCs w:val="24"/>
        </w:rPr>
        <w:t>Chernick [</w:t>
      </w:r>
      <w:r w:rsidR="00A43E78" w:rsidRPr="00C158E5">
        <w:rPr>
          <w:sz w:val="24"/>
          <w:szCs w:val="24"/>
        </w:rPr>
        <w:fldChar w:fldCharType="begin"/>
      </w:r>
      <w:r w:rsidR="00A43E78" w:rsidRPr="00C158E5">
        <w:rPr>
          <w:sz w:val="24"/>
          <w:szCs w:val="24"/>
        </w:rPr>
        <w:instrText xml:space="preserve">REF BIB_chernick_1979 \* MERGEFORMAT </w:instrText>
      </w:r>
      <w:r w:rsidR="00A43E78" w:rsidRPr="00C158E5">
        <w:rPr>
          <w:sz w:val="24"/>
          <w:szCs w:val="24"/>
        </w:rPr>
        <w:fldChar w:fldCharType="separate"/>
      </w:r>
      <w:r w:rsidR="008F7554" w:rsidRPr="004C01D0">
        <w:rPr>
          <w:sz w:val="24"/>
          <w:szCs w:val="24"/>
        </w:rPr>
        <w:t>Chernick 1979</w:t>
      </w:r>
      <w:r w:rsidR="00A43E78" w:rsidRPr="00C158E5">
        <w:rPr>
          <w:sz w:val="24"/>
          <w:szCs w:val="24"/>
        </w:rPr>
        <w:fldChar w:fldCharType="end"/>
      </w:r>
      <w:r w:rsidRPr="00C158E5">
        <w:rPr>
          <w:sz w:val="24"/>
          <w:szCs w:val="24"/>
        </w:rPr>
        <w:t>] e Knight [</w:t>
      </w:r>
      <w:r w:rsidR="00A43E78" w:rsidRPr="00C158E5">
        <w:rPr>
          <w:sz w:val="24"/>
          <w:szCs w:val="24"/>
        </w:rPr>
        <w:fldChar w:fldCharType="begin"/>
      </w:r>
      <w:r w:rsidR="00A43E78" w:rsidRPr="00C158E5">
        <w:rPr>
          <w:sz w:val="24"/>
          <w:szCs w:val="24"/>
        </w:rPr>
        <w:instrText xml:space="preserve">REF BIB_knight_2002 \* MERGEFORMAT </w:instrText>
      </w:r>
      <w:r w:rsidR="00A43E78" w:rsidRPr="00C158E5">
        <w:rPr>
          <w:sz w:val="24"/>
          <w:szCs w:val="24"/>
        </w:rPr>
        <w:fldChar w:fldCharType="separate"/>
      </w:r>
      <w:r w:rsidR="008F7554" w:rsidRPr="008F7554">
        <w:rPr>
          <w:sz w:val="24"/>
          <w:szCs w:val="24"/>
        </w:rPr>
        <w:t>Knight 2002</w:t>
      </w:r>
      <w:r w:rsidR="00A43E78" w:rsidRPr="00C158E5">
        <w:rPr>
          <w:sz w:val="24"/>
          <w:szCs w:val="24"/>
        </w:rPr>
        <w:fldChar w:fldCharType="end"/>
      </w:r>
      <w:r w:rsidRPr="00C158E5">
        <w:rPr>
          <w:sz w:val="24"/>
          <w:szCs w:val="24"/>
        </w:rPr>
        <w:t>] apresentam modelos que buscam explicar observações desse tipo relacionadas a transferências condicionais. Chernick investiga transferências que são feitas com base em projetos (</w:t>
      </w:r>
      <w:r w:rsidRPr="00C158E5">
        <w:rPr>
          <w:i/>
          <w:iCs/>
          <w:sz w:val="24"/>
          <w:szCs w:val="24"/>
        </w:rPr>
        <w:t>project grants</w:t>
      </w:r>
      <w:r w:rsidRPr="00C158E5">
        <w:rPr>
          <w:sz w:val="24"/>
          <w:szCs w:val="24"/>
        </w:rPr>
        <w:t xml:space="preserve">), a partir de informações sobre transferências para o setor de saneamento do Departamento de Construção Civil e Desenvolvimento </w:t>
      </w:r>
      <w:r w:rsidRPr="00C158E5">
        <w:rPr>
          <w:sz w:val="24"/>
          <w:szCs w:val="24"/>
        </w:rPr>
        <w:lastRenderedPageBreak/>
        <w:t>Urbano dos Estados Unidos. Knight estuda o caso de transferências condicionais (</w:t>
      </w:r>
      <w:r w:rsidRPr="00C158E5">
        <w:rPr>
          <w:i/>
          <w:iCs/>
          <w:sz w:val="24"/>
          <w:szCs w:val="24"/>
        </w:rPr>
        <w:t>closed-end matching grants</w:t>
      </w:r>
      <w:r w:rsidRPr="00C158E5">
        <w:rPr>
          <w:sz w:val="24"/>
          <w:szCs w:val="24"/>
        </w:rPr>
        <w:t>) feitas pelo governo federal para os estados para a construção e manutenção de estradas.</w:t>
      </w:r>
    </w:p>
    <w:p w:rsidR="00E9008B" w:rsidRPr="00C158E5" w:rsidRDefault="0013755C" w:rsidP="00C16190">
      <w:pPr>
        <w:spacing w:before="120" w:after="120" w:line="240" w:lineRule="auto"/>
        <w:ind w:firstLine="709"/>
        <w:rPr>
          <w:sz w:val="24"/>
          <w:szCs w:val="24"/>
        </w:rPr>
      </w:pPr>
      <w:r w:rsidRPr="00C158E5">
        <w:rPr>
          <w:sz w:val="24"/>
          <w:szCs w:val="24"/>
        </w:rPr>
        <w:t>O modelo de Chernick [</w:t>
      </w:r>
      <w:r w:rsidR="00A43E78" w:rsidRPr="00C158E5">
        <w:rPr>
          <w:sz w:val="24"/>
          <w:szCs w:val="24"/>
        </w:rPr>
        <w:fldChar w:fldCharType="begin"/>
      </w:r>
      <w:r w:rsidR="00A43E78" w:rsidRPr="00C158E5">
        <w:rPr>
          <w:sz w:val="24"/>
          <w:szCs w:val="24"/>
        </w:rPr>
        <w:instrText xml:space="preserve">REF BIB_chernick_1979 \* MERGEFORMAT </w:instrText>
      </w:r>
      <w:r w:rsidR="00A43E78" w:rsidRPr="00C158E5">
        <w:rPr>
          <w:sz w:val="24"/>
          <w:szCs w:val="24"/>
        </w:rPr>
        <w:fldChar w:fldCharType="separate"/>
      </w:r>
      <w:r w:rsidR="008F7554" w:rsidRPr="004C01D0">
        <w:rPr>
          <w:sz w:val="24"/>
          <w:szCs w:val="24"/>
        </w:rPr>
        <w:t>Chernick 1979</w:t>
      </w:r>
      <w:r w:rsidR="00A43E78" w:rsidRPr="00C158E5">
        <w:rPr>
          <w:sz w:val="24"/>
          <w:szCs w:val="24"/>
        </w:rPr>
        <w:fldChar w:fldCharType="end"/>
      </w:r>
      <w:r w:rsidRPr="00C158E5">
        <w:rPr>
          <w:sz w:val="24"/>
          <w:szCs w:val="24"/>
        </w:rPr>
        <w:t xml:space="preserve">] conclui que o volume de transferências recebido localmente depende da propensão local a “pagar” pelas transferências, isto é, da propensão local a contribuir com recursos locais para cada quantidade recebida de transferências. </w:t>
      </w:r>
      <w:r w:rsidR="008D6C8C">
        <w:rPr>
          <w:sz w:val="24"/>
          <w:szCs w:val="24"/>
        </w:rPr>
        <w:t xml:space="preserve">Nesse modelo, </w:t>
      </w:r>
      <w:r w:rsidRPr="00C158E5">
        <w:rPr>
          <w:sz w:val="24"/>
          <w:szCs w:val="24"/>
        </w:rPr>
        <w:t>o governo central procura maximizar o produto induzido por cada unidade monetária despendida e</w:t>
      </w:r>
      <w:r w:rsidR="008D6C8C">
        <w:rPr>
          <w:sz w:val="24"/>
          <w:szCs w:val="24"/>
        </w:rPr>
        <w:t>,</w:t>
      </w:r>
      <w:r w:rsidRPr="00C158E5">
        <w:rPr>
          <w:sz w:val="24"/>
          <w:szCs w:val="24"/>
        </w:rPr>
        <w:t xml:space="preserve"> por isso</w:t>
      </w:r>
      <w:r w:rsidR="008D6C8C">
        <w:rPr>
          <w:sz w:val="24"/>
          <w:szCs w:val="24"/>
        </w:rPr>
        <w:t>,</w:t>
      </w:r>
      <w:r w:rsidRPr="00C158E5">
        <w:rPr>
          <w:sz w:val="24"/>
          <w:szCs w:val="24"/>
        </w:rPr>
        <w:t xml:space="preserve"> prefere transferir para as localidades que contribuem mais com recursos locais. Ou seja, o governo central, através de seu processo de transferências, induz à relação entre gastos e transferências.</w:t>
      </w:r>
    </w:p>
    <w:p w:rsidR="00E9008B" w:rsidRPr="00C158E5" w:rsidRDefault="0013755C" w:rsidP="00C16190">
      <w:pPr>
        <w:spacing w:before="120" w:after="120" w:line="240" w:lineRule="auto"/>
        <w:ind w:firstLine="709"/>
        <w:rPr>
          <w:sz w:val="24"/>
          <w:szCs w:val="24"/>
        </w:rPr>
      </w:pPr>
      <w:r w:rsidRPr="00C158E5">
        <w:rPr>
          <w:sz w:val="24"/>
          <w:szCs w:val="24"/>
        </w:rPr>
        <w:t>Knight [</w:t>
      </w:r>
      <w:r w:rsidR="00A43E78" w:rsidRPr="00C158E5">
        <w:rPr>
          <w:sz w:val="24"/>
          <w:szCs w:val="24"/>
        </w:rPr>
        <w:fldChar w:fldCharType="begin"/>
      </w:r>
      <w:r w:rsidR="00A43E78" w:rsidRPr="00C158E5">
        <w:rPr>
          <w:sz w:val="24"/>
          <w:szCs w:val="24"/>
        </w:rPr>
        <w:instrText xml:space="preserve">REF BIB_knight_2002 \* MERGEFORMAT </w:instrText>
      </w:r>
      <w:r w:rsidR="00A43E78" w:rsidRPr="00C158E5">
        <w:rPr>
          <w:sz w:val="24"/>
          <w:szCs w:val="24"/>
        </w:rPr>
        <w:fldChar w:fldCharType="separate"/>
      </w:r>
      <w:r w:rsidR="008F7554" w:rsidRPr="008F7554">
        <w:rPr>
          <w:sz w:val="24"/>
          <w:szCs w:val="24"/>
        </w:rPr>
        <w:t>Knight 2002</w:t>
      </w:r>
      <w:r w:rsidR="00A43E78" w:rsidRPr="00C158E5">
        <w:rPr>
          <w:sz w:val="24"/>
          <w:szCs w:val="24"/>
        </w:rPr>
        <w:fldChar w:fldCharType="end"/>
      </w:r>
      <w:r w:rsidRPr="00C158E5">
        <w:rPr>
          <w:sz w:val="24"/>
          <w:szCs w:val="24"/>
        </w:rPr>
        <w:t>], por sua vez, constrói um modelo de barganha para a distribuição das transferências entre estados, em que um comitê com um representante de cada estado determina a distribuição das transferências entre estados. Assume-se a existência de dois tipos de estado: com elevada e baixa preferência por bens públicos. Como a proposta de distribuição de transferências só é aprovada por maioria e o chefe do comitê quer maximizar as transferências para o seu estado, este faz uma aliança com os estados que mais valorizam os bens públicos e a distribuição de transferências é aprovada de tal modo que os estados que mais valorizam os bens públicos recebem mais.</w:t>
      </w:r>
    </w:p>
    <w:p w:rsidR="00E9008B" w:rsidRPr="00C158E5" w:rsidRDefault="0013755C" w:rsidP="00C16190">
      <w:pPr>
        <w:spacing w:before="120" w:after="120" w:line="240" w:lineRule="auto"/>
        <w:ind w:firstLine="709"/>
        <w:rPr>
          <w:sz w:val="24"/>
          <w:szCs w:val="24"/>
        </w:rPr>
      </w:pPr>
      <w:r w:rsidRPr="00C158E5">
        <w:rPr>
          <w:sz w:val="24"/>
          <w:szCs w:val="24"/>
        </w:rPr>
        <w:t xml:space="preserve">No caso das transferências do SUS, assim como nos casos estudados por Chernick e Knight, o próprio mecanismo de transferências </w:t>
      </w:r>
      <w:r w:rsidR="00870BE0" w:rsidRPr="00C158E5">
        <w:rPr>
          <w:sz w:val="24"/>
          <w:szCs w:val="24"/>
        </w:rPr>
        <w:t>pode estar</w:t>
      </w:r>
      <w:r w:rsidRPr="00C158E5">
        <w:rPr>
          <w:sz w:val="24"/>
          <w:szCs w:val="24"/>
        </w:rPr>
        <w:t>, de alguma forma, induzindo à relação entre g</w:t>
      </w:r>
      <w:r w:rsidR="00B36AA3">
        <w:rPr>
          <w:sz w:val="24"/>
          <w:szCs w:val="24"/>
        </w:rPr>
        <w:t>astos próprios e transferências.</w:t>
      </w:r>
      <w:r w:rsidR="00870BE0" w:rsidRPr="00C158E5">
        <w:rPr>
          <w:sz w:val="24"/>
          <w:szCs w:val="24"/>
        </w:rPr>
        <w:t xml:space="preserve"> </w:t>
      </w:r>
      <w:r w:rsidR="00B36AA3">
        <w:rPr>
          <w:sz w:val="24"/>
          <w:szCs w:val="24"/>
        </w:rPr>
        <w:t>O</w:t>
      </w:r>
      <w:r w:rsidRPr="00C158E5">
        <w:rPr>
          <w:sz w:val="24"/>
          <w:szCs w:val="24"/>
        </w:rPr>
        <w:t xml:space="preserve"> modelo de Chernick </w:t>
      </w:r>
      <w:r w:rsidR="00870BE0" w:rsidRPr="00C158E5">
        <w:rPr>
          <w:sz w:val="24"/>
          <w:szCs w:val="24"/>
        </w:rPr>
        <w:t>[</w:t>
      </w:r>
      <w:r w:rsidR="00870BE0" w:rsidRPr="00C158E5">
        <w:rPr>
          <w:sz w:val="24"/>
          <w:szCs w:val="24"/>
        </w:rPr>
        <w:fldChar w:fldCharType="begin"/>
      </w:r>
      <w:r w:rsidR="00870BE0" w:rsidRPr="00C158E5">
        <w:rPr>
          <w:sz w:val="24"/>
          <w:szCs w:val="24"/>
        </w:rPr>
        <w:instrText xml:space="preserve">REF BIB_chernick_1979 \* MERGEFORMAT </w:instrText>
      </w:r>
      <w:r w:rsidR="00870BE0" w:rsidRPr="00C158E5">
        <w:rPr>
          <w:sz w:val="24"/>
          <w:szCs w:val="24"/>
        </w:rPr>
        <w:fldChar w:fldCharType="separate"/>
      </w:r>
      <w:r w:rsidR="008F7554" w:rsidRPr="004C01D0">
        <w:rPr>
          <w:sz w:val="24"/>
          <w:szCs w:val="24"/>
        </w:rPr>
        <w:t>Chernick 1979</w:t>
      </w:r>
      <w:r w:rsidR="00870BE0" w:rsidRPr="00C158E5">
        <w:rPr>
          <w:sz w:val="24"/>
          <w:szCs w:val="24"/>
        </w:rPr>
        <w:fldChar w:fldCharType="end"/>
      </w:r>
      <w:r w:rsidR="00870BE0" w:rsidRPr="00C158E5">
        <w:rPr>
          <w:sz w:val="24"/>
          <w:szCs w:val="24"/>
        </w:rPr>
        <w:t xml:space="preserve">] </w:t>
      </w:r>
      <w:r w:rsidR="0057131F" w:rsidRPr="00C158E5">
        <w:rPr>
          <w:sz w:val="24"/>
          <w:szCs w:val="24"/>
        </w:rPr>
        <w:t>parece se</w:t>
      </w:r>
      <w:r w:rsidRPr="00C158E5">
        <w:rPr>
          <w:sz w:val="24"/>
          <w:szCs w:val="24"/>
        </w:rPr>
        <w:t xml:space="preserve"> </w:t>
      </w:r>
      <w:r w:rsidR="0057131F" w:rsidRPr="00C158E5">
        <w:rPr>
          <w:sz w:val="24"/>
          <w:szCs w:val="24"/>
        </w:rPr>
        <w:t>aproximar mais do objeto de interesse deste estudo</w:t>
      </w:r>
      <w:r w:rsidRPr="00C158E5">
        <w:rPr>
          <w:sz w:val="24"/>
          <w:szCs w:val="24"/>
        </w:rPr>
        <w:t xml:space="preserve">, uma vez que a distribuição dos recursos </w:t>
      </w:r>
      <w:r w:rsidR="0057131F" w:rsidRPr="00C158E5">
        <w:rPr>
          <w:sz w:val="24"/>
          <w:szCs w:val="24"/>
        </w:rPr>
        <w:t xml:space="preserve">do SUS </w:t>
      </w:r>
      <w:r w:rsidRPr="00C158E5">
        <w:rPr>
          <w:sz w:val="24"/>
          <w:szCs w:val="24"/>
        </w:rPr>
        <w:t xml:space="preserve">para os municípios não se baseia em uma eleição feita em um comitê representativo. Apesar de uma parte das transferências </w:t>
      </w:r>
      <w:r w:rsidR="0057131F" w:rsidRPr="00C158E5">
        <w:rPr>
          <w:sz w:val="24"/>
          <w:szCs w:val="24"/>
        </w:rPr>
        <w:t xml:space="preserve">fundo a fundo do </w:t>
      </w:r>
      <w:r w:rsidRPr="00C158E5">
        <w:rPr>
          <w:sz w:val="24"/>
          <w:szCs w:val="24"/>
        </w:rPr>
        <w:t xml:space="preserve">SUS ser determinada por critérios de equalização, com valores </w:t>
      </w:r>
      <w:r w:rsidRPr="00C158E5">
        <w:rPr>
          <w:i/>
          <w:sz w:val="24"/>
          <w:szCs w:val="24"/>
        </w:rPr>
        <w:t>per capita</w:t>
      </w:r>
      <w:r w:rsidRPr="00C158E5">
        <w:rPr>
          <w:sz w:val="24"/>
          <w:szCs w:val="24"/>
        </w:rPr>
        <w:t>, uma boa parte é determinada a partir da adesão a programas e demonstração de prestação de serviços por parte dos municípios.</w:t>
      </w:r>
      <w:r w:rsidR="00B36AA3">
        <w:rPr>
          <w:sz w:val="24"/>
          <w:szCs w:val="24"/>
        </w:rPr>
        <w:t xml:space="preserve"> Além disso, nosso objetivo é testar algo semelhante ao que foi testado por Chernick. É possível que os municípios com maior “propensão local a complementar as transferências” e, portanto, maior propensão de arcar completamente com as ações e programas, sejam os que mais rece</w:t>
      </w:r>
      <w:r w:rsidR="007E67F9">
        <w:rPr>
          <w:sz w:val="24"/>
          <w:szCs w:val="24"/>
        </w:rPr>
        <w:t>bem recursos do governo federal.</w:t>
      </w:r>
    </w:p>
    <w:p w:rsidR="00E9008B" w:rsidRPr="00C158E5" w:rsidRDefault="0013755C" w:rsidP="00C16190">
      <w:pPr>
        <w:spacing w:before="120" w:after="120" w:line="240" w:lineRule="auto"/>
        <w:ind w:firstLine="709"/>
        <w:rPr>
          <w:sz w:val="24"/>
          <w:szCs w:val="24"/>
        </w:rPr>
      </w:pPr>
      <w:r w:rsidRPr="00C158E5">
        <w:rPr>
          <w:sz w:val="24"/>
          <w:szCs w:val="24"/>
        </w:rPr>
        <w:t xml:space="preserve">Especificamente para o caso brasileiro, muitos trabalhos buscam evidenciar ou explicar o </w:t>
      </w:r>
      <w:r w:rsidRPr="00C158E5">
        <w:rPr>
          <w:i/>
          <w:iCs/>
          <w:sz w:val="24"/>
          <w:szCs w:val="24"/>
        </w:rPr>
        <w:t>flypaper effect</w:t>
      </w:r>
      <w:r w:rsidRPr="00C158E5">
        <w:rPr>
          <w:sz w:val="24"/>
          <w:szCs w:val="24"/>
        </w:rPr>
        <w:t xml:space="preserve"> nas transferências do governo federal para os estados e municípios. A maioria dos estudos encontrados tratam, entretanto, das transferências</w:t>
      </w:r>
      <w:r w:rsidR="0057131F" w:rsidRPr="00C158E5">
        <w:rPr>
          <w:sz w:val="24"/>
          <w:szCs w:val="24"/>
        </w:rPr>
        <w:t xml:space="preserve"> intergovernamentais</w:t>
      </w:r>
      <w:r w:rsidR="00F60AF6">
        <w:rPr>
          <w:sz w:val="24"/>
          <w:szCs w:val="24"/>
        </w:rPr>
        <w:t xml:space="preserve"> como um todo, como os de </w:t>
      </w:r>
      <w:r w:rsidRPr="00C158E5">
        <w:rPr>
          <w:sz w:val="24"/>
          <w:szCs w:val="24"/>
        </w:rPr>
        <w:t>Cossio e Carvalho [</w:t>
      </w:r>
      <w:r w:rsidR="00A43E78" w:rsidRPr="00C158E5">
        <w:rPr>
          <w:sz w:val="24"/>
          <w:szCs w:val="24"/>
        </w:rPr>
        <w:fldChar w:fldCharType="begin"/>
      </w:r>
      <w:r w:rsidR="00A43E78" w:rsidRPr="00C158E5">
        <w:rPr>
          <w:sz w:val="24"/>
          <w:szCs w:val="24"/>
        </w:rPr>
        <w:instrText xml:space="preserve">REF BIB_cossio_2001 \* MERGEFORMAT </w:instrText>
      </w:r>
      <w:r w:rsidR="00A43E78" w:rsidRPr="00C158E5">
        <w:rPr>
          <w:sz w:val="24"/>
          <w:szCs w:val="24"/>
        </w:rPr>
        <w:fldChar w:fldCharType="separate"/>
      </w:r>
      <w:r w:rsidR="008F7554" w:rsidRPr="00D435DE">
        <w:rPr>
          <w:sz w:val="24"/>
          <w:szCs w:val="24"/>
        </w:rPr>
        <w:t>Cossio e Carvalho 2001</w:t>
      </w:r>
      <w:r w:rsidR="00A43E78" w:rsidRPr="00C158E5">
        <w:rPr>
          <w:sz w:val="24"/>
          <w:szCs w:val="24"/>
        </w:rPr>
        <w:fldChar w:fldCharType="end"/>
      </w:r>
      <w:r w:rsidR="00F60AF6">
        <w:rPr>
          <w:sz w:val="24"/>
          <w:szCs w:val="24"/>
        </w:rPr>
        <w:t xml:space="preserve">], </w:t>
      </w:r>
      <w:r w:rsidRPr="00C158E5">
        <w:rPr>
          <w:sz w:val="24"/>
          <w:szCs w:val="24"/>
        </w:rPr>
        <w:t>Sakurai [</w:t>
      </w:r>
      <w:r w:rsidR="00A43E78" w:rsidRPr="00C158E5">
        <w:rPr>
          <w:sz w:val="24"/>
          <w:szCs w:val="24"/>
        </w:rPr>
        <w:fldChar w:fldCharType="begin"/>
      </w:r>
      <w:r w:rsidR="00A43E78" w:rsidRPr="00C158E5">
        <w:rPr>
          <w:sz w:val="24"/>
          <w:szCs w:val="24"/>
        </w:rPr>
        <w:instrText xml:space="preserve">REF BIB_sakurai_2009 \* MERGEFORMAT </w:instrText>
      </w:r>
      <w:r w:rsidR="00A43E78" w:rsidRPr="00C158E5">
        <w:rPr>
          <w:sz w:val="24"/>
          <w:szCs w:val="24"/>
        </w:rPr>
        <w:fldChar w:fldCharType="separate"/>
      </w:r>
      <w:r w:rsidR="008F7554" w:rsidRPr="00D435DE">
        <w:rPr>
          <w:sz w:val="24"/>
          <w:szCs w:val="24"/>
        </w:rPr>
        <w:t>Sakurai 2009</w:t>
      </w:r>
      <w:r w:rsidR="00A43E78" w:rsidRPr="00C158E5">
        <w:rPr>
          <w:sz w:val="24"/>
          <w:szCs w:val="24"/>
        </w:rPr>
        <w:fldChar w:fldCharType="end"/>
      </w:r>
      <w:r w:rsidRPr="00C158E5">
        <w:rPr>
          <w:sz w:val="24"/>
          <w:szCs w:val="24"/>
        </w:rPr>
        <w:t>], Marconi, Arvate, Moura Neto e Palombo [</w:t>
      </w:r>
      <w:r w:rsidR="00A43E78" w:rsidRPr="00C158E5">
        <w:rPr>
          <w:sz w:val="24"/>
          <w:szCs w:val="24"/>
        </w:rPr>
        <w:fldChar w:fldCharType="begin"/>
      </w:r>
      <w:r w:rsidR="00A43E78" w:rsidRPr="00C158E5">
        <w:rPr>
          <w:sz w:val="24"/>
          <w:szCs w:val="24"/>
        </w:rPr>
        <w:instrText xml:space="preserve">REF BIB_marconi_2009 \* MERGEFORMAT </w:instrText>
      </w:r>
      <w:r w:rsidR="00A43E78" w:rsidRPr="00C158E5">
        <w:rPr>
          <w:sz w:val="24"/>
          <w:szCs w:val="24"/>
        </w:rPr>
        <w:fldChar w:fldCharType="separate"/>
      </w:r>
      <w:r w:rsidR="008F7554" w:rsidRPr="008F7554">
        <w:rPr>
          <w:sz w:val="24"/>
          <w:szCs w:val="24"/>
        </w:rPr>
        <w:t>Marconi et al. 2009</w:t>
      </w:r>
      <w:r w:rsidR="00A43E78" w:rsidRPr="00C158E5">
        <w:rPr>
          <w:sz w:val="24"/>
          <w:szCs w:val="24"/>
        </w:rPr>
        <w:fldChar w:fldCharType="end"/>
      </w:r>
      <w:r w:rsidRPr="00C158E5">
        <w:rPr>
          <w:sz w:val="24"/>
          <w:szCs w:val="24"/>
        </w:rPr>
        <w:t>]</w:t>
      </w:r>
      <w:r w:rsidR="00F60AF6">
        <w:rPr>
          <w:sz w:val="24"/>
          <w:szCs w:val="24"/>
        </w:rPr>
        <w:t xml:space="preserve"> e</w:t>
      </w:r>
      <w:r w:rsidRPr="00C158E5">
        <w:rPr>
          <w:sz w:val="24"/>
          <w:szCs w:val="24"/>
        </w:rPr>
        <w:t xml:space="preserve"> Mattos, Rocha e Arvate [</w:t>
      </w:r>
      <w:r w:rsidR="00A43E78" w:rsidRPr="00C158E5">
        <w:rPr>
          <w:sz w:val="24"/>
          <w:szCs w:val="24"/>
        </w:rPr>
        <w:fldChar w:fldCharType="begin"/>
      </w:r>
      <w:r w:rsidR="00A43E78" w:rsidRPr="00C158E5">
        <w:rPr>
          <w:sz w:val="24"/>
          <w:szCs w:val="24"/>
        </w:rPr>
        <w:instrText xml:space="preserve">REF BIB_mattos_2011 \* MERGEFORMAT </w:instrText>
      </w:r>
      <w:r w:rsidR="00A43E78" w:rsidRPr="00C158E5">
        <w:rPr>
          <w:sz w:val="24"/>
          <w:szCs w:val="24"/>
        </w:rPr>
        <w:fldChar w:fldCharType="separate"/>
      </w:r>
      <w:r w:rsidR="008F7554" w:rsidRPr="008F7554">
        <w:rPr>
          <w:sz w:val="24"/>
          <w:szCs w:val="24"/>
        </w:rPr>
        <w:t>Mattos, Rocha e Arvate 2011</w:t>
      </w:r>
      <w:r w:rsidR="00A43E78" w:rsidRPr="00C158E5">
        <w:rPr>
          <w:sz w:val="24"/>
          <w:szCs w:val="24"/>
        </w:rPr>
        <w:fldChar w:fldCharType="end"/>
      </w:r>
      <w:r w:rsidR="00F60AF6">
        <w:rPr>
          <w:sz w:val="24"/>
          <w:szCs w:val="24"/>
        </w:rPr>
        <w:t>].</w:t>
      </w:r>
    </w:p>
    <w:p w:rsidR="00E9008B" w:rsidRPr="00C158E5" w:rsidRDefault="0013755C" w:rsidP="005D7789">
      <w:pPr>
        <w:spacing w:before="120" w:after="240" w:line="240" w:lineRule="auto"/>
        <w:ind w:firstLine="709"/>
        <w:rPr>
          <w:sz w:val="24"/>
          <w:szCs w:val="24"/>
        </w:rPr>
      </w:pPr>
      <w:r w:rsidRPr="00C158E5">
        <w:rPr>
          <w:sz w:val="24"/>
          <w:szCs w:val="24"/>
        </w:rPr>
        <w:t>Quando se trata especificamente das transferências governamentais na área da saúde, os trabalhos encontrados concentram-se mais em medir a eficiência dessas transferências através da observação de seu impacto em determinados indicadores. Varela, Martins e Fávaro [</w:t>
      </w:r>
      <w:r w:rsidR="00A43E78" w:rsidRPr="00C158E5">
        <w:rPr>
          <w:sz w:val="24"/>
          <w:szCs w:val="24"/>
        </w:rPr>
        <w:fldChar w:fldCharType="begin"/>
      </w:r>
      <w:r w:rsidR="00A43E78" w:rsidRPr="00C158E5">
        <w:rPr>
          <w:sz w:val="24"/>
          <w:szCs w:val="24"/>
        </w:rPr>
        <w:instrText xml:space="preserve">REF BIB_varela_2010 \* MERGEFORMAT </w:instrText>
      </w:r>
      <w:r w:rsidR="00A43E78" w:rsidRPr="00C158E5">
        <w:rPr>
          <w:sz w:val="24"/>
          <w:szCs w:val="24"/>
        </w:rPr>
        <w:fldChar w:fldCharType="separate"/>
      </w:r>
      <w:r w:rsidR="008F7554" w:rsidRPr="008F7554">
        <w:rPr>
          <w:sz w:val="24"/>
          <w:szCs w:val="24"/>
        </w:rPr>
        <w:t>Varela, Martins e FÁvero 2010</w:t>
      </w:r>
      <w:r w:rsidR="00A43E78" w:rsidRPr="00C158E5">
        <w:rPr>
          <w:sz w:val="24"/>
          <w:szCs w:val="24"/>
        </w:rPr>
        <w:fldChar w:fldCharType="end"/>
      </w:r>
      <w:r w:rsidR="00A943B2">
        <w:rPr>
          <w:sz w:val="24"/>
          <w:szCs w:val="24"/>
        </w:rPr>
        <w:t xml:space="preserve">], por exemplo, </w:t>
      </w:r>
      <w:r w:rsidRPr="00C158E5">
        <w:rPr>
          <w:sz w:val="24"/>
          <w:szCs w:val="24"/>
        </w:rPr>
        <w:t xml:space="preserve">utilizam a técnica do DEA – </w:t>
      </w:r>
      <w:r w:rsidRPr="00C158E5">
        <w:rPr>
          <w:i/>
          <w:iCs/>
          <w:sz w:val="24"/>
          <w:szCs w:val="24"/>
        </w:rPr>
        <w:t>Data Envelopment Analysis</w:t>
      </w:r>
      <w:r w:rsidRPr="00C158E5">
        <w:rPr>
          <w:sz w:val="24"/>
          <w:szCs w:val="24"/>
        </w:rPr>
        <w:t xml:space="preserve"> – e concluem, dentre outras coisas, que seria possível aumentar a quantidade de serviços prestados à população sem a necessidade de que os municípios obtivessem recursos adicionais. </w:t>
      </w:r>
    </w:p>
    <w:p w:rsidR="00E9008B" w:rsidRPr="00C158E5" w:rsidRDefault="0013755C" w:rsidP="00C16190">
      <w:pPr>
        <w:pStyle w:val="Ttulo1"/>
        <w:spacing w:before="120" w:line="240" w:lineRule="auto"/>
        <w:ind w:firstLine="709"/>
        <w:jc w:val="both"/>
        <w:rPr>
          <w:sz w:val="24"/>
          <w:szCs w:val="24"/>
        </w:rPr>
      </w:pPr>
      <w:bookmarkStart w:id="4" w:name="BMcap_04"/>
      <w:r w:rsidRPr="00C158E5">
        <w:rPr>
          <w:sz w:val="24"/>
          <w:szCs w:val="24"/>
        </w:rPr>
        <w:t>4</w:t>
      </w:r>
      <w:bookmarkEnd w:id="4"/>
      <w:r w:rsidRPr="00C158E5">
        <w:rPr>
          <w:sz w:val="24"/>
          <w:szCs w:val="24"/>
        </w:rPr>
        <w:t xml:space="preserve">  Estratégia empírica e dados</w:t>
      </w:r>
    </w:p>
    <w:p w:rsidR="00E9008B" w:rsidRPr="00C158E5" w:rsidRDefault="0013755C" w:rsidP="00C16190">
      <w:pPr>
        <w:spacing w:before="120" w:after="120" w:line="240" w:lineRule="auto"/>
        <w:ind w:firstLine="709"/>
        <w:rPr>
          <w:sz w:val="24"/>
          <w:szCs w:val="24"/>
        </w:rPr>
      </w:pPr>
      <w:r w:rsidRPr="00C158E5">
        <w:rPr>
          <w:sz w:val="24"/>
          <w:szCs w:val="24"/>
        </w:rPr>
        <w:t xml:space="preserve">O objetivo principal da análise empírica deste trabalho é estudar </w:t>
      </w:r>
      <w:r w:rsidR="0003782E" w:rsidRPr="00C158E5">
        <w:rPr>
          <w:sz w:val="24"/>
          <w:szCs w:val="24"/>
        </w:rPr>
        <w:t>em que medida</w:t>
      </w:r>
      <w:r w:rsidRPr="00C158E5">
        <w:rPr>
          <w:sz w:val="24"/>
          <w:szCs w:val="24"/>
        </w:rPr>
        <w:t xml:space="preserve"> a arrecadação de determinado município afeta o volume de transferências do SUS por ele recebido. </w:t>
      </w:r>
      <w:r w:rsidR="00B8071F" w:rsidRPr="00C158E5">
        <w:rPr>
          <w:sz w:val="24"/>
          <w:szCs w:val="24"/>
        </w:rPr>
        <w:t>F</w:t>
      </w:r>
      <w:r w:rsidRPr="00C158E5">
        <w:rPr>
          <w:sz w:val="24"/>
          <w:szCs w:val="24"/>
        </w:rPr>
        <w:t xml:space="preserve">oram estimadas regressões em painel com efeitos fixos que buscam </w:t>
      </w:r>
      <w:r w:rsidR="00B8071F" w:rsidRPr="00C158E5">
        <w:rPr>
          <w:sz w:val="24"/>
          <w:szCs w:val="24"/>
        </w:rPr>
        <w:t>identificar</w:t>
      </w:r>
      <w:r w:rsidRPr="00C158E5">
        <w:rPr>
          <w:sz w:val="24"/>
          <w:szCs w:val="24"/>
        </w:rPr>
        <w:t xml:space="preserve"> os determinantes das transferências condicionais </w:t>
      </w:r>
      <w:r w:rsidR="00B8071F" w:rsidRPr="00C158E5">
        <w:rPr>
          <w:sz w:val="24"/>
          <w:szCs w:val="24"/>
        </w:rPr>
        <w:t>fundo a fundo na área da saúde</w:t>
      </w:r>
      <w:r w:rsidRPr="00C158E5">
        <w:rPr>
          <w:sz w:val="24"/>
          <w:szCs w:val="24"/>
        </w:rPr>
        <w:t>.</w:t>
      </w:r>
      <w:r w:rsidR="00B8071F" w:rsidRPr="00C158E5">
        <w:rPr>
          <w:sz w:val="24"/>
          <w:szCs w:val="24"/>
        </w:rPr>
        <w:t xml:space="preserve"> O modelo empírico estimado baseia-se em parte no modelo empírico apresentado por Chernick [Chernick 1979], porém, como será visto, as hipóteses que estão por trás do modelo proposto </w:t>
      </w:r>
      <w:r w:rsidR="00C62D12" w:rsidRPr="00C158E5">
        <w:rPr>
          <w:sz w:val="24"/>
          <w:szCs w:val="24"/>
        </w:rPr>
        <w:t xml:space="preserve">neste estudo </w:t>
      </w:r>
      <w:r w:rsidR="00B8071F" w:rsidRPr="00C158E5">
        <w:rPr>
          <w:sz w:val="24"/>
          <w:szCs w:val="24"/>
        </w:rPr>
        <w:t xml:space="preserve">são diferentes. </w:t>
      </w:r>
    </w:p>
    <w:p w:rsidR="0057131F" w:rsidRPr="00C158E5" w:rsidRDefault="00870BE0" w:rsidP="00C16190">
      <w:pPr>
        <w:spacing w:before="120" w:after="120" w:line="240" w:lineRule="auto"/>
        <w:ind w:firstLine="709"/>
        <w:rPr>
          <w:sz w:val="24"/>
          <w:szCs w:val="24"/>
        </w:rPr>
      </w:pPr>
      <w:r w:rsidRPr="00C158E5">
        <w:rPr>
          <w:sz w:val="24"/>
          <w:szCs w:val="24"/>
        </w:rPr>
        <w:t>A</w:t>
      </w:r>
      <w:r w:rsidR="00B8071F" w:rsidRPr="00C158E5">
        <w:rPr>
          <w:sz w:val="24"/>
          <w:szCs w:val="24"/>
        </w:rPr>
        <w:t xml:space="preserve">ntes de apresentar </w:t>
      </w:r>
      <w:r w:rsidR="00F95B49" w:rsidRPr="00C158E5">
        <w:rPr>
          <w:sz w:val="24"/>
          <w:szCs w:val="24"/>
        </w:rPr>
        <w:t>os detalhes da regressão estimada</w:t>
      </w:r>
      <w:r w:rsidR="00B8071F" w:rsidRPr="00C158E5">
        <w:rPr>
          <w:sz w:val="24"/>
          <w:szCs w:val="24"/>
        </w:rPr>
        <w:t xml:space="preserve">, é importante destacar que o uso do modelo de efeitos fixos controla, em grande parte, uma série de potenciais problemas de </w:t>
      </w:r>
      <w:r w:rsidRPr="00C158E5">
        <w:rPr>
          <w:sz w:val="24"/>
          <w:szCs w:val="24"/>
        </w:rPr>
        <w:t>omissão de variáveis</w:t>
      </w:r>
      <w:r w:rsidR="00B8071F" w:rsidRPr="00C158E5">
        <w:rPr>
          <w:sz w:val="24"/>
          <w:szCs w:val="24"/>
        </w:rPr>
        <w:t>. Por exemplo, u</w:t>
      </w:r>
      <w:r w:rsidR="0057131F" w:rsidRPr="00C158E5">
        <w:rPr>
          <w:sz w:val="24"/>
          <w:szCs w:val="24"/>
        </w:rPr>
        <w:t xml:space="preserve">ma </w:t>
      </w:r>
      <w:r w:rsidRPr="00C158E5">
        <w:rPr>
          <w:sz w:val="24"/>
          <w:szCs w:val="24"/>
        </w:rPr>
        <w:t xml:space="preserve">possível explicação para a correlação observada entre arrecadação </w:t>
      </w:r>
      <w:r w:rsidR="00860FB5" w:rsidRPr="00C158E5">
        <w:rPr>
          <w:sz w:val="24"/>
          <w:szCs w:val="24"/>
        </w:rPr>
        <w:t xml:space="preserve">local </w:t>
      </w:r>
      <w:r w:rsidRPr="00C158E5">
        <w:rPr>
          <w:sz w:val="24"/>
          <w:szCs w:val="24"/>
        </w:rPr>
        <w:t xml:space="preserve">e transferências </w:t>
      </w:r>
      <w:r w:rsidR="00A943B2">
        <w:rPr>
          <w:sz w:val="24"/>
          <w:szCs w:val="24"/>
        </w:rPr>
        <w:t xml:space="preserve">fundo a fundo </w:t>
      </w:r>
      <w:r w:rsidRPr="00C158E5">
        <w:rPr>
          <w:sz w:val="24"/>
          <w:szCs w:val="24"/>
        </w:rPr>
        <w:t>do SUS é a</w:t>
      </w:r>
      <w:r w:rsidR="0057131F" w:rsidRPr="00C158E5">
        <w:rPr>
          <w:sz w:val="24"/>
          <w:szCs w:val="24"/>
        </w:rPr>
        <w:t xml:space="preserve"> de que os municípios </w:t>
      </w:r>
      <w:r w:rsidR="00C62D12" w:rsidRPr="00C158E5">
        <w:rPr>
          <w:sz w:val="24"/>
          <w:szCs w:val="24"/>
        </w:rPr>
        <w:t>com maior arrecadação</w:t>
      </w:r>
      <w:r w:rsidRPr="00C158E5">
        <w:rPr>
          <w:sz w:val="24"/>
          <w:szCs w:val="24"/>
        </w:rPr>
        <w:t xml:space="preserve"> </w:t>
      </w:r>
      <w:r w:rsidRPr="00C158E5">
        <w:rPr>
          <w:i/>
          <w:sz w:val="24"/>
          <w:szCs w:val="24"/>
        </w:rPr>
        <w:t>per capita</w:t>
      </w:r>
      <w:r w:rsidRPr="00C158E5">
        <w:rPr>
          <w:sz w:val="24"/>
          <w:szCs w:val="24"/>
        </w:rPr>
        <w:t xml:space="preserve"> </w:t>
      </w:r>
      <w:r w:rsidR="0057131F" w:rsidRPr="00C158E5">
        <w:rPr>
          <w:sz w:val="24"/>
          <w:szCs w:val="24"/>
        </w:rPr>
        <w:t>sejam também aqueles que fornecem serviços mais especializados e de referência para uma população maior do que a sua</w:t>
      </w:r>
      <w:r w:rsidRPr="00C158E5">
        <w:rPr>
          <w:sz w:val="24"/>
          <w:szCs w:val="24"/>
        </w:rPr>
        <w:t xml:space="preserve">, que </w:t>
      </w:r>
      <w:r w:rsidRPr="00C158E5">
        <w:rPr>
          <w:sz w:val="24"/>
          <w:szCs w:val="24"/>
        </w:rPr>
        <w:lastRenderedPageBreak/>
        <w:t>tendem a ser os municípios maiores</w:t>
      </w:r>
      <w:r w:rsidR="0057131F" w:rsidRPr="00C158E5">
        <w:rPr>
          <w:sz w:val="24"/>
          <w:szCs w:val="24"/>
        </w:rPr>
        <w:t xml:space="preserve">. O SUS prevê transferências adicionais para esses centros de referências, que fornecem serviços de alta complexidade. </w:t>
      </w:r>
      <w:r w:rsidRPr="00C158E5">
        <w:rPr>
          <w:sz w:val="24"/>
          <w:szCs w:val="24"/>
        </w:rPr>
        <w:t>O modelo de efeitos fixos, ao controlar todas as características municipais fixas no tempo, controla em grande parte esse efeito. Além disso, variáveis como tamanho d</w:t>
      </w:r>
      <w:r w:rsidR="00C62D12" w:rsidRPr="00C158E5">
        <w:rPr>
          <w:sz w:val="24"/>
          <w:szCs w:val="24"/>
        </w:rPr>
        <w:t>a população</w:t>
      </w:r>
      <w:r w:rsidR="00A943B2">
        <w:rPr>
          <w:sz w:val="24"/>
          <w:szCs w:val="24"/>
        </w:rPr>
        <w:t>, população urbana</w:t>
      </w:r>
      <w:r w:rsidR="00C62D12" w:rsidRPr="00C158E5">
        <w:rPr>
          <w:sz w:val="24"/>
          <w:szCs w:val="24"/>
        </w:rPr>
        <w:t xml:space="preserve"> e renda </w:t>
      </w:r>
      <w:r w:rsidR="00C62D12" w:rsidRPr="00C158E5">
        <w:rPr>
          <w:i/>
          <w:sz w:val="24"/>
          <w:szCs w:val="24"/>
        </w:rPr>
        <w:t>per capita</w:t>
      </w:r>
      <w:r w:rsidR="00C62D12" w:rsidRPr="00C158E5">
        <w:rPr>
          <w:sz w:val="24"/>
          <w:szCs w:val="24"/>
        </w:rPr>
        <w:t xml:space="preserve"> são incluídas na regressão.</w:t>
      </w:r>
      <w:r w:rsidRPr="00C158E5">
        <w:rPr>
          <w:sz w:val="24"/>
          <w:szCs w:val="24"/>
        </w:rPr>
        <w:t xml:space="preserve"> </w:t>
      </w:r>
    </w:p>
    <w:p w:rsidR="0057131F" w:rsidRPr="00C158E5" w:rsidRDefault="0057131F" w:rsidP="00C16190">
      <w:pPr>
        <w:spacing w:before="120" w:after="120" w:line="240" w:lineRule="auto"/>
        <w:ind w:firstLine="709"/>
        <w:rPr>
          <w:sz w:val="24"/>
          <w:szCs w:val="24"/>
        </w:rPr>
      </w:pPr>
      <w:r w:rsidRPr="00C158E5">
        <w:rPr>
          <w:sz w:val="24"/>
          <w:szCs w:val="24"/>
        </w:rPr>
        <w:t>Poderia se imaginar também que a própria demanda por serviços de saúde da população local fosse maior no</w:t>
      </w:r>
      <w:r w:rsidR="00BF3CDA" w:rsidRPr="00C158E5">
        <w:rPr>
          <w:sz w:val="24"/>
          <w:szCs w:val="24"/>
        </w:rPr>
        <w:t>s municípios com maior arrecadação média ao longo do tempo</w:t>
      </w:r>
      <w:r w:rsidR="0003782E" w:rsidRPr="00C158E5">
        <w:rPr>
          <w:sz w:val="24"/>
          <w:szCs w:val="24"/>
        </w:rPr>
        <w:t>. Porém</w:t>
      </w:r>
      <w:r w:rsidR="00860FB5" w:rsidRPr="00C158E5">
        <w:rPr>
          <w:sz w:val="24"/>
          <w:szCs w:val="24"/>
        </w:rPr>
        <w:t>,</w:t>
      </w:r>
      <w:r w:rsidR="00BF3CDA" w:rsidRPr="00C158E5">
        <w:rPr>
          <w:sz w:val="24"/>
          <w:szCs w:val="24"/>
        </w:rPr>
        <w:t xml:space="preserve"> assumindo que as preferências são fixas no período de tempo observado, e controlando os outros potenciais determinantes da demanda</w:t>
      </w:r>
      <w:r w:rsidR="0003782E" w:rsidRPr="00C158E5">
        <w:rPr>
          <w:sz w:val="24"/>
          <w:szCs w:val="24"/>
        </w:rPr>
        <w:t xml:space="preserve"> por transferências</w:t>
      </w:r>
      <w:r w:rsidR="00BF3CDA" w:rsidRPr="00C158E5">
        <w:rPr>
          <w:sz w:val="24"/>
          <w:szCs w:val="24"/>
        </w:rPr>
        <w:t>, podemos admitir que esse efeito também é controlado.</w:t>
      </w:r>
      <w:r w:rsidRPr="00C158E5">
        <w:rPr>
          <w:sz w:val="24"/>
          <w:szCs w:val="24"/>
        </w:rPr>
        <w:t xml:space="preserve"> </w:t>
      </w:r>
    </w:p>
    <w:p w:rsidR="0057131F" w:rsidRPr="00C158E5" w:rsidRDefault="0057131F" w:rsidP="00C16190">
      <w:pPr>
        <w:spacing w:before="120" w:after="120" w:line="240" w:lineRule="auto"/>
        <w:ind w:firstLine="709"/>
        <w:rPr>
          <w:sz w:val="24"/>
          <w:szCs w:val="24"/>
        </w:rPr>
      </w:pPr>
      <w:r w:rsidRPr="00C158E5">
        <w:rPr>
          <w:sz w:val="24"/>
          <w:szCs w:val="24"/>
        </w:rPr>
        <w:t>A partir da análise das regras que definem as transferências do SUS, formul</w:t>
      </w:r>
      <w:r w:rsidR="0003782E" w:rsidRPr="00C158E5">
        <w:rPr>
          <w:sz w:val="24"/>
          <w:szCs w:val="24"/>
        </w:rPr>
        <w:t>ou-se neste estudo</w:t>
      </w:r>
      <w:r w:rsidRPr="00C158E5">
        <w:rPr>
          <w:sz w:val="24"/>
          <w:szCs w:val="24"/>
        </w:rPr>
        <w:t xml:space="preserve"> uma outra hipótese, para a qual bus</w:t>
      </w:r>
      <w:r w:rsidR="00BF3CDA" w:rsidRPr="00C158E5">
        <w:rPr>
          <w:sz w:val="24"/>
          <w:szCs w:val="24"/>
        </w:rPr>
        <w:t>camos evidências empíricas. Como já foi ressaltado,</w:t>
      </w:r>
      <w:r w:rsidRPr="00C158E5">
        <w:rPr>
          <w:sz w:val="24"/>
          <w:szCs w:val="24"/>
        </w:rPr>
        <w:t xml:space="preserve"> os recursos repassados </w:t>
      </w:r>
      <w:r w:rsidR="0003782E" w:rsidRPr="00C158E5">
        <w:rPr>
          <w:sz w:val="24"/>
          <w:szCs w:val="24"/>
        </w:rPr>
        <w:t xml:space="preserve">fundo a fundo </w:t>
      </w:r>
      <w:r w:rsidRPr="00C158E5">
        <w:rPr>
          <w:sz w:val="24"/>
          <w:szCs w:val="24"/>
        </w:rPr>
        <w:t xml:space="preserve">pelo SUS são divididos basicamente em dois tipos: as transferências com base </w:t>
      </w:r>
      <w:r w:rsidRPr="00C158E5">
        <w:rPr>
          <w:i/>
          <w:sz w:val="24"/>
          <w:szCs w:val="24"/>
        </w:rPr>
        <w:t>per capita</w:t>
      </w:r>
      <w:r w:rsidRPr="00C158E5">
        <w:rPr>
          <w:sz w:val="24"/>
          <w:szCs w:val="24"/>
        </w:rPr>
        <w:t xml:space="preserve"> e as transferências com base em nível de produção e/ou cobertura de programas e ações de saúde. Quando se trata das transferências que dependem de produção e/ou cobertura, h</w:t>
      </w:r>
      <w:r w:rsidR="00941CC9" w:rsidRPr="00C158E5">
        <w:rPr>
          <w:sz w:val="24"/>
          <w:szCs w:val="24"/>
        </w:rPr>
        <w:t>á sempre um valor estabelecido para o aporte do governo central por unidade de produto</w:t>
      </w:r>
      <w:r w:rsidRPr="00C158E5">
        <w:rPr>
          <w:sz w:val="24"/>
          <w:szCs w:val="24"/>
        </w:rPr>
        <w:t>. Pode-</w:t>
      </w:r>
      <w:r w:rsidR="00941CC9" w:rsidRPr="00C158E5">
        <w:rPr>
          <w:sz w:val="24"/>
          <w:szCs w:val="24"/>
        </w:rPr>
        <w:t xml:space="preserve">se </w:t>
      </w:r>
      <w:r w:rsidR="00860FB5" w:rsidRPr="00C158E5">
        <w:rPr>
          <w:sz w:val="24"/>
          <w:szCs w:val="24"/>
        </w:rPr>
        <w:t>conjecturar</w:t>
      </w:r>
      <w:r w:rsidR="00941CC9" w:rsidRPr="00C158E5">
        <w:rPr>
          <w:sz w:val="24"/>
          <w:szCs w:val="24"/>
        </w:rPr>
        <w:t>, portanto, que o financiamento</w:t>
      </w:r>
      <w:r w:rsidRPr="00C158E5">
        <w:rPr>
          <w:sz w:val="24"/>
          <w:szCs w:val="24"/>
        </w:rPr>
        <w:t xml:space="preserve"> do governo federal a esses programas é parcial, </w:t>
      </w:r>
      <w:r w:rsidR="00941CC9" w:rsidRPr="00C158E5">
        <w:rPr>
          <w:sz w:val="24"/>
          <w:szCs w:val="24"/>
        </w:rPr>
        <w:t xml:space="preserve">ou seja, </w:t>
      </w:r>
      <w:r w:rsidRPr="00C158E5">
        <w:rPr>
          <w:sz w:val="24"/>
          <w:szCs w:val="24"/>
        </w:rPr>
        <w:t xml:space="preserve">pode ser insuficiente. Dependendo da forma como esses </w:t>
      </w:r>
      <w:r w:rsidR="00941CC9" w:rsidRPr="00C158E5">
        <w:rPr>
          <w:sz w:val="24"/>
          <w:szCs w:val="24"/>
        </w:rPr>
        <w:t>valores</w:t>
      </w:r>
      <w:r w:rsidRPr="00C158E5">
        <w:rPr>
          <w:sz w:val="24"/>
          <w:szCs w:val="24"/>
        </w:rPr>
        <w:t xml:space="preserve"> estejam sendo calculados, é possível que os recursos do governo federal não cubram parte suficiente dos gastos e, nesse caso, recursos locais precisariam ser </w:t>
      </w:r>
      <w:r w:rsidR="0003782E" w:rsidRPr="00C158E5">
        <w:rPr>
          <w:sz w:val="24"/>
          <w:szCs w:val="24"/>
        </w:rPr>
        <w:t>usa</w:t>
      </w:r>
      <w:r w:rsidRPr="00C158E5">
        <w:rPr>
          <w:sz w:val="24"/>
          <w:szCs w:val="24"/>
        </w:rPr>
        <w:t xml:space="preserve">dos. Se os repasses do SUS estiverem exigindo de forma implícita essa contrapartida em gastos locais, alguns municípios podem ter mais incentivos do que outros para </w:t>
      </w:r>
      <w:r w:rsidR="00941CC9" w:rsidRPr="00C158E5">
        <w:rPr>
          <w:sz w:val="24"/>
          <w:szCs w:val="24"/>
        </w:rPr>
        <w:t xml:space="preserve">aderir a </w:t>
      </w:r>
      <w:r w:rsidRPr="00C158E5">
        <w:rPr>
          <w:sz w:val="24"/>
          <w:szCs w:val="24"/>
        </w:rPr>
        <w:t xml:space="preserve">determinados programas ou ações. </w:t>
      </w:r>
    </w:p>
    <w:p w:rsidR="00860FB5" w:rsidRPr="00C158E5" w:rsidRDefault="0057131F" w:rsidP="00C16190">
      <w:pPr>
        <w:spacing w:before="120" w:after="120" w:line="240" w:lineRule="auto"/>
        <w:ind w:firstLine="709"/>
        <w:rPr>
          <w:sz w:val="24"/>
          <w:szCs w:val="24"/>
        </w:rPr>
      </w:pPr>
      <w:r w:rsidRPr="00C158E5">
        <w:rPr>
          <w:sz w:val="24"/>
          <w:szCs w:val="24"/>
        </w:rPr>
        <w:t xml:space="preserve">Assim, nossa hipótese é a de que os municípios que mais arrecadam, por terem mais recursos que devem ser investidos em saúde, são os que têm mais incentivos a aderir ou ofertar os programas e serviços que recebem repasses do governo federal através do SUS. Para tais municípios, o “custo” de complementar os recursos da União e arcar com as despesas totais dos programas de saúde seria menor. </w:t>
      </w:r>
      <w:r w:rsidR="00860FB5" w:rsidRPr="00C158E5">
        <w:rPr>
          <w:sz w:val="24"/>
          <w:szCs w:val="24"/>
        </w:rPr>
        <w:t>Ou ainda, pode-se admitir que há um custo de aderir aos programas se os requisitos básicos</w:t>
      </w:r>
      <w:r w:rsidR="0003782E" w:rsidRPr="00C158E5">
        <w:rPr>
          <w:sz w:val="24"/>
          <w:szCs w:val="24"/>
        </w:rPr>
        <w:t xml:space="preserve"> exigidos </w:t>
      </w:r>
      <w:r w:rsidR="00860FB5" w:rsidRPr="00C158E5">
        <w:rPr>
          <w:sz w:val="24"/>
          <w:szCs w:val="24"/>
        </w:rPr>
        <w:t>não forem atendidos</w:t>
      </w:r>
      <w:r w:rsidR="00A943B2">
        <w:rPr>
          <w:sz w:val="24"/>
          <w:szCs w:val="24"/>
        </w:rPr>
        <w:t xml:space="preserve">, o que, por sua vez, está relacionado à disponibilidade </w:t>
      </w:r>
      <w:r w:rsidR="00860FB5" w:rsidRPr="00C158E5">
        <w:rPr>
          <w:sz w:val="24"/>
          <w:szCs w:val="24"/>
        </w:rPr>
        <w:t xml:space="preserve">de recursos locais. O custo de </w:t>
      </w:r>
      <w:r w:rsidR="008C2763" w:rsidRPr="00C158E5">
        <w:rPr>
          <w:sz w:val="24"/>
          <w:szCs w:val="24"/>
        </w:rPr>
        <w:t xml:space="preserve">aderir aos programas e </w:t>
      </w:r>
      <w:r w:rsidR="00860FB5" w:rsidRPr="00C158E5">
        <w:rPr>
          <w:sz w:val="24"/>
          <w:szCs w:val="24"/>
        </w:rPr>
        <w:t>não cumprir com os requisitos básicos estaria ligado à prestação de contas e ao monitoramento, mesmo que estes sejam feitos de forma prec</w:t>
      </w:r>
      <w:r w:rsidR="008C2763" w:rsidRPr="00C158E5">
        <w:rPr>
          <w:sz w:val="24"/>
          <w:szCs w:val="24"/>
        </w:rPr>
        <w:t>ária.</w:t>
      </w:r>
      <w:r w:rsidR="008C2763" w:rsidRPr="00C158E5">
        <w:rPr>
          <w:rStyle w:val="Refdenotaderodap"/>
          <w:sz w:val="24"/>
          <w:szCs w:val="24"/>
        </w:rPr>
        <w:footnoteReference w:id="4"/>
      </w:r>
    </w:p>
    <w:p w:rsidR="0057131F" w:rsidRPr="00C158E5" w:rsidRDefault="00860FB5" w:rsidP="005A323A">
      <w:pPr>
        <w:spacing w:before="120" w:after="240" w:line="240" w:lineRule="auto"/>
        <w:ind w:firstLine="709"/>
        <w:rPr>
          <w:sz w:val="24"/>
          <w:szCs w:val="24"/>
        </w:rPr>
      </w:pPr>
      <w:r w:rsidRPr="00C158E5">
        <w:rPr>
          <w:sz w:val="24"/>
          <w:szCs w:val="24"/>
        </w:rPr>
        <w:t>Enfim, a ideia subjacente é que</w:t>
      </w:r>
      <w:r w:rsidR="0057131F" w:rsidRPr="00C158E5">
        <w:rPr>
          <w:sz w:val="24"/>
          <w:szCs w:val="24"/>
        </w:rPr>
        <w:t xml:space="preserve"> o próprio mecanismo de transferências </w:t>
      </w:r>
      <w:r w:rsidRPr="00C158E5">
        <w:rPr>
          <w:sz w:val="24"/>
          <w:szCs w:val="24"/>
        </w:rPr>
        <w:t>pode induzir</w:t>
      </w:r>
      <w:r w:rsidR="0057131F" w:rsidRPr="00C158E5">
        <w:rPr>
          <w:sz w:val="24"/>
          <w:szCs w:val="24"/>
        </w:rPr>
        <w:t xml:space="preserve">, de forma implícita, os governos que mais arrecadam a aderir a mais programas e, portanto, a receber mais transferências. </w:t>
      </w:r>
    </w:p>
    <w:p w:rsidR="00E9008B" w:rsidRPr="00C158E5" w:rsidRDefault="0013755C" w:rsidP="00C16190">
      <w:pPr>
        <w:pStyle w:val="Ttulo2"/>
        <w:spacing w:before="120" w:line="240" w:lineRule="auto"/>
        <w:ind w:firstLine="709"/>
        <w:jc w:val="both"/>
      </w:pPr>
      <w:r w:rsidRPr="00C158E5">
        <w:t>4.1  O modelo empírico</w:t>
      </w:r>
    </w:p>
    <w:p w:rsidR="00E9008B" w:rsidRPr="00C158E5" w:rsidRDefault="00EE46F3" w:rsidP="00C16190">
      <w:pPr>
        <w:spacing w:before="120" w:after="120" w:line="240" w:lineRule="auto"/>
        <w:ind w:firstLine="709"/>
        <w:rPr>
          <w:sz w:val="24"/>
          <w:szCs w:val="24"/>
        </w:rPr>
      </w:pPr>
      <w:r w:rsidRPr="00C158E5">
        <w:rPr>
          <w:sz w:val="24"/>
          <w:szCs w:val="24"/>
        </w:rPr>
        <w:t>Conforme já mencionado</w:t>
      </w:r>
      <w:r w:rsidR="0013755C" w:rsidRPr="00C158E5">
        <w:rPr>
          <w:sz w:val="24"/>
          <w:szCs w:val="24"/>
        </w:rPr>
        <w:t>, Chernick [</w:t>
      </w:r>
      <w:r w:rsidR="00A43E78" w:rsidRPr="00C158E5">
        <w:rPr>
          <w:sz w:val="24"/>
          <w:szCs w:val="24"/>
        </w:rPr>
        <w:fldChar w:fldCharType="begin"/>
      </w:r>
      <w:r w:rsidR="00A43E78" w:rsidRPr="00C158E5">
        <w:rPr>
          <w:sz w:val="24"/>
          <w:szCs w:val="24"/>
        </w:rPr>
        <w:instrText xml:space="preserve">REF BIB_chernick_1979 \* MERGEFORMAT </w:instrText>
      </w:r>
      <w:r w:rsidR="00A43E78" w:rsidRPr="00C158E5">
        <w:rPr>
          <w:sz w:val="24"/>
          <w:szCs w:val="24"/>
        </w:rPr>
        <w:fldChar w:fldCharType="separate"/>
      </w:r>
      <w:r w:rsidR="008F7554" w:rsidRPr="004C01D0">
        <w:rPr>
          <w:sz w:val="24"/>
          <w:szCs w:val="24"/>
        </w:rPr>
        <w:t>Chernick 1979</w:t>
      </w:r>
      <w:r w:rsidR="00A43E78" w:rsidRPr="00C158E5">
        <w:rPr>
          <w:sz w:val="24"/>
          <w:szCs w:val="24"/>
        </w:rPr>
        <w:fldChar w:fldCharType="end"/>
      </w:r>
      <w:r w:rsidR="0013755C" w:rsidRPr="00C158E5">
        <w:rPr>
          <w:sz w:val="24"/>
          <w:szCs w:val="24"/>
        </w:rPr>
        <w:t xml:space="preserve">] estudou transferências no setor de saneamento </w:t>
      </w:r>
      <w:r w:rsidR="00A943B2">
        <w:rPr>
          <w:sz w:val="24"/>
          <w:szCs w:val="24"/>
        </w:rPr>
        <w:t>n</w:t>
      </w:r>
      <w:r w:rsidR="0013755C" w:rsidRPr="00C158E5">
        <w:rPr>
          <w:sz w:val="24"/>
          <w:szCs w:val="24"/>
        </w:rPr>
        <w:t>os Estados Unidos. Essas transferências eram atribuídas de acordo com a aprovação de projetos submetidos ao órgão central.</w:t>
      </w:r>
      <w:r w:rsidRPr="00C158E5">
        <w:rPr>
          <w:sz w:val="24"/>
          <w:szCs w:val="24"/>
        </w:rPr>
        <w:t xml:space="preserve"> </w:t>
      </w:r>
      <w:r w:rsidR="0013755C" w:rsidRPr="00C158E5">
        <w:rPr>
          <w:sz w:val="24"/>
          <w:szCs w:val="24"/>
        </w:rPr>
        <w:t xml:space="preserve">Após a apresentação de seu modelo teórico, Chernick propõe um modelo para teste empírico em </w:t>
      </w:r>
      <w:r w:rsidRPr="00C158E5">
        <w:rPr>
          <w:sz w:val="24"/>
          <w:szCs w:val="24"/>
        </w:rPr>
        <w:t>duas etapas</w:t>
      </w:r>
      <w:r w:rsidR="0013755C" w:rsidRPr="00C158E5">
        <w:rPr>
          <w:sz w:val="24"/>
          <w:szCs w:val="24"/>
        </w:rPr>
        <w:t xml:space="preserve">. </w:t>
      </w:r>
      <w:r w:rsidRPr="00C158E5">
        <w:rPr>
          <w:sz w:val="24"/>
          <w:szCs w:val="24"/>
        </w:rPr>
        <w:t>A primeira etapa é a</w:t>
      </w:r>
      <w:r w:rsidR="0013755C" w:rsidRPr="00C158E5">
        <w:rPr>
          <w:sz w:val="24"/>
          <w:szCs w:val="24"/>
        </w:rPr>
        <w:t xml:space="preserve"> de esc</w:t>
      </w:r>
      <w:r w:rsidRPr="00C158E5">
        <w:rPr>
          <w:sz w:val="24"/>
          <w:szCs w:val="24"/>
        </w:rPr>
        <w:t xml:space="preserve">olha, por parte do poder central, </w:t>
      </w:r>
      <w:r w:rsidR="0013755C" w:rsidRPr="00C158E5">
        <w:rPr>
          <w:sz w:val="24"/>
          <w:szCs w:val="24"/>
        </w:rPr>
        <w:t>dos p</w:t>
      </w:r>
      <w:r w:rsidRPr="00C158E5">
        <w:rPr>
          <w:sz w:val="24"/>
          <w:szCs w:val="24"/>
        </w:rPr>
        <w:t>rojetos a serem financiados</w:t>
      </w:r>
      <w:r w:rsidR="005A20BF" w:rsidRPr="00C158E5">
        <w:rPr>
          <w:sz w:val="24"/>
          <w:szCs w:val="24"/>
        </w:rPr>
        <w:t>;</w:t>
      </w:r>
      <w:r w:rsidRPr="00C158E5">
        <w:rPr>
          <w:sz w:val="24"/>
          <w:szCs w:val="24"/>
        </w:rPr>
        <w:t xml:space="preserve"> e a segunda é</w:t>
      </w:r>
      <w:r w:rsidR="0013755C" w:rsidRPr="00C158E5">
        <w:rPr>
          <w:sz w:val="24"/>
          <w:szCs w:val="24"/>
        </w:rPr>
        <w:t xml:space="preserve"> </w:t>
      </w:r>
      <w:r w:rsidRPr="00C158E5">
        <w:rPr>
          <w:sz w:val="24"/>
          <w:szCs w:val="24"/>
        </w:rPr>
        <w:t>a</w:t>
      </w:r>
      <w:r w:rsidR="0013755C" w:rsidRPr="00C158E5">
        <w:rPr>
          <w:sz w:val="24"/>
          <w:szCs w:val="24"/>
        </w:rPr>
        <w:t xml:space="preserve"> determinação do volume de transferências destinado a cada projeto</w:t>
      </w:r>
      <w:r w:rsidR="005A20BF" w:rsidRPr="00C158E5">
        <w:rPr>
          <w:sz w:val="24"/>
          <w:szCs w:val="24"/>
        </w:rPr>
        <w:t xml:space="preserve"> (que, para Chernick, depende da propensão local a contribuir, mesmo que essa contribuição não seja obrigatória)</w:t>
      </w:r>
      <w:r w:rsidR="0013755C" w:rsidRPr="00C158E5">
        <w:rPr>
          <w:sz w:val="24"/>
          <w:szCs w:val="24"/>
        </w:rPr>
        <w:t xml:space="preserve">. No caso das transferências </w:t>
      </w:r>
      <w:r w:rsidR="00636B72" w:rsidRPr="00C158E5">
        <w:rPr>
          <w:sz w:val="24"/>
          <w:szCs w:val="24"/>
        </w:rPr>
        <w:t xml:space="preserve">fundo a fundo </w:t>
      </w:r>
      <w:r w:rsidR="0013755C" w:rsidRPr="00C158E5">
        <w:rPr>
          <w:sz w:val="24"/>
          <w:szCs w:val="24"/>
        </w:rPr>
        <w:t xml:space="preserve">do SUS, não há municípios que não </w:t>
      </w:r>
      <w:r w:rsidR="00636B72" w:rsidRPr="00C158E5">
        <w:rPr>
          <w:sz w:val="24"/>
          <w:szCs w:val="24"/>
        </w:rPr>
        <w:t>receba</w:t>
      </w:r>
      <w:r w:rsidR="0013755C" w:rsidRPr="00C158E5">
        <w:rPr>
          <w:sz w:val="24"/>
          <w:szCs w:val="24"/>
        </w:rPr>
        <w:t xml:space="preserve">m </w:t>
      </w:r>
      <w:r w:rsidR="00636B72" w:rsidRPr="00C158E5">
        <w:rPr>
          <w:sz w:val="24"/>
          <w:szCs w:val="24"/>
        </w:rPr>
        <w:t>esses recursos</w:t>
      </w:r>
      <w:r w:rsidR="0013755C" w:rsidRPr="00C158E5">
        <w:rPr>
          <w:sz w:val="24"/>
          <w:szCs w:val="24"/>
        </w:rPr>
        <w:t xml:space="preserve">. Logo, a estimação em </w:t>
      </w:r>
      <w:r w:rsidRPr="00C158E5">
        <w:rPr>
          <w:sz w:val="24"/>
          <w:szCs w:val="24"/>
        </w:rPr>
        <w:t>duas etapas</w:t>
      </w:r>
      <w:r w:rsidR="0013755C" w:rsidRPr="00C158E5">
        <w:rPr>
          <w:sz w:val="24"/>
          <w:szCs w:val="24"/>
        </w:rPr>
        <w:t xml:space="preserve"> proposta por Chernick não se aplica. </w:t>
      </w:r>
      <w:r w:rsidRPr="00C158E5">
        <w:rPr>
          <w:sz w:val="24"/>
          <w:szCs w:val="24"/>
        </w:rPr>
        <w:t>Neste estudo, a ideia seria</w:t>
      </w:r>
      <w:r w:rsidR="0013755C" w:rsidRPr="00C158E5">
        <w:rPr>
          <w:sz w:val="24"/>
          <w:szCs w:val="24"/>
        </w:rPr>
        <w:t xml:space="preserve"> estimar apenas </w:t>
      </w:r>
      <w:r w:rsidRPr="00C158E5">
        <w:rPr>
          <w:sz w:val="24"/>
          <w:szCs w:val="24"/>
        </w:rPr>
        <w:t>a segunda etapa</w:t>
      </w:r>
      <w:r w:rsidR="0013755C" w:rsidRPr="00C158E5">
        <w:rPr>
          <w:sz w:val="24"/>
          <w:szCs w:val="24"/>
        </w:rPr>
        <w:t xml:space="preserve">, isto é, </w:t>
      </w:r>
      <w:r w:rsidR="00636B72" w:rsidRPr="00C158E5">
        <w:rPr>
          <w:sz w:val="24"/>
          <w:szCs w:val="24"/>
        </w:rPr>
        <w:t>um</w:t>
      </w:r>
      <w:r w:rsidR="0013755C" w:rsidRPr="00C158E5">
        <w:rPr>
          <w:sz w:val="24"/>
          <w:szCs w:val="24"/>
        </w:rPr>
        <w:t>a equação de determinação do volume de transferênc</w:t>
      </w:r>
      <w:r w:rsidR="00DC20BB" w:rsidRPr="00C158E5">
        <w:rPr>
          <w:sz w:val="24"/>
          <w:szCs w:val="24"/>
        </w:rPr>
        <w:t>ias destinado a cada município.</w:t>
      </w:r>
    </w:p>
    <w:p w:rsidR="00E9008B" w:rsidRDefault="005A20BF" w:rsidP="00A06764">
      <w:pPr>
        <w:spacing w:before="120" w:after="240" w:line="240" w:lineRule="auto"/>
        <w:ind w:firstLine="709"/>
        <w:rPr>
          <w:sz w:val="24"/>
          <w:szCs w:val="24"/>
        </w:rPr>
      </w:pPr>
      <w:r w:rsidRPr="00C158E5">
        <w:rPr>
          <w:sz w:val="24"/>
          <w:szCs w:val="24"/>
        </w:rPr>
        <w:t>A equação</w:t>
      </w:r>
      <w:r w:rsidR="0013755C" w:rsidRPr="00C158E5">
        <w:rPr>
          <w:sz w:val="24"/>
          <w:szCs w:val="24"/>
        </w:rPr>
        <w:t xml:space="preserve"> geral estimad</w:t>
      </w:r>
      <w:r w:rsidRPr="00C158E5">
        <w:rPr>
          <w:sz w:val="24"/>
          <w:szCs w:val="24"/>
        </w:rPr>
        <w:t xml:space="preserve">a neste estudo </w:t>
      </w:r>
      <w:r w:rsidR="0013755C" w:rsidRPr="00C158E5">
        <w:rPr>
          <w:sz w:val="24"/>
          <w:szCs w:val="24"/>
        </w:rPr>
        <w:t>tem a seguinte especificação:</w:t>
      </w:r>
    </w:p>
    <w:p w:rsidR="005A20BF" w:rsidRPr="00C158E5" w:rsidRDefault="001F64E2" w:rsidP="00C16190">
      <w:pPr>
        <w:spacing w:before="120" w:after="120" w:line="240" w:lineRule="auto"/>
        <w:ind w:firstLine="709"/>
        <w:rPr>
          <w:sz w:val="24"/>
          <w:szCs w:val="24"/>
        </w:rPr>
      </w:pPr>
      <w:r w:rsidRPr="00C158E5">
        <w:rPr>
          <w:position w:val="-12"/>
          <w:sz w:val="24"/>
          <w:szCs w:val="24"/>
        </w:rPr>
        <w:object w:dxaOrig="7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05pt;height:18.35pt" o:ole="">
            <v:imagedata r:id="rId8" o:title=""/>
          </v:shape>
          <o:OLEObject Type="Embed" ProgID="Equation.3" ShapeID="_x0000_i1025" DrawAspect="Content" ObjectID="_1435947307" r:id="rId9"/>
        </w:object>
      </w:r>
      <w:r>
        <w:rPr>
          <w:sz w:val="24"/>
          <w:szCs w:val="24"/>
        </w:rPr>
        <w:t xml:space="preserve">                    (1)</w:t>
      </w:r>
    </w:p>
    <w:p w:rsidR="001A5C69" w:rsidRPr="00C158E5" w:rsidRDefault="002E01B0" w:rsidP="00A06764">
      <w:pPr>
        <w:spacing w:before="240" w:after="120" w:line="240" w:lineRule="auto"/>
        <w:ind w:firstLine="709"/>
        <w:rPr>
          <w:sz w:val="24"/>
          <w:szCs w:val="24"/>
        </w:rPr>
      </w:pPr>
      <w:r w:rsidRPr="00C158E5">
        <w:rPr>
          <w:sz w:val="24"/>
          <w:szCs w:val="24"/>
        </w:rPr>
        <w:lastRenderedPageBreak/>
        <w:t xml:space="preserve">onde </w:t>
      </w:r>
      <w:r w:rsidRPr="00C158E5">
        <w:rPr>
          <w:i/>
          <w:sz w:val="24"/>
          <w:szCs w:val="24"/>
        </w:rPr>
        <w:t>log_transfSUS_hab</w:t>
      </w:r>
      <w:r w:rsidRPr="00C158E5">
        <w:rPr>
          <w:i/>
          <w:sz w:val="24"/>
          <w:szCs w:val="24"/>
          <w:vertAlign w:val="subscript"/>
        </w:rPr>
        <w:t>it</w:t>
      </w:r>
      <w:r w:rsidRPr="00C158E5">
        <w:rPr>
          <w:sz w:val="24"/>
          <w:szCs w:val="24"/>
        </w:rPr>
        <w:t xml:space="preserve"> corresponte ao logaritmo do </w:t>
      </w:r>
      <w:r w:rsidR="008E722E" w:rsidRPr="00C158E5">
        <w:rPr>
          <w:sz w:val="24"/>
          <w:szCs w:val="24"/>
        </w:rPr>
        <w:t xml:space="preserve">volume </w:t>
      </w:r>
      <w:r w:rsidRPr="00C158E5">
        <w:rPr>
          <w:sz w:val="24"/>
          <w:szCs w:val="24"/>
        </w:rPr>
        <w:t xml:space="preserve">total </w:t>
      </w:r>
      <w:r w:rsidR="00D13493" w:rsidRPr="00C158E5">
        <w:rPr>
          <w:i/>
          <w:sz w:val="24"/>
          <w:szCs w:val="24"/>
        </w:rPr>
        <w:t>per capita</w:t>
      </w:r>
      <w:r w:rsidR="00D13493" w:rsidRPr="00C158E5">
        <w:rPr>
          <w:sz w:val="24"/>
          <w:szCs w:val="24"/>
        </w:rPr>
        <w:t xml:space="preserve"> </w:t>
      </w:r>
      <w:r w:rsidRPr="00C158E5">
        <w:rPr>
          <w:sz w:val="24"/>
          <w:szCs w:val="24"/>
        </w:rPr>
        <w:t>de transferências fundo a fundo (sem a</w:t>
      </w:r>
      <w:r w:rsidR="00D13493" w:rsidRPr="00C158E5">
        <w:rPr>
          <w:sz w:val="24"/>
          <w:szCs w:val="24"/>
        </w:rPr>
        <w:t xml:space="preserve"> modalidade de convênios</w:t>
      </w:r>
      <w:r w:rsidR="001A5C69" w:rsidRPr="00C158E5">
        <w:rPr>
          <w:sz w:val="24"/>
          <w:szCs w:val="24"/>
        </w:rPr>
        <w:t>, explicada na seção 2</w:t>
      </w:r>
      <w:r w:rsidRPr="00C158E5">
        <w:rPr>
          <w:sz w:val="24"/>
          <w:szCs w:val="24"/>
        </w:rPr>
        <w:t>)</w:t>
      </w:r>
      <w:r w:rsidR="00D13493" w:rsidRPr="00C158E5">
        <w:rPr>
          <w:sz w:val="24"/>
          <w:szCs w:val="24"/>
        </w:rPr>
        <w:t xml:space="preserve"> rec</w:t>
      </w:r>
      <w:r w:rsidR="008E722E" w:rsidRPr="00C158E5">
        <w:rPr>
          <w:sz w:val="24"/>
          <w:szCs w:val="24"/>
        </w:rPr>
        <w:t>ebidas</w:t>
      </w:r>
      <w:r w:rsidR="00D13493" w:rsidRPr="00C158E5">
        <w:rPr>
          <w:sz w:val="24"/>
          <w:szCs w:val="24"/>
        </w:rPr>
        <w:t xml:space="preserve"> pelo município i no ano t; </w:t>
      </w:r>
      <w:r w:rsidR="00D13493" w:rsidRPr="00C158E5">
        <w:rPr>
          <w:i/>
          <w:sz w:val="24"/>
          <w:szCs w:val="24"/>
        </w:rPr>
        <w:t>log_arrecad_hab</w:t>
      </w:r>
      <w:r w:rsidR="00D13493" w:rsidRPr="00C158E5">
        <w:rPr>
          <w:i/>
          <w:sz w:val="24"/>
          <w:szCs w:val="24"/>
          <w:vertAlign w:val="subscript"/>
        </w:rPr>
        <w:t>it</w:t>
      </w:r>
      <w:r w:rsidR="00D13493" w:rsidRPr="00C158E5">
        <w:rPr>
          <w:sz w:val="24"/>
          <w:szCs w:val="24"/>
        </w:rPr>
        <w:t xml:space="preserve"> corresponde ao logarítmo da arrecadação local </w:t>
      </w:r>
      <w:r w:rsidR="00D13493" w:rsidRPr="00C158E5">
        <w:rPr>
          <w:i/>
          <w:sz w:val="24"/>
          <w:szCs w:val="24"/>
        </w:rPr>
        <w:t>per capita</w:t>
      </w:r>
      <w:r w:rsidR="00D13493" w:rsidRPr="00C158E5">
        <w:rPr>
          <w:sz w:val="24"/>
          <w:szCs w:val="24"/>
        </w:rPr>
        <w:t xml:space="preserve"> (fontes </w:t>
      </w:r>
      <w:r w:rsidR="001A5C69" w:rsidRPr="00C158E5">
        <w:rPr>
          <w:sz w:val="24"/>
          <w:szCs w:val="24"/>
        </w:rPr>
        <w:t>detalhadas</w:t>
      </w:r>
      <w:r w:rsidR="00D13493" w:rsidRPr="00C158E5">
        <w:rPr>
          <w:sz w:val="24"/>
          <w:szCs w:val="24"/>
        </w:rPr>
        <w:t xml:space="preserve"> na seção 2 deste artigo) do município i no ano t; </w:t>
      </w:r>
      <w:r w:rsidR="00D13493" w:rsidRPr="00C158E5">
        <w:rPr>
          <w:b/>
          <w:sz w:val="24"/>
          <w:szCs w:val="24"/>
        </w:rPr>
        <w:t>X</w:t>
      </w:r>
      <w:r w:rsidR="00D13493" w:rsidRPr="00C158E5">
        <w:rPr>
          <w:sz w:val="24"/>
          <w:szCs w:val="24"/>
          <w:vertAlign w:val="subscript"/>
        </w:rPr>
        <w:t>it</w:t>
      </w:r>
      <w:r w:rsidR="00D13493" w:rsidRPr="00C158E5">
        <w:rPr>
          <w:sz w:val="24"/>
          <w:szCs w:val="24"/>
        </w:rPr>
        <w:t xml:space="preserve"> corresponde a um vetor de variáveis de controle;</w:t>
      </w:r>
      <w:r w:rsidR="001A5C69" w:rsidRPr="00C158E5">
        <w:rPr>
          <w:sz w:val="24"/>
          <w:szCs w:val="24"/>
        </w:rPr>
        <w:t xml:space="preserve"> </w:t>
      </w:r>
      <w:r w:rsidR="00D13493" w:rsidRPr="00C158E5">
        <w:rPr>
          <w:b/>
          <w:sz w:val="24"/>
          <w:szCs w:val="24"/>
        </w:rPr>
        <w:t>D</w:t>
      </w:r>
      <w:r w:rsidR="00D13493" w:rsidRPr="00C158E5">
        <w:rPr>
          <w:sz w:val="24"/>
          <w:szCs w:val="24"/>
          <w:vertAlign w:val="subscript"/>
        </w:rPr>
        <w:t>t</w:t>
      </w:r>
      <w:r w:rsidR="00D13493" w:rsidRPr="00C158E5">
        <w:rPr>
          <w:sz w:val="24"/>
          <w:szCs w:val="24"/>
        </w:rPr>
        <w:t xml:space="preserve"> corresponde a um vetor de variáveis binárias de ano; e α</w:t>
      </w:r>
      <w:r w:rsidR="00D13493" w:rsidRPr="00C158E5">
        <w:rPr>
          <w:sz w:val="24"/>
          <w:szCs w:val="24"/>
          <w:vertAlign w:val="subscript"/>
        </w:rPr>
        <w:t>i</w:t>
      </w:r>
      <w:r w:rsidR="00D13493" w:rsidRPr="00C158E5">
        <w:rPr>
          <w:sz w:val="24"/>
          <w:szCs w:val="24"/>
        </w:rPr>
        <w:t xml:space="preserve"> corresponde ao efeito fixo municipal não observado.</w:t>
      </w:r>
    </w:p>
    <w:p w:rsidR="002E01B0" w:rsidRPr="00C158E5" w:rsidRDefault="001A5C69" w:rsidP="00C16190">
      <w:pPr>
        <w:spacing w:before="120" w:after="120" w:line="240" w:lineRule="auto"/>
        <w:ind w:firstLine="709"/>
        <w:rPr>
          <w:sz w:val="24"/>
          <w:szCs w:val="24"/>
        </w:rPr>
      </w:pPr>
      <w:r w:rsidRPr="00C158E5">
        <w:rPr>
          <w:sz w:val="24"/>
          <w:szCs w:val="24"/>
        </w:rPr>
        <w:t>Queremos testar a hipótese de que, em (</w:t>
      </w:r>
      <w:r w:rsidR="004C01D0">
        <w:rPr>
          <w:sz w:val="24"/>
          <w:szCs w:val="24"/>
        </w:rPr>
        <w:t>1</w:t>
      </w:r>
      <w:r w:rsidRPr="00C158E5">
        <w:rPr>
          <w:sz w:val="24"/>
          <w:szCs w:val="24"/>
        </w:rPr>
        <w:t xml:space="preserve">), </w:t>
      </w:r>
      <w:r w:rsidRPr="00C158E5">
        <w:rPr>
          <w:i/>
          <w:sz w:val="24"/>
          <w:szCs w:val="24"/>
        </w:rPr>
        <w:fldChar w:fldCharType="begin"/>
      </w:r>
      <w:r w:rsidRPr="00C158E5">
        <w:rPr>
          <w:i/>
          <w:sz w:val="24"/>
          <w:szCs w:val="24"/>
        </w:rPr>
        <w:instrText xml:space="preserve"> COMMENTS " $\beta_1$" </w:instrText>
      </w:r>
      <w:r w:rsidRPr="00C158E5">
        <w:rPr>
          <w:i/>
          <w:sz w:val="24"/>
          <w:szCs w:val="24"/>
        </w:rPr>
        <w:fldChar w:fldCharType="end"/>
      </w:r>
      <w:r w:rsidR="001F64E2">
        <w:rPr>
          <w:i/>
          <w:sz w:val="24"/>
          <w:szCs w:val="24"/>
        </w:rPr>
        <w:t>β</w:t>
      </w:r>
      <w:r w:rsidR="001F64E2" w:rsidRPr="001F64E2">
        <w:rPr>
          <w:i/>
          <w:sz w:val="24"/>
          <w:szCs w:val="24"/>
          <w:vertAlign w:val="subscript"/>
        </w:rPr>
        <w:t>1</w:t>
      </w:r>
      <w:r w:rsidR="001F64E2">
        <w:rPr>
          <w:i/>
          <w:sz w:val="24"/>
          <w:szCs w:val="24"/>
          <w:vertAlign w:val="subscript"/>
        </w:rPr>
        <w:t xml:space="preserve"> </w:t>
      </w:r>
      <w:r w:rsidRPr="00C158E5">
        <w:rPr>
          <w:sz w:val="24"/>
          <w:szCs w:val="24"/>
        </w:rPr>
        <w:t xml:space="preserve">seja positivo e significante, mesmo quando variamos alguns controles. Isto é, nosso objetivo é testar se choques positivos na arrecadação municipal levam também a aumentos nas transferências recebidas do SUS. </w:t>
      </w:r>
      <w:r w:rsidR="00D13493" w:rsidRPr="00C158E5">
        <w:rPr>
          <w:sz w:val="24"/>
          <w:szCs w:val="24"/>
        </w:rPr>
        <w:t xml:space="preserve">A equação também foi estimada separando a arrecadação local </w:t>
      </w:r>
      <w:r w:rsidR="00D13493" w:rsidRPr="00C158E5">
        <w:rPr>
          <w:i/>
          <w:sz w:val="24"/>
          <w:szCs w:val="24"/>
        </w:rPr>
        <w:t>per capita</w:t>
      </w:r>
      <w:r w:rsidR="00D13493" w:rsidRPr="00C158E5">
        <w:rPr>
          <w:sz w:val="24"/>
          <w:szCs w:val="24"/>
        </w:rPr>
        <w:t xml:space="preserve"> em dois componentes: arrecadação local de impostos e total de transferências incondicionais recebidas (não ligadas à saúde e calculadas com base em regras fixas e pré-estabelecidas</w:t>
      </w:r>
      <w:r w:rsidR="00A30A44" w:rsidRPr="00C158E5">
        <w:rPr>
          <w:sz w:val="24"/>
          <w:szCs w:val="24"/>
        </w:rPr>
        <w:t>, como o Fundo de Participação dos Municípios</w:t>
      </w:r>
      <w:r w:rsidR="001F64E2">
        <w:rPr>
          <w:sz w:val="24"/>
          <w:szCs w:val="24"/>
        </w:rPr>
        <w:t xml:space="preserve"> (FPM)</w:t>
      </w:r>
      <w:r w:rsidR="00D13493" w:rsidRPr="00C158E5">
        <w:rPr>
          <w:sz w:val="24"/>
          <w:szCs w:val="24"/>
        </w:rPr>
        <w:t>)</w:t>
      </w:r>
      <w:r w:rsidR="00A30A44" w:rsidRPr="00C158E5">
        <w:rPr>
          <w:sz w:val="24"/>
          <w:szCs w:val="24"/>
        </w:rPr>
        <w:t>.</w:t>
      </w:r>
      <w:r w:rsidR="00D13493" w:rsidRPr="00C158E5">
        <w:rPr>
          <w:sz w:val="24"/>
          <w:szCs w:val="24"/>
        </w:rPr>
        <w:t xml:space="preserve">    </w:t>
      </w:r>
      <w:r w:rsidR="002E01B0" w:rsidRPr="00C158E5">
        <w:rPr>
          <w:sz w:val="24"/>
          <w:szCs w:val="24"/>
        </w:rPr>
        <w:t xml:space="preserve">  </w:t>
      </w:r>
    </w:p>
    <w:p w:rsidR="00E9008B" w:rsidRPr="00C158E5" w:rsidRDefault="00D13493" w:rsidP="00C16190">
      <w:pPr>
        <w:spacing w:before="120" w:after="120" w:line="240" w:lineRule="auto"/>
        <w:ind w:firstLine="709"/>
        <w:rPr>
          <w:sz w:val="24"/>
          <w:szCs w:val="24"/>
        </w:rPr>
      </w:pPr>
      <w:r w:rsidRPr="00C158E5">
        <w:rPr>
          <w:sz w:val="24"/>
          <w:szCs w:val="24"/>
        </w:rPr>
        <w:t>A estimação pelo modelo de efeitos</w:t>
      </w:r>
      <w:r w:rsidR="00A30A44" w:rsidRPr="00C158E5">
        <w:rPr>
          <w:sz w:val="24"/>
          <w:szCs w:val="24"/>
        </w:rPr>
        <w:t xml:space="preserve"> fixos permite controlar o fato de que </w:t>
      </w:r>
      <w:r w:rsidR="0013755C" w:rsidRPr="00C158E5">
        <w:rPr>
          <w:sz w:val="24"/>
          <w:szCs w:val="24"/>
        </w:rPr>
        <w:t xml:space="preserve">as </w:t>
      </w:r>
      <w:r w:rsidR="008E722E" w:rsidRPr="00C158E5">
        <w:rPr>
          <w:sz w:val="24"/>
          <w:szCs w:val="24"/>
        </w:rPr>
        <w:t>variáveis</w:t>
      </w:r>
      <w:r w:rsidR="00A30A44" w:rsidRPr="00C158E5">
        <w:rPr>
          <w:sz w:val="24"/>
          <w:szCs w:val="24"/>
        </w:rPr>
        <w:t xml:space="preserve"> observadas</w:t>
      </w:r>
      <w:r w:rsidR="0013755C" w:rsidRPr="00C158E5">
        <w:rPr>
          <w:sz w:val="24"/>
          <w:szCs w:val="24"/>
        </w:rPr>
        <w:t>, como a própria arrecadação municipal</w:t>
      </w:r>
      <w:r w:rsidR="00A30A44" w:rsidRPr="00C158E5">
        <w:rPr>
          <w:sz w:val="24"/>
          <w:szCs w:val="24"/>
        </w:rPr>
        <w:t xml:space="preserve"> de impostos</w:t>
      </w:r>
      <w:r w:rsidR="0013755C" w:rsidRPr="00C158E5">
        <w:rPr>
          <w:sz w:val="24"/>
          <w:szCs w:val="24"/>
        </w:rPr>
        <w:t xml:space="preserve">, </w:t>
      </w:r>
      <w:r w:rsidR="00A30A44" w:rsidRPr="00C158E5">
        <w:rPr>
          <w:sz w:val="24"/>
          <w:szCs w:val="24"/>
        </w:rPr>
        <w:t xml:space="preserve">podem ser </w:t>
      </w:r>
      <w:r w:rsidR="0013755C" w:rsidRPr="00C158E5">
        <w:rPr>
          <w:sz w:val="24"/>
          <w:szCs w:val="24"/>
        </w:rPr>
        <w:t>correlacionadas com as preferências</w:t>
      </w:r>
      <w:r w:rsidR="00A30A44" w:rsidRPr="00C158E5">
        <w:rPr>
          <w:sz w:val="24"/>
          <w:szCs w:val="24"/>
        </w:rPr>
        <w:t xml:space="preserve"> dos cidadãos</w:t>
      </w:r>
      <w:r w:rsidR="0013755C" w:rsidRPr="00C158E5">
        <w:rPr>
          <w:sz w:val="24"/>
          <w:szCs w:val="24"/>
        </w:rPr>
        <w:t>, no caso</w:t>
      </w:r>
      <w:r w:rsidR="00A30A44" w:rsidRPr="00C158E5">
        <w:rPr>
          <w:sz w:val="24"/>
          <w:szCs w:val="24"/>
        </w:rPr>
        <w:t xml:space="preserve"> representadas em</w:t>
      </w:r>
      <w:r w:rsidR="0013755C" w:rsidRPr="00C158E5">
        <w:rPr>
          <w:sz w:val="24"/>
          <w:szCs w:val="24"/>
        </w:rPr>
        <w:t> </w:t>
      </w:r>
      <w:r w:rsidR="0013755C" w:rsidRPr="00C158E5">
        <w:rPr>
          <w:sz w:val="24"/>
          <w:szCs w:val="24"/>
        </w:rPr>
        <w:fldChar w:fldCharType="begin"/>
      </w:r>
      <w:r w:rsidR="0013755C" w:rsidRPr="00C158E5">
        <w:rPr>
          <w:sz w:val="24"/>
          <w:szCs w:val="24"/>
        </w:rPr>
        <w:instrText xml:space="preserve"> COMMENTS " $\alpha_i$" </w:instrText>
      </w:r>
      <w:r w:rsidR="0013755C" w:rsidRPr="00C158E5">
        <w:rPr>
          <w:sz w:val="24"/>
          <w:szCs w:val="24"/>
        </w:rPr>
        <w:fldChar w:fldCharType="end"/>
      </w:r>
      <w:r w:rsidR="001F64E2">
        <w:rPr>
          <w:sz w:val="24"/>
          <w:szCs w:val="24"/>
        </w:rPr>
        <w:t>α</w:t>
      </w:r>
      <w:r w:rsidR="001F64E2" w:rsidRPr="001F64E2">
        <w:rPr>
          <w:i/>
          <w:sz w:val="24"/>
          <w:szCs w:val="24"/>
          <w:vertAlign w:val="subscript"/>
        </w:rPr>
        <w:t>i</w:t>
      </w:r>
      <w:r w:rsidR="0013755C" w:rsidRPr="00C158E5">
        <w:rPr>
          <w:sz w:val="24"/>
          <w:szCs w:val="24"/>
        </w:rPr>
        <w:t> </w:t>
      </w:r>
      <w:r w:rsidR="001A5C69" w:rsidRPr="00C158E5">
        <w:rPr>
          <w:sz w:val="24"/>
          <w:szCs w:val="24"/>
        </w:rPr>
        <w:t>.</w:t>
      </w:r>
      <w:r w:rsidR="0055796C">
        <w:rPr>
          <w:sz w:val="24"/>
          <w:szCs w:val="24"/>
        </w:rPr>
        <w:t xml:space="preserve"> </w:t>
      </w:r>
      <w:r w:rsidR="0013755C" w:rsidRPr="00C158E5">
        <w:rPr>
          <w:sz w:val="24"/>
          <w:szCs w:val="24"/>
        </w:rPr>
        <w:t xml:space="preserve">Para eliminar o efeito de escala, todos os valores utilizados no estudo foram considerados em uma base </w:t>
      </w:r>
      <w:r w:rsidR="0013755C" w:rsidRPr="00C158E5">
        <w:rPr>
          <w:i/>
          <w:sz w:val="24"/>
          <w:szCs w:val="24"/>
        </w:rPr>
        <w:t>per capita</w:t>
      </w:r>
      <w:r w:rsidR="0013755C" w:rsidRPr="00C158E5">
        <w:rPr>
          <w:sz w:val="24"/>
          <w:szCs w:val="24"/>
        </w:rPr>
        <w:t>. Além disso, optou-se por trabalhar com os valores monetários transformados em </w:t>
      </w:r>
      <w:r w:rsidR="0013755C" w:rsidRPr="00C158E5">
        <w:rPr>
          <w:sz w:val="24"/>
          <w:szCs w:val="24"/>
        </w:rPr>
        <w:fldChar w:fldCharType="begin"/>
      </w:r>
      <w:r w:rsidR="0013755C" w:rsidRPr="00C158E5">
        <w:rPr>
          <w:sz w:val="24"/>
          <w:szCs w:val="24"/>
        </w:rPr>
        <w:instrText xml:space="preserve"> COMMENTS " $\log$" </w:instrText>
      </w:r>
      <w:r w:rsidR="0013755C" w:rsidRPr="00C158E5">
        <w:rPr>
          <w:sz w:val="24"/>
          <w:szCs w:val="24"/>
        </w:rPr>
        <w:fldChar w:fldCharType="end"/>
      </w:r>
      <w:r w:rsidR="001A5C69" w:rsidRPr="00C158E5">
        <w:rPr>
          <w:sz w:val="24"/>
          <w:szCs w:val="24"/>
        </w:rPr>
        <w:t>logaritmo</w:t>
      </w:r>
      <w:r w:rsidR="0013755C" w:rsidRPr="00C158E5">
        <w:rPr>
          <w:sz w:val="24"/>
          <w:szCs w:val="24"/>
        </w:rPr>
        <w:t xml:space="preserve">, para reduzir o efeito de </w:t>
      </w:r>
      <w:r w:rsidR="0013755C" w:rsidRPr="00C158E5">
        <w:rPr>
          <w:i/>
          <w:iCs/>
          <w:sz w:val="24"/>
          <w:szCs w:val="24"/>
        </w:rPr>
        <w:t>outliers</w:t>
      </w:r>
      <w:r w:rsidR="0013755C" w:rsidRPr="00C158E5">
        <w:rPr>
          <w:sz w:val="24"/>
          <w:szCs w:val="24"/>
        </w:rPr>
        <w:t xml:space="preserve"> como também para que se obtivesse uma interpretação dos coeficientes em termos de elasticidades </w:t>
      </w:r>
      <w:r w:rsidR="0013755C" w:rsidRPr="00C158E5">
        <w:rPr>
          <w:rStyle w:val="Refdenotaderodap"/>
          <w:sz w:val="24"/>
          <w:szCs w:val="24"/>
        </w:rPr>
        <w:footnoteReference w:id="5"/>
      </w:r>
      <w:r w:rsidR="0013755C" w:rsidRPr="00C158E5">
        <w:rPr>
          <w:sz w:val="24"/>
          <w:szCs w:val="24"/>
        </w:rPr>
        <w:t>. Como as regressões também envolvem valores monetários no tempo, optou-se ainda por corrigi-los através do IPCA </w:t>
      </w:r>
      <w:r w:rsidR="0013755C" w:rsidRPr="00C158E5">
        <w:rPr>
          <w:rStyle w:val="Refdenotaderodap"/>
          <w:sz w:val="24"/>
          <w:szCs w:val="24"/>
        </w:rPr>
        <w:footnoteReference w:id="6"/>
      </w:r>
      <w:bookmarkStart w:id="5" w:name="BMnota_ipca"/>
      <w:bookmarkEnd w:id="5"/>
      <w:r w:rsidR="0013755C" w:rsidRPr="00C158E5">
        <w:rPr>
          <w:sz w:val="24"/>
          <w:szCs w:val="24"/>
        </w:rPr>
        <w:t>, de modo a torná-los valores referenciados no ano 2011. Para efetuar a correção, utilizou-se a variação percentual acumulada do indicador entre dezembro do ano em que o valor está referenciado e dezembro de 2011.</w:t>
      </w:r>
    </w:p>
    <w:p w:rsidR="00636B72" w:rsidRPr="00C158E5" w:rsidRDefault="00636B72" w:rsidP="00C16190">
      <w:pPr>
        <w:spacing w:before="120" w:after="120" w:line="240" w:lineRule="auto"/>
        <w:ind w:firstLine="709"/>
        <w:rPr>
          <w:sz w:val="24"/>
          <w:szCs w:val="24"/>
        </w:rPr>
      </w:pPr>
      <w:r w:rsidRPr="00C158E5">
        <w:rPr>
          <w:sz w:val="24"/>
          <w:szCs w:val="24"/>
        </w:rPr>
        <w:t>Um ponto importante é que, no modelo empírico, a arrecadação municipal foi considerada uma variável exógena. Não há motivos para acreditar, a princípio, que fatores não observados variantes no tempo influenciem ao mesmo tempo a arrecadação local e o recebimento das transferências do SUS. No que se refere ao componente de transferências incondicionais da arecadação local, é muito importante notar que essas transferências incondicionais (não vinculadas à saúde) são</w:t>
      </w:r>
      <w:r w:rsidR="0046563F">
        <w:rPr>
          <w:sz w:val="24"/>
          <w:szCs w:val="24"/>
        </w:rPr>
        <w:t>, em geral,</w:t>
      </w:r>
      <w:r w:rsidRPr="00C158E5">
        <w:rPr>
          <w:sz w:val="24"/>
          <w:szCs w:val="24"/>
        </w:rPr>
        <w:t xml:space="preserve"> calculadas de acordo</w:t>
      </w:r>
      <w:r w:rsidR="0046563F">
        <w:rPr>
          <w:sz w:val="24"/>
          <w:szCs w:val="24"/>
        </w:rPr>
        <w:t xml:space="preserve"> com regras fixas que dependem predominantemente </w:t>
      </w:r>
      <w:r w:rsidRPr="00C158E5">
        <w:rPr>
          <w:sz w:val="24"/>
          <w:szCs w:val="24"/>
        </w:rPr>
        <w:t xml:space="preserve">do tamanho da população e do PIB </w:t>
      </w:r>
      <w:r w:rsidR="000930A7" w:rsidRPr="00C158E5">
        <w:rPr>
          <w:sz w:val="24"/>
          <w:szCs w:val="24"/>
        </w:rPr>
        <w:t>municipal, e</w:t>
      </w:r>
      <w:r w:rsidRPr="00C158E5">
        <w:rPr>
          <w:sz w:val="24"/>
          <w:szCs w:val="24"/>
        </w:rPr>
        <w:t>stadual e nacional, todas variáveis controladas na regressão. Além disso, a arrecadação de impostos do município depende fundamentalmente do nível de atividade econômica local</w:t>
      </w:r>
      <w:r w:rsidR="000C10A0" w:rsidRPr="00C158E5">
        <w:rPr>
          <w:sz w:val="24"/>
          <w:szCs w:val="24"/>
        </w:rPr>
        <w:t>, que também é controlada</w:t>
      </w:r>
      <w:r w:rsidRPr="00C158E5">
        <w:rPr>
          <w:sz w:val="24"/>
          <w:szCs w:val="24"/>
        </w:rPr>
        <w:t xml:space="preserve"> na regressão</w:t>
      </w:r>
      <w:r w:rsidR="000C10A0" w:rsidRPr="00C158E5">
        <w:rPr>
          <w:sz w:val="24"/>
          <w:szCs w:val="24"/>
        </w:rPr>
        <w:t xml:space="preserve"> (a correlação entre PIB municipal e arrecadação </w:t>
      </w:r>
      <w:r w:rsidR="000C10A0" w:rsidRPr="00C158E5">
        <w:rPr>
          <w:i/>
          <w:sz w:val="24"/>
          <w:szCs w:val="24"/>
        </w:rPr>
        <w:t>per capita</w:t>
      </w:r>
      <w:r w:rsidR="000C10A0" w:rsidRPr="00C158E5">
        <w:rPr>
          <w:sz w:val="24"/>
          <w:szCs w:val="24"/>
        </w:rPr>
        <w:t xml:space="preserve"> é da ordem de </w:t>
      </w:r>
      <w:r w:rsidR="000C10A0" w:rsidRPr="00C158E5">
        <w:rPr>
          <w:sz w:val="24"/>
          <w:szCs w:val="24"/>
        </w:rPr>
        <w:fldChar w:fldCharType="begin"/>
      </w:r>
      <w:r w:rsidR="000C10A0" w:rsidRPr="00C158E5">
        <w:rPr>
          <w:sz w:val="24"/>
          <w:szCs w:val="24"/>
        </w:rPr>
        <w:instrText xml:space="preserve"> COMMENTS " $60\%$" </w:instrText>
      </w:r>
      <w:r w:rsidR="000C10A0" w:rsidRPr="00C158E5">
        <w:rPr>
          <w:sz w:val="24"/>
          <w:szCs w:val="24"/>
        </w:rPr>
        <w:fldChar w:fldCharType="end"/>
      </w:r>
      <w:r w:rsidR="000C10A0" w:rsidRPr="00C158E5">
        <w:rPr>
          <w:sz w:val="24"/>
          <w:szCs w:val="24"/>
        </w:rPr>
        <w:t>60%)</w:t>
      </w:r>
      <w:r w:rsidRPr="00C158E5">
        <w:rPr>
          <w:sz w:val="24"/>
          <w:szCs w:val="24"/>
        </w:rPr>
        <w:t>. Segundo Mattos, Rocha e Arvate [</w:t>
      </w:r>
      <w:r w:rsidRPr="00C158E5">
        <w:rPr>
          <w:sz w:val="24"/>
          <w:szCs w:val="24"/>
        </w:rPr>
        <w:fldChar w:fldCharType="begin"/>
      </w:r>
      <w:r w:rsidRPr="00C158E5">
        <w:rPr>
          <w:sz w:val="24"/>
          <w:szCs w:val="24"/>
        </w:rPr>
        <w:instrText xml:space="preserve">REF BIB_mattos_2011 \* MERGEFORMAT </w:instrText>
      </w:r>
      <w:r w:rsidRPr="00C158E5">
        <w:rPr>
          <w:sz w:val="24"/>
          <w:szCs w:val="24"/>
        </w:rPr>
        <w:fldChar w:fldCharType="separate"/>
      </w:r>
      <w:r w:rsidR="008F7554" w:rsidRPr="008F7554">
        <w:rPr>
          <w:sz w:val="24"/>
          <w:szCs w:val="24"/>
        </w:rPr>
        <w:t>Mattos, Rocha e Arvate 2011</w:t>
      </w:r>
      <w:r w:rsidRPr="00C158E5">
        <w:rPr>
          <w:sz w:val="24"/>
          <w:szCs w:val="24"/>
        </w:rPr>
        <w:fldChar w:fldCharType="end"/>
      </w:r>
      <w:r w:rsidRPr="00C158E5">
        <w:rPr>
          <w:sz w:val="24"/>
          <w:szCs w:val="24"/>
        </w:rPr>
        <w:t>], existem evidências de que um aumento no volume total de transferências incondicionais poderia incentivar os municípios a reduzirem os esforços despendidos para a arrecadação de tributos. O trabalho citado, entretanto, não é específico para o setor de saúde. Isto é, por mais que um aumento das transferências incondicionais realmente reduza os esforços de arrecadação local, é muito pouco provável que esse relaxamento no esforço de arrecedação local aconteça no caso de um aumento das transferências do SUS, direcionadas especificamente para o setor de saúde.</w:t>
      </w:r>
      <w:r w:rsidR="00FE56AE" w:rsidRPr="00C158E5">
        <w:rPr>
          <w:rStyle w:val="Refdenotaderodap"/>
          <w:sz w:val="24"/>
          <w:szCs w:val="24"/>
        </w:rPr>
        <w:footnoteReference w:id="7"/>
      </w:r>
    </w:p>
    <w:p w:rsidR="00E9008B" w:rsidRDefault="0013755C" w:rsidP="005D7789">
      <w:pPr>
        <w:spacing w:before="120" w:after="240" w:line="240" w:lineRule="auto"/>
        <w:ind w:firstLine="709"/>
        <w:rPr>
          <w:sz w:val="24"/>
          <w:szCs w:val="24"/>
        </w:rPr>
      </w:pPr>
      <w:r w:rsidRPr="00C158E5">
        <w:rPr>
          <w:sz w:val="24"/>
          <w:szCs w:val="24"/>
        </w:rPr>
        <w:t>Os controles utilizados em cada estimação nos ajudarão a avaliar os motivos que levam a um possível efeito da arrecadação no recebimento de transferências</w:t>
      </w:r>
      <w:r w:rsidR="00636B72" w:rsidRPr="00C158E5">
        <w:rPr>
          <w:sz w:val="24"/>
          <w:szCs w:val="24"/>
        </w:rPr>
        <w:t xml:space="preserve"> do SUS</w:t>
      </w:r>
      <w:r w:rsidRPr="00C158E5">
        <w:rPr>
          <w:sz w:val="24"/>
          <w:szCs w:val="24"/>
        </w:rPr>
        <w:t xml:space="preserve">. Ademais, o impacto obtido para alguns controles também será importante para entender características e consequências do processo de </w:t>
      </w:r>
      <w:r w:rsidR="0055796C">
        <w:rPr>
          <w:sz w:val="24"/>
          <w:szCs w:val="24"/>
        </w:rPr>
        <w:t xml:space="preserve"> </w:t>
      </w:r>
      <w:r w:rsidRPr="00C158E5">
        <w:rPr>
          <w:sz w:val="24"/>
          <w:szCs w:val="24"/>
        </w:rPr>
        <w:t>transferências</w:t>
      </w:r>
      <w:r w:rsidR="0055796C">
        <w:rPr>
          <w:sz w:val="24"/>
          <w:szCs w:val="24"/>
        </w:rPr>
        <w:t xml:space="preserve"> de recursos no</w:t>
      </w:r>
      <w:r w:rsidRPr="00C158E5">
        <w:rPr>
          <w:sz w:val="24"/>
          <w:szCs w:val="24"/>
        </w:rPr>
        <w:t xml:space="preserve"> SUS. </w:t>
      </w:r>
      <w:r w:rsidR="00FE56AE" w:rsidRPr="00C158E5">
        <w:rPr>
          <w:sz w:val="24"/>
          <w:szCs w:val="24"/>
        </w:rPr>
        <w:t>O</w:t>
      </w:r>
      <w:r w:rsidRPr="00C158E5">
        <w:rPr>
          <w:sz w:val="24"/>
          <w:szCs w:val="24"/>
        </w:rPr>
        <w:t>s controles municipais buscam captar fatores de oferta e de demanda por serviços de saúde, além de fatores políticos</w:t>
      </w:r>
      <w:r w:rsidR="00FE56AE" w:rsidRPr="00C158E5">
        <w:rPr>
          <w:sz w:val="24"/>
          <w:szCs w:val="24"/>
        </w:rPr>
        <w:t>, e podem ser divididos nos seguintes grupos:</w:t>
      </w:r>
      <w:r w:rsidR="002A184C">
        <w:rPr>
          <w:sz w:val="24"/>
          <w:szCs w:val="24"/>
        </w:rPr>
        <w:t xml:space="preserve"> </w:t>
      </w:r>
      <w:r w:rsidR="002A184C" w:rsidRPr="00C158E5">
        <w:rPr>
          <w:sz w:val="24"/>
          <w:szCs w:val="24"/>
        </w:rPr>
        <w:t>(</w:t>
      </w:r>
      <w:r w:rsidR="002A184C">
        <w:rPr>
          <w:sz w:val="24"/>
          <w:szCs w:val="24"/>
        </w:rPr>
        <w:t>i</w:t>
      </w:r>
      <w:r w:rsidR="002A184C" w:rsidRPr="00C158E5">
        <w:rPr>
          <w:sz w:val="24"/>
          <w:szCs w:val="24"/>
        </w:rPr>
        <w:t xml:space="preserve">) renda </w:t>
      </w:r>
      <w:r w:rsidR="002A184C">
        <w:rPr>
          <w:sz w:val="24"/>
          <w:szCs w:val="24"/>
        </w:rPr>
        <w:t xml:space="preserve">e população (inclui variáveis demográficas), </w:t>
      </w:r>
      <w:r w:rsidR="002A184C" w:rsidRPr="00C158E5">
        <w:rPr>
          <w:sz w:val="24"/>
          <w:szCs w:val="24"/>
        </w:rPr>
        <w:t>(ii) oferta de serviços de saúde,</w:t>
      </w:r>
      <w:r w:rsidR="00FE56AE" w:rsidRPr="00C158E5">
        <w:rPr>
          <w:sz w:val="24"/>
          <w:szCs w:val="24"/>
        </w:rPr>
        <w:t xml:space="preserve"> (i</w:t>
      </w:r>
      <w:r w:rsidR="002A184C">
        <w:rPr>
          <w:sz w:val="24"/>
          <w:szCs w:val="24"/>
        </w:rPr>
        <w:t>i</w:t>
      </w:r>
      <w:r w:rsidR="00BE21EF">
        <w:rPr>
          <w:sz w:val="24"/>
          <w:szCs w:val="24"/>
        </w:rPr>
        <w:t>i</w:t>
      </w:r>
      <w:r w:rsidR="002A184C">
        <w:rPr>
          <w:sz w:val="24"/>
          <w:szCs w:val="24"/>
        </w:rPr>
        <w:t>) necessidades de saúde</w:t>
      </w:r>
      <w:r w:rsidR="00FE56AE" w:rsidRPr="00C158E5">
        <w:rPr>
          <w:sz w:val="24"/>
          <w:szCs w:val="24"/>
        </w:rPr>
        <w:t xml:space="preserve"> e (iv) fatores políticos.</w:t>
      </w:r>
      <w:r w:rsidR="00E16636" w:rsidRPr="00C158E5">
        <w:rPr>
          <w:sz w:val="24"/>
          <w:szCs w:val="24"/>
        </w:rPr>
        <w:t xml:space="preserve"> A princípio, fatores políticos não deveriam influenciar a adesão aos programas e ações de </w:t>
      </w:r>
      <w:r w:rsidR="00E16636" w:rsidRPr="00C158E5">
        <w:rPr>
          <w:sz w:val="24"/>
          <w:szCs w:val="24"/>
        </w:rPr>
        <w:lastRenderedPageBreak/>
        <w:t>saúde vinculados ao</w:t>
      </w:r>
      <w:r w:rsidR="009629A2">
        <w:rPr>
          <w:sz w:val="24"/>
          <w:szCs w:val="24"/>
        </w:rPr>
        <w:t>s</w:t>
      </w:r>
      <w:r w:rsidR="00E16636" w:rsidRPr="00C158E5">
        <w:rPr>
          <w:sz w:val="24"/>
          <w:szCs w:val="24"/>
        </w:rPr>
        <w:t xml:space="preserve"> Piso</w:t>
      </w:r>
      <w:r w:rsidR="009629A2">
        <w:rPr>
          <w:sz w:val="24"/>
          <w:szCs w:val="24"/>
        </w:rPr>
        <w:t>s variáveis. Co</w:t>
      </w:r>
      <w:r w:rsidR="00E16636" w:rsidRPr="00C158E5">
        <w:rPr>
          <w:sz w:val="24"/>
          <w:szCs w:val="24"/>
        </w:rPr>
        <w:t>ntudo, decidiu-se controlar fatores políticos para investigar esse tema.</w:t>
      </w:r>
    </w:p>
    <w:p w:rsidR="00AE2C38" w:rsidRPr="00C158E5" w:rsidRDefault="00AE2C38" w:rsidP="00C16190">
      <w:pPr>
        <w:pStyle w:val="Ttulo2"/>
        <w:spacing w:before="120" w:line="240" w:lineRule="auto"/>
        <w:ind w:firstLine="709"/>
        <w:jc w:val="both"/>
      </w:pPr>
      <w:r w:rsidRPr="00C158E5">
        <w:t>4.2  Os dados</w:t>
      </w:r>
    </w:p>
    <w:p w:rsidR="00E9008B" w:rsidRPr="00C158E5" w:rsidRDefault="0013755C" w:rsidP="00C16190">
      <w:pPr>
        <w:spacing w:before="120" w:after="120" w:line="240" w:lineRule="auto"/>
        <w:ind w:firstLine="709"/>
        <w:rPr>
          <w:sz w:val="24"/>
          <w:szCs w:val="24"/>
        </w:rPr>
      </w:pPr>
      <w:r w:rsidRPr="00C158E5">
        <w:rPr>
          <w:sz w:val="24"/>
          <w:szCs w:val="24"/>
        </w:rPr>
        <w:t xml:space="preserve">Os dados referentes às transferências </w:t>
      </w:r>
      <w:r w:rsidR="00FE56AE" w:rsidRPr="00C158E5">
        <w:rPr>
          <w:sz w:val="24"/>
          <w:szCs w:val="24"/>
        </w:rPr>
        <w:t xml:space="preserve">do </w:t>
      </w:r>
      <w:r w:rsidRPr="00C158E5">
        <w:rPr>
          <w:sz w:val="24"/>
          <w:szCs w:val="24"/>
        </w:rPr>
        <w:t xml:space="preserve">SUS foram obtidos através do Sistema de Informações sobre Orçamentos Públicos em Saúde (SIOPS) do Ministério da Saúde. O SIOPS é composto por um banco de dados que é alimentado pelos próprios estados e municípios e tem por objetivo apurar as receitas totais e os gastos em ações e serviços públicos de saúde. O preenchimento do SIOPS deve estar de acordo com as informações contábeis geradas e mantidas pelos estados e municípios. Os dados referentes à população de cada município, utilizados para computar os valores </w:t>
      </w:r>
      <w:r w:rsidRPr="00C158E5">
        <w:rPr>
          <w:i/>
          <w:sz w:val="24"/>
          <w:szCs w:val="24"/>
        </w:rPr>
        <w:t>per capita</w:t>
      </w:r>
      <w:r w:rsidRPr="00C158E5">
        <w:rPr>
          <w:sz w:val="24"/>
          <w:szCs w:val="24"/>
        </w:rPr>
        <w:t>, foram obtidos do Departamento de Atenção Básica do Ministério da Saúde</w:t>
      </w:r>
      <w:r w:rsidR="0076518E">
        <w:rPr>
          <w:sz w:val="24"/>
          <w:szCs w:val="24"/>
        </w:rPr>
        <w:t xml:space="preserve"> (DATASUS)</w:t>
      </w:r>
      <w:r w:rsidRPr="00C158E5">
        <w:rPr>
          <w:sz w:val="24"/>
          <w:szCs w:val="24"/>
        </w:rPr>
        <w:t>. A informação refere-se à população estimada pelo Instituto Brasileiro de Geografia e Estatística (IBGE) para o Tribunal de Contas da União (TCU), que é utilizada pelo Ministério da Saúde para os repasses do Piso de Atenção Básica (PAB) fixo e variável.</w:t>
      </w:r>
      <w:r w:rsidR="009629A2">
        <w:rPr>
          <w:sz w:val="24"/>
          <w:szCs w:val="24"/>
        </w:rPr>
        <w:t xml:space="preserve"> Adicionalmente, através da Secretaria do Tesouro Nacional (STN), obtiveram-se dados desagregados de arrecadação municipal, para que fosse possível separar os efeitos associados à arrecadação de impostos e às transferências incondicionais.</w:t>
      </w:r>
    </w:p>
    <w:p w:rsidR="00A42017" w:rsidRDefault="0013755C" w:rsidP="005D7789">
      <w:pPr>
        <w:spacing w:before="120" w:after="360" w:line="240" w:lineRule="auto"/>
        <w:ind w:firstLine="709"/>
        <w:rPr>
          <w:sz w:val="24"/>
          <w:szCs w:val="24"/>
        </w:rPr>
      </w:pPr>
      <w:r w:rsidRPr="00C158E5">
        <w:rPr>
          <w:sz w:val="24"/>
          <w:szCs w:val="24"/>
        </w:rPr>
        <w:t>A tabela </w:t>
      </w:r>
      <w:r w:rsidR="0055796C">
        <w:rPr>
          <w:sz w:val="24"/>
          <w:szCs w:val="24"/>
        </w:rPr>
        <w:t>2</w:t>
      </w:r>
      <w:r w:rsidRPr="00C158E5">
        <w:rPr>
          <w:sz w:val="24"/>
          <w:szCs w:val="24"/>
        </w:rPr>
        <w:t xml:space="preserve"> apresenta </w:t>
      </w:r>
      <w:r w:rsidR="0055796C">
        <w:rPr>
          <w:sz w:val="24"/>
          <w:szCs w:val="24"/>
        </w:rPr>
        <w:t>a descrição e a fonte</w:t>
      </w:r>
      <w:r w:rsidRPr="00C158E5">
        <w:rPr>
          <w:sz w:val="24"/>
          <w:szCs w:val="24"/>
        </w:rPr>
        <w:t xml:space="preserve"> de </w:t>
      </w:r>
      <w:r w:rsidR="00E16636" w:rsidRPr="00C158E5">
        <w:rPr>
          <w:sz w:val="24"/>
          <w:szCs w:val="24"/>
        </w:rPr>
        <w:t>todas as variáveis utilizadas neste</w:t>
      </w:r>
      <w:r w:rsidRPr="00C158E5">
        <w:rPr>
          <w:sz w:val="24"/>
          <w:szCs w:val="24"/>
        </w:rPr>
        <w:t xml:space="preserve"> estudo. Todas elas, com exceção das v</w:t>
      </w:r>
      <w:r w:rsidR="00E16636" w:rsidRPr="00C158E5">
        <w:rPr>
          <w:sz w:val="24"/>
          <w:szCs w:val="24"/>
        </w:rPr>
        <w:t xml:space="preserve">ariáveis de PIB, foram obtidas para </w:t>
      </w:r>
      <w:r w:rsidRPr="00C158E5">
        <w:rPr>
          <w:sz w:val="24"/>
          <w:szCs w:val="24"/>
        </w:rPr>
        <w:t xml:space="preserve">o período de 2002 a 2010. O PIB municipal e seus demais agrupamentos estão disponíveis somente até 2009. Todas as variáveis são expressas em valores ou quantidades anuais para cada município. </w:t>
      </w:r>
      <w:r w:rsidR="00952B1A">
        <w:rPr>
          <w:sz w:val="24"/>
          <w:szCs w:val="24"/>
        </w:rPr>
        <w:t xml:space="preserve">Além disso, no caso das variáveis monetárias, antes de aplicar o log, os valores foram corrigidos </w:t>
      </w:r>
      <w:r w:rsidR="00952B1A" w:rsidRPr="00952B1A">
        <w:rPr>
          <w:sz w:val="24"/>
          <w:szCs w:val="24"/>
        </w:rPr>
        <w:t>pelo IPCA para valores em R$ de 2011</w:t>
      </w:r>
      <w:r w:rsidR="00952B1A">
        <w:rPr>
          <w:sz w:val="24"/>
          <w:szCs w:val="24"/>
        </w:rPr>
        <w:t>.</w:t>
      </w:r>
    </w:p>
    <w:p w:rsidR="00E739C6" w:rsidRDefault="00E739C6" w:rsidP="00032262">
      <w:pPr>
        <w:spacing w:after="120" w:line="240" w:lineRule="auto"/>
        <w:jc w:val="center"/>
        <w:rPr>
          <w:b/>
        </w:rPr>
      </w:pPr>
      <w:r w:rsidRPr="00BC44A7">
        <w:rPr>
          <w:b/>
        </w:rPr>
        <w:t xml:space="preserve">Tabela </w:t>
      </w:r>
      <w:r>
        <w:rPr>
          <w:b/>
        </w:rPr>
        <w:t>2</w:t>
      </w:r>
      <w:r w:rsidR="00D40133">
        <w:rPr>
          <w:b/>
        </w:rPr>
        <w:t>:</w:t>
      </w:r>
      <w:r w:rsidRPr="00BC44A7">
        <w:rPr>
          <w:b/>
        </w:rPr>
        <w:t xml:space="preserve"> Descrição das Variáveis</w:t>
      </w:r>
    </w:p>
    <w:tbl>
      <w:tblPr>
        <w:tblW w:w="9915" w:type="dxa"/>
        <w:jc w:val="center"/>
        <w:tblInd w:w="-682" w:type="dxa"/>
        <w:tblCellMar>
          <w:left w:w="70" w:type="dxa"/>
          <w:right w:w="70" w:type="dxa"/>
        </w:tblCellMar>
        <w:tblLook w:val="04A0" w:firstRow="1" w:lastRow="0" w:firstColumn="1" w:lastColumn="0" w:noHBand="0" w:noVBand="1"/>
      </w:tblPr>
      <w:tblGrid>
        <w:gridCol w:w="1514"/>
        <w:gridCol w:w="2096"/>
        <w:gridCol w:w="4719"/>
        <w:gridCol w:w="1586"/>
      </w:tblGrid>
      <w:tr w:rsidR="00032262" w:rsidRPr="00316CAB" w:rsidTr="002806FA">
        <w:trPr>
          <w:trHeight w:val="510"/>
          <w:jc w:val="center"/>
        </w:trPr>
        <w:tc>
          <w:tcPr>
            <w:tcW w:w="1514" w:type="dxa"/>
            <w:tcBorders>
              <w:top w:val="single" w:sz="4" w:space="0" w:color="auto"/>
              <w:left w:val="single" w:sz="8" w:space="0" w:color="auto"/>
              <w:bottom w:val="single" w:sz="8" w:space="0" w:color="auto"/>
              <w:right w:val="nil"/>
            </w:tcBorders>
            <w:shd w:val="clear" w:color="auto" w:fill="auto"/>
            <w:vAlign w:val="center"/>
          </w:tcPr>
          <w:p w:rsidR="00032262" w:rsidRPr="002D7FDA" w:rsidRDefault="00032262" w:rsidP="00524A84">
            <w:pPr>
              <w:autoSpaceDE/>
              <w:autoSpaceDN/>
              <w:adjustRightInd/>
              <w:spacing w:before="0" w:line="240" w:lineRule="auto"/>
              <w:jc w:val="center"/>
              <w:rPr>
                <w:rFonts w:eastAsia="Times New Roman"/>
                <w:b/>
                <w:noProof w:val="0"/>
              </w:rPr>
            </w:pPr>
            <w:r w:rsidRPr="002D7FDA">
              <w:rPr>
                <w:rFonts w:eastAsia="Times New Roman"/>
                <w:b/>
                <w:noProof w:val="0"/>
              </w:rPr>
              <w:t>Categoria</w:t>
            </w:r>
          </w:p>
        </w:tc>
        <w:tc>
          <w:tcPr>
            <w:tcW w:w="2096" w:type="dxa"/>
            <w:tcBorders>
              <w:top w:val="single" w:sz="4" w:space="0" w:color="auto"/>
              <w:left w:val="nil"/>
              <w:bottom w:val="single" w:sz="8" w:space="0" w:color="auto"/>
              <w:right w:val="nil"/>
            </w:tcBorders>
            <w:shd w:val="clear" w:color="auto" w:fill="auto"/>
            <w:vAlign w:val="center"/>
          </w:tcPr>
          <w:p w:rsidR="00032262" w:rsidRPr="002D7FDA" w:rsidRDefault="00032262" w:rsidP="00524A84">
            <w:pPr>
              <w:autoSpaceDE/>
              <w:autoSpaceDN/>
              <w:adjustRightInd/>
              <w:spacing w:before="0" w:line="240" w:lineRule="auto"/>
              <w:jc w:val="center"/>
              <w:rPr>
                <w:rFonts w:eastAsia="Times New Roman"/>
                <w:b/>
                <w:iCs/>
                <w:noProof w:val="0"/>
                <w:color w:val="000000"/>
              </w:rPr>
            </w:pPr>
            <w:r w:rsidRPr="002D7FDA">
              <w:rPr>
                <w:rFonts w:eastAsia="Times New Roman"/>
                <w:b/>
                <w:iCs/>
                <w:noProof w:val="0"/>
                <w:color w:val="000000"/>
              </w:rPr>
              <w:t>Variável</w:t>
            </w:r>
          </w:p>
        </w:tc>
        <w:tc>
          <w:tcPr>
            <w:tcW w:w="4719" w:type="dxa"/>
            <w:tcBorders>
              <w:top w:val="single" w:sz="4" w:space="0" w:color="auto"/>
              <w:left w:val="nil"/>
              <w:bottom w:val="single" w:sz="8" w:space="0" w:color="auto"/>
              <w:right w:val="nil"/>
            </w:tcBorders>
            <w:shd w:val="clear" w:color="auto" w:fill="auto"/>
            <w:vAlign w:val="center"/>
          </w:tcPr>
          <w:p w:rsidR="00032262" w:rsidRPr="002D7FDA" w:rsidRDefault="00032262" w:rsidP="00524A84">
            <w:pPr>
              <w:autoSpaceDE/>
              <w:autoSpaceDN/>
              <w:adjustRightInd/>
              <w:spacing w:before="0" w:line="240" w:lineRule="auto"/>
              <w:jc w:val="center"/>
              <w:rPr>
                <w:rFonts w:eastAsia="Times New Roman"/>
                <w:b/>
                <w:noProof w:val="0"/>
                <w:color w:val="000000"/>
              </w:rPr>
            </w:pPr>
            <w:r w:rsidRPr="002D7FDA">
              <w:rPr>
                <w:rFonts w:eastAsia="Times New Roman"/>
                <w:b/>
                <w:noProof w:val="0"/>
                <w:color w:val="000000"/>
              </w:rPr>
              <w:t>Descrição</w:t>
            </w:r>
          </w:p>
        </w:tc>
        <w:tc>
          <w:tcPr>
            <w:tcW w:w="1586" w:type="dxa"/>
            <w:tcBorders>
              <w:top w:val="single" w:sz="4" w:space="0" w:color="auto"/>
              <w:left w:val="nil"/>
              <w:bottom w:val="single" w:sz="8" w:space="0" w:color="auto"/>
              <w:right w:val="single" w:sz="8" w:space="0" w:color="auto"/>
            </w:tcBorders>
            <w:shd w:val="clear" w:color="auto" w:fill="auto"/>
            <w:vAlign w:val="center"/>
          </w:tcPr>
          <w:p w:rsidR="00032262" w:rsidRPr="00316CAB" w:rsidRDefault="00032262" w:rsidP="00524A84">
            <w:pPr>
              <w:autoSpaceDE/>
              <w:autoSpaceDN/>
              <w:adjustRightInd/>
              <w:spacing w:before="0" w:line="240" w:lineRule="auto"/>
              <w:jc w:val="center"/>
              <w:rPr>
                <w:rFonts w:eastAsia="Times New Roman"/>
                <w:b/>
                <w:noProof w:val="0"/>
                <w:color w:val="000000"/>
              </w:rPr>
            </w:pPr>
            <w:r w:rsidRPr="00316CAB">
              <w:rPr>
                <w:rFonts w:eastAsia="Times New Roman"/>
                <w:b/>
                <w:noProof w:val="0"/>
                <w:color w:val="000000"/>
              </w:rPr>
              <w:t>Fonte</w:t>
            </w:r>
          </w:p>
        </w:tc>
      </w:tr>
      <w:tr w:rsidR="00A42017" w:rsidRPr="00316CAB" w:rsidTr="002806FA">
        <w:trPr>
          <w:trHeight w:val="396"/>
          <w:jc w:val="center"/>
        </w:trPr>
        <w:tc>
          <w:tcPr>
            <w:tcW w:w="1514" w:type="dxa"/>
            <w:tcBorders>
              <w:top w:val="nil"/>
              <w:left w:val="single" w:sz="8" w:space="0" w:color="auto"/>
              <w:bottom w:val="single" w:sz="8" w:space="0" w:color="auto"/>
              <w:right w:val="nil"/>
            </w:tcBorders>
            <w:shd w:val="clear" w:color="auto" w:fill="auto"/>
            <w:vAlign w:val="center"/>
            <w:hideMark/>
          </w:tcPr>
          <w:p w:rsid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Recursos</w:t>
            </w:r>
          </w:p>
          <w:p w:rsidR="001A0190"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saúde</w:t>
            </w:r>
          </w:p>
        </w:tc>
        <w:tc>
          <w:tcPr>
            <w:tcW w:w="2096" w:type="dxa"/>
            <w:tcBorders>
              <w:top w:val="nil"/>
              <w:left w:val="nil"/>
              <w:bottom w:val="single" w:sz="8"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log_transfSUS_hab</w:t>
            </w:r>
          </w:p>
        </w:tc>
        <w:tc>
          <w:tcPr>
            <w:tcW w:w="4719" w:type="dxa"/>
            <w:tcBorders>
              <w:top w:val="nil"/>
              <w:left w:val="nil"/>
              <w:bottom w:val="single" w:sz="8" w:space="0" w:color="auto"/>
              <w:right w:val="nil"/>
            </w:tcBorders>
            <w:shd w:val="clear" w:color="auto" w:fill="auto"/>
            <w:vAlign w:val="center"/>
            <w:hideMark/>
          </w:tcPr>
          <w:p w:rsidR="001A0190" w:rsidRPr="002D7FDA" w:rsidRDefault="001A0190" w:rsidP="00032262">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das transferências do SUS recebidas da União pelo município nas modalidades "fundo a fundo", em base per capita</w:t>
            </w:r>
          </w:p>
        </w:tc>
        <w:tc>
          <w:tcPr>
            <w:tcW w:w="1586" w:type="dxa"/>
            <w:tcBorders>
              <w:top w:val="nil"/>
              <w:left w:val="nil"/>
              <w:bottom w:val="single" w:sz="8" w:space="0" w:color="auto"/>
              <w:right w:val="single" w:sz="8" w:space="0" w:color="auto"/>
            </w:tcBorders>
            <w:shd w:val="clear" w:color="auto" w:fill="auto"/>
            <w:vAlign w:val="center"/>
            <w:hideMark/>
          </w:tcPr>
          <w:p w:rsidR="001A0190" w:rsidRPr="001A0190" w:rsidRDefault="001A0190" w:rsidP="001A0190">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SIOPS</w:t>
            </w:r>
          </w:p>
        </w:tc>
      </w:tr>
      <w:tr w:rsidR="00A42017" w:rsidRPr="00316CAB" w:rsidTr="002806FA">
        <w:trPr>
          <w:trHeight w:val="397"/>
          <w:jc w:val="center"/>
        </w:trPr>
        <w:tc>
          <w:tcPr>
            <w:tcW w:w="1514" w:type="dxa"/>
            <w:vMerge w:val="restart"/>
            <w:tcBorders>
              <w:top w:val="nil"/>
              <w:left w:val="single" w:sz="8" w:space="0" w:color="auto"/>
              <w:bottom w:val="single" w:sz="8" w:space="0" w:color="000000"/>
              <w:right w:val="nil"/>
            </w:tcBorders>
            <w:shd w:val="clear" w:color="auto" w:fill="auto"/>
            <w:vAlign w:val="center"/>
            <w:hideMark/>
          </w:tcPr>
          <w:p w:rsidR="001A0190"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Arrecadação</w:t>
            </w:r>
          </w:p>
        </w:tc>
        <w:tc>
          <w:tcPr>
            <w:tcW w:w="2096" w:type="dxa"/>
            <w:tcBorders>
              <w:top w:val="nil"/>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rPr>
            </w:pPr>
            <w:r w:rsidRPr="002D7FDA">
              <w:rPr>
                <w:rFonts w:eastAsia="Times New Roman"/>
                <w:i/>
                <w:iCs/>
                <w:noProof w:val="0"/>
              </w:rPr>
              <w:t>log_arrecad_stn_hab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da arrecadação per capita do municíp</w:t>
            </w:r>
            <w:r w:rsidR="00032262" w:rsidRPr="002D7FDA">
              <w:rPr>
                <w:rFonts w:eastAsia="Times New Roman"/>
                <w:noProof w:val="0"/>
                <w:color w:val="000000"/>
              </w:rPr>
              <w:t>io, definida pela base da EC-29</w:t>
            </w:r>
          </w:p>
        </w:tc>
        <w:tc>
          <w:tcPr>
            <w:tcW w:w="1586" w:type="dxa"/>
            <w:vMerge w:val="restart"/>
            <w:tcBorders>
              <w:top w:val="nil"/>
              <w:left w:val="nil"/>
              <w:bottom w:val="single" w:sz="8" w:space="0" w:color="000000"/>
              <w:right w:val="single" w:sz="8" w:space="0" w:color="auto"/>
            </w:tcBorders>
            <w:shd w:val="clear" w:color="auto" w:fill="auto"/>
            <w:vAlign w:val="center"/>
            <w:hideMark/>
          </w:tcPr>
          <w:p w:rsidR="0076518E" w:rsidRPr="001A0190" w:rsidRDefault="001A0190" w:rsidP="0076518E">
            <w:pPr>
              <w:autoSpaceDE/>
              <w:autoSpaceDN/>
              <w:adjustRightInd/>
              <w:spacing w:before="0" w:line="240" w:lineRule="auto"/>
              <w:jc w:val="center"/>
              <w:rPr>
                <w:rFonts w:eastAsia="Times New Roman"/>
                <w:noProof w:val="0"/>
                <w:sz w:val="18"/>
                <w:szCs w:val="18"/>
              </w:rPr>
            </w:pPr>
            <w:r w:rsidRPr="001A0190">
              <w:rPr>
                <w:rFonts w:eastAsia="Times New Roman"/>
                <w:noProof w:val="0"/>
                <w:sz w:val="18"/>
                <w:szCs w:val="18"/>
              </w:rPr>
              <w:t xml:space="preserve">STN </w:t>
            </w:r>
          </w:p>
          <w:p w:rsidR="001A0190" w:rsidRPr="001A0190" w:rsidRDefault="001A0190" w:rsidP="001A0190">
            <w:pPr>
              <w:autoSpaceDE/>
              <w:autoSpaceDN/>
              <w:adjustRightInd/>
              <w:spacing w:before="0" w:line="240" w:lineRule="auto"/>
              <w:jc w:val="center"/>
              <w:rPr>
                <w:rFonts w:eastAsia="Times New Roman"/>
                <w:noProof w:val="0"/>
                <w:sz w:val="18"/>
                <w:szCs w:val="18"/>
              </w:rPr>
            </w:pPr>
          </w:p>
        </w:tc>
      </w:tr>
      <w:tr w:rsidR="00A42017" w:rsidRPr="00316CAB" w:rsidTr="002806FA">
        <w:trPr>
          <w:trHeight w:val="397"/>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rPr>
            </w:pPr>
            <w:r w:rsidRPr="002D7FDA">
              <w:rPr>
                <w:rFonts w:eastAsia="Times New Roman"/>
                <w:i/>
                <w:iCs/>
                <w:noProof w:val="0"/>
              </w:rPr>
              <w:t>log_impostos_hab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do valor em impostos (IPTU + IRRF + ITBI + ISS) que compõem a arrecadação d</w:t>
            </w:r>
            <w:r w:rsidR="00032262" w:rsidRPr="002D7FDA">
              <w:rPr>
                <w:rFonts w:eastAsia="Times New Roman"/>
                <w:noProof w:val="0"/>
                <w:color w:val="000000"/>
              </w:rPr>
              <w:t>o município, em base per capita</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sz w:val="18"/>
                <w:szCs w:val="18"/>
              </w:rPr>
            </w:pPr>
          </w:p>
        </w:tc>
      </w:tr>
      <w:tr w:rsidR="00A42017" w:rsidRPr="00316CAB" w:rsidTr="002806FA">
        <w:trPr>
          <w:trHeight w:val="397"/>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rPr>
            </w:pPr>
            <w:r w:rsidRPr="002D7FDA">
              <w:rPr>
                <w:rFonts w:eastAsia="Times New Roman"/>
                <w:i/>
                <w:iCs/>
                <w:noProof w:val="0"/>
              </w:rPr>
              <w:t>log_arrecad_transf_hab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das receitas provenientes de transferências incondicionais que compõem a arrecadação d</w:t>
            </w:r>
            <w:r w:rsidR="00032262" w:rsidRPr="002D7FDA">
              <w:rPr>
                <w:rFonts w:eastAsia="Times New Roman"/>
                <w:noProof w:val="0"/>
                <w:color w:val="000000"/>
              </w:rPr>
              <w:t>o município, em base per capita</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sz w:val="18"/>
                <w:szCs w:val="18"/>
              </w:rPr>
            </w:pPr>
          </w:p>
        </w:tc>
      </w:tr>
      <w:tr w:rsidR="00A42017" w:rsidRPr="00316CAB" w:rsidTr="002806FA">
        <w:trPr>
          <w:trHeight w:val="238"/>
          <w:jc w:val="center"/>
        </w:trPr>
        <w:tc>
          <w:tcPr>
            <w:tcW w:w="1514" w:type="dxa"/>
            <w:vMerge w:val="restart"/>
            <w:tcBorders>
              <w:top w:val="nil"/>
              <w:left w:val="single" w:sz="8" w:space="0" w:color="auto"/>
              <w:bottom w:val="single" w:sz="8" w:space="0" w:color="000000"/>
              <w:right w:val="nil"/>
            </w:tcBorders>
            <w:shd w:val="clear" w:color="auto" w:fill="auto"/>
            <w:vAlign w:val="center"/>
            <w:hideMark/>
          </w:tcPr>
          <w:p w:rsidR="00C01D75"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Renda e</w:t>
            </w:r>
          </w:p>
          <w:p w:rsidR="001A0190"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 xml:space="preserve"> população</w:t>
            </w:r>
          </w:p>
        </w:tc>
        <w:tc>
          <w:tcPr>
            <w:tcW w:w="2096" w:type="dxa"/>
            <w:tcBorders>
              <w:top w:val="single" w:sz="8" w:space="0" w:color="auto"/>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log_PIB_Mun_hab</w:t>
            </w:r>
          </w:p>
        </w:tc>
        <w:tc>
          <w:tcPr>
            <w:tcW w:w="4719" w:type="dxa"/>
            <w:tcBorders>
              <w:top w:val="single" w:sz="8" w:space="0" w:color="auto"/>
              <w:left w:val="nil"/>
              <w:bottom w:val="single" w:sz="4" w:space="0" w:color="auto"/>
              <w:right w:val="nil"/>
            </w:tcBorders>
            <w:shd w:val="clear" w:color="auto" w:fill="auto"/>
            <w:vAlign w:val="center"/>
            <w:hideMark/>
          </w:tcPr>
          <w:p w:rsidR="001A0190" w:rsidRPr="002D7FDA" w:rsidRDefault="00032262"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do PIB municipal per capita</w:t>
            </w:r>
          </w:p>
        </w:tc>
        <w:tc>
          <w:tcPr>
            <w:tcW w:w="1586" w:type="dxa"/>
            <w:vMerge w:val="restart"/>
            <w:tcBorders>
              <w:top w:val="nil"/>
              <w:left w:val="nil"/>
              <w:bottom w:val="nil"/>
              <w:right w:val="single" w:sz="8" w:space="0" w:color="auto"/>
            </w:tcBorders>
            <w:shd w:val="clear" w:color="auto" w:fill="auto"/>
            <w:vAlign w:val="center"/>
            <w:hideMark/>
          </w:tcPr>
          <w:p w:rsidR="001A0190" w:rsidRPr="001A0190" w:rsidRDefault="001A0190" w:rsidP="001A0190">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IBGE</w:t>
            </w:r>
          </w:p>
        </w:tc>
      </w:tr>
      <w:tr w:rsidR="00A42017" w:rsidRPr="00316CAB" w:rsidTr="002806FA">
        <w:trPr>
          <w:trHeight w:val="238"/>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log_PIB_Estado_hab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do PIB per capi</w:t>
            </w:r>
            <w:r w:rsidR="00032262" w:rsidRPr="002D7FDA">
              <w:rPr>
                <w:rFonts w:eastAsia="Times New Roman"/>
                <w:noProof w:val="0"/>
                <w:color w:val="000000"/>
              </w:rPr>
              <w:t>ta do estado do município</w:t>
            </w:r>
          </w:p>
        </w:tc>
        <w:tc>
          <w:tcPr>
            <w:tcW w:w="1586" w:type="dxa"/>
            <w:vMerge/>
            <w:tcBorders>
              <w:top w:val="nil"/>
              <w:left w:val="nil"/>
              <w:bottom w:val="nil"/>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r w:rsidR="00A42017" w:rsidRPr="00316CAB" w:rsidTr="002806FA">
        <w:trPr>
          <w:trHeight w:val="238"/>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C01D75"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log_PIB_Regiao_hab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do PIB per capita da</w:t>
            </w:r>
            <w:r w:rsidR="00032262" w:rsidRPr="002D7FDA">
              <w:rPr>
                <w:rFonts w:eastAsia="Times New Roman"/>
                <w:noProof w:val="0"/>
                <w:color w:val="000000"/>
              </w:rPr>
              <w:t xml:space="preserve"> região geográfica do município</w:t>
            </w:r>
          </w:p>
        </w:tc>
        <w:tc>
          <w:tcPr>
            <w:tcW w:w="1586" w:type="dxa"/>
            <w:vMerge/>
            <w:tcBorders>
              <w:top w:val="nil"/>
              <w:left w:val="nil"/>
              <w:bottom w:val="nil"/>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r w:rsidR="00A42017" w:rsidRPr="00316CAB" w:rsidTr="002806FA">
        <w:trPr>
          <w:trHeight w:val="238"/>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8"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rPr>
            </w:pPr>
            <w:r w:rsidRPr="002D7FDA">
              <w:rPr>
                <w:rFonts w:eastAsia="Times New Roman"/>
                <w:i/>
                <w:iCs/>
                <w:noProof w:val="0"/>
              </w:rPr>
              <w:t>log_pop</w:t>
            </w:r>
          </w:p>
        </w:tc>
        <w:tc>
          <w:tcPr>
            <w:tcW w:w="4719" w:type="dxa"/>
            <w:tcBorders>
              <w:top w:val="nil"/>
              <w:left w:val="nil"/>
              <w:bottom w:val="single" w:sz="8"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Log da população do município</w:t>
            </w:r>
          </w:p>
        </w:tc>
        <w:tc>
          <w:tcPr>
            <w:tcW w:w="1586" w:type="dxa"/>
            <w:tcBorders>
              <w:top w:val="single" w:sz="4" w:space="0" w:color="auto"/>
              <w:left w:val="nil"/>
              <w:bottom w:val="single" w:sz="8" w:space="0" w:color="auto"/>
              <w:right w:val="single" w:sz="8" w:space="0" w:color="auto"/>
            </w:tcBorders>
            <w:shd w:val="clear" w:color="auto" w:fill="auto"/>
            <w:vAlign w:val="center"/>
            <w:hideMark/>
          </w:tcPr>
          <w:p w:rsidR="001A0190" w:rsidRPr="001A0190" w:rsidRDefault="007D5983" w:rsidP="001A0190">
            <w:pPr>
              <w:autoSpaceDE/>
              <w:autoSpaceDN/>
              <w:adjustRightInd/>
              <w:spacing w:before="0" w:line="240" w:lineRule="auto"/>
              <w:jc w:val="center"/>
              <w:rPr>
                <w:rFonts w:eastAsia="Times New Roman"/>
                <w:noProof w:val="0"/>
                <w:sz w:val="18"/>
                <w:szCs w:val="18"/>
              </w:rPr>
            </w:pPr>
            <w:r>
              <w:rPr>
                <w:rFonts w:eastAsia="Times New Roman"/>
                <w:noProof w:val="0"/>
                <w:sz w:val="18"/>
                <w:szCs w:val="18"/>
              </w:rPr>
              <w:t xml:space="preserve">IBGE e </w:t>
            </w:r>
            <w:r w:rsidR="001A0190" w:rsidRPr="001A0190">
              <w:rPr>
                <w:rFonts w:eastAsia="Times New Roman"/>
                <w:noProof w:val="0"/>
                <w:sz w:val="18"/>
                <w:szCs w:val="18"/>
              </w:rPr>
              <w:t>DATASUS</w:t>
            </w:r>
          </w:p>
        </w:tc>
      </w:tr>
      <w:tr w:rsidR="00A42017" w:rsidRPr="00316CAB" w:rsidTr="002806FA">
        <w:trPr>
          <w:trHeight w:val="397"/>
          <w:jc w:val="center"/>
        </w:trPr>
        <w:tc>
          <w:tcPr>
            <w:tcW w:w="1514" w:type="dxa"/>
            <w:vMerge w:val="restart"/>
            <w:tcBorders>
              <w:top w:val="nil"/>
              <w:left w:val="single" w:sz="8" w:space="0" w:color="auto"/>
              <w:bottom w:val="single" w:sz="8" w:space="0" w:color="000000"/>
              <w:right w:val="nil"/>
            </w:tcBorders>
            <w:shd w:val="clear" w:color="auto" w:fill="auto"/>
            <w:vAlign w:val="center"/>
            <w:hideMark/>
          </w:tcPr>
          <w:p w:rsidR="001A0190"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Necessidade de saúde</w:t>
            </w:r>
          </w:p>
        </w:tc>
        <w:tc>
          <w:tcPr>
            <w:tcW w:w="2096"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per_coleta_lixo</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 de famílias cadastradas pelo PACS/PSF com lixo coletado por serviço, empresa pública ou particular</w:t>
            </w:r>
          </w:p>
        </w:tc>
        <w:tc>
          <w:tcPr>
            <w:tcW w:w="1586" w:type="dxa"/>
            <w:vMerge w:val="restart"/>
            <w:tcBorders>
              <w:top w:val="nil"/>
              <w:left w:val="nil"/>
              <w:bottom w:val="single" w:sz="8" w:space="0" w:color="000000"/>
              <w:right w:val="single" w:sz="8" w:space="0" w:color="auto"/>
            </w:tcBorders>
            <w:shd w:val="clear" w:color="auto" w:fill="auto"/>
            <w:vAlign w:val="center"/>
            <w:hideMark/>
          </w:tcPr>
          <w:p w:rsidR="001A0190" w:rsidRPr="001A0190" w:rsidRDefault="001A0190" w:rsidP="001A0190">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DATASUS</w:t>
            </w:r>
          </w:p>
        </w:tc>
      </w:tr>
      <w:tr w:rsidR="00A42017" w:rsidRPr="00316CAB" w:rsidTr="002806FA">
        <w:trPr>
          <w:trHeight w:val="238"/>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Mort_5_anos</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 de óbitos de menores de 5 anos dentre os nascidos vivos</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r w:rsidR="00A42017" w:rsidRPr="00316CAB" w:rsidTr="002806FA">
        <w:trPr>
          <w:trHeight w:val="397"/>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Pop_urb</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 xml:space="preserve">% de </w:t>
            </w:r>
            <w:r w:rsidR="00032262" w:rsidRPr="002D7FDA">
              <w:rPr>
                <w:rFonts w:eastAsia="Times New Roman"/>
                <w:noProof w:val="0"/>
                <w:color w:val="000000"/>
              </w:rPr>
              <w:t>famílias</w:t>
            </w:r>
            <w:r w:rsidRPr="002D7FDA">
              <w:rPr>
                <w:rFonts w:eastAsia="Times New Roman"/>
                <w:noProof w:val="0"/>
                <w:color w:val="000000"/>
              </w:rPr>
              <w:t xml:space="preserve"> cadastradas pelo PACS/PSF que vivem em zona urbana</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r w:rsidR="00A42017" w:rsidRPr="00316CAB" w:rsidTr="002806FA">
        <w:trPr>
          <w:trHeight w:val="238"/>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8"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tx_obt_cmd</w:t>
            </w:r>
          </w:p>
        </w:tc>
        <w:tc>
          <w:tcPr>
            <w:tcW w:w="4719" w:type="dxa"/>
            <w:tcBorders>
              <w:top w:val="nil"/>
              <w:left w:val="nil"/>
              <w:bottom w:val="single" w:sz="8"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Taxa de óbitos por causas "mal definidas"</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r w:rsidR="00A42017" w:rsidRPr="00316CAB" w:rsidTr="002806FA">
        <w:trPr>
          <w:trHeight w:val="398"/>
          <w:jc w:val="center"/>
        </w:trPr>
        <w:tc>
          <w:tcPr>
            <w:tcW w:w="1514" w:type="dxa"/>
            <w:vMerge w:val="restart"/>
            <w:tcBorders>
              <w:top w:val="nil"/>
              <w:left w:val="single" w:sz="8" w:space="0" w:color="auto"/>
              <w:bottom w:val="single" w:sz="8" w:space="0" w:color="000000"/>
              <w:right w:val="nil"/>
            </w:tcBorders>
            <w:shd w:val="clear" w:color="auto" w:fill="auto"/>
            <w:vAlign w:val="center"/>
            <w:hideMark/>
          </w:tcPr>
          <w:p w:rsidR="001A0190" w:rsidRPr="002D7FDA" w:rsidRDefault="001A0190" w:rsidP="001A0190">
            <w:pPr>
              <w:autoSpaceDE/>
              <w:autoSpaceDN/>
              <w:adjustRightInd/>
              <w:spacing w:before="0" w:line="240" w:lineRule="auto"/>
              <w:jc w:val="center"/>
              <w:rPr>
                <w:rFonts w:eastAsia="Times New Roman"/>
                <w:noProof w:val="0"/>
              </w:rPr>
            </w:pPr>
            <w:r w:rsidRPr="002D7FDA">
              <w:rPr>
                <w:rFonts w:eastAsia="Times New Roman"/>
                <w:noProof w:val="0"/>
              </w:rPr>
              <w:t>Oferta de serviços de saúde</w:t>
            </w:r>
          </w:p>
        </w:tc>
        <w:tc>
          <w:tcPr>
            <w:tcW w:w="2096"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per_cob_pac</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Proporção estimada de cobertura populacional pelo Programa de Agentes Comunitários da Saúde (PACS)</w:t>
            </w:r>
          </w:p>
        </w:tc>
        <w:tc>
          <w:tcPr>
            <w:tcW w:w="1586" w:type="dxa"/>
            <w:vMerge w:val="restart"/>
            <w:tcBorders>
              <w:top w:val="nil"/>
              <w:left w:val="nil"/>
              <w:bottom w:val="single" w:sz="8" w:space="0" w:color="000000"/>
              <w:right w:val="single" w:sz="8" w:space="0" w:color="auto"/>
            </w:tcBorders>
            <w:shd w:val="clear" w:color="auto" w:fill="auto"/>
            <w:vAlign w:val="center"/>
            <w:hideMark/>
          </w:tcPr>
          <w:p w:rsidR="001A0190" w:rsidRPr="001A0190" w:rsidRDefault="001A0190" w:rsidP="001A0190">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DATASUS</w:t>
            </w:r>
          </w:p>
        </w:tc>
      </w:tr>
      <w:tr w:rsidR="00A42017" w:rsidRPr="00316CAB" w:rsidTr="002806FA">
        <w:trPr>
          <w:trHeight w:val="397"/>
          <w:jc w:val="center"/>
        </w:trPr>
        <w:tc>
          <w:tcPr>
            <w:tcW w:w="1514" w:type="dxa"/>
            <w:vMerge/>
            <w:tcBorders>
              <w:top w:val="nil"/>
              <w:left w:val="single" w:sz="8" w:space="0" w:color="auto"/>
              <w:bottom w:val="single" w:sz="8" w:space="0" w:color="000000"/>
              <w:right w:val="nil"/>
            </w:tcBorders>
            <w:vAlign w:val="center"/>
            <w:hideMark/>
          </w:tcPr>
          <w:p w:rsidR="001A0190" w:rsidRPr="002D7FDA" w:rsidRDefault="001A0190" w:rsidP="001A0190">
            <w:pPr>
              <w:autoSpaceDE/>
              <w:autoSpaceDN/>
              <w:adjustRightInd/>
              <w:spacing w:before="0" w:line="240" w:lineRule="auto"/>
              <w:jc w:val="left"/>
              <w:rPr>
                <w:rFonts w:eastAsia="Times New Roman"/>
                <w:noProof w:val="0"/>
              </w:rPr>
            </w:pPr>
          </w:p>
        </w:tc>
        <w:tc>
          <w:tcPr>
            <w:tcW w:w="2096"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i/>
                <w:iCs/>
                <w:noProof w:val="0"/>
                <w:color w:val="000000"/>
              </w:rPr>
            </w:pPr>
            <w:r w:rsidRPr="002D7FDA">
              <w:rPr>
                <w:rFonts w:eastAsia="Times New Roman"/>
                <w:i/>
                <w:iCs/>
                <w:noProof w:val="0"/>
                <w:color w:val="000000"/>
              </w:rPr>
              <w:t>per_cob_psf</w:t>
            </w:r>
          </w:p>
        </w:tc>
        <w:tc>
          <w:tcPr>
            <w:tcW w:w="4719" w:type="dxa"/>
            <w:tcBorders>
              <w:top w:val="nil"/>
              <w:left w:val="nil"/>
              <w:bottom w:val="single" w:sz="4" w:space="0" w:color="auto"/>
              <w:right w:val="nil"/>
            </w:tcBorders>
            <w:shd w:val="clear" w:color="auto" w:fill="auto"/>
            <w:vAlign w:val="center"/>
            <w:hideMark/>
          </w:tcPr>
          <w:p w:rsidR="001A0190" w:rsidRPr="002D7FDA" w:rsidRDefault="001A0190" w:rsidP="001A0190">
            <w:pPr>
              <w:autoSpaceDE/>
              <w:autoSpaceDN/>
              <w:adjustRightInd/>
              <w:spacing w:before="0" w:line="240" w:lineRule="auto"/>
              <w:jc w:val="left"/>
              <w:rPr>
                <w:rFonts w:eastAsia="Times New Roman"/>
                <w:noProof w:val="0"/>
                <w:color w:val="000000"/>
              </w:rPr>
            </w:pPr>
            <w:r w:rsidRPr="002D7FDA">
              <w:rPr>
                <w:rFonts w:eastAsia="Times New Roman"/>
                <w:noProof w:val="0"/>
                <w:color w:val="000000"/>
              </w:rPr>
              <w:t>Proporção estimada de cobertura populacional pelo Programa de Saúde da Família (PSF)</w:t>
            </w:r>
          </w:p>
        </w:tc>
        <w:tc>
          <w:tcPr>
            <w:tcW w:w="1586" w:type="dxa"/>
            <w:vMerge/>
            <w:tcBorders>
              <w:top w:val="nil"/>
              <w:left w:val="nil"/>
              <w:bottom w:val="single" w:sz="8" w:space="0" w:color="000000"/>
              <w:right w:val="single" w:sz="8" w:space="0" w:color="auto"/>
            </w:tcBorders>
            <w:vAlign w:val="center"/>
            <w:hideMark/>
          </w:tcPr>
          <w:p w:rsidR="001A0190" w:rsidRPr="001A0190" w:rsidRDefault="001A0190" w:rsidP="001A0190">
            <w:pPr>
              <w:autoSpaceDE/>
              <w:autoSpaceDN/>
              <w:adjustRightInd/>
              <w:spacing w:before="0" w:line="240" w:lineRule="auto"/>
              <w:jc w:val="left"/>
              <w:rPr>
                <w:rFonts w:eastAsia="Times New Roman"/>
                <w:noProof w:val="0"/>
                <w:color w:val="000000"/>
                <w:sz w:val="18"/>
                <w:szCs w:val="18"/>
              </w:rPr>
            </w:pPr>
          </w:p>
        </w:tc>
      </w:tr>
    </w:tbl>
    <w:p w:rsidR="00176959" w:rsidRDefault="00176959" w:rsidP="00176959">
      <w:pPr>
        <w:spacing w:before="0" w:after="120" w:line="240" w:lineRule="auto"/>
        <w:ind w:left="142"/>
        <w:jc w:val="left"/>
        <w:rPr>
          <w:sz w:val="18"/>
          <w:szCs w:val="18"/>
        </w:rPr>
      </w:pPr>
      <w:r w:rsidRPr="00176959">
        <w:rPr>
          <w:sz w:val="18"/>
          <w:szCs w:val="18"/>
        </w:rPr>
        <w:t>(continua)</w:t>
      </w:r>
    </w:p>
    <w:p w:rsidR="005D7789" w:rsidRDefault="005D7789" w:rsidP="00176959">
      <w:pPr>
        <w:spacing w:before="0" w:after="120" w:line="240" w:lineRule="auto"/>
        <w:ind w:left="142"/>
        <w:jc w:val="left"/>
        <w:rPr>
          <w:sz w:val="18"/>
          <w:szCs w:val="18"/>
        </w:rPr>
      </w:pPr>
    </w:p>
    <w:p w:rsidR="005D7789" w:rsidRPr="00176959" w:rsidRDefault="005D7789" w:rsidP="00176959">
      <w:pPr>
        <w:spacing w:before="0" w:after="120" w:line="240" w:lineRule="auto"/>
        <w:ind w:left="142"/>
        <w:jc w:val="left"/>
        <w:rPr>
          <w:sz w:val="18"/>
          <w:szCs w:val="18"/>
        </w:rPr>
      </w:pPr>
    </w:p>
    <w:p w:rsidR="00032262" w:rsidRDefault="00032262" w:rsidP="00032262">
      <w:pPr>
        <w:spacing w:before="0" w:after="120" w:line="240" w:lineRule="auto"/>
        <w:jc w:val="center"/>
        <w:rPr>
          <w:b/>
        </w:rPr>
      </w:pPr>
      <w:r w:rsidRPr="00BC44A7">
        <w:rPr>
          <w:b/>
        </w:rPr>
        <w:lastRenderedPageBreak/>
        <w:t xml:space="preserve">Tabela </w:t>
      </w:r>
      <w:r>
        <w:rPr>
          <w:b/>
        </w:rPr>
        <w:t>2:</w:t>
      </w:r>
      <w:r w:rsidRPr="00BC44A7">
        <w:rPr>
          <w:b/>
        </w:rPr>
        <w:t xml:space="preserve"> Descrição das Variáveis</w:t>
      </w:r>
      <w:r>
        <w:rPr>
          <w:b/>
        </w:rPr>
        <w:t xml:space="preserve"> (continuação)</w:t>
      </w:r>
    </w:p>
    <w:tbl>
      <w:tblPr>
        <w:tblW w:w="9915" w:type="dxa"/>
        <w:jc w:val="center"/>
        <w:tblInd w:w="-682" w:type="dxa"/>
        <w:tblCellMar>
          <w:left w:w="70" w:type="dxa"/>
          <w:right w:w="70" w:type="dxa"/>
        </w:tblCellMar>
        <w:tblLook w:val="04A0" w:firstRow="1" w:lastRow="0" w:firstColumn="1" w:lastColumn="0" w:noHBand="0" w:noVBand="1"/>
      </w:tblPr>
      <w:tblGrid>
        <w:gridCol w:w="1519"/>
        <w:gridCol w:w="2039"/>
        <w:gridCol w:w="4763"/>
        <w:gridCol w:w="1594"/>
      </w:tblGrid>
      <w:tr w:rsidR="00032262" w:rsidRPr="00316CAB" w:rsidTr="00524A84">
        <w:trPr>
          <w:trHeight w:val="510"/>
          <w:jc w:val="center"/>
        </w:trPr>
        <w:tc>
          <w:tcPr>
            <w:tcW w:w="1519" w:type="dxa"/>
            <w:tcBorders>
              <w:top w:val="single" w:sz="4" w:space="0" w:color="auto"/>
              <w:left w:val="single" w:sz="8" w:space="0" w:color="auto"/>
              <w:bottom w:val="single" w:sz="8" w:space="0" w:color="000000"/>
              <w:right w:val="nil"/>
            </w:tcBorders>
            <w:shd w:val="clear" w:color="auto" w:fill="auto"/>
            <w:vAlign w:val="center"/>
          </w:tcPr>
          <w:p w:rsidR="00032262" w:rsidRPr="00316CAB" w:rsidRDefault="00032262" w:rsidP="00524A84">
            <w:pPr>
              <w:autoSpaceDE/>
              <w:autoSpaceDN/>
              <w:adjustRightInd/>
              <w:spacing w:before="0" w:line="240" w:lineRule="auto"/>
              <w:jc w:val="center"/>
              <w:rPr>
                <w:rFonts w:eastAsia="Times New Roman"/>
                <w:b/>
                <w:noProof w:val="0"/>
              </w:rPr>
            </w:pPr>
            <w:r w:rsidRPr="00316CAB">
              <w:rPr>
                <w:rFonts w:eastAsia="Times New Roman"/>
                <w:b/>
                <w:noProof w:val="0"/>
              </w:rPr>
              <w:t>Categoria</w:t>
            </w:r>
          </w:p>
        </w:tc>
        <w:tc>
          <w:tcPr>
            <w:tcW w:w="2039" w:type="dxa"/>
            <w:tcBorders>
              <w:top w:val="single" w:sz="4" w:space="0" w:color="auto"/>
              <w:left w:val="nil"/>
              <w:bottom w:val="single" w:sz="4" w:space="0" w:color="auto"/>
              <w:right w:val="nil"/>
            </w:tcBorders>
            <w:shd w:val="clear" w:color="auto" w:fill="auto"/>
            <w:vAlign w:val="center"/>
          </w:tcPr>
          <w:p w:rsidR="00032262" w:rsidRPr="00316CAB" w:rsidRDefault="00032262" w:rsidP="00524A84">
            <w:pPr>
              <w:autoSpaceDE/>
              <w:autoSpaceDN/>
              <w:adjustRightInd/>
              <w:spacing w:before="0" w:line="240" w:lineRule="auto"/>
              <w:jc w:val="center"/>
              <w:rPr>
                <w:rFonts w:eastAsia="Times New Roman"/>
                <w:b/>
                <w:iCs/>
                <w:noProof w:val="0"/>
                <w:color w:val="000000"/>
              </w:rPr>
            </w:pPr>
            <w:r w:rsidRPr="00316CAB">
              <w:rPr>
                <w:rFonts w:eastAsia="Times New Roman"/>
                <w:b/>
                <w:iCs/>
                <w:noProof w:val="0"/>
                <w:color w:val="000000"/>
              </w:rPr>
              <w:t>Variável</w:t>
            </w:r>
          </w:p>
        </w:tc>
        <w:tc>
          <w:tcPr>
            <w:tcW w:w="4763" w:type="dxa"/>
            <w:tcBorders>
              <w:top w:val="single" w:sz="4" w:space="0" w:color="auto"/>
              <w:left w:val="nil"/>
              <w:bottom w:val="single" w:sz="4" w:space="0" w:color="auto"/>
              <w:right w:val="nil"/>
            </w:tcBorders>
            <w:shd w:val="clear" w:color="auto" w:fill="auto"/>
            <w:vAlign w:val="center"/>
          </w:tcPr>
          <w:p w:rsidR="00032262" w:rsidRPr="00316CAB" w:rsidRDefault="00032262" w:rsidP="00524A84">
            <w:pPr>
              <w:autoSpaceDE/>
              <w:autoSpaceDN/>
              <w:adjustRightInd/>
              <w:spacing w:before="0" w:line="240" w:lineRule="auto"/>
              <w:jc w:val="center"/>
              <w:rPr>
                <w:rFonts w:eastAsia="Times New Roman"/>
                <w:b/>
                <w:noProof w:val="0"/>
                <w:color w:val="000000"/>
              </w:rPr>
            </w:pPr>
            <w:r w:rsidRPr="00316CAB">
              <w:rPr>
                <w:rFonts w:eastAsia="Times New Roman"/>
                <w:b/>
                <w:noProof w:val="0"/>
                <w:color w:val="000000"/>
              </w:rPr>
              <w:t>Descri</w:t>
            </w:r>
            <w:r>
              <w:rPr>
                <w:rFonts w:eastAsia="Times New Roman"/>
                <w:b/>
                <w:noProof w:val="0"/>
                <w:color w:val="000000"/>
              </w:rPr>
              <w:t>ç</w:t>
            </w:r>
            <w:r w:rsidRPr="00316CAB">
              <w:rPr>
                <w:rFonts w:eastAsia="Times New Roman"/>
                <w:b/>
                <w:noProof w:val="0"/>
                <w:color w:val="000000"/>
              </w:rPr>
              <w:t>ão</w:t>
            </w:r>
          </w:p>
        </w:tc>
        <w:tc>
          <w:tcPr>
            <w:tcW w:w="1594" w:type="dxa"/>
            <w:tcBorders>
              <w:top w:val="single" w:sz="4" w:space="0" w:color="auto"/>
              <w:left w:val="nil"/>
              <w:bottom w:val="single" w:sz="8" w:space="0" w:color="000000"/>
              <w:right w:val="single" w:sz="8" w:space="0" w:color="auto"/>
            </w:tcBorders>
            <w:shd w:val="clear" w:color="auto" w:fill="auto"/>
            <w:vAlign w:val="center"/>
          </w:tcPr>
          <w:p w:rsidR="00032262" w:rsidRPr="00316CAB" w:rsidRDefault="00032262" w:rsidP="00524A84">
            <w:pPr>
              <w:autoSpaceDE/>
              <w:autoSpaceDN/>
              <w:adjustRightInd/>
              <w:spacing w:before="0" w:line="240" w:lineRule="auto"/>
              <w:jc w:val="center"/>
              <w:rPr>
                <w:rFonts w:eastAsia="Times New Roman"/>
                <w:b/>
                <w:noProof w:val="0"/>
                <w:color w:val="000000"/>
              </w:rPr>
            </w:pPr>
            <w:r w:rsidRPr="00316CAB">
              <w:rPr>
                <w:rFonts w:eastAsia="Times New Roman"/>
                <w:b/>
                <w:noProof w:val="0"/>
                <w:color w:val="000000"/>
              </w:rPr>
              <w:t>Fonte</w:t>
            </w:r>
          </w:p>
        </w:tc>
      </w:tr>
      <w:tr w:rsidR="002806FA" w:rsidRPr="00316CAB" w:rsidTr="002E704B">
        <w:trPr>
          <w:trHeight w:val="227"/>
          <w:jc w:val="center"/>
        </w:trPr>
        <w:tc>
          <w:tcPr>
            <w:tcW w:w="1519" w:type="dxa"/>
            <w:vMerge w:val="restart"/>
            <w:tcBorders>
              <w:top w:val="single" w:sz="4" w:space="0" w:color="auto"/>
              <w:left w:val="single" w:sz="8" w:space="0" w:color="auto"/>
              <w:right w:val="nil"/>
            </w:tcBorders>
            <w:shd w:val="clear" w:color="auto" w:fill="auto"/>
            <w:vAlign w:val="center"/>
          </w:tcPr>
          <w:p w:rsidR="002806FA" w:rsidRPr="00055054" w:rsidRDefault="002806FA" w:rsidP="00524A84">
            <w:pPr>
              <w:autoSpaceDE/>
              <w:autoSpaceDN/>
              <w:adjustRightInd/>
              <w:spacing w:before="0" w:line="240" w:lineRule="auto"/>
              <w:jc w:val="center"/>
              <w:rPr>
                <w:rFonts w:eastAsia="Times New Roman"/>
                <w:noProof w:val="0"/>
              </w:rPr>
            </w:pPr>
            <w:r w:rsidRPr="00055054">
              <w:rPr>
                <w:rFonts w:eastAsia="Times New Roman"/>
                <w:noProof w:val="0"/>
              </w:rPr>
              <w:t>Oferta de serviços de saúde</w:t>
            </w:r>
          </w:p>
        </w:tc>
        <w:tc>
          <w:tcPr>
            <w:tcW w:w="2039" w:type="dxa"/>
            <w:tcBorders>
              <w:top w:val="single" w:sz="4" w:space="0" w:color="auto"/>
              <w:left w:val="nil"/>
              <w:bottom w:val="single" w:sz="4" w:space="0" w:color="auto"/>
              <w:right w:val="nil"/>
            </w:tcBorders>
            <w:shd w:val="clear" w:color="auto" w:fill="auto"/>
            <w:vAlign w:val="center"/>
          </w:tcPr>
          <w:p w:rsidR="002806FA" w:rsidRPr="00055054" w:rsidRDefault="002806FA" w:rsidP="00524A84">
            <w:pPr>
              <w:autoSpaceDE/>
              <w:autoSpaceDN/>
              <w:adjustRightInd/>
              <w:spacing w:before="0" w:line="240" w:lineRule="auto"/>
              <w:jc w:val="left"/>
              <w:rPr>
                <w:rFonts w:eastAsia="Times New Roman"/>
                <w:i/>
                <w:iCs/>
                <w:noProof w:val="0"/>
                <w:color w:val="000000"/>
              </w:rPr>
            </w:pPr>
            <w:r w:rsidRPr="00055054">
              <w:rPr>
                <w:rFonts w:eastAsia="Times New Roman"/>
                <w:i/>
                <w:iCs/>
                <w:noProof w:val="0"/>
                <w:color w:val="000000"/>
              </w:rPr>
              <w:t>prod_amb_bas_hab</w:t>
            </w:r>
          </w:p>
        </w:tc>
        <w:tc>
          <w:tcPr>
            <w:tcW w:w="4763" w:type="dxa"/>
            <w:tcBorders>
              <w:top w:val="single" w:sz="4" w:space="0" w:color="auto"/>
              <w:left w:val="nil"/>
              <w:bottom w:val="single" w:sz="4" w:space="0" w:color="auto"/>
              <w:right w:val="nil"/>
            </w:tcBorders>
            <w:shd w:val="clear" w:color="auto" w:fill="auto"/>
            <w:vAlign w:val="center"/>
          </w:tcPr>
          <w:p w:rsidR="002806FA" w:rsidRPr="00055054" w:rsidRDefault="002806FA" w:rsidP="00524A84">
            <w:pPr>
              <w:autoSpaceDE/>
              <w:autoSpaceDN/>
              <w:adjustRightInd/>
              <w:spacing w:before="0" w:line="240" w:lineRule="auto"/>
              <w:jc w:val="left"/>
              <w:rPr>
                <w:rFonts w:eastAsia="Times New Roman"/>
                <w:noProof w:val="0"/>
                <w:color w:val="000000"/>
              </w:rPr>
            </w:pPr>
            <w:r w:rsidRPr="00055054">
              <w:rPr>
                <w:rFonts w:eastAsia="Times New Roman"/>
                <w:noProof w:val="0"/>
                <w:color w:val="000000"/>
              </w:rPr>
              <w:t>Quantidade de procedimentos "Básicos" aprovados para pagamento pelas Secretarias de Saúde, dividida pela população do município</w:t>
            </w:r>
          </w:p>
        </w:tc>
        <w:tc>
          <w:tcPr>
            <w:tcW w:w="1594" w:type="dxa"/>
            <w:vMerge w:val="restart"/>
            <w:tcBorders>
              <w:top w:val="single" w:sz="4" w:space="0" w:color="auto"/>
              <w:left w:val="nil"/>
              <w:right w:val="single" w:sz="8" w:space="0" w:color="auto"/>
            </w:tcBorders>
            <w:shd w:val="clear" w:color="auto" w:fill="auto"/>
            <w:vAlign w:val="center"/>
          </w:tcPr>
          <w:p w:rsidR="002806FA" w:rsidRPr="001A0190" w:rsidRDefault="002806FA" w:rsidP="00524A84">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DATASUS</w:t>
            </w:r>
          </w:p>
        </w:tc>
      </w:tr>
      <w:tr w:rsidR="002806FA" w:rsidRPr="00316CAB" w:rsidTr="002E704B">
        <w:trPr>
          <w:trHeight w:val="227"/>
          <w:jc w:val="center"/>
        </w:trPr>
        <w:tc>
          <w:tcPr>
            <w:tcW w:w="1519" w:type="dxa"/>
            <w:vMerge/>
            <w:tcBorders>
              <w:left w:val="single" w:sz="8" w:space="0" w:color="auto"/>
              <w:bottom w:val="single" w:sz="8" w:space="0" w:color="000000"/>
              <w:right w:val="nil"/>
            </w:tcBorders>
            <w:shd w:val="clear" w:color="auto" w:fill="auto"/>
            <w:vAlign w:val="center"/>
          </w:tcPr>
          <w:p w:rsidR="002806FA" w:rsidRPr="00055054" w:rsidRDefault="002806FA" w:rsidP="00524A84">
            <w:pPr>
              <w:autoSpaceDE/>
              <w:autoSpaceDN/>
              <w:adjustRightInd/>
              <w:spacing w:before="0" w:line="240" w:lineRule="auto"/>
              <w:jc w:val="center"/>
              <w:rPr>
                <w:rFonts w:eastAsia="Times New Roman"/>
                <w:noProof w:val="0"/>
              </w:rPr>
            </w:pPr>
          </w:p>
        </w:tc>
        <w:tc>
          <w:tcPr>
            <w:tcW w:w="2039" w:type="dxa"/>
            <w:tcBorders>
              <w:top w:val="single" w:sz="4" w:space="0" w:color="auto"/>
              <w:left w:val="nil"/>
              <w:bottom w:val="single" w:sz="4" w:space="0" w:color="auto"/>
              <w:right w:val="nil"/>
            </w:tcBorders>
            <w:shd w:val="clear" w:color="auto" w:fill="auto"/>
            <w:vAlign w:val="center"/>
          </w:tcPr>
          <w:p w:rsidR="002806FA" w:rsidRPr="00055054" w:rsidRDefault="002806FA" w:rsidP="00524A84">
            <w:pPr>
              <w:autoSpaceDE/>
              <w:autoSpaceDN/>
              <w:adjustRightInd/>
              <w:spacing w:before="0" w:line="240" w:lineRule="auto"/>
              <w:jc w:val="left"/>
              <w:rPr>
                <w:rFonts w:eastAsia="Times New Roman"/>
                <w:i/>
                <w:iCs/>
                <w:noProof w:val="0"/>
                <w:color w:val="000000"/>
              </w:rPr>
            </w:pPr>
            <w:r w:rsidRPr="00055054">
              <w:rPr>
                <w:rFonts w:eastAsia="Times New Roman"/>
                <w:i/>
                <w:iCs/>
                <w:noProof w:val="0"/>
                <w:color w:val="000000"/>
              </w:rPr>
              <w:t>prod_amb_Nbas_hab</w:t>
            </w:r>
          </w:p>
        </w:tc>
        <w:tc>
          <w:tcPr>
            <w:tcW w:w="4763" w:type="dxa"/>
            <w:tcBorders>
              <w:top w:val="single" w:sz="4" w:space="0" w:color="auto"/>
              <w:left w:val="nil"/>
              <w:bottom w:val="single" w:sz="4" w:space="0" w:color="auto"/>
              <w:right w:val="nil"/>
            </w:tcBorders>
            <w:shd w:val="clear" w:color="auto" w:fill="auto"/>
            <w:vAlign w:val="center"/>
          </w:tcPr>
          <w:p w:rsidR="002806FA" w:rsidRPr="00055054" w:rsidRDefault="002806FA" w:rsidP="00524A84">
            <w:pPr>
              <w:autoSpaceDE/>
              <w:autoSpaceDN/>
              <w:adjustRightInd/>
              <w:spacing w:before="0" w:line="240" w:lineRule="auto"/>
              <w:jc w:val="left"/>
              <w:rPr>
                <w:rFonts w:eastAsia="Times New Roman"/>
                <w:noProof w:val="0"/>
                <w:color w:val="000000"/>
              </w:rPr>
            </w:pPr>
            <w:r w:rsidRPr="00055054">
              <w:rPr>
                <w:rFonts w:eastAsia="Times New Roman"/>
                <w:noProof w:val="0"/>
                <w:color w:val="000000"/>
              </w:rPr>
              <w:t>Quantidade de procedimentos "Não Básicos" aprovados para pagamento pelas Secretarias de Saúde, dividida pela população do município</w:t>
            </w:r>
          </w:p>
        </w:tc>
        <w:tc>
          <w:tcPr>
            <w:tcW w:w="1594" w:type="dxa"/>
            <w:vMerge/>
            <w:tcBorders>
              <w:left w:val="nil"/>
              <w:bottom w:val="single" w:sz="8" w:space="0" w:color="000000"/>
              <w:right w:val="single" w:sz="8" w:space="0" w:color="auto"/>
            </w:tcBorders>
            <w:shd w:val="clear" w:color="auto" w:fill="auto"/>
            <w:vAlign w:val="center"/>
          </w:tcPr>
          <w:p w:rsidR="002806FA" w:rsidRPr="001A0190" w:rsidRDefault="002806FA" w:rsidP="00524A84">
            <w:pPr>
              <w:autoSpaceDE/>
              <w:autoSpaceDN/>
              <w:adjustRightInd/>
              <w:spacing w:before="0" w:line="240" w:lineRule="auto"/>
              <w:jc w:val="center"/>
              <w:rPr>
                <w:rFonts w:eastAsia="Times New Roman"/>
                <w:noProof w:val="0"/>
                <w:color w:val="000000"/>
                <w:sz w:val="18"/>
                <w:szCs w:val="18"/>
              </w:rPr>
            </w:pPr>
          </w:p>
        </w:tc>
      </w:tr>
      <w:tr w:rsidR="002806FA" w:rsidRPr="00316CAB" w:rsidTr="00524A84">
        <w:trPr>
          <w:trHeight w:val="227"/>
          <w:jc w:val="center"/>
        </w:trPr>
        <w:tc>
          <w:tcPr>
            <w:tcW w:w="1519" w:type="dxa"/>
            <w:vMerge w:val="restart"/>
            <w:tcBorders>
              <w:top w:val="single" w:sz="4" w:space="0" w:color="auto"/>
              <w:left w:val="single" w:sz="8" w:space="0" w:color="auto"/>
              <w:bottom w:val="single" w:sz="8" w:space="0" w:color="000000"/>
              <w:right w:val="nil"/>
            </w:tcBorders>
            <w:shd w:val="clear" w:color="auto" w:fill="auto"/>
            <w:vAlign w:val="center"/>
            <w:hideMark/>
          </w:tcPr>
          <w:p w:rsidR="002806FA" w:rsidRPr="00055054" w:rsidRDefault="002806FA" w:rsidP="00524A84">
            <w:pPr>
              <w:autoSpaceDE/>
              <w:autoSpaceDN/>
              <w:adjustRightInd/>
              <w:spacing w:before="0" w:line="240" w:lineRule="auto"/>
              <w:jc w:val="center"/>
              <w:rPr>
                <w:rFonts w:eastAsia="Times New Roman"/>
                <w:noProof w:val="0"/>
              </w:rPr>
            </w:pPr>
            <w:r w:rsidRPr="00055054">
              <w:rPr>
                <w:rFonts w:eastAsia="Times New Roman"/>
                <w:noProof w:val="0"/>
              </w:rPr>
              <w:t>Fatores políticos</w:t>
            </w:r>
          </w:p>
        </w:tc>
        <w:tc>
          <w:tcPr>
            <w:tcW w:w="2039" w:type="dxa"/>
            <w:tcBorders>
              <w:top w:val="single" w:sz="4" w:space="0" w:color="auto"/>
              <w:left w:val="nil"/>
              <w:bottom w:val="single" w:sz="4" w:space="0" w:color="auto"/>
              <w:right w:val="nil"/>
            </w:tcBorders>
            <w:shd w:val="clear" w:color="auto" w:fill="auto"/>
            <w:vAlign w:val="center"/>
            <w:hideMark/>
          </w:tcPr>
          <w:p w:rsidR="002806FA" w:rsidRPr="00055054" w:rsidRDefault="002806FA" w:rsidP="00524A84">
            <w:pPr>
              <w:autoSpaceDE/>
              <w:autoSpaceDN/>
              <w:adjustRightInd/>
              <w:spacing w:before="0" w:line="240" w:lineRule="auto"/>
              <w:jc w:val="left"/>
              <w:rPr>
                <w:rFonts w:eastAsia="Times New Roman"/>
                <w:i/>
                <w:iCs/>
                <w:noProof w:val="0"/>
                <w:color w:val="000000"/>
              </w:rPr>
            </w:pPr>
            <w:r w:rsidRPr="00055054">
              <w:rPr>
                <w:rFonts w:eastAsia="Times New Roman"/>
                <w:i/>
                <w:iCs/>
                <w:noProof w:val="0"/>
                <w:color w:val="000000"/>
              </w:rPr>
              <w:t>ind_partido_pres</w:t>
            </w:r>
          </w:p>
        </w:tc>
        <w:tc>
          <w:tcPr>
            <w:tcW w:w="4763" w:type="dxa"/>
            <w:tcBorders>
              <w:top w:val="single" w:sz="4" w:space="0" w:color="auto"/>
              <w:left w:val="nil"/>
              <w:bottom w:val="single" w:sz="4" w:space="0" w:color="auto"/>
              <w:right w:val="nil"/>
            </w:tcBorders>
            <w:shd w:val="clear" w:color="auto" w:fill="auto"/>
            <w:vAlign w:val="center"/>
            <w:hideMark/>
          </w:tcPr>
          <w:p w:rsidR="002806FA" w:rsidRPr="00055054" w:rsidRDefault="002806FA" w:rsidP="00524A84">
            <w:pPr>
              <w:autoSpaceDE/>
              <w:autoSpaceDN/>
              <w:adjustRightInd/>
              <w:spacing w:before="0" w:line="240" w:lineRule="auto"/>
              <w:jc w:val="left"/>
              <w:rPr>
                <w:rFonts w:eastAsia="Times New Roman"/>
                <w:noProof w:val="0"/>
                <w:color w:val="000000"/>
              </w:rPr>
            </w:pPr>
            <w:r w:rsidRPr="00055054">
              <w:rPr>
                <w:rFonts w:eastAsia="Times New Roman"/>
                <w:noProof w:val="0"/>
                <w:color w:val="000000"/>
              </w:rPr>
              <w:t>Indica se os partidos do prefeito e do presidente coincidem</w:t>
            </w:r>
          </w:p>
        </w:tc>
        <w:tc>
          <w:tcPr>
            <w:tcW w:w="1594" w:type="dxa"/>
            <w:vMerge w:val="restart"/>
            <w:tcBorders>
              <w:top w:val="single" w:sz="4" w:space="0" w:color="auto"/>
              <w:left w:val="nil"/>
              <w:bottom w:val="single" w:sz="8" w:space="0" w:color="000000"/>
              <w:right w:val="single" w:sz="8" w:space="0" w:color="auto"/>
            </w:tcBorders>
            <w:shd w:val="clear" w:color="auto" w:fill="auto"/>
            <w:vAlign w:val="center"/>
            <w:hideMark/>
          </w:tcPr>
          <w:p w:rsidR="002806FA" w:rsidRPr="001A0190" w:rsidRDefault="002806FA" w:rsidP="00524A84">
            <w:pPr>
              <w:autoSpaceDE/>
              <w:autoSpaceDN/>
              <w:adjustRightInd/>
              <w:spacing w:before="0" w:line="240" w:lineRule="auto"/>
              <w:jc w:val="center"/>
              <w:rPr>
                <w:rFonts w:eastAsia="Times New Roman"/>
                <w:noProof w:val="0"/>
                <w:color w:val="000000"/>
                <w:sz w:val="18"/>
                <w:szCs w:val="18"/>
              </w:rPr>
            </w:pPr>
            <w:r w:rsidRPr="001A0190">
              <w:rPr>
                <w:rFonts w:eastAsia="Times New Roman"/>
                <w:noProof w:val="0"/>
                <w:color w:val="000000"/>
                <w:sz w:val="18"/>
                <w:szCs w:val="18"/>
              </w:rPr>
              <w:t>IBGE e TSE - Tribunal Superior Eleitoral</w:t>
            </w:r>
          </w:p>
        </w:tc>
      </w:tr>
      <w:tr w:rsidR="002806FA" w:rsidRPr="00316CAB" w:rsidTr="00524A84">
        <w:trPr>
          <w:trHeight w:val="397"/>
          <w:jc w:val="center"/>
        </w:trPr>
        <w:tc>
          <w:tcPr>
            <w:tcW w:w="1519" w:type="dxa"/>
            <w:vMerge/>
            <w:tcBorders>
              <w:top w:val="nil"/>
              <w:left w:val="single" w:sz="8" w:space="0" w:color="auto"/>
              <w:bottom w:val="single" w:sz="8" w:space="0" w:color="000000"/>
              <w:right w:val="nil"/>
            </w:tcBorders>
            <w:vAlign w:val="center"/>
            <w:hideMark/>
          </w:tcPr>
          <w:p w:rsidR="002806FA" w:rsidRPr="00055054" w:rsidRDefault="002806FA" w:rsidP="00524A84">
            <w:pPr>
              <w:autoSpaceDE/>
              <w:autoSpaceDN/>
              <w:adjustRightInd/>
              <w:spacing w:before="0" w:line="240" w:lineRule="auto"/>
              <w:jc w:val="left"/>
              <w:rPr>
                <w:rFonts w:eastAsia="Times New Roman"/>
                <w:noProof w:val="0"/>
              </w:rPr>
            </w:pPr>
          </w:p>
        </w:tc>
        <w:tc>
          <w:tcPr>
            <w:tcW w:w="2039" w:type="dxa"/>
            <w:tcBorders>
              <w:top w:val="nil"/>
              <w:left w:val="nil"/>
              <w:bottom w:val="single" w:sz="8" w:space="0" w:color="auto"/>
              <w:right w:val="nil"/>
            </w:tcBorders>
            <w:shd w:val="clear" w:color="auto" w:fill="auto"/>
            <w:vAlign w:val="center"/>
            <w:hideMark/>
          </w:tcPr>
          <w:p w:rsidR="002806FA" w:rsidRPr="00055054" w:rsidRDefault="002806FA" w:rsidP="00524A84">
            <w:pPr>
              <w:autoSpaceDE/>
              <w:autoSpaceDN/>
              <w:adjustRightInd/>
              <w:spacing w:before="0" w:line="240" w:lineRule="auto"/>
              <w:jc w:val="left"/>
              <w:rPr>
                <w:rFonts w:eastAsia="Times New Roman"/>
                <w:i/>
                <w:iCs/>
                <w:noProof w:val="0"/>
                <w:color w:val="000000"/>
              </w:rPr>
            </w:pPr>
            <w:r w:rsidRPr="00055054">
              <w:rPr>
                <w:rFonts w:eastAsia="Times New Roman"/>
                <w:i/>
                <w:iCs/>
                <w:noProof w:val="0"/>
                <w:color w:val="000000"/>
              </w:rPr>
              <w:t>ind_partido_aliado</w:t>
            </w:r>
          </w:p>
        </w:tc>
        <w:tc>
          <w:tcPr>
            <w:tcW w:w="4763" w:type="dxa"/>
            <w:tcBorders>
              <w:top w:val="nil"/>
              <w:left w:val="nil"/>
              <w:bottom w:val="single" w:sz="8" w:space="0" w:color="auto"/>
              <w:right w:val="nil"/>
            </w:tcBorders>
            <w:shd w:val="clear" w:color="auto" w:fill="auto"/>
            <w:vAlign w:val="center"/>
            <w:hideMark/>
          </w:tcPr>
          <w:p w:rsidR="002806FA" w:rsidRPr="00055054" w:rsidRDefault="002806FA" w:rsidP="00524A84">
            <w:pPr>
              <w:autoSpaceDE/>
              <w:autoSpaceDN/>
              <w:adjustRightInd/>
              <w:spacing w:before="0" w:line="240" w:lineRule="auto"/>
              <w:jc w:val="left"/>
              <w:rPr>
                <w:rFonts w:eastAsia="Times New Roman"/>
                <w:noProof w:val="0"/>
                <w:color w:val="000000"/>
              </w:rPr>
            </w:pPr>
            <w:r w:rsidRPr="00055054">
              <w:rPr>
                <w:rFonts w:eastAsia="Times New Roman"/>
                <w:noProof w:val="0"/>
                <w:color w:val="000000"/>
              </w:rPr>
              <w:t>Indica se o partido do prefeito participou da coligação que elegeu o presidente</w:t>
            </w:r>
          </w:p>
        </w:tc>
        <w:tc>
          <w:tcPr>
            <w:tcW w:w="1594" w:type="dxa"/>
            <w:vMerge/>
            <w:tcBorders>
              <w:top w:val="nil"/>
              <w:left w:val="nil"/>
              <w:bottom w:val="single" w:sz="8" w:space="0" w:color="000000"/>
              <w:right w:val="single" w:sz="8" w:space="0" w:color="auto"/>
            </w:tcBorders>
            <w:vAlign w:val="center"/>
            <w:hideMark/>
          </w:tcPr>
          <w:p w:rsidR="002806FA" w:rsidRPr="001A0190" w:rsidRDefault="002806FA" w:rsidP="00524A84">
            <w:pPr>
              <w:autoSpaceDE/>
              <w:autoSpaceDN/>
              <w:adjustRightInd/>
              <w:spacing w:before="0" w:line="240" w:lineRule="auto"/>
              <w:jc w:val="left"/>
              <w:rPr>
                <w:rFonts w:eastAsia="Times New Roman"/>
                <w:noProof w:val="0"/>
                <w:color w:val="000000"/>
              </w:rPr>
            </w:pPr>
          </w:p>
        </w:tc>
      </w:tr>
    </w:tbl>
    <w:p w:rsidR="00D40133" w:rsidRPr="00D40133" w:rsidRDefault="00D40133" w:rsidP="00032262">
      <w:pPr>
        <w:spacing w:before="40" w:after="240" w:line="240" w:lineRule="auto"/>
        <w:ind w:firstLine="709"/>
        <w:rPr>
          <w:sz w:val="18"/>
          <w:szCs w:val="18"/>
        </w:rPr>
      </w:pPr>
      <w:r w:rsidRPr="00D40133">
        <w:rPr>
          <w:sz w:val="18"/>
          <w:szCs w:val="18"/>
        </w:rPr>
        <w:t>Fonte: Dados do estudo.</w:t>
      </w:r>
    </w:p>
    <w:p w:rsidR="005A7444" w:rsidRPr="00C158E5" w:rsidRDefault="005A7444" w:rsidP="009B2A91">
      <w:pPr>
        <w:spacing w:before="120" w:after="120" w:line="240" w:lineRule="auto"/>
        <w:ind w:firstLine="709"/>
        <w:rPr>
          <w:sz w:val="24"/>
          <w:szCs w:val="24"/>
        </w:rPr>
      </w:pPr>
      <w:r w:rsidRPr="00C158E5">
        <w:rPr>
          <w:sz w:val="24"/>
          <w:szCs w:val="24"/>
        </w:rPr>
        <w:t xml:space="preserve">Em cada ano de referência entre 2002 e 2010, todos os municípios que apresentavam informações de arrecadação e </w:t>
      </w:r>
      <w:r>
        <w:rPr>
          <w:sz w:val="24"/>
          <w:szCs w:val="24"/>
        </w:rPr>
        <w:t>de transferências SUS</w:t>
      </w:r>
      <w:r w:rsidRPr="00C158E5">
        <w:rPr>
          <w:sz w:val="24"/>
          <w:szCs w:val="24"/>
        </w:rPr>
        <w:t xml:space="preserve"> preenchidas</w:t>
      </w:r>
      <w:r w:rsidR="00B7701C">
        <w:rPr>
          <w:sz w:val="24"/>
          <w:szCs w:val="24"/>
        </w:rPr>
        <w:t xml:space="preserve"> e válidas tanto no SIOPS quanto n</w:t>
      </w:r>
      <w:r w:rsidR="003E32FF">
        <w:rPr>
          <w:sz w:val="24"/>
          <w:szCs w:val="24"/>
        </w:rPr>
        <w:t>a</w:t>
      </w:r>
      <w:r w:rsidR="00B7701C">
        <w:rPr>
          <w:sz w:val="24"/>
          <w:szCs w:val="24"/>
        </w:rPr>
        <w:t xml:space="preserve"> STN foram considerados na base do estudo.</w:t>
      </w:r>
      <w:r w:rsidR="009B2A91">
        <w:rPr>
          <w:sz w:val="24"/>
          <w:szCs w:val="24"/>
        </w:rPr>
        <w:t xml:space="preserve"> C</w:t>
      </w:r>
      <w:r w:rsidRPr="00C158E5">
        <w:rPr>
          <w:sz w:val="24"/>
          <w:szCs w:val="24"/>
        </w:rPr>
        <w:t xml:space="preserve">lassificamos como válidas as informações monetárias </w:t>
      </w:r>
      <w:r w:rsidR="008C09E0">
        <w:rPr>
          <w:sz w:val="24"/>
          <w:szCs w:val="24"/>
        </w:rPr>
        <w:t>não inferiores a</w:t>
      </w:r>
      <w:r w:rsidR="00721F9D">
        <w:rPr>
          <w:sz w:val="24"/>
          <w:szCs w:val="24"/>
        </w:rPr>
        <w:t xml:space="preserve"> R$1,00</w:t>
      </w:r>
      <w:r w:rsidRPr="00C158E5">
        <w:rPr>
          <w:sz w:val="24"/>
          <w:szCs w:val="24"/>
        </w:rPr>
        <w:t>.</w:t>
      </w:r>
      <w:r w:rsidR="003E32FF">
        <w:rPr>
          <w:sz w:val="24"/>
          <w:szCs w:val="24"/>
        </w:rPr>
        <w:t xml:space="preserve"> </w:t>
      </w:r>
      <w:r w:rsidR="008C09E0">
        <w:rPr>
          <w:sz w:val="24"/>
          <w:szCs w:val="24"/>
        </w:rPr>
        <w:t>A</w:t>
      </w:r>
      <w:r w:rsidRPr="00C158E5">
        <w:rPr>
          <w:sz w:val="24"/>
          <w:szCs w:val="24"/>
        </w:rPr>
        <w:t xml:space="preserve">pesar das exclusões, a base construída cobre pelo menos </w:t>
      </w:r>
      <w:r w:rsidRPr="00C158E5">
        <w:rPr>
          <w:sz w:val="24"/>
          <w:szCs w:val="24"/>
        </w:rPr>
        <w:fldChar w:fldCharType="begin"/>
      </w:r>
      <w:r w:rsidRPr="00C158E5">
        <w:rPr>
          <w:sz w:val="24"/>
          <w:szCs w:val="24"/>
        </w:rPr>
        <w:instrText xml:space="preserve"> COMMENTS " $96.7\%$" </w:instrText>
      </w:r>
      <w:r w:rsidRPr="00C158E5">
        <w:rPr>
          <w:sz w:val="24"/>
          <w:szCs w:val="24"/>
        </w:rPr>
        <w:fldChar w:fldCharType="end"/>
      </w:r>
      <w:r w:rsidR="00BB3ACD">
        <w:rPr>
          <w:sz w:val="24"/>
          <w:szCs w:val="24"/>
        </w:rPr>
        <w:t>92</w:t>
      </w:r>
      <w:r w:rsidRPr="00C158E5">
        <w:rPr>
          <w:sz w:val="24"/>
          <w:szCs w:val="24"/>
        </w:rPr>
        <w:t>% dos municípios brasileiros em cada ano de referência, sendo que</w:t>
      </w:r>
      <w:r w:rsidR="00F04568">
        <w:rPr>
          <w:sz w:val="24"/>
          <w:szCs w:val="24"/>
        </w:rPr>
        <w:t>,</w:t>
      </w:r>
      <w:r w:rsidRPr="00C158E5">
        <w:rPr>
          <w:sz w:val="24"/>
          <w:szCs w:val="24"/>
        </w:rPr>
        <w:t xml:space="preserve"> em 2006</w:t>
      </w:r>
      <w:r w:rsidR="00F04568">
        <w:rPr>
          <w:sz w:val="24"/>
          <w:szCs w:val="24"/>
        </w:rPr>
        <w:t>,</w:t>
      </w:r>
      <w:r w:rsidRPr="00C158E5">
        <w:rPr>
          <w:sz w:val="24"/>
          <w:szCs w:val="24"/>
        </w:rPr>
        <w:t xml:space="preserve"> cobre </w:t>
      </w:r>
      <w:r w:rsidR="00BB3ACD">
        <w:rPr>
          <w:sz w:val="24"/>
          <w:szCs w:val="24"/>
        </w:rPr>
        <w:t>97,2</w:t>
      </w:r>
      <w:r w:rsidRPr="00C158E5">
        <w:rPr>
          <w:sz w:val="24"/>
          <w:szCs w:val="24"/>
        </w:rPr>
        <w:t>% dos municípios</w:t>
      </w:r>
      <w:r w:rsidR="003E32FF">
        <w:rPr>
          <w:sz w:val="24"/>
          <w:szCs w:val="24"/>
        </w:rPr>
        <w:t xml:space="preserve"> (5410 dos </w:t>
      </w:r>
      <w:r w:rsidR="003E32FF" w:rsidRPr="003E32FF">
        <w:rPr>
          <w:sz w:val="24"/>
          <w:szCs w:val="24"/>
        </w:rPr>
        <w:t>5563</w:t>
      </w:r>
      <w:r w:rsidR="003E32FF">
        <w:rPr>
          <w:sz w:val="24"/>
          <w:szCs w:val="24"/>
        </w:rPr>
        <w:t xml:space="preserve"> municípios)</w:t>
      </w:r>
      <w:r w:rsidRPr="00C158E5">
        <w:rPr>
          <w:sz w:val="24"/>
          <w:szCs w:val="24"/>
        </w:rPr>
        <w:t>.</w:t>
      </w:r>
      <w:r w:rsidR="005B5C54">
        <w:rPr>
          <w:sz w:val="24"/>
          <w:szCs w:val="24"/>
        </w:rPr>
        <w:t xml:space="preserve"> Em sua</w:t>
      </w:r>
      <w:r w:rsidR="00D961D4">
        <w:rPr>
          <w:sz w:val="24"/>
          <w:szCs w:val="24"/>
        </w:rPr>
        <w:t xml:space="preserve"> maioria, </w:t>
      </w:r>
      <w:r w:rsidR="003E32FF">
        <w:rPr>
          <w:sz w:val="24"/>
          <w:szCs w:val="24"/>
        </w:rPr>
        <w:t>as observações foram excluídas por ausência de informação em uma das fontes</w:t>
      </w:r>
      <w:r w:rsidR="00CB55A5">
        <w:rPr>
          <w:sz w:val="24"/>
          <w:szCs w:val="24"/>
        </w:rPr>
        <w:t xml:space="preserve">. </w:t>
      </w:r>
    </w:p>
    <w:p w:rsidR="005A7444" w:rsidRPr="00C158E5" w:rsidRDefault="005A7444" w:rsidP="00913B7A">
      <w:pPr>
        <w:spacing w:before="120" w:after="240" w:line="240" w:lineRule="auto"/>
        <w:ind w:firstLine="709"/>
        <w:rPr>
          <w:sz w:val="24"/>
          <w:szCs w:val="24"/>
        </w:rPr>
      </w:pPr>
      <w:r w:rsidRPr="00C158E5">
        <w:rPr>
          <w:sz w:val="24"/>
          <w:szCs w:val="24"/>
        </w:rPr>
        <w:t>A tabela </w:t>
      </w:r>
      <w:r>
        <w:rPr>
          <w:sz w:val="24"/>
          <w:szCs w:val="24"/>
        </w:rPr>
        <w:t>3</w:t>
      </w:r>
      <w:r w:rsidRPr="00C158E5">
        <w:rPr>
          <w:sz w:val="24"/>
          <w:szCs w:val="24"/>
        </w:rPr>
        <w:t xml:space="preserve"> apresenta</w:t>
      </w:r>
      <w:r>
        <w:rPr>
          <w:sz w:val="24"/>
          <w:szCs w:val="24"/>
        </w:rPr>
        <w:t xml:space="preserve"> uma</w:t>
      </w:r>
      <w:r w:rsidRPr="00C158E5">
        <w:rPr>
          <w:sz w:val="24"/>
          <w:szCs w:val="24"/>
        </w:rPr>
        <w:t xml:space="preserve"> análise bivariada relacionando arrecadação municipal </w:t>
      </w:r>
      <w:r w:rsidRPr="00C158E5">
        <w:rPr>
          <w:i/>
          <w:sz w:val="24"/>
          <w:szCs w:val="24"/>
        </w:rPr>
        <w:t>per capita</w:t>
      </w:r>
      <w:r w:rsidRPr="00C158E5">
        <w:rPr>
          <w:sz w:val="24"/>
          <w:szCs w:val="24"/>
        </w:rPr>
        <w:t xml:space="preserve"> e as transferências </w:t>
      </w:r>
      <w:r w:rsidRPr="00C158E5">
        <w:rPr>
          <w:i/>
          <w:sz w:val="24"/>
          <w:szCs w:val="24"/>
        </w:rPr>
        <w:t>per capita</w:t>
      </w:r>
      <w:r w:rsidRPr="00C158E5">
        <w:rPr>
          <w:sz w:val="24"/>
          <w:szCs w:val="24"/>
        </w:rPr>
        <w:t xml:space="preserve"> recebidas do SUS ao longo dos anos</w:t>
      </w:r>
      <w:r>
        <w:rPr>
          <w:sz w:val="24"/>
          <w:szCs w:val="24"/>
        </w:rPr>
        <w:t>.</w:t>
      </w:r>
      <w:r w:rsidRPr="00C158E5">
        <w:rPr>
          <w:sz w:val="24"/>
          <w:szCs w:val="24"/>
        </w:rPr>
        <w:t xml:space="preserve"> </w:t>
      </w:r>
      <w:r>
        <w:rPr>
          <w:sz w:val="24"/>
          <w:szCs w:val="24"/>
        </w:rPr>
        <w:t>D</w:t>
      </w:r>
      <w:r w:rsidRPr="00C158E5">
        <w:rPr>
          <w:sz w:val="24"/>
          <w:szCs w:val="24"/>
        </w:rPr>
        <w:t xml:space="preserve">ividiu-se a distribuição das transferências </w:t>
      </w:r>
      <w:r w:rsidRPr="00C158E5">
        <w:rPr>
          <w:i/>
          <w:sz w:val="24"/>
          <w:szCs w:val="24"/>
        </w:rPr>
        <w:t>per capita</w:t>
      </w:r>
      <w:r w:rsidRPr="00C158E5">
        <w:rPr>
          <w:sz w:val="24"/>
          <w:szCs w:val="24"/>
        </w:rPr>
        <w:t xml:space="preserve"> em quartis (Q1, Q2, Q3 e Q4) e calculou-se a arrecadação </w:t>
      </w:r>
      <w:r w:rsidRPr="00C158E5">
        <w:rPr>
          <w:i/>
          <w:sz w:val="24"/>
          <w:szCs w:val="24"/>
        </w:rPr>
        <w:t>per capita</w:t>
      </w:r>
      <w:r w:rsidRPr="00C158E5">
        <w:rPr>
          <w:sz w:val="24"/>
          <w:szCs w:val="24"/>
        </w:rPr>
        <w:t xml:space="preserve"> m</w:t>
      </w:r>
      <w:r>
        <w:rPr>
          <w:sz w:val="24"/>
          <w:szCs w:val="24"/>
        </w:rPr>
        <w:t>édia em cada um desses quartis. A</w:t>
      </w:r>
      <w:r w:rsidRPr="00C158E5">
        <w:rPr>
          <w:sz w:val="24"/>
          <w:szCs w:val="24"/>
        </w:rPr>
        <w:t xml:space="preserve"> análise bivariada demonstra a correlação positiva entre arrecadação municipal e transferências fundo a fundo do SUS </w:t>
      </w:r>
      <w:r w:rsidRPr="005A7444">
        <w:rPr>
          <w:i/>
          <w:sz w:val="24"/>
          <w:szCs w:val="24"/>
        </w:rPr>
        <w:t>per capita</w:t>
      </w:r>
      <w:r w:rsidRPr="00C158E5">
        <w:rPr>
          <w:sz w:val="24"/>
          <w:szCs w:val="24"/>
        </w:rPr>
        <w:t>. Note que, na tabela </w:t>
      </w:r>
      <w:r>
        <w:rPr>
          <w:sz w:val="24"/>
          <w:szCs w:val="24"/>
        </w:rPr>
        <w:t>3</w:t>
      </w:r>
      <w:r w:rsidRPr="00C158E5">
        <w:rPr>
          <w:sz w:val="24"/>
          <w:szCs w:val="24"/>
        </w:rPr>
        <w:t xml:space="preserve">, em geral, em um mesmo ano de referência, os valores médios de arrecadação </w:t>
      </w:r>
      <w:r w:rsidRPr="00C158E5">
        <w:rPr>
          <w:i/>
          <w:sz w:val="24"/>
          <w:szCs w:val="24"/>
        </w:rPr>
        <w:t>per capita</w:t>
      </w:r>
      <w:r w:rsidRPr="00C158E5">
        <w:rPr>
          <w:sz w:val="24"/>
          <w:szCs w:val="24"/>
        </w:rPr>
        <w:t xml:space="preserve"> crescem quando crescem os quartis das transferências SUS.</w:t>
      </w:r>
    </w:p>
    <w:p w:rsidR="00E9008B" w:rsidRPr="00C158E5" w:rsidRDefault="0013755C" w:rsidP="00C16190">
      <w:pPr>
        <w:pStyle w:val="Legenda"/>
        <w:spacing w:before="0" w:after="0" w:line="240" w:lineRule="auto"/>
        <w:contextualSpacing/>
        <w:jc w:val="center"/>
        <w:rPr>
          <w:b/>
        </w:rPr>
      </w:pPr>
      <w:r w:rsidRPr="00C158E5">
        <w:rPr>
          <w:b/>
        </w:rPr>
        <w:t xml:space="preserve">Tabela </w:t>
      </w:r>
      <w:r w:rsidR="0055796C">
        <w:rPr>
          <w:b/>
        </w:rPr>
        <w:t>3</w:t>
      </w:r>
      <w:r w:rsidRPr="00C158E5">
        <w:rPr>
          <w:b/>
        </w:rPr>
        <w:t xml:space="preserve">: Arrecadação municipal </w:t>
      </w:r>
      <w:r w:rsidRPr="00C158E5">
        <w:rPr>
          <w:b/>
          <w:i/>
        </w:rPr>
        <w:t>per capita</w:t>
      </w:r>
      <w:r w:rsidRPr="00C158E5">
        <w:rPr>
          <w:b/>
        </w:rPr>
        <w:t xml:space="preserve"> média </w:t>
      </w:r>
      <w:r w:rsidR="00716366" w:rsidRPr="00C158E5">
        <w:rPr>
          <w:b/>
        </w:rPr>
        <w:t>(</w:t>
      </w:r>
      <w:r w:rsidR="005D7789">
        <w:rPr>
          <w:b/>
        </w:rPr>
        <w:t xml:space="preserve">em </w:t>
      </w:r>
      <w:r w:rsidR="00716366" w:rsidRPr="00C158E5">
        <w:rPr>
          <w:b/>
        </w:rPr>
        <w:t xml:space="preserve">R$ de 2011) </w:t>
      </w:r>
      <w:r w:rsidRPr="00C158E5">
        <w:rPr>
          <w:b/>
        </w:rPr>
        <w:t>por quartil de transferências SUS – por ano</w:t>
      </w:r>
      <w:r w:rsidRPr="00C158E5">
        <w:rPr>
          <w:b/>
        </w:rPr>
        <w:fldChar w:fldCharType="begin"/>
      </w:r>
      <w:r w:rsidRPr="00C158E5">
        <w:rPr>
          <w:b/>
        </w:rPr>
        <w:instrText>TC "11 Arrecadação municipal per capita média por quartil de transferências SUS – por ano" \f t</w:instrText>
      </w:r>
      <w:r w:rsidRPr="00C158E5">
        <w:rPr>
          <w:b/>
        </w:rPr>
        <w:fldChar w:fldCharType="end"/>
      </w:r>
    </w:p>
    <w:tbl>
      <w:tblPr>
        <w:tblpPr w:leftFromText="141" w:rightFromText="141" w:vertAnchor="text" w:horzAnchor="margin" w:tblpXSpec="center" w:tblpY="101"/>
        <w:tblW w:w="0" w:type="auto"/>
        <w:tblLayout w:type="fixed"/>
        <w:tblCellMar>
          <w:left w:w="0" w:type="dxa"/>
          <w:right w:w="0" w:type="dxa"/>
        </w:tblCellMar>
        <w:tblLook w:val="0000" w:firstRow="0" w:lastRow="0" w:firstColumn="0" w:lastColumn="0" w:noHBand="0" w:noVBand="0"/>
      </w:tblPr>
      <w:tblGrid>
        <w:gridCol w:w="1336"/>
        <w:gridCol w:w="850"/>
        <w:gridCol w:w="850"/>
        <w:gridCol w:w="850"/>
        <w:gridCol w:w="850"/>
        <w:gridCol w:w="850"/>
        <w:gridCol w:w="850"/>
        <w:gridCol w:w="850"/>
        <w:gridCol w:w="296"/>
        <w:gridCol w:w="554"/>
        <w:gridCol w:w="850"/>
      </w:tblGrid>
      <w:tr w:rsidR="004412C2" w:rsidRPr="00C158E5" w:rsidTr="001443A2">
        <w:trPr>
          <w:trHeight w:val="340"/>
        </w:trPr>
        <w:tc>
          <w:tcPr>
            <w:tcW w:w="1336" w:type="dxa"/>
            <w:tcBorders>
              <w:top w:val="single" w:sz="4" w:space="0" w:color="auto"/>
              <w:left w:val="single" w:sz="4" w:space="0" w:color="auto"/>
              <w:bottom w:val="single" w:sz="4" w:space="0" w:color="auto"/>
              <w:right w:val="single" w:sz="4" w:space="0" w:color="auto"/>
            </w:tcBorders>
            <w:vAlign w:val="center"/>
          </w:tcPr>
          <w:p w:rsidR="004412C2" w:rsidRPr="001443A2" w:rsidRDefault="00903828" w:rsidP="001443A2">
            <w:pPr>
              <w:spacing w:before="0" w:line="240" w:lineRule="auto"/>
              <w:contextualSpacing/>
              <w:jc w:val="center"/>
              <w:rPr>
                <w:b/>
              </w:rPr>
            </w:pPr>
            <w:r w:rsidRPr="001443A2">
              <w:rPr>
                <w:b/>
              </w:rPr>
              <w:t>Quartil SUS</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2004</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2005</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2006</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2007</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2008</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2009</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903828" w:rsidRDefault="004412C2" w:rsidP="00903828">
            <w:pPr>
              <w:spacing w:line="240" w:lineRule="auto"/>
              <w:contextualSpacing/>
              <w:jc w:val="center"/>
              <w:rPr>
                <w:b/>
              </w:rPr>
            </w:pPr>
            <w:r w:rsidRPr="00903828">
              <w:rPr>
                <w:b/>
              </w:rPr>
              <w:t>2010</w:t>
            </w:r>
          </w:p>
        </w:tc>
      </w:tr>
      <w:tr w:rsidR="004412C2" w:rsidRPr="00C158E5" w:rsidTr="001443A2">
        <w:trPr>
          <w:trHeight w:val="340"/>
        </w:trPr>
        <w:tc>
          <w:tcPr>
            <w:tcW w:w="1336"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Q1</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824</w:t>
            </w:r>
            <w:r w:rsidR="00C47065">
              <w:t>,</w:t>
            </w:r>
            <w:r w:rsidRPr="00CF0415">
              <w:t>83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782</w:t>
            </w:r>
            <w:r w:rsidR="00C47065">
              <w:t>,</w:t>
            </w:r>
            <w:r w:rsidRPr="00CF0415">
              <w:t>74</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804</w:t>
            </w:r>
            <w:r w:rsidR="00C47065">
              <w:t>,</w:t>
            </w:r>
            <w:r w:rsidRPr="00CF0415">
              <w:t>22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968</w:t>
            </w:r>
            <w:r w:rsidR="00C47065">
              <w:t>,</w:t>
            </w:r>
            <w:r w:rsidRPr="00CF0415">
              <w:t>62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977</w:t>
            </w:r>
            <w:r w:rsidR="00C47065">
              <w:t>,</w:t>
            </w:r>
            <w:r w:rsidRPr="00CF0415">
              <w:t>03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1079</w:t>
            </w:r>
            <w:r w:rsidR="00C47065">
              <w:t>,</w:t>
            </w:r>
            <w:r w:rsidRPr="00CF0415">
              <w:t>4</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1227</w:t>
            </w:r>
            <w:r w:rsidR="00C47065">
              <w:t>,</w:t>
            </w:r>
            <w:r w:rsidRPr="00CF0415">
              <w:t>9</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1233</w:t>
            </w:r>
            <w:r w:rsidR="00C47065">
              <w:t>,</w:t>
            </w:r>
            <w:r w:rsidRPr="00CF0415">
              <w:t>0</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1323</w:t>
            </w:r>
            <w:r w:rsidR="00C47065">
              <w:t>,</w:t>
            </w:r>
            <w:r w:rsidRPr="00CF0415">
              <w:t>4</w:t>
            </w:r>
          </w:p>
        </w:tc>
      </w:tr>
      <w:tr w:rsidR="004412C2" w:rsidRPr="00C158E5" w:rsidTr="001443A2">
        <w:trPr>
          <w:trHeight w:val="340"/>
        </w:trPr>
        <w:tc>
          <w:tcPr>
            <w:tcW w:w="1336"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Q2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753</w:t>
            </w:r>
            <w:r w:rsidR="00C47065">
              <w:t>,</w:t>
            </w:r>
            <w:r w:rsidRPr="00CF0415">
              <w:t>89</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764</w:t>
            </w:r>
            <w:r w:rsidR="00C47065">
              <w:t>,</w:t>
            </w:r>
            <w:r w:rsidRPr="00CF0415">
              <w:t>85</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810</w:t>
            </w:r>
            <w:r w:rsidR="00C47065">
              <w:t>,</w:t>
            </w:r>
            <w:r w:rsidRPr="00CF0415">
              <w:t>88</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985</w:t>
            </w:r>
            <w:r w:rsidR="00C47065">
              <w:t>,</w:t>
            </w:r>
            <w:r w:rsidRPr="00CF0415">
              <w:t>00</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1031</w:t>
            </w:r>
            <w:r w:rsidR="00C47065">
              <w:t>,</w:t>
            </w:r>
            <w:r w:rsidRPr="00CF0415">
              <w:t>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1137</w:t>
            </w:r>
            <w:r w:rsidR="00C47065">
              <w:t>,</w:t>
            </w:r>
            <w:r w:rsidRPr="00CF0415">
              <w:t>7</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1316</w:t>
            </w:r>
            <w:r w:rsidR="00C47065">
              <w:t>,</w:t>
            </w:r>
            <w:r w:rsidRPr="00CF0415">
              <w:t>5</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1238</w:t>
            </w:r>
            <w:r w:rsidR="00C47065">
              <w:t>,</w:t>
            </w:r>
            <w:r w:rsidRPr="00CF0415">
              <w:t>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1312</w:t>
            </w:r>
            <w:r w:rsidR="00C47065">
              <w:t>,</w:t>
            </w:r>
            <w:r w:rsidRPr="00CF0415">
              <w:t>6</w:t>
            </w:r>
          </w:p>
        </w:tc>
      </w:tr>
      <w:tr w:rsidR="004412C2" w:rsidRPr="00C158E5" w:rsidTr="001443A2">
        <w:trPr>
          <w:trHeight w:val="340"/>
        </w:trPr>
        <w:tc>
          <w:tcPr>
            <w:tcW w:w="1336"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Q3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904</w:t>
            </w:r>
            <w:r w:rsidR="00C47065">
              <w:t>,</w:t>
            </w:r>
            <w:r w:rsidRPr="00CF0415">
              <w:t>22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901</w:t>
            </w:r>
            <w:r w:rsidR="00C47065">
              <w:t>,</w:t>
            </w:r>
            <w:r w:rsidRPr="00CF0415">
              <w:t>21</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937</w:t>
            </w:r>
            <w:r w:rsidR="00C47065">
              <w:t>,</w:t>
            </w:r>
            <w:r w:rsidRPr="00CF0415">
              <w:t>73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1053</w:t>
            </w:r>
            <w:r w:rsidR="00C47065">
              <w:t>,</w:t>
            </w:r>
            <w:r w:rsidRPr="00CF0415">
              <w:t>1</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1058</w:t>
            </w:r>
            <w:r w:rsidR="00C47065">
              <w:t>,</w:t>
            </w:r>
            <w:r w:rsidRPr="00CF0415">
              <w:t>0</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1176</w:t>
            </w:r>
            <w:r w:rsidR="00C47065">
              <w:t>,</w:t>
            </w:r>
            <w:r w:rsidRPr="00CF0415">
              <w:t>7</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1369</w:t>
            </w:r>
            <w:r w:rsidR="00C47065">
              <w:t>,</w:t>
            </w:r>
            <w:r w:rsidRPr="00CF0415">
              <w:t>2</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1244</w:t>
            </w:r>
            <w:r w:rsidR="00C47065">
              <w:t>,</w:t>
            </w:r>
            <w:r w:rsidRPr="00CF0415">
              <w:t>9</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1255</w:t>
            </w:r>
            <w:r w:rsidR="00C47065">
              <w:t>,</w:t>
            </w:r>
            <w:r w:rsidRPr="00CF0415">
              <w:t>0</w:t>
            </w:r>
          </w:p>
        </w:tc>
      </w:tr>
      <w:tr w:rsidR="004412C2" w:rsidRPr="00C158E5" w:rsidTr="001443A2">
        <w:trPr>
          <w:trHeight w:val="340"/>
        </w:trPr>
        <w:tc>
          <w:tcPr>
            <w:tcW w:w="1336"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Q4</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1020</w:t>
            </w:r>
            <w:r w:rsidR="00C47065">
              <w:t>,</w:t>
            </w:r>
            <w:r w:rsidRPr="00CF0415">
              <w:t>3</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1034</w:t>
            </w:r>
            <w:r w:rsidR="00C47065">
              <w:t>,</w:t>
            </w:r>
            <w:r w:rsidRPr="00CF0415">
              <w:t>2</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1074</w:t>
            </w:r>
            <w:r w:rsidR="00C47065">
              <w:t>,</w:t>
            </w:r>
            <w:r w:rsidRPr="00CF0415">
              <w:t>7</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1109</w:t>
            </w:r>
            <w:r w:rsidR="00C47065">
              <w:t>,</w:t>
            </w:r>
            <w:r w:rsidRPr="00CF0415">
              <w:t>5</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1210</w:t>
            </w:r>
            <w:r w:rsidR="00C47065">
              <w:t>,</w:t>
            </w:r>
            <w:r w:rsidRPr="00CF0415">
              <w:t>1</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1276</w:t>
            </w:r>
            <w:r w:rsidR="00C47065">
              <w:t>,</w:t>
            </w:r>
            <w:r w:rsidRPr="00CF0415">
              <w:t>7</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1530</w:t>
            </w:r>
            <w:r w:rsidR="00C47065">
              <w:t>,</w:t>
            </w:r>
            <w:r w:rsidRPr="00CF0415">
              <w:t>3</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1305</w:t>
            </w:r>
            <w:r w:rsidR="00C47065">
              <w:t>,</w:t>
            </w:r>
            <w:r w:rsidRPr="00CF0415">
              <w:t>0</w:t>
            </w:r>
          </w:p>
        </w:tc>
        <w:tc>
          <w:tcPr>
            <w:tcW w:w="850" w:type="dxa"/>
            <w:tcBorders>
              <w:top w:val="single" w:sz="4" w:space="0" w:color="auto"/>
              <w:left w:val="single" w:sz="4" w:space="0" w:color="auto"/>
              <w:bottom w:val="single" w:sz="4" w:space="0" w:color="auto"/>
              <w:right w:val="single" w:sz="4" w:space="0" w:color="auto"/>
            </w:tcBorders>
            <w:vAlign w:val="center"/>
          </w:tcPr>
          <w:p w:rsidR="004412C2" w:rsidRPr="00CF0415" w:rsidRDefault="004412C2" w:rsidP="001443A2">
            <w:pPr>
              <w:spacing w:before="0" w:line="240" w:lineRule="auto"/>
              <w:contextualSpacing/>
              <w:jc w:val="center"/>
            </w:pPr>
            <w:r w:rsidRPr="00CF0415">
              <w:t>1382</w:t>
            </w:r>
            <w:r w:rsidR="00C47065">
              <w:t>,</w:t>
            </w:r>
            <w:r w:rsidRPr="00CF0415">
              <w:t>3</w:t>
            </w:r>
          </w:p>
        </w:tc>
      </w:tr>
      <w:tr w:rsidR="004412C2" w:rsidRPr="00C158E5" w:rsidTr="00903828">
        <w:trPr>
          <w:gridAfter w:val="2"/>
          <w:wAfter w:w="1404" w:type="dxa"/>
          <w:trHeight w:val="283"/>
        </w:trPr>
        <w:tc>
          <w:tcPr>
            <w:tcW w:w="7582" w:type="dxa"/>
            <w:gridSpan w:val="9"/>
            <w:tcBorders>
              <w:top w:val="single" w:sz="4" w:space="0" w:color="auto"/>
              <w:left w:val="nil"/>
              <w:bottom w:val="nil"/>
              <w:right w:val="nil"/>
            </w:tcBorders>
          </w:tcPr>
          <w:p w:rsidR="004412C2" w:rsidRPr="00D40133" w:rsidRDefault="004412C2" w:rsidP="001F628A">
            <w:pPr>
              <w:spacing w:before="60" w:line="240" w:lineRule="auto"/>
              <w:rPr>
                <w:sz w:val="18"/>
                <w:szCs w:val="18"/>
              </w:rPr>
            </w:pPr>
            <w:r w:rsidRPr="00C158E5">
              <w:rPr>
                <w:sz w:val="24"/>
                <w:szCs w:val="24"/>
              </w:rPr>
              <w:t xml:space="preserve"> </w:t>
            </w:r>
            <w:r w:rsidRPr="00D40133">
              <w:rPr>
                <w:sz w:val="18"/>
                <w:szCs w:val="18"/>
              </w:rPr>
              <w:t xml:space="preserve">Fonte: </w:t>
            </w:r>
            <w:r w:rsidR="00D40133" w:rsidRPr="00D40133">
              <w:rPr>
                <w:sz w:val="18"/>
                <w:szCs w:val="18"/>
              </w:rPr>
              <w:t>SIOPS/Ministério da Saúde. Elaboração própria.</w:t>
            </w:r>
          </w:p>
        </w:tc>
      </w:tr>
    </w:tbl>
    <w:p w:rsidR="00E9008B" w:rsidRPr="00C158E5" w:rsidRDefault="00E9008B" w:rsidP="00C16190">
      <w:pPr>
        <w:pStyle w:val="Legenda"/>
        <w:spacing w:before="0" w:after="0" w:line="240" w:lineRule="auto"/>
        <w:contextualSpacing/>
        <w:rPr>
          <w:sz w:val="24"/>
          <w:szCs w:val="24"/>
        </w:rPr>
      </w:pPr>
    </w:p>
    <w:p w:rsidR="00E9008B" w:rsidRPr="00C158E5" w:rsidRDefault="0013755C" w:rsidP="00C16190">
      <w:pPr>
        <w:pStyle w:val="Legenda"/>
        <w:spacing w:before="0" w:after="0" w:line="240" w:lineRule="auto"/>
        <w:contextualSpacing/>
        <w:rPr>
          <w:sz w:val="24"/>
          <w:szCs w:val="24"/>
        </w:rPr>
      </w:pPr>
      <w:r w:rsidRPr="00C158E5">
        <w:rPr>
          <w:sz w:val="24"/>
          <w:szCs w:val="24"/>
        </w:rPr>
        <w:t xml:space="preserve"> </w:t>
      </w:r>
    </w:p>
    <w:p w:rsidR="004412C2" w:rsidRPr="00C158E5" w:rsidRDefault="004412C2" w:rsidP="00C16190">
      <w:pPr>
        <w:spacing w:before="0" w:line="240" w:lineRule="auto"/>
        <w:contextualSpacing/>
        <w:rPr>
          <w:sz w:val="24"/>
          <w:szCs w:val="24"/>
        </w:rPr>
      </w:pPr>
    </w:p>
    <w:p w:rsidR="005A7444" w:rsidRDefault="005A7444" w:rsidP="00C16190">
      <w:pPr>
        <w:spacing w:line="240" w:lineRule="auto"/>
        <w:ind w:firstLine="720"/>
        <w:contextualSpacing/>
        <w:rPr>
          <w:sz w:val="24"/>
          <w:szCs w:val="24"/>
        </w:rPr>
      </w:pPr>
    </w:p>
    <w:p w:rsidR="005A7444" w:rsidRDefault="005A7444" w:rsidP="00C16190">
      <w:pPr>
        <w:spacing w:line="240" w:lineRule="auto"/>
        <w:ind w:firstLine="720"/>
        <w:contextualSpacing/>
        <w:rPr>
          <w:sz w:val="24"/>
          <w:szCs w:val="24"/>
        </w:rPr>
      </w:pPr>
    </w:p>
    <w:p w:rsidR="005A7444" w:rsidRDefault="005A7444" w:rsidP="00C16190">
      <w:pPr>
        <w:spacing w:line="240" w:lineRule="auto"/>
        <w:ind w:firstLine="720"/>
        <w:contextualSpacing/>
        <w:rPr>
          <w:sz w:val="24"/>
          <w:szCs w:val="24"/>
        </w:rPr>
      </w:pPr>
    </w:p>
    <w:p w:rsidR="00D435DE" w:rsidRDefault="00D435DE" w:rsidP="00D435DE">
      <w:pPr>
        <w:spacing w:before="120" w:after="120" w:line="240" w:lineRule="auto"/>
        <w:ind w:firstLine="709"/>
        <w:rPr>
          <w:sz w:val="24"/>
          <w:szCs w:val="24"/>
        </w:rPr>
      </w:pPr>
    </w:p>
    <w:p w:rsidR="00E9008B" w:rsidRDefault="0013755C" w:rsidP="005D7789">
      <w:pPr>
        <w:spacing w:before="120" w:after="240" w:line="240" w:lineRule="auto"/>
        <w:ind w:firstLine="709"/>
        <w:rPr>
          <w:sz w:val="24"/>
          <w:szCs w:val="24"/>
        </w:rPr>
      </w:pPr>
      <w:r w:rsidRPr="00C158E5">
        <w:rPr>
          <w:sz w:val="24"/>
          <w:szCs w:val="24"/>
        </w:rPr>
        <w:t>Por fim, a tabela </w:t>
      </w:r>
      <w:r w:rsidR="005A7444">
        <w:rPr>
          <w:sz w:val="24"/>
          <w:szCs w:val="24"/>
        </w:rPr>
        <w:t>4</w:t>
      </w:r>
      <w:r w:rsidRPr="00C158E5">
        <w:rPr>
          <w:sz w:val="24"/>
          <w:szCs w:val="24"/>
        </w:rPr>
        <w:t xml:space="preserve"> traz estatísticas descritivas de todas as variáveis utilizadas nas regressões em painel estimadas. Como </w:t>
      </w:r>
      <w:r w:rsidR="0005725E" w:rsidRPr="00C158E5">
        <w:rPr>
          <w:sz w:val="24"/>
          <w:szCs w:val="24"/>
        </w:rPr>
        <w:t xml:space="preserve">já </w:t>
      </w:r>
      <w:r w:rsidRPr="00C158E5">
        <w:rPr>
          <w:sz w:val="24"/>
          <w:szCs w:val="24"/>
        </w:rPr>
        <w:t>comentado, para ef</w:t>
      </w:r>
      <w:r w:rsidR="0005725E" w:rsidRPr="00C158E5">
        <w:rPr>
          <w:sz w:val="24"/>
          <w:szCs w:val="24"/>
        </w:rPr>
        <w:t>eito das regressões</w:t>
      </w:r>
      <w:r w:rsidRPr="00C158E5">
        <w:rPr>
          <w:sz w:val="24"/>
          <w:szCs w:val="24"/>
        </w:rPr>
        <w:t xml:space="preserve"> considerou-se o logaritmo dos valores monetários. A tabela mostra que os dados são, em geral, bem comportados, não apresentando muitos </w:t>
      </w:r>
      <w:r w:rsidRPr="00C158E5">
        <w:rPr>
          <w:i/>
          <w:iCs/>
          <w:sz w:val="24"/>
          <w:szCs w:val="24"/>
        </w:rPr>
        <w:t>outliers</w:t>
      </w:r>
      <w:r w:rsidRPr="00C158E5">
        <w:rPr>
          <w:sz w:val="24"/>
          <w:szCs w:val="24"/>
        </w:rPr>
        <w:t>. A própria transformação logarítmica auxilia também nessa questão com a redução da escala. Como exceções, citamos as var</w:t>
      </w:r>
      <w:r w:rsidR="0011507A">
        <w:rPr>
          <w:sz w:val="24"/>
          <w:szCs w:val="24"/>
        </w:rPr>
        <w:t>iáveis de produção ambulatorial e</w:t>
      </w:r>
      <w:r w:rsidRPr="00C158E5">
        <w:rPr>
          <w:sz w:val="24"/>
          <w:szCs w:val="24"/>
        </w:rPr>
        <w:t xml:space="preserve"> mortalidade infantil, que apresentam valores máximos mais discrepantes.</w:t>
      </w:r>
    </w:p>
    <w:p w:rsidR="00E9008B" w:rsidRPr="0011507A" w:rsidRDefault="0013755C" w:rsidP="008868E8">
      <w:pPr>
        <w:pStyle w:val="Legenda"/>
        <w:spacing w:before="0" w:line="240" w:lineRule="auto"/>
        <w:jc w:val="center"/>
        <w:rPr>
          <w:b/>
        </w:rPr>
      </w:pPr>
      <w:r w:rsidRPr="0011507A">
        <w:rPr>
          <w:b/>
        </w:rPr>
        <w:t xml:space="preserve">Tabela </w:t>
      </w:r>
      <w:r w:rsidR="005A7444" w:rsidRPr="0011507A">
        <w:rPr>
          <w:b/>
        </w:rPr>
        <w:t>4</w:t>
      </w:r>
      <w:r w:rsidRPr="0011507A">
        <w:rPr>
          <w:b/>
        </w:rPr>
        <w:t>: Estatísticas descritivas das variáveis utilizadas nas regressões em painel</w:t>
      </w:r>
      <w:r w:rsidRPr="0011507A">
        <w:rPr>
          <w:b/>
        </w:rPr>
        <w:fldChar w:fldCharType="begin"/>
      </w:r>
      <w:r w:rsidRPr="0011507A">
        <w:rPr>
          <w:b/>
        </w:rPr>
        <w:instrText>TC "15 Estatísticas descritivas das variáveis utilizadas nas regressões em painel" \f t</w:instrText>
      </w:r>
      <w:r w:rsidRPr="0011507A">
        <w:rPr>
          <w:b/>
        </w:rPr>
        <w:fldChar w:fldCharType="end"/>
      </w:r>
    </w:p>
    <w:tbl>
      <w:tblPr>
        <w:tblW w:w="9455" w:type="dxa"/>
        <w:tblInd w:w="496" w:type="dxa"/>
        <w:tblCellMar>
          <w:left w:w="70" w:type="dxa"/>
          <w:right w:w="70" w:type="dxa"/>
        </w:tblCellMar>
        <w:tblLook w:val="04A0" w:firstRow="1" w:lastRow="0" w:firstColumn="1" w:lastColumn="0" w:noHBand="0" w:noVBand="1"/>
      </w:tblPr>
      <w:tblGrid>
        <w:gridCol w:w="2127"/>
        <w:gridCol w:w="1056"/>
        <w:gridCol w:w="896"/>
        <w:gridCol w:w="896"/>
        <w:gridCol w:w="896"/>
        <w:gridCol w:w="896"/>
        <w:gridCol w:w="896"/>
        <w:gridCol w:w="896"/>
        <w:gridCol w:w="896"/>
      </w:tblGrid>
      <w:tr w:rsidR="0011507A" w:rsidRPr="0011507A" w:rsidTr="0011507A">
        <w:trPr>
          <w:trHeight w:val="360"/>
        </w:trPr>
        <w:tc>
          <w:tcPr>
            <w:tcW w:w="2127"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bookmarkStart w:id="6" w:name="BMcap_05"/>
            <w:r w:rsidRPr="00A061FC">
              <w:rPr>
                <w:rFonts w:eastAsia="Times New Roman"/>
                <w:b/>
                <w:bCs/>
                <w:noProof w:val="0"/>
                <w:color w:val="000000"/>
              </w:rPr>
              <w:t>Variável</w:t>
            </w:r>
          </w:p>
        </w:tc>
        <w:tc>
          <w:tcPr>
            <w:tcW w:w="105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 p*</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média</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desvio</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min</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p25</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p50</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p75</w:t>
            </w:r>
          </w:p>
        </w:tc>
        <w:tc>
          <w:tcPr>
            <w:tcW w:w="896" w:type="dxa"/>
            <w:tcBorders>
              <w:top w:val="single" w:sz="8" w:space="0" w:color="auto"/>
              <w:left w:val="nil"/>
              <w:bottom w:val="double" w:sz="6" w:space="0" w:color="auto"/>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max</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611A" w:rsidP="0011507A">
            <w:pPr>
              <w:autoSpaceDE/>
              <w:autoSpaceDN/>
              <w:adjustRightInd/>
              <w:spacing w:before="0" w:line="240" w:lineRule="auto"/>
              <w:jc w:val="center"/>
              <w:rPr>
                <w:rFonts w:eastAsia="Times New Roman"/>
                <w:i/>
                <w:noProof w:val="0"/>
                <w:color w:val="000000"/>
              </w:rPr>
            </w:pPr>
            <w:r w:rsidRPr="0011611A">
              <w:rPr>
                <w:rFonts w:eastAsia="Times New Roman"/>
                <w:i/>
                <w:iCs/>
                <w:noProof w:val="0"/>
                <w:color w:val="000000"/>
              </w:rPr>
              <w:t>log_transfSUS_hab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49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54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09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17</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54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84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81</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507A" w:rsidP="0011507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log_arrecad_stn_hab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85</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57</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40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44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81</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7</w:t>
            </w:r>
            <w:r w:rsidR="0011611A">
              <w:rPr>
                <w:rFonts w:eastAsia="Times New Roman"/>
                <w:noProof w:val="0"/>
                <w:color w:val="000000"/>
              </w:rPr>
              <w:t>,</w:t>
            </w:r>
            <w:r w:rsidRPr="00A061FC">
              <w:rPr>
                <w:rFonts w:eastAsia="Times New Roman"/>
                <w:noProof w:val="0"/>
                <w:color w:val="000000"/>
              </w:rPr>
              <w:t>22</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62</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507A" w:rsidP="0011507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log_impostos_hab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96</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93</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47</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32</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90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w:t>
            </w:r>
            <w:r w:rsidR="0011611A">
              <w:rPr>
                <w:rFonts w:eastAsia="Times New Roman"/>
                <w:noProof w:val="0"/>
                <w:color w:val="000000"/>
              </w:rPr>
              <w:t>,</w:t>
            </w:r>
            <w:r w:rsidRPr="00A061FC">
              <w:rPr>
                <w:rFonts w:eastAsia="Times New Roman"/>
                <w:noProof w:val="0"/>
                <w:color w:val="000000"/>
              </w:rPr>
              <w:t>54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18</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507A" w:rsidP="0011507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log_arrecad_transf_hab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73</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58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02</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31</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66</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7</w:t>
            </w:r>
            <w:r w:rsidR="0011611A">
              <w:rPr>
                <w:rFonts w:eastAsia="Times New Roman"/>
                <w:noProof w:val="0"/>
                <w:color w:val="000000"/>
              </w:rPr>
              <w:t>,</w:t>
            </w:r>
            <w:r w:rsidRPr="00A061FC">
              <w:rPr>
                <w:rFonts w:eastAsia="Times New Roman"/>
                <w:noProof w:val="0"/>
                <w:color w:val="000000"/>
              </w:rPr>
              <w:t>11</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45</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611A" w:rsidP="0011507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log_PIB_Mun_hab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01</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73</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7</w:t>
            </w:r>
            <w:r w:rsidR="0011611A">
              <w:rPr>
                <w:rFonts w:eastAsia="Times New Roman"/>
                <w:noProof w:val="0"/>
                <w:color w:val="000000"/>
              </w:rPr>
              <w:t>,</w:t>
            </w:r>
            <w:r w:rsidRPr="00A061FC">
              <w:rPr>
                <w:rFonts w:eastAsia="Times New Roman"/>
                <w:noProof w:val="0"/>
                <w:color w:val="000000"/>
              </w:rPr>
              <w:t>24</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40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03</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50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12</w:t>
            </w:r>
            <w:r w:rsidR="0011611A">
              <w:rPr>
                <w:rFonts w:eastAsia="Times New Roman"/>
                <w:noProof w:val="0"/>
                <w:color w:val="000000"/>
              </w:rPr>
              <w:t>,</w:t>
            </w:r>
            <w:r w:rsidRPr="00A061FC">
              <w:rPr>
                <w:rFonts w:eastAsia="Times New Roman"/>
                <w:noProof w:val="0"/>
                <w:color w:val="000000"/>
              </w:rPr>
              <w:t>93</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507A" w:rsidP="0011611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log_PIB_Estado_hab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49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48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37</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08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56</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88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w:t>
            </w:r>
            <w:r w:rsidR="0011611A">
              <w:rPr>
                <w:rFonts w:eastAsia="Times New Roman"/>
                <w:noProof w:val="0"/>
                <w:color w:val="000000"/>
              </w:rPr>
              <w:t>,</w:t>
            </w:r>
            <w:r w:rsidRPr="00A061FC">
              <w:rPr>
                <w:rFonts w:eastAsia="Times New Roman"/>
                <w:noProof w:val="0"/>
                <w:color w:val="000000"/>
              </w:rPr>
              <w:t>30</w:t>
            </w:r>
          </w:p>
        </w:tc>
      </w:tr>
      <w:tr w:rsidR="0011507A" w:rsidRPr="0011507A" w:rsidTr="00AA347F">
        <w:trPr>
          <w:trHeight w:val="255"/>
        </w:trPr>
        <w:tc>
          <w:tcPr>
            <w:tcW w:w="2127" w:type="dxa"/>
            <w:tcBorders>
              <w:top w:val="nil"/>
              <w:left w:val="nil"/>
              <w:bottom w:val="nil"/>
              <w:right w:val="nil"/>
            </w:tcBorders>
            <w:shd w:val="clear" w:color="auto" w:fill="auto"/>
            <w:noWrap/>
            <w:vAlign w:val="center"/>
            <w:hideMark/>
          </w:tcPr>
          <w:p w:rsidR="0011507A" w:rsidRPr="0011611A" w:rsidRDefault="0011507A" w:rsidP="0011611A">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log_PIB_Regiao_hab</w:t>
            </w:r>
          </w:p>
        </w:tc>
        <w:tc>
          <w:tcPr>
            <w:tcW w:w="105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89%</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58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47</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80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10</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82</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98</w:t>
            </w:r>
          </w:p>
        </w:tc>
        <w:tc>
          <w:tcPr>
            <w:tcW w:w="896" w:type="dxa"/>
            <w:tcBorders>
              <w:top w:val="nil"/>
              <w:left w:val="nil"/>
              <w:bottom w:val="nil"/>
              <w:right w:val="nil"/>
            </w:tcBorders>
            <w:shd w:val="clear" w:color="auto" w:fill="auto"/>
            <w:noWrap/>
            <w:vAlign w:val="center"/>
            <w:hideMark/>
          </w:tcPr>
          <w:p w:rsidR="0011507A" w:rsidRPr="00A061FC" w:rsidRDefault="0011507A" w:rsidP="0011507A">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w:t>
            </w:r>
            <w:r w:rsidR="0011611A">
              <w:rPr>
                <w:rFonts w:eastAsia="Times New Roman"/>
                <w:noProof w:val="0"/>
                <w:color w:val="000000"/>
              </w:rPr>
              <w:t>,</w:t>
            </w:r>
            <w:r w:rsidRPr="00A061FC">
              <w:rPr>
                <w:rFonts w:eastAsia="Times New Roman"/>
                <w:noProof w:val="0"/>
                <w:color w:val="000000"/>
              </w:rPr>
              <w:t>15</w:t>
            </w:r>
          </w:p>
        </w:tc>
      </w:tr>
    </w:tbl>
    <w:p w:rsidR="001F628A" w:rsidRPr="001F628A" w:rsidRDefault="001F628A" w:rsidP="001F628A">
      <w:pPr>
        <w:pStyle w:val="Legenda"/>
        <w:spacing w:before="0" w:line="240" w:lineRule="auto"/>
        <w:ind w:firstLine="426"/>
        <w:rPr>
          <w:sz w:val="18"/>
          <w:szCs w:val="18"/>
        </w:rPr>
      </w:pPr>
      <w:r w:rsidRPr="001F628A">
        <w:rPr>
          <w:sz w:val="18"/>
          <w:szCs w:val="18"/>
        </w:rPr>
        <w:t>(continua)</w:t>
      </w:r>
    </w:p>
    <w:p w:rsidR="001F628A" w:rsidRPr="0011507A" w:rsidRDefault="001F628A" w:rsidP="001F628A">
      <w:pPr>
        <w:pStyle w:val="Legenda"/>
        <w:spacing w:before="0" w:line="240" w:lineRule="auto"/>
        <w:jc w:val="center"/>
        <w:rPr>
          <w:b/>
        </w:rPr>
      </w:pPr>
      <w:r w:rsidRPr="0011507A">
        <w:rPr>
          <w:b/>
        </w:rPr>
        <w:lastRenderedPageBreak/>
        <w:t>Tabela 4: Estatísticas descritivas das variáveis utilizadas nas regressões em painel</w:t>
      </w:r>
      <w:r>
        <w:rPr>
          <w:b/>
        </w:rPr>
        <w:t xml:space="preserve"> (continuação)</w:t>
      </w:r>
      <w:r w:rsidRPr="0011507A">
        <w:rPr>
          <w:b/>
        </w:rPr>
        <w:fldChar w:fldCharType="begin"/>
      </w:r>
      <w:r w:rsidRPr="0011507A">
        <w:rPr>
          <w:b/>
        </w:rPr>
        <w:instrText>TC "15 Estatísticas descritivas das variáveis utilizadas nas regressões em painel" \f t</w:instrText>
      </w:r>
      <w:r w:rsidRPr="0011507A">
        <w:rPr>
          <w:b/>
        </w:rPr>
        <w:fldChar w:fldCharType="end"/>
      </w:r>
    </w:p>
    <w:tbl>
      <w:tblPr>
        <w:tblW w:w="9455" w:type="dxa"/>
        <w:tblInd w:w="496" w:type="dxa"/>
        <w:tblCellMar>
          <w:left w:w="70" w:type="dxa"/>
          <w:right w:w="70" w:type="dxa"/>
        </w:tblCellMar>
        <w:tblLook w:val="04A0" w:firstRow="1" w:lastRow="0" w:firstColumn="1" w:lastColumn="0" w:noHBand="0" w:noVBand="1"/>
      </w:tblPr>
      <w:tblGrid>
        <w:gridCol w:w="2127"/>
        <w:gridCol w:w="1056"/>
        <w:gridCol w:w="896"/>
        <w:gridCol w:w="896"/>
        <w:gridCol w:w="896"/>
        <w:gridCol w:w="896"/>
        <w:gridCol w:w="896"/>
        <w:gridCol w:w="896"/>
        <w:gridCol w:w="896"/>
      </w:tblGrid>
      <w:tr w:rsidR="001F628A" w:rsidRPr="0011507A" w:rsidTr="00524A84">
        <w:trPr>
          <w:trHeight w:val="360"/>
        </w:trPr>
        <w:tc>
          <w:tcPr>
            <w:tcW w:w="2127"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Variável</w:t>
            </w:r>
          </w:p>
        </w:tc>
        <w:tc>
          <w:tcPr>
            <w:tcW w:w="105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 p*</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média</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desvio</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min</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p25</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p50</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p75</w:t>
            </w:r>
          </w:p>
        </w:tc>
        <w:tc>
          <w:tcPr>
            <w:tcW w:w="896" w:type="dxa"/>
            <w:tcBorders>
              <w:top w:val="single" w:sz="8" w:space="0" w:color="auto"/>
              <w:left w:val="nil"/>
              <w:bottom w:val="double" w:sz="6"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b/>
                <w:bCs/>
                <w:noProof w:val="0"/>
                <w:color w:val="000000"/>
              </w:rPr>
            </w:pPr>
            <w:r w:rsidRPr="00A061FC">
              <w:rPr>
                <w:rFonts w:eastAsia="Times New Roman"/>
                <w:b/>
                <w:bCs/>
                <w:noProof w:val="0"/>
                <w:color w:val="000000"/>
              </w:rPr>
              <w:t>max</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log_pop</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39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15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w:t>
            </w:r>
            <w:r w:rsidR="0011611A">
              <w:rPr>
                <w:rFonts w:eastAsia="Times New Roman"/>
                <w:noProof w:val="0"/>
                <w:color w:val="000000"/>
              </w:rPr>
              <w:t>,</w:t>
            </w:r>
            <w:r w:rsidRPr="00A061FC">
              <w:rPr>
                <w:rFonts w:eastAsia="Times New Roman"/>
                <w:noProof w:val="0"/>
                <w:color w:val="000000"/>
              </w:rPr>
              <w:t>68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54</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28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w:t>
            </w:r>
            <w:r w:rsidR="0011611A">
              <w:rPr>
                <w:rFonts w:eastAsia="Times New Roman"/>
                <w:noProof w:val="0"/>
                <w:color w:val="000000"/>
              </w:rPr>
              <w:t>,</w:t>
            </w:r>
            <w:r w:rsidRPr="00A061FC">
              <w:rPr>
                <w:rFonts w:eastAsia="Times New Roman"/>
                <w:noProof w:val="0"/>
                <w:color w:val="000000"/>
              </w:rPr>
              <w:t>03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16</w:t>
            </w:r>
            <w:r w:rsidR="0011611A">
              <w:rPr>
                <w:rFonts w:eastAsia="Times New Roman"/>
                <w:noProof w:val="0"/>
                <w:color w:val="000000"/>
              </w:rPr>
              <w:t>,</w:t>
            </w:r>
            <w:r w:rsidRPr="00A061FC">
              <w:rPr>
                <w:rFonts w:eastAsia="Times New Roman"/>
                <w:noProof w:val="0"/>
                <w:color w:val="000000"/>
              </w:rPr>
              <w:t>22</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per_cob_pac</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83</w:t>
            </w:r>
            <w:r w:rsidR="0011611A">
              <w:rPr>
                <w:rFonts w:eastAsia="Times New Roman"/>
                <w:noProof w:val="0"/>
                <w:color w:val="000000"/>
              </w:rPr>
              <w:t>,</w:t>
            </w:r>
            <w:r w:rsidRPr="00A061FC">
              <w:rPr>
                <w:rFonts w:eastAsia="Times New Roman"/>
                <w:noProof w:val="0"/>
                <w:color w:val="000000"/>
              </w:rPr>
              <w:t>71</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29</w:t>
            </w:r>
            <w:r w:rsidR="0011611A">
              <w:rPr>
                <w:rFonts w:eastAsia="Times New Roman"/>
                <w:noProof w:val="0"/>
                <w:color w:val="000000"/>
              </w:rPr>
              <w:t>,</w:t>
            </w:r>
            <w:r w:rsidRPr="00A061FC">
              <w:rPr>
                <w:rFonts w:eastAsia="Times New Roman"/>
                <w:noProof w:val="0"/>
                <w:color w:val="000000"/>
              </w:rPr>
              <w:t>84</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81</w:t>
            </w:r>
            <w:r w:rsidR="0011611A">
              <w:rPr>
                <w:rFonts w:eastAsia="Times New Roman"/>
                <w:noProof w:val="0"/>
                <w:color w:val="000000"/>
              </w:rPr>
              <w:t>,</w:t>
            </w:r>
            <w:r w:rsidRPr="00A061FC">
              <w:rPr>
                <w:rFonts w:eastAsia="Times New Roman"/>
                <w:noProof w:val="0"/>
                <w:color w:val="000000"/>
              </w:rPr>
              <w:t>14</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per_cob_psf</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70</w:t>
            </w:r>
            <w:r w:rsidR="0011611A">
              <w:rPr>
                <w:rFonts w:eastAsia="Times New Roman"/>
                <w:noProof w:val="0"/>
                <w:color w:val="000000"/>
              </w:rPr>
              <w:t>,</w:t>
            </w:r>
            <w:r w:rsidRPr="00A061FC">
              <w:rPr>
                <w:rFonts w:eastAsia="Times New Roman"/>
                <w:noProof w:val="0"/>
                <w:color w:val="000000"/>
              </w:rPr>
              <w:t>52</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35</w:t>
            </w:r>
            <w:r w:rsidR="0011611A">
              <w:rPr>
                <w:rFonts w:eastAsia="Times New Roman"/>
                <w:noProof w:val="0"/>
                <w:color w:val="000000"/>
              </w:rPr>
              <w:t>,</w:t>
            </w:r>
            <w:r w:rsidRPr="00A061FC">
              <w:rPr>
                <w:rFonts w:eastAsia="Times New Roman"/>
                <w:noProof w:val="0"/>
                <w:color w:val="000000"/>
              </w:rPr>
              <w:t>88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45</w:t>
            </w:r>
            <w:r w:rsidR="0011611A">
              <w:rPr>
                <w:rFonts w:eastAsia="Times New Roman"/>
                <w:noProof w:val="0"/>
                <w:color w:val="000000"/>
              </w:rPr>
              <w:t>,</w:t>
            </w:r>
            <w:r w:rsidRPr="00A061FC">
              <w:rPr>
                <w:rFonts w:eastAsia="Times New Roman"/>
                <w:noProof w:val="0"/>
                <w:color w:val="000000"/>
              </w:rPr>
              <w:t>80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88</w:t>
            </w:r>
            <w:r w:rsidR="0011611A">
              <w:rPr>
                <w:rFonts w:eastAsia="Times New Roman"/>
                <w:noProof w:val="0"/>
                <w:color w:val="000000"/>
              </w:rPr>
              <w:t>,</w:t>
            </w:r>
            <w:r w:rsidRPr="00A061FC">
              <w:rPr>
                <w:rFonts w:eastAsia="Times New Roman"/>
                <w:noProof w:val="0"/>
                <w:color w:val="000000"/>
              </w:rPr>
              <w:t>77</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prod_amb_bas_hab</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w:t>
            </w:r>
            <w:r w:rsidR="0011611A">
              <w:rPr>
                <w:rFonts w:eastAsia="Times New Roman"/>
                <w:noProof w:val="0"/>
                <w:color w:val="000000"/>
              </w:rPr>
              <w:t>,</w:t>
            </w:r>
            <w:r w:rsidRPr="00A061FC">
              <w:rPr>
                <w:rFonts w:eastAsia="Times New Roman"/>
                <w:noProof w:val="0"/>
                <w:color w:val="000000"/>
              </w:rPr>
              <w:t>46</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w:t>
            </w:r>
            <w:r w:rsidR="0011611A">
              <w:rPr>
                <w:rFonts w:eastAsia="Times New Roman"/>
                <w:noProof w:val="0"/>
                <w:color w:val="000000"/>
              </w:rPr>
              <w:t>,</w:t>
            </w:r>
            <w:r w:rsidRPr="00A061FC">
              <w:rPr>
                <w:rFonts w:eastAsia="Times New Roman"/>
                <w:noProof w:val="0"/>
                <w:color w:val="000000"/>
              </w:rPr>
              <w:t>56</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5</w:t>
            </w:r>
            <w:r w:rsidR="0011611A">
              <w:rPr>
                <w:rFonts w:eastAsia="Times New Roman"/>
                <w:noProof w:val="0"/>
                <w:color w:val="000000"/>
              </w:rPr>
              <w:t>,</w:t>
            </w:r>
            <w:r w:rsidRPr="00A061FC">
              <w:rPr>
                <w:rFonts w:eastAsia="Times New Roman"/>
                <w:noProof w:val="0"/>
                <w:color w:val="000000"/>
              </w:rPr>
              <w:t>56</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7</w:t>
            </w:r>
            <w:r w:rsidR="0011611A">
              <w:rPr>
                <w:rFonts w:eastAsia="Times New Roman"/>
                <w:noProof w:val="0"/>
                <w:color w:val="000000"/>
              </w:rPr>
              <w:t>,</w:t>
            </w:r>
            <w:r w:rsidRPr="00A061FC">
              <w:rPr>
                <w:rFonts w:eastAsia="Times New Roman"/>
                <w:noProof w:val="0"/>
                <w:color w:val="000000"/>
              </w:rPr>
              <w:t>99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11</w:t>
            </w:r>
            <w:r w:rsidR="0011611A">
              <w:rPr>
                <w:rFonts w:eastAsia="Times New Roman"/>
                <w:noProof w:val="0"/>
                <w:color w:val="000000"/>
              </w:rPr>
              <w:t>,</w:t>
            </w:r>
            <w:r w:rsidRPr="00A061FC">
              <w:rPr>
                <w:rFonts w:eastAsia="Times New Roman"/>
                <w:noProof w:val="0"/>
                <w:color w:val="000000"/>
              </w:rPr>
              <w:t>17</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557</w:t>
            </w:r>
            <w:r w:rsidR="0011611A">
              <w:rPr>
                <w:rFonts w:eastAsia="Times New Roman"/>
                <w:noProof w:val="0"/>
                <w:color w:val="000000"/>
              </w:rPr>
              <w:t>,</w:t>
            </w:r>
            <w:r w:rsidRPr="00A061FC">
              <w:rPr>
                <w:rFonts w:eastAsia="Times New Roman"/>
                <w:noProof w:val="0"/>
                <w:color w:val="000000"/>
              </w:rPr>
              <w:t>92</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prod_amb_Nbas_hab</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w:t>
            </w:r>
            <w:r w:rsidR="0011611A">
              <w:rPr>
                <w:rFonts w:eastAsia="Times New Roman"/>
                <w:noProof w:val="0"/>
                <w:color w:val="000000"/>
              </w:rPr>
              <w:t>,</w:t>
            </w:r>
            <w:r w:rsidRPr="00A061FC">
              <w:rPr>
                <w:rFonts w:eastAsia="Times New Roman"/>
                <w:noProof w:val="0"/>
                <w:color w:val="000000"/>
              </w:rPr>
              <w:t>28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28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52</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52</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w:t>
            </w:r>
            <w:r w:rsidR="0011611A">
              <w:rPr>
                <w:rFonts w:eastAsia="Times New Roman"/>
                <w:noProof w:val="0"/>
                <w:color w:val="000000"/>
              </w:rPr>
              <w:t>,</w:t>
            </w:r>
            <w:r w:rsidRPr="00A061FC">
              <w:rPr>
                <w:rFonts w:eastAsia="Times New Roman"/>
                <w:noProof w:val="0"/>
                <w:color w:val="000000"/>
              </w:rPr>
              <w:t>87</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96</w:t>
            </w:r>
            <w:r w:rsidR="0011611A">
              <w:rPr>
                <w:rFonts w:eastAsia="Times New Roman"/>
                <w:noProof w:val="0"/>
                <w:color w:val="000000"/>
              </w:rPr>
              <w:t>,</w:t>
            </w:r>
            <w:r w:rsidRPr="00A061FC">
              <w:rPr>
                <w:rFonts w:eastAsia="Times New Roman"/>
                <w:noProof w:val="0"/>
                <w:color w:val="000000"/>
              </w:rPr>
              <w:t>17</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Mort_5_anos</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w:t>
            </w:r>
            <w:r w:rsidR="0011611A">
              <w:rPr>
                <w:rFonts w:eastAsia="Times New Roman"/>
                <w:noProof w:val="0"/>
                <w:color w:val="000000"/>
              </w:rPr>
              <w:t>,</w:t>
            </w:r>
            <w:r w:rsidRPr="00A061FC">
              <w:rPr>
                <w:rFonts w:eastAsia="Times New Roman"/>
                <w:noProof w:val="0"/>
                <w:color w:val="000000"/>
              </w:rPr>
              <w:t>08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75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06</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87</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w:t>
            </w:r>
            <w:r w:rsidR="0011611A">
              <w:rPr>
                <w:rFonts w:eastAsia="Times New Roman"/>
                <w:noProof w:val="0"/>
                <w:color w:val="000000"/>
              </w:rPr>
              <w:t>,</w:t>
            </w:r>
            <w:r w:rsidRPr="00A061FC">
              <w:rPr>
                <w:rFonts w:eastAsia="Times New Roman"/>
                <w:noProof w:val="0"/>
                <w:color w:val="000000"/>
              </w:rPr>
              <w:t>83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42</w:t>
            </w:r>
            <w:r w:rsidR="0011611A">
              <w:rPr>
                <w:rFonts w:eastAsia="Times New Roman"/>
                <w:noProof w:val="0"/>
                <w:color w:val="000000"/>
              </w:rPr>
              <w:t>,</w:t>
            </w:r>
            <w:r w:rsidRPr="00A061FC">
              <w:rPr>
                <w:rFonts w:eastAsia="Times New Roman"/>
                <w:noProof w:val="0"/>
                <w:color w:val="000000"/>
              </w:rPr>
              <w:t>86</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Pop_urb</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64</w:t>
            </w:r>
            <w:r w:rsidR="0011611A">
              <w:rPr>
                <w:rFonts w:eastAsia="Times New Roman"/>
                <w:noProof w:val="0"/>
                <w:color w:val="000000"/>
              </w:rPr>
              <w:t>,</w:t>
            </w:r>
            <w:r w:rsidRPr="00A061FC">
              <w:rPr>
                <w:rFonts w:eastAsia="Times New Roman"/>
                <w:noProof w:val="0"/>
                <w:color w:val="000000"/>
              </w:rPr>
              <w:t>58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33</w:t>
            </w:r>
            <w:r w:rsidR="0011611A">
              <w:rPr>
                <w:rFonts w:eastAsia="Times New Roman"/>
                <w:noProof w:val="0"/>
                <w:color w:val="000000"/>
              </w:rPr>
              <w:t>,</w:t>
            </w:r>
            <w:r w:rsidRPr="00A061FC">
              <w:rPr>
                <w:rFonts w:eastAsia="Times New Roman"/>
                <w:noProof w:val="0"/>
                <w:color w:val="000000"/>
              </w:rPr>
              <w:t>83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42</w:t>
            </w:r>
            <w:r w:rsidR="0011611A">
              <w:rPr>
                <w:rFonts w:eastAsia="Times New Roman"/>
                <w:noProof w:val="0"/>
                <w:color w:val="000000"/>
              </w:rPr>
              <w:t>,</w:t>
            </w:r>
            <w:r w:rsidRPr="00A061FC">
              <w:rPr>
                <w:rFonts w:eastAsia="Times New Roman"/>
                <w:noProof w:val="0"/>
                <w:color w:val="000000"/>
              </w:rPr>
              <w:t>84</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68</w:t>
            </w:r>
            <w:r w:rsidR="0011611A">
              <w:rPr>
                <w:rFonts w:eastAsia="Times New Roman"/>
                <w:noProof w:val="0"/>
                <w:color w:val="000000"/>
              </w:rPr>
              <w:t>,</w:t>
            </w:r>
            <w:r w:rsidRPr="00A061FC">
              <w:rPr>
                <w:rFonts w:eastAsia="Times New Roman"/>
                <w:noProof w:val="0"/>
                <w:color w:val="000000"/>
              </w:rPr>
              <w:t>35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per_coleta_lixo</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95%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61</w:t>
            </w:r>
            <w:r w:rsidR="0011611A">
              <w:rPr>
                <w:rFonts w:eastAsia="Times New Roman"/>
                <w:noProof w:val="0"/>
                <w:color w:val="000000"/>
              </w:rPr>
              <w:t>,</w:t>
            </w:r>
            <w:r w:rsidRPr="00A061FC">
              <w:rPr>
                <w:rFonts w:eastAsia="Times New Roman"/>
                <w:noProof w:val="0"/>
                <w:color w:val="000000"/>
              </w:rPr>
              <w:t>55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26</w:t>
            </w:r>
            <w:r w:rsidR="0011611A">
              <w:rPr>
                <w:rFonts w:eastAsia="Times New Roman"/>
                <w:noProof w:val="0"/>
                <w:color w:val="000000"/>
              </w:rPr>
              <w:t>,</w:t>
            </w:r>
            <w:r w:rsidRPr="00A061FC">
              <w:rPr>
                <w:rFonts w:eastAsia="Times New Roman"/>
                <w:noProof w:val="0"/>
                <w:color w:val="000000"/>
              </w:rPr>
              <w:t>73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40</w:t>
            </w:r>
            <w:r w:rsidR="0011611A">
              <w:rPr>
                <w:rFonts w:eastAsia="Times New Roman"/>
                <w:noProof w:val="0"/>
                <w:color w:val="000000"/>
              </w:rPr>
              <w:t>,</w:t>
            </w:r>
            <w:r w:rsidRPr="00A061FC">
              <w:rPr>
                <w:rFonts w:eastAsia="Times New Roman"/>
                <w:noProof w:val="0"/>
                <w:color w:val="000000"/>
              </w:rPr>
              <w:t>54</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63</w:t>
            </w:r>
            <w:r w:rsidR="0011611A">
              <w:rPr>
                <w:rFonts w:eastAsia="Times New Roman"/>
                <w:noProof w:val="0"/>
                <w:color w:val="000000"/>
              </w:rPr>
              <w:t>,</w:t>
            </w:r>
            <w:r w:rsidRPr="00A061FC">
              <w:rPr>
                <w:rFonts w:eastAsia="Times New Roman"/>
                <w:noProof w:val="0"/>
                <w:color w:val="000000"/>
              </w:rPr>
              <w:t>33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85</w:t>
            </w:r>
            <w:r w:rsidR="0011611A">
              <w:rPr>
                <w:rFonts w:eastAsia="Times New Roman"/>
                <w:noProof w:val="0"/>
                <w:color w:val="000000"/>
              </w:rPr>
              <w:t>,</w:t>
            </w:r>
            <w:r w:rsidRPr="00A061FC">
              <w:rPr>
                <w:rFonts w:eastAsia="Times New Roman"/>
                <w:noProof w:val="0"/>
                <w:color w:val="000000"/>
              </w:rPr>
              <w:t>13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tx_obt_cmd</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13</w:t>
            </w:r>
            <w:r w:rsidR="0011611A">
              <w:rPr>
                <w:rFonts w:eastAsia="Times New Roman"/>
                <w:noProof w:val="0"/>
                <w:color w:val="000000"/>
              </w:rPr>
              <w:t>,</w:t>
            </w:r>
            <w:r w:rsidRPr="00A061FC">
              <w:rPr>
                <w:rFonts w:eastAsia="Times New Roman"/>
                <w:noProof w:val="0"/>
                <w:color w:val="000000"/>
              </w:rPr>
              <w:t>72</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15</w:t>
            </w:r>
            <w:r w:rsidR="0011611A">
              <w:rPr>
                <w:rFonts w:eastAsia="Times New Roman"/>
                <w:noProof w:val="0"/>
                <w:color w:val="000000"/>
              </w:rPr>
              <w:t>,</w:t>
            </w:r>
            <w:r w:rsidRPr="00A061FC">
              <w:rPr>
                <w:rFonts w:eastAsia="Times New Roman"/>
                <w:noProof w:val="0"/>
                <w:color w:val="000000"/>
              </w:rPr>
              <w:t>45</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3</w:t>
            </w:r>
            <w:r w:rsidR="0011611A">
              <w:rPr>
                <w:rFonts w:eastAsia="Times New Roman"/>
                <w:noProof w:val="0"/>
                <w:color w:val="000000"/>
              </w:rPr>
              <w:t>,</w:t>
            </w:r>
            <w:r w:rsidRPr="00A061FC">
              <w:rPr>
                <w:rFonts w:eastAsia="Times New Roman"/>
                <w:noProof w:val="0"/>
                <w:color w:val="000000"/>
              </w:rPr>
              <w:t>17</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8</w:t>
            </w:r>
            <w:r w:rsidR="0011611A">
              <w:rPr>
                <w:rFonts w:eastAsia="Times New Roman"/>
                <w:noProof w:val="0"/>
                <w:color w:val="000000"/>
              </w:rPr>
              <w:t>,</w:t>
            </w:r>
            <w:r w:rsidRPr="00A061FC">
              <w:rPr>
                <w:rFonts w:eastAsia="Times New Roman"/>
                <w:noProof w:val="0"/>
                <w:color w:val="000000"/>
              </w:rPr>
              <w:t>33</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18</w:t>
            </w:r>
            <w:r w:rsidR="0011611A">
              <w:rPr>
                <w:rFonts w:eastAsia="Times New Roman"/>
                <w:noProof w:val="0"/>
                <w:color w:val="000000"/>
              </w:rPr>
              <w:t>,</w:t>
            </w:r>
            <w:r w:rsidRPr="00A061FC">
              <w:rPr>
                <w:rFonts w:eastAsia="Times New Roman"/>
                <w:noProof w:val="0"/>
                <w:color w:val="000000"/>
              </w:rPr>
              <w:t>18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nil"/>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ind_partido_pres</w:t>
            </w:r>
          </w:p>
        </w:tc>
        <w:tc>
          <w:tcPr>
            <w:tcW w:w="105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09</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28</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nil"/>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00</w:t>
            </w:r>
          </w:p>
        </w:tc>
      </w:tr>
      <w:tr w:rsidR="001F628A" w:rsidRPr="0011507A" w:rsidTr="00524A84">
        <w:trPr>
          <w:trHeight w:val="255"/>
        </w:trPr>
        <w:tc>
          <w:tcPr>
            <w:tcW w:w="2127" w:type="dxa"/>
            <w:tcBorders>
              <w:top w:val="nil"/>
              <w:left w:val="nil"/>
              <w:bottom w:val="single" w:sz="8" w:space="0" w:color="auto"/>
              <w:right w:val="nil"/>
            </w:tcBorders>
            <w:shd w:val="clear" w:color="auto" w:fill="auto"/>
            <w:noWrap/>
            <w:vAlign w:val="center"/>
            <w:hideMark/>
          </w:tcPr>
          <w:p w:rsidR="001F628A" w:rsidRPr="0011611A" w:rsidRDefault="001F628A" w:rsidP="00524A84">
            <w:pPr>
              <w:autoSpaceDE/>
              <w:autoSpaceDN/>
              <w:adjustRightInd/>
              <w:spacing w:before="0" w:line="240" w:lineRule="auto"/>
              <w:jc w:val="center"/>
              <w:rPr>
                <w:rFonts w:eastAsia="Times New Roman"/>
                <w:i/>
                <w:noProof w:val="0"/>
                <w:color w:val="000000"/>
              </w:rPr>
            </w:pPr>
            <w:r w:rsidRPr="0011611A">
              <w:rPr>
                <w:rFonts w:eastAsia="Times New Roman"/>
                <w:i/>
                <w:noProof w:val="0"/>
                <w:color w:val="000000"/>
              </w:rPr>
              <w:t>ind_partido_aliado</w:t>
            </w:r>
          </w:p>
        </w:tc>
        <w:tc>
          <w:tcPr>
            <w:tcW w:w="105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100%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10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30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0</w:t>
            </w:r>
            <w:r w:rsidR="0011611A">
              <w:rPr>
                <w:rFonts w:eastAsia="Times New Roman"/>
                <w:noProof w:val="0"/>
                <w:color w:val="000000"/>
              </w:rPr>
              <w:t>,</w:t>
            </w:r>
            <w:r w:rsidRPr="00A061FC">
              <w:rPr>
                <w:rFonts w:eastAsia="Times New Roman"/>
                <w:noProof w:val="0"/>
                <w:color w:val="000000"/>
              </w:rPr>
              <w:t>00</w:t>
            </w:r>
          </w:p>
        </w:tc>
        <w:tc>
          <w:tcPr>
            <w:tcW w:w="896" w:type="dxa"/>
            <w:tcBorders>
              <w:top w:val="nil"/>
              <w:left w:val="nil"/>
              <w:bottom w:val="single" w:sz="8" w:space="0" w:color="auto"/>
              <w:right w:val="nil"/>
            </w:tcBorders>
            <w:shd w:val="clear" w:color="auto" w:fill="auto"/>
            <w:noWrap/>
            <w:vAlign w:val="center"/>
            <w:hideMark/>
          </w:tcPr>
          <w:p w:rsidR="001F628A" w:rsidRPr="00A061FC" w:rsidRDefault="001F628A" w:rsidP="00524A84">
            <w:pPr>
              <w:autoSpaceDE/>
              <w:autoSpaceDN/>
              <w:adjustRightInd/>
              <w:spacing w:before="0" w:line="240" w:lineRule="auto"/>
              <w:jc w:val="center"/>
              <w:rPr>
                <w:rFonts w:eastAsia="Times New Roman"/>
                <w:noProof w:val="0"/>
                <w:color w:val="000000"/>
              </w:rPr>
            </w:pPr>
            <w:r w:rsidRPr="00A061FC">
              <w:rPr>
                <w:rFonts w:eastAsia="Times New Roman"/>
                <w:noProof w:val="0"/>
                <w:color w:val="000000"/>
              </w:rPr>
              <w:t>1</w:t>
            </w:r>
            <w:r w:rsidR="0011611A">
              <w:rPr>
                <w:rFonts w:eastAsia="Times New Roman"/>
                <w:noProof w:val="0"/>
                <w:color w:val="000000"/>
              </w:rPr>
              <w:t>,</w:t>
            </w:r>
            <w:r w:rsidRPr="00A061FC">
              <w:rPr>
                <w:rFonts w:eastAsia="Times New Roman"/>
                <w:noProof w:val="0"/>
                <w:color w:val="000000"/>
              </w:rPr>
              <w:t>00</w:t>
            </w:r>
          </w:p>
        </w:tc>
      </w:tr>
    </w:tbl>
    <w:p w:rsidR="001F628A" w:rsidRDefault="001F628A" w:rsidP="001F628A">
      <w:pPr>
        <w:spacing w:before="0"/>
        <w:ind w:firstLine="426"/>
        <w:rPr>
          <w:sz w:val="18"/>
          <w:szCs w:val="18"/>
        </w:rPr>
      </w:pPr>
      <w:r>
        <w:rPr>
          <w:sz w:val="18"/>
          <w:szCs w:val="18"/>
        </w:rPr>
        <w:t>*%p: % de preenchimento da variável.</w:t>
      </w:r>
    </w:p>
    <w:p w:rsidR="001F628A" w:rsidRDefault="001F628A" w:rsidP="005D7789">
      <w:pPr>
        <w:spacing w:before="0" w:after="240"/>
        <w:ind w:firstLine="425"/>
        <w:rPr>
          <w:sz w:val="18"/>
          <w:szCs w:val="18"/>
        </w:rPr>
      </w:pPr>
      <w:r w:rsidRPr="00D40133">
        <w:rPr>
          <w:sz w:val="18"/>
          <w:szCs w:val="18"/>
        </w:rPr>
        <w:t xml:space="preserve">Fonte: </w:t>
      </w:r>
      <w:r>
        <w:rPr>
          <w:sz w:val="18"/>
          <w:szCs w:val="18"/>
        </w:rPr>
        <w:t>Dados do estudo.</w:t>
      </w:r>
    </w:p>
    <w:p w:rsidR="00E9008B" w:rsidRPr="00BC44A7" w:rsidRDefault="0013755C" w:rsidP="00D435DE">
      <w:pPr>
        <w:pStyle w:val="Legenda"/>
        <w:spacing w:line="240" w:lineRule="auto"/>
        <w:ind w:firstLine="709"/>
        <w:jc w:val="both"/>
        <w:rPr>
          <w:b/>
          <w:sz w:val="24"/>
          <w:szCs w:val="24"/>
        </w:rPr>
      </w:pPr>
      <w:r w:rsidRPr="00BC44A7">
        <w:rPr>
          <w:b/>
          <w:sz w:val="24"/>
          <w:szCs w:val="24"/>
        </w:rPr>
        <w:t>5</w:t>
      </w:r>
      <w:bookmarkEnd w:id="6"/>
      <w:r w:rsidRPr="00BC44A7">
        <w:rPr>
          <w:b/>
          <w:sz w:val="24"/>
          <w:szCs w:val="24"/>
        </w:rPr>
        <w:t xml:space="preserve">  Resultados</w:t>
      </w:r>
    </w:p>
    <w:p w:rsidR="00E16BD7" w:rsidRDefault="0013755C" w:rsidP="00E16BD7">
      <w:pPr>
        <w:spacing w:before="120" w:after="120" w:line="240" w:lineRule="auto"/>
        <w:ind w:firstLine="709"/>
        <w:rPr>
          <w:sz w:val="24"/>
          <w:szCs w:val="24"/>
        </w:rPr>
      </w:pPr>
      <w:r w:rsidRPr="00C158E5">
        <w:rPr>
          <w:sz w:val="24"/>
          <w:szCs w:val="24"/>
        </w:rPr>
        <w:t>Com o objetivo de interpretar melhor os resultados, foram estimadas seis regressões em painel com efeitos fixos, todas com especificação semelhante à apresentada na equação (</w:t>
      </w:r>
      <w:r w:rsidR="00CE42DB">
        <w:rPr>
          <w:sz w:val="24"/>
          <w:szCs w:val="24"/>
        </w:rPr>
        <w:t>1</w:t>
      </w:r>
      <w:r w:rsidRPr="00C158E5">
        <w:rPr>
          <w:sz w:val="24"/>
          <w:szCs w:val="24"/>
        </w:rPr>
        <w:t xml:space="preserve">). A cada estimação, novos controles foram adicionados. A variável resposta utilizada foi sempre o logaritmo das transferências SUS </w:t>
      </w:r>
      <w:r w:rsidRPr="007F610B">
        <w:rPr>
          <w:i/>
          <w:sz w:val="24"/>
          <w:szCs w:val="24"/>
        </w:rPr>
        <w:t>per capita</w:t>
      </w:r>
      <w:r w:rsidRPr="00C158E5">
        <w:rPr>
          <w:sz w:val="24"/>
          <w:szCs w:val="24"/>
        </w:rPr>
        <w:t xml:space="preserve"> recebidas pelos municípios. As </w:t>
      </w:r>
      <w:r w:rsidRPr="00C158E5">
        <w:rPr>
          <w:i/>
          <w:iCs/>
          <w:sz w:val="24"/>
          <w:szCs w:val="24"/>
        </w:rPr>
        <w:t>dummies</w:t>
      </w:r>
      <w:r w:rsidRPr="00C158E5">
        <w:rPr>
          <w:sz w:val="24"/>
          <w:szCs w:val="24"/>
        </w:rPr>
        <w:t xml:space="preserve"> de ano, para controlar eventuais tendências no tempo, foram mantidas em todas as regressões.</w:t>
      </w:r>
      <w:r w:rsidR="00E16BD7">
        <w:rPr>
          <w:sz w:val="24"/>
          <w:szCs w:val="24"/>
        </w:rPr>
        <w:t xml:space="preserve"> </w:t>
      </w:r>
      <w:r w:rsidR="00E16BD7" w:rsidRPr="00D32948">
        <w:rPr>
          <w:sz w:val="24"/>
          <w:szCs w:val="24"/>
        </w:rPr>
        <w:t>Os resultados evidenciam que a arrecadação municipal é de fato um fator que influencia positivamente o recebimento de transferências</w:t>
      </w:r>
      <w:r w:rsidR="00E16BD7">
        <w:rPr>
          <w:sz w:val="24"/>
          <w:szCs w:val="24"/>
        </w:rPr>
        <w:t xml:space="preserve"> fundo a fundo do SUS</w:t>
      </w:r>
      <w:r w:rsidR="00E16BD7" w:rsidRPr="00D32948">
        <w:rPr>
          <w:sz w:val="24"/>
          <w:szCs w:val="24"/>
        </w:rPr>
        <w:t xml:space="preserve">. Os coeficientes associados aos dois tipos de arrecadação municipal se mantiveram positivos e significantes a </w:t>
      </w:r>
      <w:r w:rsidR="00E16BD7" w:rsidRPr="00D32948">
        <w:rPr>
          <w:sz w:val="24"/>
          <w:szCs w:val="24"/>
        </w:rPr>
        <w:fldChar w:fldCharType="begin"/>
      </w:r>
      <w:r w:rsidR="00E16BD7" w:rsidRPr="00D32948">
        <w:rPr>
          <w:sz w:val="24"/>
          <w:szCs w:val="24"/>
        </w:rPr>
        <w:instrText xml:space="preserve"> COMMENTS " $1\%$" </w:instrText>
      </w:r>
      <w:r w:rsidR="00E16BD7" w:rsidRPr="00D32948">
        <w:rPr>
          <w:sz w:val="24"/>
          <w:szCs w:val="24"/>
        </w:rPr>
        <w:fldChar w:fldCharType="end"/>
      </w:r>
      <w:r w:rsidR="00E16BD7" w:rsidRPr="00D32948">
        <w:rPr>
          <w:sz w:val="24"/>
          <w:szCs w:val="24"/>
        </w:rPr>
        <w:t>1% em todas as regressões estimadas.</w:t>
      </w:r>
    </w:p>
    <w:p w:rsidR="00343F18" w:rsidRPr="00D32948" w:rsidRDefault="00343F18" w:rsidP="00343F18">
      <w:pPr>
        <w:spacing w:before="120" w:after="120" w:line="240" w:lineRule="auto"/>
        <w:ind w:firstLine="709"/>
        <w:rPr>
          <w:sz w:val="24"/>
          <w:szCs w:val="24"/>
        </w:rPr>
      </w:pPr>
      <w:r w:rsidRPr="00D32948">
        <w:rPr>
          <w:sz w:val="24"/>
          <w:szCs w:val="24"/>
        </w:rPr>
        <w:t>A tabela </w:t>
      </w:r>
      <w:r>
        <w:rPr>
          <w:sz w:val="24"/>
          <w:szCs w:val="24"/>
        </w:rPr>
        <w:t>5</w:t>
      </w:r>
      <w:r w:rsidRPr="00D32948">
        <w:rPr>
          <w:sz w:val="24"/>
          <w:szCs w:val="24"/>
        </w:rPr>
        <w:t xml:space="preserve"> apresenta os coeficientes estimados para diferentes especificações. A regressão [1] foi estimada apenas com </w:t>
      </w:r>
      <w:r w:rsidR="00052612">
        <w:rPr>
          <w:sz w:val="24"/>
          <w:szCs w:val="24"/>
        </w:rPr>
        <w:t>as duas variáveis de inter</w:t>
      </w:r>
      <w:r w:rsidRPr="00D32948">
        <w:rPr>
          <w:sz w:val="24"/>
          <w:szCs w:val="24"/>
        </w:rPr>
        <w:t>esse, arrecadação local de impostos e arrecadação local de transferências incondicionais, além das variáveis binárias de ano. Para as demais regressões, foram sendo acrescentadas variáveis de controle: [2] controles de renda e tamanho da população; [3] controles de oferta em saúde; [4] indicadores de necessidade de saúde; e [5] fatores políticos. Adicionalmente, estimou-se a regressão [6], em que foi considerada a arrecadação local como um todo (</w:t>
      </w:r>
      <w:r>
        <w:rPr>
          <w:sz w:val="24"/>
          <w:szCs w:val="24"/>
        </w:rPr>
        <w:t xml:space="preserve">composta predominantemente pela </w:t>
      </w:r>
      <w:r w:rsidRPr="00D32948">
        <w:rPr>
          <w:sz w:val="24"/>
          <w:szCs w:val="24"/>
        </w:rPr>
        <w:t>soma da arrecadação local de impostos e das transferências incondicionais), juntamente com todas as variáveis de controle.</w:t>
      </w:r>
    </w:p>
    <w:p w:rsidR="00343F18" w:rsidRPr="00D32948" w:rsidRDefault="00343F18" w:rsidP="00343F18">
      <w:pPr>
        <w:spacing w:before="120" w:after="120" w:line="240" w:lineRule="auto"/>
        <w:ind w:firstLine="709"/>
        <w:rPr>
          <w:sz w:val="24"/>
          <w:szCs w:val="24"/>
        </w:rPr>
      </w:pPr>
      <w:r w:rsidRPr="00D32948">
        <w:rPr>
          <w:sz w:val="24"/>
          <w:szCs w:val="24"/>
        </w:rPr>
        <w:t xml:space="preserve">No caso das variáveis monetárias, uma vez que todas estão na forma logarítmica, assim como a variável dependente, o coeficiente estimado pode ser interpretado diretamente como uma elasticidade, ou seja, como a variação percentual no volume de transferências SUS quando a respectiva variável aumenta em </w:t>
      </w:r>
      <w:r w:rsidRPr="00D32948">
        <w:rPr>
          <w:sz w:val="24"/>
          <w:szCs w:val="24"/>
        </w:rPr>
        <w:fldChar w:fldCharType="begin"/>
      </w:r>
      <w:r w:rsidRPr="00D32948">
        <w:rPr>
          <w:sz w:val="24"/>
          <w:szCs w:val="24"/>
        </w:rPr>
        <w:instrText xml:space="preserve"> COMMENTS " $1\%$" </w:instrText>
      </w:r>
      <w:r w:rsidRPr="00D32948">
        <w:rPr>
          <w:sz w:val="24"/>
          <w:szCs w:val="24"/>
        </w:rPr>
        <w:fldChar w:fldCharType="end"/>
      </w:r>
      <w:r w:rsidRPr="00D32948">
        <w:rPr>
          <w:sz w:val="24"/>
          <w:szCs w:val="24"/>
        </w:rPr>
        <w:t xml:space="preserve">1%, tudo mais constante. Por exemplo, pela regressão [1], temos que, em média e sem mais controles, um aumento de </w:t>
      </w:r>
      <w:r w:rsidRPr="00D32948">
        <w:rPr>
          <w:sz w:val="24"/>
          <w:szCs w:val="24"/>
        </w:rPr>
        <w:fldChar w:fldCharType="begin"/>
      </w:r>
      <w:r w:rsidRPr="00D32948">
        <w:rPr>
          <w:sz w:val="24"/>
          <w:szCs w:val="24"/>
        </w:rPr>
        <w:instrText xml:space="preserve"> COMMENTS " $1\%$" </w:instrText>
      </w:r>
      <w:r w:rsidRPr="00D32948">
        <w:rPr>
          <w:sz w:val="24"/>
          <w:szCs w:val="24"/>
        </w:rPr>
        <w:fldChar w:fldCharType="end"/>
      </w:r>
      <w:r w:rsidRPr="00D32948">
        <w:rPr>
          <w:sz w:val="24"/>
          <w:szCs w:val="24"/>
        </w:rPr>
        <w:t xml:space="preserve">1% na arrecadação municipal </w:t>
      </w:r>
      <w:r w:rsidRPr="00D32948">
        <w:rPr>
          <w:i/>
          <w:sz w:val="24"/>
          <w:szCs w:val="24"/>
        </w:rPr>
        <w:t>per capita</w:t>
      </w:r>
      <w:r w:rsidRPr="00D32948">
        <w:rPr>
          <w:sz w:val="24"/>
          <w:szCs w:val="24"/>
        </w:rPr>
        <w:t xml:space="preserve"> de transferências incondicionais traz um aumento de aproximadamente </w:t>
      </w:r>
      <w:r w:rsidRPr="00D32948">
        <w:rPr>
          <w:sz w:val="24"/>
          <w:szCs w:val="24"/>
        </w:rPr>
        <w:fldChar w:fldCharType="begin"/>
      </w:r>
      <w:r w:rsidRPr="00D32948">
        <w:rPr>
          <w:sz w:val="24"/>
          <w:szCs w:val="24"/>
        </w:rPr>
        <w:instrText xml:space="preserve"> COMMENTS " $0.44\%$" </w:instrText>
      </w:r>
      <w:r w:rsidRPr="00D32948">
        <w:rPr>
          <w:sz w:val="24"/>
          <w:szCs w:val="24"/>
        </w:rPr>
        <w:fldChar w:fldCharType="end"/>
      </w:r>
      <w:r w:rsidRPr="00D32948">
        <w:rPr>
          <w:sz w:val="24"/>
          <w:szCs w:val="24"/>
        </w:rPr>
        <w:t>0.25% no montante recebido em transferências SUS. Todas as variáveis explicativas não monetárias, com exceção das produções ambulatoriais e dos indicadores de partido do prefeito, têm sua unidade expressa em pontos percentuais. Ou seja, seu coeficiente vezes 100 representa o impacto nas transferências SUS de uma variação de 1 ponto percentual na respectiva variável, tudo mais constante.</w:t>
      </w:r>
    </w:p>
    <w:p w:rsidR="00343F18" w:rsidRPr="00D32948" w:rsidRDefault="00343F18" w:rsidP="00343F18">
      <w:pPr>
        <w:spacing w:before="120" w:after="120" w:line="240" w:lineRule="auto"/>
        <w:ind w:firstLine="709"/>
        <w:rPr>
          <w:sz w:val="24"/>
          <w:szCs w:val="24"/>
        </w:rPr>
      </w:pPr>
      <w:r w:rsidRPr="00D32948">
        <w:rPr>
          <w:sz w:val="24"/>
          <w:szCs w:val="24"/>
        </w:rPr>
        <w:t xml:space="preserve">Mesmo após a inclusão de todos os controles escolhidos, temos que variações de </w:t>
      </w:r>
      <w:r w:rsidRPr="00D32948">
        <w:rPr>
          <w:sz w:val="24"/>
          <w:szCs w:val="24"/>
        </w:rPr>
        <w:fldChar w:fldCharType="begin"/>
      </w:r>
      <w:r w:rsidRPr="00D32948">
        <w:rPr>
          <w:sz w:val="24"/>
          <w:szCs w:val="24"/>
        </w:rPr>
        <w:instrText xml:space="preserve"> COMMENTS " $1\%$" </w:instrText>
      </w:r>
      <w:r w:rsidRPr="00D32948">
        <w:rPr>
          <w:sz w:val="24"/>
          <w:szCs w:val="24"/>
        </w:rPr>
        <w:fldChar w:fldCharType="end"/>
      </w:r>
      <w:r w:rsidRPr="00D32948">
        <w:rPr>
          <w:sz w:val="24"/>
          <w:szCs w:val="24"/>
        </w:rPr>
        <w:t xml:space="preserve">1% na arrecadação de transferências incondicionais e de impostos locais ainda acarretam, respectivamente, uma variação de </w:t>
      </w:r>
      <w:r w:rsidRPr="00D32948">
        <w:rPr>
          <w:sz w:val="24"/>
          <w:szCs w:val="24"/>
        </w:rPr>
        <w:fldChar w:fldCharType="begin"/>
      </w:r>
      <w:r w:rsidRPr="00D32948">
        <w:rPr>
          <w:sz w:val="24"/>
          <w:szCs w:val="24"/>
        </w:rPr>
        <w:instrText xml:space="preserve"> COMMENTS " $0.33\%$" </w:instrText>
      </w:r>
      <w:r w:rsidRPr="00D32948">
        <w:rPr>
          <w:sz w:val="24"/>
          <w:szCs w:val="24"/>
        </w:rPr>
        <w:fldChar w:fldCharType="end"/>
      </w:r>
      <w:r w:rsidRPr="00D32948">
        <w:rPr>
          <w:sz w:val="24"/>
          <w:szCs w:val="24"/>
        </w:rPr>
        <w:t>aproximadamente 0,06% e 0,04% no volume de transferências SUS recebido.</w:t>
      </w:r>
    </w:p>
    <w:p w:rsidR="00343F18" w:rsidRDefault="00343F18" w:rsidP="00343F18">
      <w:pPr>
        <w:spacing w:before="120" w:after="240" w:line="240" w:lineRule="auto"/>
        <w:ind w:firstLine="709"/>
        <w:rPr>
          <w:sz w:val="24"/>
          <w:szCs w:val="24"/>
        </w:rPr>
      </w:pPr>
      <w:r w:rsidRPr="00D32948">
        <w:rPr>
          <w:sz w:val="24"/>
          <w:szCs w:val="24"/>
        </w:rPr>
        <w:t>Pelo impacto positivo obtido</w:t>
      </w:r>
      <w:r>
        <w:rPr>
          <w:sz w:val="24"/>
          <w:szCs w:val="24"/>
        </w:rPr>
        <w:t>,</w:t>
      </w:r>
      <w:r w:rsidRPr="00D32948">
        <w:rPr>
          <w:sz w:val="24"/>
          <w:szCs w:val="24"/>
        </w:rPr>
        <w:t xml:space="preserve"> e de acordo com as regras que determinam as transferências, nossa interpretação é de que os municípios que mais arrecadam são também os que têm maior propensão a investir em programas e serviços que recebem recursos em transferências do SUS. Como comentado, nossa hipótese é que os recursos do SUS podem </w:t>
      </w:r>
      <w:r>
        <w:rPr>
          <w:sz w:val="24"/>
          <w:szCs w:val="24"/>
        </w:rPr>
        <w:t xml:space="preserve">não </w:t>
      </w:r>
      <w:r w:rsidRPr="00D32948">
        <w:rPr>
          <w:sz w:val="24"/>
          <w:szCs w:val="24"/>
        </w:rPr>
        <w:t>ser</w:t>
      </w:r>
      <w:r>
        <w:rPr>
          <w:sz w:val="24"/>
          <w:szCs w:val="24"/>
        </w:rPr>
        <w:t xml:space="preserve"> </w:t>
      </w:r>
      <w:r w:rsidRPr="00D32948">
        <w:rPr>
          <w:sz w:val="24"/>
          <w:szCs w:val="24"/>
        </w:rPr>
        <w:t>suficientes</w:t>
      </w:r>
      <w:r>
        <w:rPr>
          <w:sz w:val="24"/>
          <w:szCs w:val="24"/>
        </w:rPr>
        <w:t xml:space="preserve"> e</w:t>
      </w:r>
      <w:r w:rsidRPr="00D32948">
        <w:rPr>
          <w:sz w:val="24"/>
          <w:szCs w:val="24"/>
        </w:rPr>
        <w:t>,</w:t>
      </w:r>
      <w:r>
        <w:rPr>
          <w:sz w:val="24"/>
          <w:szCs w:val="24"/>
        </w:rPr>
        <w:t xml:space="preserve"> com isso,</w:t>
      </w:r>
      <w:r w:rsidRPr="00D32948">
        <w:rPr>
          <w:sz w:val="24"/>
          <w:szCs w:val="24"/>
        </w:rPr>
        <w:t xml:space="preserve"> o investimento em alguns programas e serviços pode exigir dispêndio de recursos próprios, o que </w:t>
      </w:r>
      <w:r>
        <w:rPr>
          <w:sz w:val="24"/>
          <w:szCs w:val="24"/>
        </w:rPr>
        <w:t>tende a ser mais viável</w:t>
      </w:r>
      <w:r w:rsidRPr="00D32948">
        <w:rPr>
          <w:sz w:val="24"/>
          <w:szCs w:val="24"/>
        </w:rPr>
        <w:t xml:space="preserve"> para os </w:t>
      </w:r>
      <w:r w:rsidRPr="00D32948">
        <w:rPr>
          <w:sz w:val="24"/>
          <w:szCs w:val="24"/>
        </w:rPr>
        <w:lastRenderedPageBreak/>
        <w:t>municípios que arrecadam mais.</w:t>
      </w:r>
      <w:r>
        <w:rPr>
          <w:sz w:val="24"/>
          <w:szCs w:val="24"/>
        </w:rPr>
        <w:t xml:space="preserve"> Tal argumento ganha força quando se admite que a adesão local a programas do SUS sem o atendimento das metas mínimas exigidas pelo poder central impõe custos ao governo local.</w:t>
      </w:r>
    </w:p>
    <w:p w:rsidR="009017D0" w:rsidRPr="009017D0" w:rsidRDefault="009017D0" w:rsidP="00C16190">
      <w:pPr>
        <w:pStyle w:val="Legenda"/>
        <w:spacing w:line="240" w:lineRule="auto"/>
        <w:contextualSpacing/>
        <w:jc w:val="center"/>
        <w:rPr>
          <w:b/>
          <w:sz w:val="14"/>
          <w:szCs w:val="14"/>
        </w:rPr>
      </w:pPr>
    </w:p>
    <w:p w:rsidR="00E9008B" w:rsidRPr="00FA6959" w:rsidRDefault="0013755C" w:rsidP="00C16190">
      <w:pPr>
        <w:pStyle w:val="Legenda"/>
        <w:spacing w:line="240" w:lineRule="auto"/>
        <w:contextualSpacing/>
        <w:jc w:val="center"/>
        <w:rPr>
          <w:b/>
        </w:rPr>
      </w:pPr>
      <w:r w:rsidRPr="00FA6959">
        <w:rPr>
          <w:b/>
        </w:rPr>
        <w:t xml:space="preserve">Tabela </w:t>
      </w:r>
      <w:r w:rsidR="007F610B">
        <w:rPr>
          <w:b/>
        </w:rPr>
        <w:t>5</w:t>
      </w:r>
      <w:r w:rsidRPr="00FA6959">
        <w:rPr>
          <w:b/>
        </w:rPr>
        <w:t>: Regressões em painel com efeitos fixo</w:t>
      </w:r>
      <w:r w:rsidR="003D0A26">
        <w:rPr>
          <w:b/>
        </w:rPr>
        <w:t>s</w:t>
      </w:r>
      <w:r w:rsidRPr="00FA6959">
        <w:rPr>
          <w:b/>
        </w:rPr>
        <w:t xml:space="preserve"> – Variável dependente: </w:t>
      </w:r>
      <w:r w:rsidRPr="005A7444">
        <w:rPr>
          <w:b/>
          <w:i/>
        </w:rPr>
        <w:t>log_transfSUS_hab</w:t>
      </w:r>
      <w:r w:rsidRPr="00FA6959">
        <w:rPr>
          <w:b/>
        </w:rPr>
        <w:fldChar w:fldCharType="begin"/>
      </w:r>
      <w:r w:rsidRPr="00FA6959">
        <w:rPr>
          <w:b/>
        </w:rPr>
        <w:instrText>TC "16 Resultados: Regressões em painel com efeitos fixo – Variável dependente: log_transfSUS_hab" \f t</w:instrText>
      </w:r>
      <w:r w:rsidRPr="00FA6959">
        <w:rPr>
          <w:b/>
        </w:rPr>
        <w:fldChar w:fldCharType="end"/>
      </w:r>
    </w:p>
    <w:tbl>
      <w:tblPr>
        <w:tblW w:w="9796" w:type="dxa"/>
        <w:tblInd w:w="212" w:type="dxa"/>
        <w:tblCellMar>
          <w:left w:w="70" w:type="dxa"/>
          <w:right w:w="70" w:type="dxa"/>
        </w:tblCellMar>
        <w:tblLook w:val="04A0" w:firstRow="1" w:lastRow="0" w:firstColumn="1" w:lastColumn="0" w:noHBand="0" w:noVBand="1"/>
      </w:tblPr>
      <w:tblGrid>
        <w:gridCol w:w="1433"/>
        <w:gridCol w:w="247"/>
        <w:gridCol w:w="2021"/>
        <w:gridCol w:w="992"/>
        <w:gridCol w:w="992"/>
        <w:gridCol w:w="993"/>
        <w:gridCol w:w="992"/>
        <w:gridCol w:w="935"/>
        <w:gridCol w:w="1191"/>
      </w:tblGrid>
      <w:tr w:rsidR="000A130C" w:rsidRPr="000A130C" w:rsidTr="001160F9">
        <w:trPr>
          <w:trHeight w:val="300"/>
        </w:trPr>
        <w:tc>
          <w:tcPr>
            <w:tcW w:w="1680" w:type="dxa"/>
            <w:gridSpan w:val="2"/>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left"/>
              <w:rPr>
                <w:rFonts w:ascii="Calibri" w:eastAsia="Times New Roman" w:hAnsi="Calibri"/>
                <w:noProof w:val="0"/>
                <w:color w:val="000000"/>
                <w:sz w:val="22"/>
                <w:szCs w:val="22"/>
              </w:rPr>
            </w:pPr>
          </w:p>
        </w:tc>
        <w:tc>
          <w:tcPr>
            <w:tcW w:w="2021"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left"/>
              <w:rPr>
                <w:rFonts w:ascii="Calibri" w:eastAsia="Times New Roman" w:hAnsi="Calibri"/>
                <w:noProof w:val="0"/>
                <w:color w:val="000000"/>
                <w:sz w:val="22"/>
                <w:szCs w:val="22"/>
              </w:rPr>
            </w:pPr>
          </w:p>
        </w:tc>
        <w:tc>
          <w:tcPr>
            <w:tcW w:w="60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Coeficientes e p-valores</w:t>
            </w:r>
          </w:p>
        </w:tc>
      </w:tr>
      <w:tr w:rsidR="001160F9" w:rsidRPr="000A130C" w:rsidTr="001160F9">
        <w:trPr>
          <w:trHeight w:val="300"/>
        </w:trPr>
        <w:tc>
          <w:tcPr>
            <w:tcW w:w="370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Variável</w:t>
            </w:r>
          </w:p>
        </w:tc>
        <w:tc>
          <w:tcPr>
            <w:tcW w:w="992" w:type="dxa"/>
            <w:tcBorders>
              <w:top w:val="nil"/>
              <w:left w:val="nil"/>
              <w:bottom w:val="single" w:sz="4" w:space="0" w:color="auto"/>
              <w:right w:val="nil"/>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[1]</w:t>
            </w:r>
          </w:p>
        </w:tc>
        <w:tc>
          <w:tcPr>
            <w:tcW w:w="992" w:type="dxa"/>
            <w:tcBorders>
              <w:top w:val="nil"/>
              <w:left w:val="nil"/>
              <w:bottom w:val="single" w:sz="4" w:space="0" w:color="auto"/>
              <w:right w:val="nil"/>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[2]</w:t>
            </w:r>
          </w:p>
        </w:tc>
        <w:tc>
          <w:tcPr>
            <w:tcW w:w="993" w:type="dxa"/>
            <w:tcBorders>
              <w:top w:val="nil"/>
              <w:left w:val="nil"/>
              <w:bottom w:val="single" w:sz="4" w:space="0" w:color="auto"/>
              <w:right w:val="nil"/>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[3]</w:t>
            </w:r>
          </w:p>
        </w:tc>
        <w:tc>
          <w:tcPr>
            <w:tcW w:w="992" w:type="dxa"/>
            <w:tcBorders>
              <w:top w:val="nil"/>
              <w:left w:val="nil"/>
              <w:bottom w:val="single" w:sz="4" w:space="0" w:color="auto"/>
              <w:right w:val="nil"/>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[4]</w:t>
            </w:r>
          </w:p>
        </w:tc>
        <w:tc>
          <w:tcPr>
            <w:tcW w:w="935" w:type="dxa"/>
            <w:tcBorders>
              <w:top w:val="nil"/>
              <w:left w:val="nil"/>
              <w:bottom w:val="single" w:sz="4" w:space="0" w:color="auto"/>
              <w:right w:val="single" w:sz="4" w:space="0" w:color="auto"/>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[5]</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b/>
                <w:bCs/>
                <w:noProof w:val="0"/>
                <w:color w:val="000000"/>
              </w:rPr>
            </w:pPr>
            <w:r w:rsidRPr="007F007E">
              <w:rPr>
                <w:rFonts w:eastAsia="Times New Roman"/>
                <w:b/>
                <w:bCs/>
                <w:noProof w:val="0"/>
                <w:color w:val="000000"/>
              </w:rPr>
              <w:t>[6]</w:t>
            </w:r>
          </w:p>
        </w:tc>
      </w:tr>
      <w:tr w:rsidR="001160F9" w:rsidRPr="000A130C" w:rsidTr="007F007E">
        <w:trPr>
          <w:trHeight w:val="272"/>
        </w:trPr>
        <w:tc>
          <w:tcPr>
            <w:tcW w:w="1433" w:type="dxa"/>
            <w:vMerge w:val="restart"/>
            <w:tcBorders>
              <w:top w:val="nil"/>
              <w:left w:val="single" w:sz="4" w:space="0" w:color="auto"/>
              <w:bottom w:val="nil"/>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 xml:space="preserve">Arrecadação total </w:t>
            </w: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log_arrecad_stn_hab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0,07718</w:t>
            </w:r>
          </w:p>
        </w:tc>
      </w:tr>
      <w:tr w:rsidR="001160F9" w:rsidRPr="000A130C" w:rsidTr="007F007E">
        <w:trPr>
          <w:trHeight w:val="272"/>
        </w:trPr>
        <w:tc>
          <w:tcPr>
            <w:tcW w:w="1433" w:type="dxa"/>
            <w:vMerge/>
            <w:tcBorders>
              <w:top w:val="nil"/>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noProof w:val="0"/>
                <w:sz w:val="18"/>
                <w:szCs w:val="18"/>
              </w:rPr>
            </w:pP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 </w:t>
            </w:r>
          </w:p>
        </w:tc>
        <w:tc>
          <w:tcPr>
            <w:tcW w:w="993"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 </w:t>
            </w:r>
          </w:p>
        </w:tc>
        <w:tc>
          <w:tcPr>
            <w:tcW w:w="935"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 </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val="restart"/>
            <w:tcBorders>
              <w:top w:val="single" w:sz="4" w:space="0" w:color="auto"/>
              <w:left w:val="single" w:sz="4" w:space="0" w:color="auto"/>
              <w:bottom w:val="nil"/>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Arrecadação - impostos e transferências</w:t>
            </w: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log_impostos_hab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0,08468</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0,06825</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0,04301</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0,04322</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0,04312</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r>
      <w:tr w:rsidR="001160F9" w:rsidRPr="000A130C" w:rsidTr="007F007E">
        <w:trPr>
          <w:trHeight w:val="272"/>
        </w:trPr>
        <w:tc>
          <w:tcPr>
            <w:tcW w:w="1433" w:type="dxa"/>
            <w:vMerge/>
            <w:tcBorders>
              <w:top w:val="single" w:sz="4" w:space="0" w:color="auto"/>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r>
      <w:tr w:rsidR="001160F9" w:rsidRPr="000A130C" w:rsidTr="007F007E">
        <w:trPr>
          <w:trHeight w:val="272"/>
        </w:trPr>
        <w:tc>
          <w:tcPr>
            <w:tcW w:w="1433" w:type="dxa"/>
            <w:vMerge/>
            <w:tcBorders>
              <w:top w:val="single" w:sz="4" w:space="0" w:color="auto"/>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log_arrecad_transf_hab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0,24837</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0,08483</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0,08583</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0,05981</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0,06004</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 </w:t>
            </w:r>
          </w:p>
        </w:tc>
      </w:tr>
      <w:tr w:rsidR="001160F9" w:rsidRPr="000A130C" w:rsidTr="007F007E">
        <w:trPr>
          <w:trHeight w:val="272"/>
        </w:trPr>
        <w:tc>
          <w:tcPr>
            <w:tcW w:w="1433" w:type="dxa"/>
            <w:vMerge/>
            <w:tcBorders>
              <w:top w:val="single" w:sz="4" w:space="0" w:color="auto"/>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noProof w:val="0"/>
                <w:sz w:val="18"/>
                <w:szCs w:val="18"/>
              </w:rPr>
            </w:pP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r>
      <w:tr w:rsidR="001160F9" w:rsidRPr="000A130C" w:rsidTr="007F007E">
        <w:trPr>
          <w:trHeight w:val="272"/>
        </w:trPr>
        <w:tc>
          <w:tcPr>
            <w:tcW w:w="143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Renda e população</w:t>
            </w: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log_PIB_Mun_hab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0,03186</w:t>
            </w:r>
          </w:p>
        </w:tc>
        <w:tc>
          <w:tcPr>
            <w:tcW w:w="993"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0,02097</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0,01700</w:t>
            </w:r>
          </w:p>
        </w:tc>
        <w:tc>
          <w:tcPr>
            <w:tcW w:w="935" w:type="dxa"/>
            <w:tcBorders>
              <w:top w:val="single" w:sz="4" w:space="0" w:color="auto"/>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0,01616</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0,02589</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(0.003)***</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(0.033)**</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(0.081)*</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(0.098)*</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(0.008)***</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log_PIB_Estado_hab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-0,06707</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-0,10168</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-0,09129</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-0,09353</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-0,08872</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(0.143)</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(0.017)**</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(0.029)**</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(0.025)**</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(0.033)**</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log_PIB_Regiao_hab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1,47966</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1,40939</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1,18542</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1,18889</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1,20102</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single" w:sz="4" w:space="0" w:color="auto"/>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log_pop</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-0,43286</w:t>
            </w:r>
          </w:p>
        </w:tc>
        <w:tc>
          <w:tcPr>
            <w:tcW w:w="993"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-0,34606</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-0,37831</w:t>
            </w:r>
          </w:p>
        </w:tc>
        <w:tc>
          <w:tcPr>
            <w:tcW w:w="935" w:type="dxa"/>
            <w:tcBorders>
              <w:top w:val="single" w:sz="4" w:space="0" w:color="auto"/>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-0,37941</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-0,39344</w:t>
            </w:r>
          </w:p>
        </w:tc>
      </w:tr>
      <w:tr w:rsidR="001160F9" w:rsidRPr="000A130C" w:rsidTr="007F007E">
        <w:trPr>
          <w:trHeight w:val="272"/>
        </w:trPr>
        <w:tc>
          <w:tcPr>
            <w:tcW w:w="1433" w:type="dxa"/>
            <w:vMerge/>
            <w:tcBorders>
              <w:top w:val="single" w:sz="4" w:space="0" w:color="auto"/>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Oferta de serviços de saúde</w:t>
            </w: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per_cob_pac</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3"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0,00148</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0,00032</w:t>
            </w:r>
          </w:p>
        </w:tc>
        <w:tc>
          <w:tcPr>
            <w:tcW w:w="935" w:type="dxa"/>
            <w:tcBorders>
              <w:top w:val="single" w:sz="4" w:space="0" w:color="auto"/>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0,00032</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0,00030</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(0.007)***</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(0.006)***</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(0.012)**</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per_cob_psf</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0,00447</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0,00432</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0,00431</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0,00437</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prod_amb_bas_hab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0,00070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0,00062</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0,00063</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0,00062</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prod_amb_Nbas_hab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0,00461</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0,00530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0,00528</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0,00518</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Necessidade de saúde</w:t>
            </w:r>
          </w:p>
        </w:tc>
        <w:tc>
          <w:tcPr>
            <w:tcW w:w="2268" w:type="dxa"/>
            <w:gridSpan w:val="2"/>
            <w:tcBorders>
              <w:top w:val="single" w:sz="4" w:space="0" w:color="auto"/>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Mort_5_anos</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3"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single" w:sz="4" w:space="0" w:color="auto"/>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-0,00052</w:t>
            </w:r>
          </w:p>
        </w:tc>
        <w:tc>
          <w:tcPr>
            <w:tcW w:w="935" w:type="dxa"/>
            <w:tcBorders>
              <w:top w:val="single" w:sz="4" w:space="0" w:color="auto"/>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-0,00052</w:t>
            </w:r>
          </w:p>
        </w:tc>
        <w:tc>
          <w:tcPr>
            <w:tcW w:w="1191" w:type="dxa"/>
            <w:tcBorders>
              <w:top w:val="single" w:sz="4" w:space="0" w:color="auto"/>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-0,00048</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(0.503)</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(0.507)</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(0.539)</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Pop_urb</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-0,00037</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-0,00038</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-0,00039</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(0.003)***</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(0.002)***</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(0.002)***</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per_coleta_lixo</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0,00013</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0,00012</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0,00017</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(0.559)</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(0.568)</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(0.430)</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tx_obt_cmd</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-0,00122</w:t>
            </w: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-0,00123</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-0,00125</w:t>
            </w:r>
          </w:p>
        </w:tc>
      </w:tr>
      <w:tr w:rsidR="001160F9" w:rsidRPr="000A130C" w:rsidTr="007F007E">
        <w:trPr>
          <w:trHeight w:val="272"/>
        </w:trPr>
        <w:tc>
          <w:tcPr>
            <w:tcW w:w="1433" w:type="dxa"/>
            <w:vMerge/>
            <w:tcBorders>
              <w:top w:val="nil"/>
              <w:left w:val="single" w:sz="4" w:space="0" w:color="auto"/>
              <w:bottom w:val="single" w:sz="4" w:space="0" w:color="000000"/>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3"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935"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(0.000)***</w:t>
            </w:r>
          </w:p>
        </w:tc>
      </w:tr>
      <w:tr w:rsidR="001160F9" w:rsidRPr="000A130C" w:rsidTr="007F007E">
        <w:trPr>
          <w:trHeight w:val="272"/>
        </w:trPr>
        <w:tc>
          <w:tcPr>
            <w:tcW w:w="1433" w:type="dxa"/>
            <w:vMerge w:val="restart"/>
            <w:tcBorders>
              <w:top w:val="nil"/>
              <w:left w:val="single" w:sz="4" w:space="0" w:color="auto"/>
              <w:bottom w:val="nil"/>
              <w:right w:val="single" w:sz="4" w:space="0" w:color="auto"/>
            </w:tcBorders>
            <w:shd w:val="clear" w:color="auto" w:fill="auto"/>
            <w:vAlign w:val="center"/>
            <w:hideMark/>
          </w:tcPr>
          <w:p w:rsidR="000A130C" w:rsidRPr="007F007E" w:rsidRDefault="000A130C" w:rsidP="000A130C">
            <w:pPr>
              <w:autoSpaceDE/>
              <w:autoSpaceDN/>
              <w:adjustRightInd/>
              <w:spacing w:before="0" w:line="240" w:lineRule="auto"/>
              <w:jc w:val="center"/>
              <w:rPr>
                <w:rFonts w:eastAsia="Times New Roman"/>
                <w:b/>
                <w:bCs/>
                <w:noProof w:val="0"/>
                <w:color w:val="000000"/>
                <w:sz w:val="18"/>
                <w:szCs w:val="18"/>
              </w:rPr>
            </w:pPr>
            <w:r w:rsidRPr="007F007E">
              <w:rPr>
                <w:rFonts w:eastAsia="Times New Roman"/>
                <w:b/>
                <w:bCs/>
                <w:noProof w:val="0"/>
                <w:color w:val="000000"/>
                <w:sz w:val="18"/>
                <w:szCs w:val="18"/>
              </w:rPr>
              <w:t>Fatores políticos</w:t>
            </w: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ind_partido_pres</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0,01799</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0,01837</w:t>
            </w:r>
          </w:p>
        </w:tc>
      </w:tr>
      <w:tr w:rsidR="001160F9" w:rsidRPr="000A130C" w:rsidTr="007F007E">
        <w:trPr>
          <w:trHeight w:val="272"/>
        </w:trPr>
        <w:tc>
          <w:tcPr>
            <w:tcW w:w="1433" w:type="dxa"/>
            <w:vMerge/>
            <w:tcBorders>
              <w:top w:val="nil"/>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(0.002)***</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(0.001)***</w:t>
            </w:r>
          </w:p>
        </w:tc>
      </w:tr>
      <w:tr w:rsidR="001160F9" w:rsidRPr="000A130C" w:rsidTr="007F007E">
        <w:trPr>
          <w:trHeight w:val="272"/>
        </w:trPr>
        <w:tc>
          <w:tcPr>
            <w:tcW w:w="1433" w:type="dxa"/>
            <w:vMerge/>
            <w:tcBorders>
              <w:top w:val="nil"/>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nil"/>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r w:rsidRPr="007F007E">
              <w:rPr>
                <w:rFonts w:eastAsia="Times New Roman"/>
                <w:b/>
                <w:bCs/>
                <w:noProof w:val="0"/>
                <w:sz w:val="18"/>
                <w:szCs w:val="18"/>
              </w:rPr>
              <w:t>ind_partido_aliado</w:t>
            </w: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3"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92" w:type="dxa"/>
            <w:tcBorders>
              <w:top w:val="nil"/>
              <w:left w:val="nil"/>
              <w:bottom w:val="nil"/>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p>
        </w:tc>
        <w:tc>
          <w:tcPr>
            <w:tcW w:w="935"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0,00440</w:t>
            </w:r>
          </w:p>
        </w:tc>
        <w:tc>
          <w:tcPr>
            <w:tcW w:w="1191" w:type="dxa"/>
            <w:tcBorders>
              <w:top w:val="nil"/>
              <w:left w:val="nil"/>
              <w:bottom w:val="nil"/>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rPr>
            </w:pPr>
            <w:r w:rsidRPr="000A130C">
              <w:rPr>
                <w:rFonts w:eastAsia="Times New Roman"/>
                <w:noProof w:val="0"/>
                <w:color w:val="000000"/>
              </w:rPr>
              <w:t>0,00388</w:t>
            </w:r>
          </w:p>
        </w:tc>
      </w:tr>
      <w:tr w:rsidR="001160F9" w:rsidRPr="000A130C" w:rsidTr="007F007E">
        <w:trPr>
          <w:trHeight w:val="272"/>
        </w:trPr>
        <w:tc>
          <w:tcPr>
            <w:tcW w:w="1433" w:type="dxa"/>
            <w:vMerge/>
            <w:tcBorders>
              <w:top w:val="nil"/>
              <w:left w:val="single" w:sz="4" w:space="0" w:color="auto"/>
              <w:bottom w:val="nil"/>
              <w:right w:val="single" w:sz="4" w:space="0" w:color="auto"/>
            </w:tcBorders>
            <w:vAlign w:val="center"/>
            <w:hideMark/>
          </w:tcPr>
          <w:p w:rsidR="000A130C" w:rsidRPr="007F007E" w:rsidRDefault="000A130C" w:rsidP="000A130C">
            <w:pPr>
              <w:autoSpaceDE/>
              <w:autoSpaceDN/>
              <w:adjustRightInd/>
              <w:spacing w:before="0" w:line="240" w:lineRule="auto"/>
              <w:jc w:val="left"/>
              <w:rPr>
                <w:rFonts w:eastAsia="Times New Roman"/>
                <w:b/>
                <w:bCs/>
                <w:noProof w:val="0"/>
                <w:color w:val="000000"/>
                <w:sz w:val="18"/>
                <w:szCs w:val="18"/>
              </w:rPr>
            </w:pP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FF443C">
            <w:pPr>
              <w:autoSpaceDE/>
              <w:autoSpaceDN/>
              <w:adjustRightInd/>
              <w:spacing w:before="0" w:line="240" w:lineRule="auto"/>
              <w:jc w:val="center"/>
              <w:rPr>
                <w:rFonts w:eastAsia="Times New Roman"/>
                <w:b/>
                <w:bCs/>
                <w:noProof w:val="0"/>
                <w:sz w:val="18"/>
                <w:szCs w:val="18"/>
              </w:rPr>
            </w:pP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3"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 </w:t>
            </w:r>
          </w:p>
        </w:tc>
        <w:tc>
          <w:tcPr>
            <w:tcW w:w="935"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(0.382)</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16"/>
                <w:szCs w:val="16"/>
              </w:rPr>
            </w:pPr>
            <w:r w:rsidRPr="000A130C">
              <w:rPr>
                <w:rFonts w:eastAsia="Times New Roman"/>
                <w:noProof w:val="0"/>
                <w:color w:val="000000"/>
                <w:sz w:val="16"/>
                <w:szCs w:val="16"/>
              </w:rPr>
              <w:t>(0.441)</w:t>
            </w:r>
          </w:p>
        </w:tc>
      </w:tr>
      <w:tr w:rsidR="001160F9" w:rsidRPr="000A130C" w:rsidTr="001160F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130C" w:rsidRPr="007F007E" w:rsidRDefault="000A130C" w:rsidP="000A130C">
            <w:pPr>
              <w:autoSpaceDE/>
              <w:autoSpaceDN/>
              <w:adjustRightInd/>
              <w:spacing w:before="0" w:line="240" w:lineRule="auto"/>
              <w:jc w:val="left"/>
              <w:rPr>
                <w:rFonts w:eastAsia="Times New Roman"/>
                <w:noProof w:val="0"/>
                <w:color w:val="000000"/>
                <w:sz w:val="18"/>
                <w:szCs w:val="18"/>
              </w:rPr>
            </w:pPr>
            <w:r w:rsidRPr="007F007E">
              <w:rPr>
                <w:rFonts w:eastAsia="Times New Roman"/>
                <w:noProof w:val="0"/>
                <w:color w:val="000000"/>
                <w:sz w:val="18"/>
                <w:szCs w:val="18"/>
              </w:rPr>
              <w:t> </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0A130C" w:rsidRPr="007F007E" w:rsidRDefault="000A130C" w:rsidP="000A130C">
            <w:pPr>
              <w:autoSpaceDE/>
              <w:autoSpaceDN/>
              <w:adjustRightInd/>
              <w:spacing w:before="0" w:line="240" w:lineRule="auto"/>
              <w:jc w:val="center"/>
              <w:rPr>
                <w:rFonts w:eastAsia="Times New Roman"/>
                <w:noProof w:val="0"/>
                <w:color w:val="000000"/>
                <w:sz w:val="18"/>
                <w:szCs w:val="18"/>
              </w:rPr>
            </w:pPr>
            <w:r w:rsidRPr="007F007E">
              <w:rPr>
                <w:rFonts w:eastAsia="Times New Roman"/>
                <w:i/>
                <w:iCs/>
                <w:noProof w:val="0"/>
                <w:color w:val="000000"/>
                <w:sz w:val="18"/>
                <w:szCs w:val="18"/>
              </w:rPr>
              <w:t>dummies</w:t>
            </w:r>
            <w:r w:rsidRPr="007F007E">
              <w:rPr>
                <w:rFonts w:eastAsia="Times New Roman"/>
                <w:noProof w:val="0"/>
                <w:color w:val="000000"/>
                <w:sz w:val="18"/>
                <w:szCs w:val="18"/>
              </w:rPr>
              <w:t xml:space="preserve"> de ano</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c>
          <w:tcPr>
            <w:tcW w:w="993"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c>
          <w:tcPr>
            <w:tcW w:w="992" w:type="dxa"/>
            <w:tcBorders>
              <w:top w:val="nil"/>
              <w:left w:val="nil"/>
              <w:bottom w:val="single" w:sz="4" w:space="0" w:color="auto"/>
              <w:right w:val="nil"/>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c>
          <w:tcPr>
            <w:tcW w:w="935"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c>
          <w:tcPr>
            <w:tcW w:w="1191" w:type="dxa"/>
            <w:tcBorders>
              <w:top w:val="nil"/>
              <w:left w:val="nil"/>
              <w:bottom w:val="single" w:sz="4" w:space="0" w:color="auto"/>
              <w:right w:val="single" w:sz="4" w:space="0" w:color="auto"/>
            </w:tcBorders>
            <w:shd w:val="clear" w:color="auto" w:fill="auto"/>
            <w:noWrap/>
            <w:vAlign w:val="bottom"/>
            <w:hideMark/>
          </w:tcPr>
          <w:p w:rsidR="000A130C" w:rsidRPr="000A130C" w:rsidRDefault="000A130C" w:rsidP="000A130C">
            <w:pPr>
              <w:autoSpaceDE/>
              <w:autoSpaceDN/>
              <w:adjustRightInd/>
              <w:spacing w:before="0" w:line="240" w:lineRule="auto"/>
              <w:jc w:val="center"/>
              <w:rPr>
                <w:rFonts w:eastAsia="Times New Roman"/>
                <w:noProof w:val="0"/>
                <w:color w:val="000000"/>
                <w:sz w:val="22"/>
                <w:szCs w:val="22"/>
              </w:rPr>
            </w:pPr>
            <w:r w:rsidRPr="000A130C">
              <w:rPr>
                <w:rFonts w:eastAsia="Times New Roman"/>
                <w:noProof w:val="0"/>
                <w:color w:val="000000"/>
                <w:sz w:val="22"/>
                <w:szCs w:val="22"/>
              </w:rPr>
              <w:t>sim</w:t>
            </w:r>
          </w:p>
        </w:tc>
      </w:tr>
    </w:tbl>
    <w:p w:rsidR="00D40133" w:rsidRDefault="00D40133" w:rsidP="007F007E">
      <w:pPr>
        <w:pStyle w:val="Legenda"/>
        <w:spacing w:line="240" w:lineRule="auto"/>
        <w:ind w:firstLine="142"/>
        <w:contextualSpacing/>
        <w:rPr>
          <w:sz w:val="18"/>
          <w:szCs w:val="18"/>
        </w:rPr>
      </w:pPr>
      <w:r>
        <w:rPr>
          <w:sz w:val="18"/>
          <w:szCs w:val="18"/>
        </w:rPr>
        <w:t>*, **, ***: Variável significante a 10%, 5% e 1% respectivamente.</w:t>
      </w:r>
    </w:p>
    <w:p w:rsidR="00E9008B" w:rsidRDefault="00D40133" w:rsidP="00343F18">
      <w:pPr>
        <w:pStyle w:val="Legenda"/>
        <w:spacing w:after="240" w:line="240" w:lineRule="auto"/>
        <w:ind w:firstLine="142"/>
      </w:pPr>
      <w:r>
        <w:rPr>
          <w:sz w:val="18"/>
          <w:szCs w:val="18"/>
        </w:rPr>
        <w:t>Fonte: Dados do estudo.</w:t>
      </w:r>
    </w:p>
    <w:p w:rsidR="004B1F9E" w:rsidRDefault="004B1F9E" w:rsidP="00D435DE">
      <w:pPr>
        <w:spacing w:before="120" w:after="120" w:line="240" w:lineRule="auto"/>
        <w:ind w:firstLine="709"/>
        <w:rPr>
          <w:sz w:val="24"/>
          <w:szCs w:val="24"/>
        </w:rPr>
      </w:pPr>
      <w:r>
        <w:rPr>
          <w:sz w:val="24"/>
          <w:szCs w:val="24"/>
        </w:rPr>
        <w:t>É importante notar que uma parte da adesão local a programas específicos do SUS (como o PSF e o PACS) foi controlada na regressão, e</w:t>
      </w:r>
      <w:r w:rsidR="00C67DA9">
        <w:rPr>
          <w:sz w:val="24"/>
          <w:szCs w:val="24"/>
        </w:rPr>
        <w:t>,</w:t>
      </w:r>
      <w:r>
        <w:rPr>
          <w:sz w:val="24"/>
          <w:szCs w:val="24"/>
        </w:rPr>
        <w:t xml:space="preserve"> ainda assim</w:t>
      </w:r>
      <w:r w:rsidR="00C67DA9">
        <w:rPr>
          <w:sz w:val="24"/>
          <w:szCs w:val="24"/>
        </w:rPr>
        <w:t>,</w:t>
      </w:r>
      <w:r>
        <w:rPr>
          <w:sz w:val="24"/>
          <w:szCs w:val="24"/>
        </w:rPr>
        <w:t xml:space="preserve"> a relação entre arrecadação local e transferênca</w:t>
      </w:r>
      <w:r w:rsidR="009B6452">
        <w:rPr>
          <w:sz w:val="24"/>
          <w:szCs w:val="24"/>
        </w:rPr>
        <w:t>is fundo a fundo do SUS se manté</w:t>
      </w:r>
      <w:r>
        <w:rPr>
          <w:sz w:val="24"/>
          <w:szCs w:val="24"/>
        </w:rPr>
        <w:t xml:space="preserve">m, </w:t>
      </w:r>
      <w:r w:rsidR="004953D0">
        <w:rPr>
          <w:sz w:val="24"/>
          <w:szCs w:val="24"/>
        </w:rPr>
        <w:t xml:space="preserve">uma vez que </w:t>
      </w:r>
      <w:r>
        <w:rPr>
          <w:sz w:val="24"/>
          <w:szCs w:val="24"/>
        </w:rPr>
        <w:t>não é possível controlar</w:t>
      </w:r>
      <w:r w:rsidR="00222088">
        <w:rPr>
          <w:sz w:val="24"/>
          <w:szCs w:val="24"/>
        </w:rPr>
        <w:t xml:space="preserve"> a adesão a todos os programas</w:t>
      </w:r>
      <w:r w:rsidR="00222088">
        <w:rPr>
          <w:rStyle w:val="Refdenotaderodap"/>
          <w:sz w:val="24"/>
          <w:szCs w:val="24"/>
        </w:rPr>
        <w:footnoteReference w:id="8"/>
      </w:r>
      <w:r w:rsidR="00222088">
        <w:rPr>
          <w:sz w:val="24"/>
          <w:szCs w:val="24"/>
        </w:rPr>
        <w:t>.</w:t>
      </w:r>
    </w:p>
    <w:p w:rsidR="000D27F0" w:rsidRPr="000D27F0" w:rsidRDefault="000D27F0" w:rsidP="000D27F0">
      <w:pPr>
        <w:spacing w:before="120" w:after="120" w:line="240" w:lineRule="auto"/>
        <w:ind w:firstLine="709"/>
        <w:rPr>
          <w:sz w:val="24"/>
          <w:szCs w:val="24"/>
        </w:rPr>
      </w:pPr>
      <w:r w:rsidRPr="000D27F0">
        <w:rPr>
          <w:sz w:val="24"/>
          <w:szCs w:val="24"/>
        </w:rPr>
        <w:lastRenderedPageBreak/>
        <w:t xml:space="preserve">Analisando outros aspectos dos resultados, </w:t>
      </w:r>
      <w:r>
        <w:rPr>
          <w:sz w:val="24"/>
          <w:szCs w:val="24"/>
        </w:rPr>
        <w:t xml:space="preserve">temos que, </w:t>
      </w:r>
      <w:r w:rsidRPr="000D27F0">
        <w:rPr>
          <w:sz w:val="24"/>
          <w:szCs w:val="24"/>
        </w:rPr>
        <w:t xml:space="preserve">com exceção do percentual de população urbana, os sinais obtidos para </w:t>
      </w:r>
      <w:r>
        <w:rPr>
          <w:sz w:val="24"/>
          <w:szCs w:val="24"/>
        </w:rPr>
        <w:t>os</w:t>
      </w:r>
      <w:r w:rsidRPr="000D27F0">
        <w:rPr>
          <w:sz w:val="24"/>
          <w:szCs w:val="24"/>
        </w:rPr>
        <w:t xml:space="preserve"> controles </w:t>
      </w:r>
      <w:r>
        <w:rPr>
          <w:sz w:val="24"/>
          <w:szCs w:val="24"/>
        </w:rPr>
        <w:t xml:space="preserve">de necessidade de saúde </w:t>
      </w:r>
      <w:r w:rsidRPr="000D27F0">
        <w:rPr>
          <w:sz w:val="24"/>
          <w:szCs w:val="24"/>
        </w:rPr>
        <w:t xml:space="preserve">parecem estar indo na direção contrária. Seria esperado que os municípios com maior taxa de mortalidade infantil e de óbitos por causas mal definidas recebessem maior volume de transferências. Também </w:t>
      </w:r>
      <w:r w:rsidR="000243B3">
        <w:rPr>
          <w:sz w:val="24"/>
          <w:szCs w:val="24"/>
        </w:rPr>
        <w:t>poderia ser</w:t>
      </w:r>
      <w:r w:rsidRPr="000D27F0">
        <w:rPr>
          <w:sz w:val="24"/>
          <w:szCs w:val="24"/>
        </w:rPr>
        <w:t xml:space="preserve"> esperado que as transferências fossem menores para os municípios que apresentam maior cobertura pelo serviço de coleta de lixo. Em ambos os casos, os coeficientes encontrados indicam a relação inversa ou não foram significantes. Esses resultados reforçam a hipótese de Mendes, Miranda e Cossio [</w:t>
      </w:r>
      <w:r w:rsidRPr="000D27F0">
        <w:rPr>
          <w:sz w:val="24"/>
          <w:szCs w:val="24"/>
        </w:rPr>
        <w:fldChar w:fldCharType="begin"/>
      </w:r>
      <w:r w:rsidRPr="000D27F0">
        <w:rPr>
          <w:sz w:val="24"/>
          <w:szCs w:val="24"/>
        </w:rPr>
        <w:instrText xml:space="preserve">REF BIB_mendes_2008 \* MERGEFORMAT </w:instrText>
      </w:r>
      <w:r w:rsidRPr="000D27F0">
        <w:rPr>
          <w:sz w:val="24"/>
          <w:szCs w:val="24"/>
        </w:rPr>
        <w:fldChar w:fldCharType="separate"/>
      </w:r>
      <w:r w:rsidR="008F7554" w:rsidRPr="00D435DE">
        <w:rPr>
          <w:sz w:val="24"/>
          <w:szCs w:val="24"/>
        </w:rPr>
        <w:t>Mendes, Miranda e Cossio 2008</w:t>
      </w:r>
      <w:r w:rsidRPr="000D27F0">
        <w:rPr>
          <w:sz w:val="24"/>
          <w:szCs w:val="24"/>
        </w:rPr>
        <w:fldChar w:fldCharType="end"/>
      </w:r>
      <w:r w:rsidRPr="000D27F0">
        <w:rPr>
          <w:sz w:val="24"/>
          <w:szCs w:val="24"/>
        </w:rPr>
        <w:t>] de que os critérios de distribuição do SUS parecem não abranger as necessidades de saúde.</w:t>
      </w:r>
    </w:p>
    <w:p w:rsidR="00E9008B" w:rsidRDefault="0013755C" w:rsidP="00C67DA9">
      <w:pPr>
        <w:spacing w:before="120" w:after="240" w:line="240" w:lineRule="auto"/>
        <w:ind w:firstLine="709"/>
        <w:rPr>
          <w:sz w:val="24"/>
          <w:szCs w:val="24"/>
        </w:rPr>
      </w:pPr>
      <w:r w:rsidRPr="00D32948">
        <w:rPr>
          <w:sz w:val="24"/>
          <w:szCs w:val="24"/>
        </w:rPr>
        <w:t>Os resultados apontam ainda</w:t>
      </w:r>
      <w:r w:rsidR="00DB5272">
        <w:rPr>
          <w:sz w:val="24"/>
          <w:szCs w:val="24"/>
        </w:rPr>
        <w:t xml:space="preserve"> </w:t>
      </w:r>
      <w:r w:rsidRPr="00D32948">
        <w:rPr>
          <w:sz w:val="24"/>
          <w:szCs w:val="24"/>
        </w:rPr>
        <w:t>que parece haver fatores políticos influenciando</w:t>
      </w:r>
      <w:r w:rsidR="00DB5272">
        <w:rPr>
          <w:sz w:val="24"/>
          <w:szCs w:val="24"/>
        </w:rPr>
        <w:t>, ao menos</w:t>
      </w:r>
      <w:r w:rsidRPr="00D32948">
        <w:rPr>
          <w:sz w:val="24"/>
          <w:szCs w:val="24"/>
        </w:rPr>
        <w:t xml:space="preserve"> levemente</w:t>
      </w:r>
      <w:r w:rsidR="00DB5272">
        <w:rPr>
          <w:sz w:val="24"/>
          <w:szCs w:val="24"/>
        </w:rPr>
        <w:t>,</w:t>
      </w:r>
      <w:r w:rsidRPr="00D32948">
        <w:rPr>
          <w:sz w:val="24"/>
          <w:szCs w:val="24"/>
        </w:rPr>
        <w:t xml:space="preserve"> a destinação dos recursos do SUS. </w:t>
      </w:r>
      <w:r w:rsidR="00405F0A">
        <w:rPr>
          <w:sz w:val="24"/>
          <w:szCs w:val="24"/>
        </w:rPr>
        <w:t>Segundo as regressões estimadas, n</w:t>
      </w:r>
      <w:r w:rsidRPr="00D32948">
        <w:rPr>
          <w:sz w:val="24"/>
          <w:szCs w:val="24"/>
        </w:rPr>
        <w:t xml:space="preserve">ota-se que as transferências </w:t>
      </w:r>
      <w:r w:rsidR="00DB5272">
        <w:rPr>
          <w:sz w:val="24"/>
          <w:szCs w:val="24"/>
        </w:rPr>
        <w:t xml:space="preserve">SUS </w:t>
      </w:r>
      <w:r w:rsidRPr="00D32948">
        <w:rPr>
          <w:sz w:val="24"/>
          <w:szCs w:val="24"/>
        </w:rPr>
        <w:t xml:space="preserve">para os municípios cujo partido do prefeito é o mesmo que o do presidente foram </w:t>
      </w:r>
      <w:r w:rsidRPr="00D32948">
        <w:rPr>
          <w:sz w:val="24"/>
          <w:szCs w:val="24"/>
        </w:rPr>
        <w:fldChar w:fldCharType="begin"/>
      </w:r>
      <w:r w:rsidRPr="00D32948">
        <w:rPr>
          <w:sz w:val="24"/>
          <w:szCs w:val="24"/>
        </w:rPr>
        <w:instrText xml:space="preserve"> COMMENTS " $1.4\%$" </w:instrText>
      </w:r>
      <w:r w:rsidRPr="00D32948">
        <w:rPr>
          <w:sz w:val="24"/>
          <w:szCs w:val="24"/>
        </w:rPr>
        <w:fldChar w:fldCharType="end"/>
      </w:r>
      <w:r w:rsidR="003C4348">
        <w:rPr>
          <w:sz w:val="24"/>
          <w:szCs w:val="24"/>
        </w:rPr>
        <w:t>1,8%</w:t>
      </w:r>
      <w:r w:rsidR="00DB5272">
        <w:rPr>
          <w:sz w:val="24"/>
          <w:szCs w:val="24"/>
        </w:rPr>
        <w:t xml:space="preserve"> </w:t>
      </w:r>
      <w:r w:rsidRPr="00D32948">
        <w:rPr>
          <w:sz w:val="24"/>
          <w:szCs w:val="24"/>
        </w:rPr>
        <w:t xml:space="preserve">maiores. </w:t>
      </w:r>
    </w:p>
    <w:p w:rsidR="00E9008B" w:rsidRPr="00D32948" w:rsidRDefault="0013755C" w:rsidP="00D435DE">
      <w:pPr>
        <w:pStyle w:val="Ttulo1"/>
        <w:spacing w:before="120" w:line="240" w:lineRule="auto"/>
        <w:ind w:firstLine="709"/>
        <w:jc w:val="both"/>
        <w:rPr>
          <w:sz w:val="24"/>
          <w:szCs w:val="24"/>
        </w:rPr>
      </w:pPr>
      <w:r w:rsidRPr="00D32948">
        <w:rPr>
          <w:sz w:val="24"/>
          <w:szCs w:val="24"/>
        </w:rPr>
        <w:t>6  Conclusões</w:t>
      </w:r>
    </w:p>
    <w:p w:rsidR="00E9008B" w:rsidRPr="00D32948" w:rsidRDefault="0013755C" w:rsidP="00D435DE">
      <w:pPr>
        <w:spacing w:before="120" w:after="120" w:line="240" w:lineRule="auto"/>
        <w:ind w:firstLine="709"/>
        <w:rPr>
          <w:sz w:val="24"/>
          <w:szCs w:val="24"/>
        </w:rPr>
      </w:pPr>
      <w:r w:rsidRPr="00D6267D">
        <w:rPr>
          <w:sz w:val="24"/>
          <w:szCs w:val="24"/>
        </w:rPr>
        <w:t xml:space="preserve">O Sistema Único de Saúde (SUS) foi concebido a partir da Constituição Federal de 1988, tendo </w:t>
      </w:r>
      <w:r w:rsidRPr="00D32948">
        <w:rPr>
          <w:sz w:val="24"/>
          <w:szCs w:val="24"/>
        </w:rPr>
        <w:t xml:space="preserve">como princípios chaves a universalidade, a equidade e a integralidade na assistência à saúde da população brasileira. Antes do SUS, os recursos federais concentravam-se nas regiões mais desenvolvidas do país e a assistência era restrita à população empregada através da economia formal. </w:t>
      </w:r>
      <w:r w:rsidR="00D6267D" w:rsidRPr="00D32948">
        <w:rPr>
          <w:sz w:val="24"/>
          <w:szCs w:val="24"/>
        </w:rPr>
        <w:t>Após a impl</w:t>
      </w:r>
      <w:r w:rsidR="00DB5272">
        <w:rPr>
          <w:sz w:val="24"/>
          <w:szCs w:val="24"/>
        </w:rPr>
        <w:t>anta</w:t>
      </w:r>
      <w:r w:rsidR="00D6267D" w:rsidRPr="00D32948">
        <w:rPr>
          <w:sz w:val="24"/>
          <w:szCs w:val="24"/>
        </w:rPr>
        <w:t>ção do SUS, a</w:t>
      </w:r>
      <w:r w:rsidRPr="00D32948">
        <w:rPr>
          <w:sz w:val="24"/>
          <w:szCs w:val="24"/>
        </w:rPr>
        <w:t>s transferências intergovernamentais têm sido uma ferramenta importante no sentido de promover uma redistribuição de recursos ao longo do território, como também de atribuir maior capacidade e responsabilidade de gestão aos governos locais.</w:t>
      </w:r>
    </w:p>
    <w:p w:rsidR="00E9008B" w:rsidRPr="00D32948" w:rsidRDefault="0013755C" w:rsidP="00D435DE">
      <w:pPr>
        <w:spacing w:before="120" w:after="120" w:line="240" w:lineRule="auto"/>
        <w:ind w:firstLine="709"/>
        <w:rPr>
          <w:sz w:val="24"/>
          <w:szCs w:val="24"/>
        </w:rPr>
      </w:pPr>
      <w:r w:rsidRPr="00D32948">
        <w:rPr>
          <w:sz w:val="24"/>
          <w:szCs w:val="24"/>
        </w:rPr>
        <w:t xml:space="preserve">Nesse contexto, o objetivo deste trabalho foi estudar empiricamente alguns fatores determinantes das transferências intergovernamentais na área da saúde. Em especial, investigando os aspectos redistributivos das transferências, levantamos e testamos a existência de uma relação positiva entre arrecadação municipal e o recebimento de recursos federais através do SUS pelos municípios brasileiros. </w:t>
      </w:r>
    </w:p>
    <w:p w:rsidR="00E9008B" w:rsidRPr="00D32948" w:rsidRDefault="0013755C" w:rsidP="00D435DE">
      <w:pPr>
        <w:spacing w:before="120" w:after="120" w:line="240" w:lineRule="auto"/>
        <w:ind w:firstLine="709"/>
        <w:rPr>
          <w:sz w:val="24"/>
          <w:szCs w:val="24"/>
        </w:rPr>
      </w:pPr>
      <w:r w:rsidRPr="00D32948">
        <w:rPr>
          <w:sz w:val="24"/>
          <w:szCs w:val="24"/>
        </w:rPr>
        <w:t>A análise empírica foi realizada através da estimação de modelos em painel com efeitos fixos. Para tanto, utilizou-se dados dos municípios brasileiros no período de 2002 a 2010, obtidos em sua maioria através do Departamento de Informações do SUS (DATASUS) e do Sistema de Informações sobre Orçamentos Públicos em Saúde (SIOPS), ambos do Ministério da Saúde. Como referência teórica, utilizou-se principalmente o modelo apresentado por Chernick [</w:t>
      </w:r>
      <w:r w:rsidR="00A43E78" w:rsidRPr="00D32948">
        <w:rPr>
          <w:sz w:val="24"/>
          <w:szCs w:val="24"/>
        </w:rPr>
        <w:fldChar w:fldCharType="begin"/>
      </w:r>
      <w:r w:rsidR="00A43E78" w:rsidRPr="00D32948">
        <w:rPr>
          <w:sz w:val="24"/>
          <w:szCs w:val="24"/>
        </w:rPr>
        <w:instrText xml:space="preserve">REF BIB_chernick_1979 \* MERGEFORMAT </w:instrText>
      </w:r>
      <w:r w:rsidR="00A43E78" w:rsidRPr="00D32948">
        <w:rPr>
          <w:sz w:val="24"/>
          <w:szCs w:val="24"/>
        </w:rPr>
        <w:fldChar w:fldCharType="separate"/>
      </w:r>
      <w:r w:rsidR="008F7554" w:rsidRPr="004C01D0">
        <w:rPr>
          <w:sz w:val="24"/>
          <w:szCs w:val="24"/>
        </w:rPr>
        <w:t>Chernick 1979</w:t>
      </w:r>
      <w:r w:rsidR="00A43E78" w:rsidRPr="00D32948">
        <w:rPr>
          <w:sz w:val="24"/>
          <w:szCs w:val="24"/>
        </w:rPr>
        <w:fldChar w:fldCharType="end"/>
      </w:r>
      <w:r w:rsidRPr="00D32948">
        <w:rPr>
          <w:sz w:val="24"/>
          <w:szCs w:val="24"/>
        </w:rPr>
        <w:t xml:space="preserve">], que também trata </w:t>
      </w:r>
      <w:r w:rsidR="005B63DF">
        <w:rPr>
          <w:sz w:val="24"/>
          <w:szCs w:val="24"/>
        </w:rPr>
        <w:t xml:space="preserve">de transferências condicionais, </w:t>
      </w:r>
      <w:r w:rsidRPr="00D32948">
        <w:rPr>
          <w:sz w:val="24"/>
          <w:szCs w:val="24"/>
        </w:rPr>
        <w:t>como é o caso das transferências do SUS. Seu trabal</w:t>
      </w:r>
      <w:r w:rsidR="00D85C89">
        <w:rPr>
          <w:sz w:val="24"/>
          <w:szCs w:val="24"/>
        </w:rPr>
        <w:t>ho é citado por Hines e Thaler [</w:t>
      </w:r>
      <w:r w:rsidR="00A43E78" w:rsidRPr="00D32948">
        <w:rPr>
          <w:sz w:val="24"/>
          <w:szCs w:val="24"/>
        </w:rPr>
        <w:fldChar w:fldCharType="begin"/>
      </w:r>
      <w:r w:rsidR="00A43E78" w:rsidRPr="00D32948">
        <w:rPr>
          <w:sz w:val="24"/>
          <w:szCs w:val="24"/>
        </w:rPr>
        <w:instrText xml:space="preserve">REF BIB_hines_1995 \* MERGEFORMAT </w:instrText>
      </w:r>
      <w:r w:rsidR="00A43E78" w:rsidRPr="00D32948">
        <w:rPr>
          <w:sz w:val="24"/>
          <w:szCs w:val="24"/>
        </w:rPr>
        <w:fldChar w:fldCharType="separate"/>
      </w:r>
      <w:r w:rsidR="008F7554" w:rsidRPr="008F7554">
        <w:rPr>
          <w:sz w:val="24"/>
          <w:szCs w:val="24"/>
        </w:rPr>
        <w:t>Hines e Thaler 1995</w:t>
      </w:r>
      <w:r w:rsidR="00A43E78" w:rsidRPr="00D32948">
        <w:rPr>
          <w:sz w:val="24"/>
          <w:szCs w:val="24"/>
        </w:rPr>
        <w:fldChar w:fldCharType="end"/>
      </w:r>
      <w:r w:rsidRPr="00D32948">
        <w:rPr>
          <w:sz w:val="24"/>
          <w:szCs w:val="24"/>
        </w:rPr>
        <w:t xml:space="preserve">] no contexto do </w:t>
      </w:r>
      <w:r w:rsidRPr="00D32948">
        <w:rPr>
          <w:i/>
          <w:iCs/>
          <w:sz w:val="24"/>
          <w:szCs w:val="24"/>
        </w:rPr>
        <w:t>flypaper effect</w:t>
      </w:r>
      <w:r w:rsidRPr="00D32948">
        <w:rPr>
          <w:sz w:val="24"/>
          <w:szCs w:val="24"/>
        </w:rPr>
        <w:t>, uma vez que a situação estudada caracterizava a existência de correlação positiva entre gastos locais e o recebimento de transferências.</w:t>
      </w:r>
    </w:p>
    <w:p w:rsidR="005D6FD7" w:rsidRDefault="0013755C" w:rsidP="00D435DE">
      <w:pPr>
        <w:spacing w:before="120" w:after="120" w:line="240" w:lineRule="auto"/>
        <w:ind w:firstLine="709"/>
        <w:rPr>
          <w:sz w:val="24"/>
          <w:szCs w:val="24"/>
        </w:rPr>
      </w:pPr>
      <w:r w:rsidRPr="00D32948">
        <w:rPr>
          <w:sz w:val="24"/>
          <w:szCs w:val="24"/>
        </w:rPr>
        <w:t xml:space="preserve">A legislação do SUS estabelece que os municípios devem dedicar, no mínimo, </w:t>
      </w:r>
      <w:r w:rsidRPr="00D32948">
        <w:rPr>
          <w:sz w:val="24"/>
          <w:szCs w:val="24"/>
        </w:rPr>
        <w:fldChar w:fldCharType="begin"/>
      </w:r>
      <w:r w:rsidRPr="00D32948">
        <w:rPr>
          <w:sz w:val="24"/>
          <w:szCs w:val="24"/>
        </w:rPr>
        <w:instrText xml:space="preserve"> COMMENTS " $15\%$" </w:instrText>
      </w:r>
      <w:r w:rsidRPr="00D32948">
        <w:rPr>
          <w:sz w:val="24"/>
          <w:szCs w:val="24"/>
        </w:rPr>
        <w:fldChar w:fldCharType="end"/>
      </w:r>
      <w:r w:rsidRPr="00D32948">
        <w:rPr>
          <w:sz w:val="24"/>
          <w:szCs w:val="24"/>
        </w:rPr>
        <w:t>15%</w:t>
      </w:r>
      <w:r w:rsidR="00D6267D" w:rsidRPr="00D32948">
        <w:rPr>
          <w:sz w:val="24"/>
          <w:szCs w:val="24"/>
        </w:rPr>
        <w:t xml:space="preserve"> </w:t>
      </w:r>
      <w:r w:rsidRPr="00D32948">
        <w:rPr>
          <w:sz w:val="24"/>
          <w:szCs w:val="24"/>
        </w:rPr>
        <w:t>de sua arrecadação para a área de saúde. Assim, também no caso das transferências na área da saúde n</w:t>
      </w:r>
      <w:r w:rsidR="00DB5272">
        <w:rPr>
          <w:sz w:val="24"/>
          <w:szCs w:val="24"/>
        </w:rPr>
        <w:t>o Brasil, além da relação entre</w:t>
      </w:r>
      <w:r w:rsidRPr="00D32948">
        <w:rPr>
          <w:sz w:val="24"/>
          <w:szCs w:val="24"/>
        </w:rPr>
        <w:t xml:space="preserve"> arrecadação</w:t>
      </w:r>
      <w:r w:rsidR="00DB5272">
        <w:rPr>
          <w:sz w:val="24"/>
          <w:szCs w:val="24"/>
        </w:rPr>
        <w:t xml:space="preserve"> local e transferências SUS</w:t>
      </w:r>
      <w:r w:rsidRPr="00D32948">
        <w:rPr>
          <w:sz w:val="24"/>
          <w:szCs w:val="24"/>
        </w:rPr>
        <w:t xml:space="preserve">, observa-se uma correlação positiva simples entre gastos próprios dos municípios </w:t>
      </w:r>
      <w:r w:rsidR="00DB5272">
        <w:rPr>
          <w:sz w:val="24"/>
          <w:szCs w:val="24"/>
        </w:rPr>
        <w:t xml:space="preserve">em saúde </w:t>
      </w:r>
      <w:r w:rsidRPr="00D32948">
        <w:rPr>
          <w:sz w:val="24"/>
          <w:szCs w:val="24"/>
        </w:rPr>
        <w:t>e o recebimento de transferências</w:t>
      </w:r>
      <w:r w:rsidR="00DB5272">
        <w:rPr>
          <w:sz w:val="24"/>
          <w:szCs w:val="24"/>
        </w:rPr>
        <w:t xml:space="preserve"> SUS. </w:t>
      </w:r>
      <w:r w:rsidRPr="00D32948">
        <w:rPr>
          <w:sz w:val="24"/>
          <w:szCs w:val="24"/>
        </w:rPr>
        <w:t xml:space="preserve">Em princípio, a relação </w:t>
      </w:r>
      <w:r w:rsidR="001E1B82" w:rsidRPr="00D32948">
        <w:rPr>
          <w:sz w:val="24"/>
          <w:szCs w:val="24"/>
        </w:rPr>
        <w:t xml:space="preserve">positiva entre arrecadação local e transferências SUS </w:t>
      </w:r>
      <w:r w:rsidRPr="00D32948">
        <w:rPr>
          <w:sz w:val="24"/>
          <w:szCs w:val="24"/>
        </w:rPr>
        <w:t>não seria esperada, pois as transferências de que estamos tratando</w:t>
      </w:r>
      <w:r w:rsidR="00DB5272">
        <w:rPr>
          <w:sz w:val="24"/>
          <w:szCs w:val="24"/>
        </w:rPr>
        <w:t>, denominadas transferêncais fundo a fundo,</w:t>
      </w:r>
      <w:r w:rsidRPr="00D32948">
        <w:rPr>
          <w:sz w:val="24"/>
          <w:szCs w:val="24"/>
        </w:rPr>
        <w:t xml:space="preserve"> não exigem contrapartidas financeiras explícitas.</w:t>
      </w:r>
      <w:r w:rsidR="005D6FD7">
        <w:rPr>
          <w:sz w:val="24"/>
          <w:szCs w:val="24"/>
        </w:rPr>
        <w:t xml:space="preserve"> De todo modo, surge a oportunidade de investigar o fenômeno à luz da teoria do </w:t>
      </w:r>
      <w:r w:rsidR="005D6FD7" w:rsidRPr="005D6FD7">
        <w:rPr>
          <w:i/>
          <w:sz w:val="24"/>
          <w:szCs w:val="24"/>
        </w:rPr>
        <w:t>flypaper effect</w:t>
      </w:r>
      <w:r w:rsidR="005D6FD7">
        <w:rPr>
          <w:sz w:val="24"/>
          <w:szCs w:val="24"/>
        </w:rPr>
        <w:t>.</w:t>
      </w:r>
      <w:r w:rsidRPr="00D32948">
        <w:rPr>
          <w:sz w:val="24"/>
          <w:szCs w:val="24"/>
        </w:rPr>
        <w:t xml:space="preserve"> </w:t>
      </w:r>
    </w:p>
    <w:p w:rsidR="00E9008B" w:rsidRPr="00D32948" w:rsidRDefault="0013755C" w:rsidP="00D435DE">
      <w:pPr>
        <w:spacing w:before="120" w:after="120" w:line="240" w:lineRule="auto"/>
        <w:ind w:firstLine="709"/>
        <w:rPr>
          <w:sz w:val="24"/>
          <w:szCs w:val="24"/>
        </w:rPr>
      </w:pPr>
      <w:r w:rsidRPr="00D32948">
        <w:rPr>
          <w:sz w:val="24"/>
          <w:szCs w:val="24"/>
        </w:rPr>
        <w:t>Os resultados apontam que a arrecadação municipal exerce, de fato, um impacto positivo e significante sobre o recebimento de transferências</w:t>
      </w:r>
      <w:r w:rsidR="001E1B82" w:rsidRPr="00D32948">
        <w:rPr>
          <w:sz w:val="24"/>
          <w:szCs w:val="24"/>
        </w:rPr>
        <w:t xml:space="preserve"> SUS</w:t>
      </w:r>
      <w:r w:rsidRPr="00D32948">
        <w:rPr>
          <w:sz w:val="24"/>
          <w:szCs w:val="24"/>
        </w:rPr>
        <w:t xml:space="preserve">. Levantamos a hipótese de que os municípios que mais arrecadam têm mais incentivos para aderir a programas e/ou ofertar serviços que recebem aporte dos recursos do SUS. Argumentamos sobre a possibilidade de que os recursos repassados pelo SUS não sejam suficientes, de modo que uma contrapartida financeira dos governos locais seria necessária para cobrir os custos dos programas e serviços em sua totalidade. Nesse caso, como os municípios que mais arrecadam têm mais recursos a serem necessariamente destinados à área da saúde, </w:t>
      </w:r>
      <w:r w:rsidR="001E1B82" w:rsidRPr="00D32948">
        <w:rPr>
          <w:sz w:val="24"/>
          <w:szCs w:val="24"/>
        </w:rPr>
        <w:t xml:space="preserve">estes </w:t>
      </w:r>
      <w:r w:rsidRPr="00D32948">
        <w:rPr>
          <w:sz w:val="24"/>
          <w:szCs w:val="24"/>
        </w:rPr>
        <w:t>teriam mais incentivos a aderir aos programas que recebem transferências</w:t>
      </w:r>
      <w:r w:rsidR="00DB5272">
        <w:rPr>
          <w:sz w:val="24"/>
          <w:szCs w:val="24"/>
        </w:rPr>
        <w:t xml:space="preserve"> SUS, </w:t>
      </w:r>
      <w:r w:rsidR="001E1B82" w:rsidRPr="00D32948">
        <w:rPr>
          <w:sz w:val="24"/>
          <w:szCs w:val="24"/>
        </w:rPr>
        <w:t xml:space="preserve">admitindo que a adesão aos programas sem o cumprimento </w:t>
      </w:r>
      <w:r w:rsidR="001E1B82" w:rsidRPr="00D32948">
        <w:rPr>
          <w:sz w:val="24"/>
          <w:szCs w:val="24"/>
        </w:rPr>
        <w:lastRenderedPageBreak/>
        <w:t>das metas mínimas impõe um custo</w:t>
      </w:r>
      <w:r w:rsidRPr="00D32948">
        <w:rPr>
          <w:sz w:val="24"/>
          <w:szCs w:val="24"/>
        </w:rPr>
        <w:t xml:space="preserve">. Como consequência, seria como se o próprio mecanismo </w:t>
      </w:r>
      <w:r w:rsidR="001E1B82" w:rsidRPr="00D32948">
        <w:rPr>
          <w:sz w:val="24"/>
          <w:szCs w:val="24"/>
        </w:rPr>
        <w:t xml:space="preserve">de financiamento do SUS </w:t>
      </w:r>
      <w:r w:rsidRPr="00D32948">
        <w:rPr>
          <w:sz w:val="24"/>
          <w:szCs w:val="24"/>
        </w:rPr>
        <w:t>incentivasse os municípios que mais gastam (por terem arrecadação maior) a receberem mais transferências.</w:t>
      </w:r>
      <w:r w:rsidR="000D5D7D">
        <w:rPr>
          <w:sz w:val="24"/>
          <w:szCs w:val="24"/>
        </w:rPr>
        <w:t xml:space="preserve"> A</w:t>
      </w:r>
      <w:r w:rsidR="000D5D7D" w:rsidRPr="00240C60">
        <w:rPr>
          <w:sz w:val="24"/>
          <w:szCs w:val="24"/>
        </w:rPr>
        <w:t xml:space="preserve"> análise empírica </w:t>
      </w:r>
      <w:r w:rsidR="000D5D7D">
        <w:rPr>
          <w:sz w:val="24"/>
          <w:szCs w:val="24"/>
        </w:rPr>
        <w:t xml:space="preserve">também </w:t>
      </w:r>
      <w:r w:rsidR="000D5D7D" w:rsidRPr="00240C60">
        <w:rPr>
          <w:sz w:val="24"/>
          <w:szCs w:val="24"/>
        </w:rPr>
        <w:t>identificou impactos no sentido contrário ao esperado para as variáveis explicativas que buscam captar o efeito de necessidades de saúde.</w:t>
      </w:r>
    </w:p>
    <w:p w:rsidR="00E9008B" w:rsidRDefault="0013755C" w:rsidP="00D435DE">
      <w:pPr>
        <w:spacing w:before="120" w:after="120" w:line="240" w:lineRule="auto"/>
        <w:ind w:firstLine="709"/>
        <w:rPr>
          <w:sz w:val="24"/>
          <w:szCs w:val="24"/>
        </w:rPr>
      </w:pPr>
      <w:r w:rsidRPr="00D32948">
        <w:rPr>
          <w:sz w:val="24"/>
          <w:szCs w:val="24"/>
        </w:rPr>
        <w:t xml:space="preserve">Pensando apenas no aspecto redistributivo, a relação entre arrecadação e transferências encontrada pode não ser desejada. Os municípios que mais arrecadam, em princípio, têm maiores condições de arcar com as necessidades de saúde de sua população. Entretanto, para se ter um parecer mais preciso, seria importante avaliar aspectos relacionados </w:t>
      </w:r>
      <w:r w:rsidR="00ED2097">
        <w:rPr>
          <w:sz w:val="24"/>
          <w:szCs w:val="24"/>
        </w:rPr>
        <w:t>à</w:t>
      </w:r>
      <w:r w:rsidRPr="00D32948">
        <w:rPr>
          <w:sz w:val="24"/>
          <w:szCs w:val="24"/>
        </w:rPr>
        <w:t xml:space="preserve"> eficiência</w:t>
      </w:r>
      <w:r w:rsidR="004B1F9E">
        <w:rPr>
          <w:sz w:val="24"/>
          <w:szCs w:val="24"/>
        </w:rPr>
        <w:t xml:space="preserve"> da gestão local</w:t>
      </w:r>
      <w:r w:rsidRPr="00D32948">
        <w:rPr>
          <w:sz w:val="24"/>
          <w:szCs w:val="24"/>
        </w:rPr>
        <w:t>. Como há evidências de que o SUS não necessariamente premia bons resultados na aplicação de recursos e também não utiliza critérios de necessidade de saúde, o tópico merece atenção e poderia ser explorado em trabalhos futuros.</w:t>
      </w:r>
    </w:p>
    <w:p w:rsidR="004B1F9E" w:rsidRPr="00D32948" w:rsidRDefault="004B1F9E" w:rsidP="00D435DE">
      <w:pPr>
        <w:spacing w:before="120" w:after="120" w:line="240" w:lineRule="auto"/>
        <w:ind w:firstLine="709"/>
        <w:rPr>
          <w:sz w:val="24"/>
          <w:szCs w:val="24"/>
        </w:rPr>
      </w:pPr>
      <w:r w:rsidRPr="00D32948">
        <w:rPr>
          <w:sz w:val="24"/>
          <w:szCs w:val="24"/>
        </w:rPr>
        <w:t>Outro resultado não esperado é que há fatores políticos influenciando, ao menos levemente, o recebimento de transferências</w:t>
      </w:r>
      <w:r>
        <w:rPr>
          <w:sz w:val="24"/>
          <w:szCs w:val="24"/>
        </w:rPr>
        <w:t xml:space="preserve"> fundo a fundo do SUS</w:t>
      </w:r>
      <w:r w:rsidRPr="00D32948">
        <w:rPr>
          <w:sz w:val="24"/>
          <w:szCs w:val="24"/>
        </w:rPr>
        <w:t>. Os municípios cujos prefeitos são do mesmo partido do presidente recebem</w:t>
      </w:r>
      <w:r>
        <w:rPr>
          <w:sz w:val="24"/>
          <w:szCs w:val="24"/>
        </w:rPr>
        <w:t xml:space="preserve"> em média</w:t>
      </w:r>
      <w:r w:rsidRPr="00D32948">
        <w:rPr>
          <w:sz w:val="24"/>
          <w:szCs w:val="24"/>
        </w:rPr>
        <w:t xml:space="preserve">, segundo as regressões estimadas, </w:t>
      </w:r>
      <w:r w:rsidRPr="00D32948">
        <w:rPr>
          <w:sz w:val="24"/>
          <w:szCs w:val="24"/>
        </w:rPr>
        <w:fldChar w:fldCharType="begin"/>
      </w:r>
      <w:r w:rsidRPr="00D32948">
        <w:rPr>
          <w:sz w:val="24"/>
          <w:szCs w:val="24"/>
        </w:rPr>
        <w:instrText xml:space="preserve"> COMMENTS " $1.4\%$" </w:instrText>
      </w:r>
      <w:r w:rsidRPr="00D32948">
        <w:rPr>
          <w:sz w:val="24"/>
          <w:szCs w:val="24"/>
        </w:rPr>
        <w:fldChar w:fldCharType="end"/>
      </w:r>
      <w:r>
        <w:rPr>
          <w:sz w:val="24"/>
          <w:szCs w:val="24"/>
        </w:rPr>
        <w:t>um volume maior de recursos</w:t>
      </w:r>
      <w:r w:rsidRPr="00D32948">
        <w:rPr>
          <w:sz w:val="24"/>
          <w:szCs w:val="24"/>
        </w:rPr>
        <w:t>.</w:t>
      </w:r>
    </w:p>
    <w:p w:rsidR="00E9008B" w:rsidRPr="00D32948" w:rsidRDefault="00D32948" w:rsidP="0065099C">
      <w:pPr>
        <w:pStyle w:val="Ttulo1"/>
        <w:spacing w:after="240" w:line="240" w:lineRule="auto"/>
        <w:rPr>
          <w:sz w:val="24"/>
          <w:szCs w:val="24"/>
        </w:rPr>
      </w:pPr>
      <w:r w:rsidRPr="00D32948">
        <w:rPr>
          <w:sz w:val="24"/>
          <w:szCs w:val="24"/>
        </w:rPr>
        <w:t xml:space="preserve">7 </w:t>
      </w:r>
      <w:r w:rsidR="0013755C" w:rsidRPr="00D32948">
        <w:rPr>
          <w:sz w:val="24"/>
          <w:szCs w:val="24"/>
        </w:rPr>
        <w:t>Referências</w:t>
      </w:r>
      <w:r w:rsidRPr="00D32948">
        <w:rPr>
          <w:sz w:val="24"/>
          <w:szCs w:val="24"/>
        </w:rPr>
        <w:t xml:space="preserve"> Bibliográficas</w:t>
      </w:r>
    </w:p>
    <w:p w:rsidR="00E9008B" w:rsidRPr="00D435DE" w:rsidRDefault="0013755C" w:rsidP="00211F81">
      <w:pPr>
        <w:pStyle w:val="bibitem"/>
        <w:spacing w:before="240" w:after="240" w:line="240" w:lineRule="auto"/>
        <w:rPr>
          <w:sz w:val="24"/>
          <w:szCs w:val="24"/>
        </w:rPr>
      </w:pPr>
      <w:r w:rsidRPr="00D435DE">
        <w:rPr>
          <w:sz w:val="24"/>
          <w:szCs w:val="24"/>
        </w:rPr>
        <w:t>[</w:t>
      </w:r>
      <w:bookmarkStart w:id="7" w:name="BIB_BM_2007"/>
      <w:r w:rsidRPr="00D435DE">
        <w:rPr>
          <w:sz w:val="24"/>
          <w:szCs w:val="24"/>
        </w:rPr>
        <w:t>Banco Mundial 2007</w:t>
      </w:r>
      <w:bookmarkEnd w:id="7"/>
      <w:r w:rsidR="0065099C">
        <w:rPr>
          <w:sz w:val="24"/>
          <w:szCs w:val="24"/>
        </w:rPr>
        <w:t xml:space="preserve">] </w:t>
      </w:r>
      <w:r w:rsidRPr="00D435DE">
        <w:rPr>
          <w:sz w:val="24"/>
          <w:szCs w:val="24"/>
        </w:rPr>
        <w:t xml:space="preserve">BANCO MUNDIAL. </w:t>
      </w:r>
      <w:r w:rsidRPr="00D435DE">
        <w:rPr>
          <w:sz w:val="24"/>
          <w:szCs w:val="24"/>
          <w:lang w:val="en-US"/>
        </w:rPr>
        <w:t xml:space="preserve">Governance in Brazil’s Unified Health System (SUS). </w:t>
      </w:r>
      <w:r w:rsidRPr="00D435DE">
        <w:rPr>
          <w:i/>
          <w:iCs/>
          <w:sz w:val="24"/>
          <w:szCs w:val="24"/>
        </w:rPr>
        <w:t>Relatório do Banco Mundial n° 36.601-BR. Washington</w:t>
      </w:r>
      <w:r w:rsidRPr="00D435DE">
        <w:rPr>
          <w:sz w:val="24"/>
          <w:szCs w:val="24"/>
        </w:rPr>
        <w:t>, 2007.</w:t>
      </w:r>
    </w:p>
    <w:p w:rsidR="00E9008B" w:rsidRPr="00D435DE" w:rsidRDefault="0013755C" w:rsidP="00211F81">
      <w:pPr>
        <w:pStyle w:val="bibitem"/>
        <w:spacing w:before="240" w:after="240" w:line="240" w:lineRule="auto"/>
        <w:rPr>
          <w:sz w:val="24"/>
          <w:szCs w:val="24"/>
        </w:rPr>
      </w:pPr>
      <w:r w:rsidRPr="00D435DE">
        <w:rPr>
          <w:sz w:val="24"/>
          <w:szCs w:val="24"/>
        </w:rPr>
        <w:t>[</w:t>
      </w:r>
      <w:bookmarkStart w:id="8" w:name="BIB_brasil_1988"/>
      <w:r w:rsidRPr="00D435DE">
        <w:rPr>
          <w:sz w:val="24"/>
          <w:szCs w:val="24"/>
        </w:rPr>
        <w:t>Brasil 1988</w:t>
      </w:r>
      <w:bookmarkEnd w:id="8"/>
      <w:r w:rsidR="00ED2097">
        <w:rPr>
          <w:sz w:val="24"/>
          <w:szCs w:val="24"/>
        </w:rPr>
        <w:t xml:space="preserve">] </w:t>
      </w:r>
      <w:r w:rsidRPr="00D435DE">
        <w:rPr>
          <w:sz w:val="24"/>
          <w:szCs w:val="24"/>
        </w:rPr>
        <w:t xml:space="preserve">BRASIL. Constituição (1988). </w:t>
      </w:r>
      <w:r w:rsidRPr="00D435DE">
        <w:rPr>
          <w:i/>
          <w:iCs/>
          <w:sz w:val="24"/>
          <w:szCs w:val="24"/>
        </w:rPr>
        <w:t>Constituição da República Federativa do Brasil</w:t>
      </w:r>
      <w:r w:rsidRPr="00D435DE">
        <w:rPr>
          <w:sz w:val="24"/>
          <w:szCs w:val="24"/>
        </w:rPr>
        <w:t>. Brasília, DF: Senado, 1988.</w:t>
      </w:r>
    </w:p>
    <w:p w:rsidR="00E9008B" w:rsidRPr="00D435DE" w:rsidRDefault="0013755C" w:rsidP="00211F81">
      <w:pPr>
        <w:pStyle w:val="bibitem"/>
        <w:spacing w:before="240" w:after="240" w:line="240" w:lineRule="auto"/>
        <w:rPr>
          <w:sz w:val="24"/>
          <w:szCs w:val="24"/>
        </w:rPr>
      </w:pPr>
      <w:r w:rsidRPr="00D435DE">
        <w:rPr>
          <w:sz w:val="24"/>
          <w:szCs w:val="24"/>
        </w:rPr>
        <w:t>[</w:t>
      </w:r>
      <w:bookmarkStart w:id="9" w:name="BIB_ps_2012"/>
      <w:r w:rsidRPr="00D435DE">
        <w:rPr>
          <w:sz w:val="24"/>
          <w:szCs w:val="24"/>
        </w:rPr>
        <w:t>Brasil 2012</w:t>
      </w:r>
      <w:bookmarkEnd w:id="9"/>
      <w:r w:rsidR="00ED2097">
        <w:rPr>
          <w:sz w:val="24"/>
          <w:szCs w:val="24"/>
        </w:rPr>
        <w:t xml:space="preserve">] </w:t>
      </w:r>
      <w:r w:rsidRPr="00D435DE">
        <w:rPr>
          <w:sz w:val="24"/>
          <w:szCs w:val="24"/>
        </w:rPr>
        <w:t xml:space="preserve">BRASIL. EC-29 é regulamentada. </w:t>
      </w:r>
      <w:r w:rsidRPr="00D435DE">
        <w:rPr>
          <w:i/>
          <w:iCs/>
          <w:sz w:val="24"/>
          <w:szCs w:val="24"/>
        </w:rPr>
        <w:t>Portal da Saúde</w:t>
      </w:r>
      <w:r w:rsidRPr="00D435DE">
        <w:rPr>
          <w:sz w:val="24"/>
          <w:szCs w:val="24"/>
        </w:rPr>
        <w:t>, Brasilia - DF, 17 jan. 2012. Disponível em:</w:t>
      </w:r>
      <w:r w:rsidR="00C010C3">
        <w:rPr>
          <w:sz w:val="24"/>
          <w:szCs w:val="24"/>
        </w:rPr>
        <w:t>h</w:t>
      </w:r>
      <w:r w:rsidR="00ED2097" w:rsidRPr="00ED2097">
        <w:rPr>
          <w:sz w:val="24"/>
          <w:szCs w:val="24"/>
        </w:rPr>
        <w:t>ttp://portalsaude.saude.gov.br/portalsaude/noticia/4001/162/presidenta-dilma-sanciona-lei-que-define-gastos-da-saude.html</w:t>
      </w:r>
      <w:r w:rsidRPr="00D435DE">
        <w:rPr>
          <w:sz w:val="24"/>
          <w:szCs w:val="24"/>
        </w:rPr>
        <w:fldChar w:fldCharType="begin"/>
      </w:r>
      <w:r w:rsidRPr="00D435DE">
        <w:rPr>
          <w:sz w:val="24"/>
          <w:szCs w:val="24"/>
        </w:rPr>
        <w:instrText xml:space="preserve"> COMMENTS " $&gt;$" </w:instrText>
      </w:r>
      <w:r w:rsidRPr="00D435DE">
        <w:rPr>
          <w:sz w:val="24"/>
          <w:szCs w:val="24"/>
        </w:rPr>
        <w:fldChar w:fldCharType="end"/>
      </w:r>
      <w:r w:rsidRPr="00D435DE">
        <w:rPr>
          <w:sz w:val="24"/>
          <w:szCs w:val="24"/>
        </w:rPr>
        <w:t>. Acesso em: 28 out. 2012.</w:t>
      </w:r>
    </w:p>
    <w:p w:rsidR="00E9008B" w:rsidRPr="00D435DE" w:rsidRDefault="0013755C" w:rsidP="00211F81">
      <w:pPr>
        <w:pStyle w:val="bibitem"/>
        <w:spacing w:before="240" w:after="240" w:line="240" w:lineRule="auto"/>
        <w:rPr>
          <w:sz w:val="24"/>
          <w:szCs w:val="24"/>
        </w:rPr>
      </w:pPr>
      <w:r w:rsidRPr="00D435DE">
        <w:rPr>
          <w:sz w:val="24"/>
          <w:szCs w:val="24"/>
        </w:rPr>
        <w:t>[</w:t>
      </w:r>
      <w:bookmarkStart w:id="10" w:name="BIB_pt_2012"/>
      <w:r w:rsidRPr="00D435DE">
        <w:rPr>
          <w:sz w:val="24"/>
          <w:szCs w:val="24"/>
        </w:rPr>
        <w:t>Brasil 2012</w:t>
      </w:r>
      <w:bookmarkEnd w:id="10"/>
      <w:r w:rsidR="00ED2097">
        <w:rPr>
          <w:sz w:val="24"/>
          <w:szCs w:val="24"/>
        </w:rPr>
        <w:t xml:space="preserve">] </w:t>
      </w:r>
      <w:r w:rsidRPr="00D435DE">
        <w:rPr>
          <w:sz w:val="24"/>
          <w:szCs w:val="24"/>
        </w:rPr>
        <w:t xml:space="preserve">BRASIL. Glossário do Portal Saúde Transparente. </w:t>
      </w:r>
      <w:r w:rsidRPr="00D435DE">
        <w:rPr>
          <w:i/>
          <w:iCs/>
          <w:sz w:val="24"/>
          <w:szCs w:val="24"/>
        </w:rPr>
        <w:t>Portal Transparência</w:t>
      </w:r>
      <w:r w:rsidRPr="00D435DE">
        <w:rPr>
          <w:sz w:val="24"/>
          <w:szCs w:val="24"/>
        </w:rPr>
        <w:t xml:space="preserve">, Brasilia - DF, 2012. Disponível em: </w:t>
      </w:r>
      <w:r w:rsidRPr="00D435DE">
        <w:rPr>
          <w:sz w:val="24"/>
          <w:szCs w:val="24"/>
        </w:rPr>
        <w:fldChar w:fldCharType="begin"/>
      </w:r>
      <w:r w:rsidRPr="00D435DE">
        <w:rPr>
          <w:sz w:val="24"/>
          <w:szCs w:val="24"/>
        </w:rPr>
        <w:instrText xml:space="preserve"> COMMENTS " $&lt;$" </w:instrText>
      </w:r>
      <w:r w:rsidRPr="00D435DE">
        <w:rPr>
          <w:sz w:val="24"/>
          <w:szCs w:val="24"/>
        </w:rPr>
        <w:fldChar w:fldCharType="end"/>
      </w:r>
      <w:r w:rsidRPr="00D435DE">
        <w:rPr>
          <w:sz w:val="24"/>
          <w:szCs w:val="24"/>
        </w:rPr>
        <w:t>http://aplicacao.saude.gov.br/portaltransparen</w:t>
      </w:r>
      <w:r w:rsidRPr="00D435DE">
        <w:rPr>
          <w:sz w:val="24"/>
          <w:szCs w:val="24"/>
        </w:rPr>
        <w:softHyphen/>
        <w:t>cia/common/ar</w:t>
      </w:r>
      <w:r w:rsidRPr="00D435DE">
        <w:rPr>
          <w:sz w:val="24"/>
          <w:szCs w:val="24"/>
        </w:rPr>
        <w:softHyphen/>
        <w:t>qui</w:t>
      </w:r>
      <w:r w:rsidRPr="00D435DE">
        <w:rPr>
          <w:sz w:val="24"/>
          <w:szCs w:val="24"/>
        </w:rPr>
        <w:softHyphen/>
        <w:t>vos/Glos</w:t>
      </w:r>
      <w:r w:rsidRPr="00D435DE">
        <w:rPr>
          <w:sz w:val="24"/>
          <w:szCs w:val="24"/>
        </w:rPr>
        <w:softHyphen/>
        <w:t>sario_Portal_Transparencia.pdf</w:t>
      </w:r>
      <w:r w:rsidRPr="00D435DE">
        <w:rPr>
          <w:sz w:val="24"/>
          <w:szCs w:val="24"/>
        </w:rPr>
        <w:fldChar w:fldCharType="begin"/>
      </w:r>
      <w:r w:rsidRPr="00D435DE">
        <w:rPr>
          <w:sz w:val="24"/>
          <w:szCs w:val="24"/>
        </w:rPr>
        <w:instrText xml:space="preserve"> COMMENTS " $&gt;$" </w:instrText>
      </w:r>
      <w:r w:rsidRPr="00D435DE">
        <w:rPr>
          <w:sz w:val="24"/>
          <w:szCs w:val="24"/>
        </w:rPr>
        <w:fldChar w:fldCharType="end"/>
      </w:r>
      <w:r w:rsidRPr="00D435DE">
        <w:rPr>
          <w:sz w:val="24"/>
          <w:szCs w:val="24"/>
        </w:rPr>
        <w:t>. Acesso em: 28 out. 2012.</w:t>
      </w:r>
    </w:p>
    <w:p w:rsidR="00E9008B" w:rsidRPr="00D435DE" w:rsidRDefault="0013755C" w:rsidP="00211F81">
      <w:pPr>
        <w:pStyle w:val="bibitem"/>
        <w:spacing w:before="240" w:after="240" w:line="240" w:lineRule="auto"/>
        <w:rPr>
          <w:sz w:val="24"/>
          <w:szCs w:val="24"/>
        </w:rPr>
      </w:pPr>
      <w:r w:rsidRPr="00D435DE">
        <w:rPr>
          <w:sz w:val="24"/>
          <w:szCs w:val="24"/>
        </w:rPr>
        <w:t>[</w:t>
      </w:r>
      <w:bookmarkStart w:id="11" w:name="BIB_sus_2006"/>
      <w:r w:rsidR="00792ACA">
        <w:rPr>
          <w:sz w:val="24"/>
          <w:szCs w:val="24"/>
        </w:rPr>
        <w:t xml:space="preserve">Brasil </w:t>
      </w:r>
      <w:r w:rsidRPr="00D435DE">
        <w:rPr>
          <w:sz w:val="24"/>
          <w:szCs w:val="24"/>
        </w:rPr>
        <w:t>2006</w:t>
      </w:r>
      <w:bookmarkEnd w:id="11"/>
      <w:r w:rsidR="00C010C3">
        <w:rPr>
          <w:sz w:val="24"/>
          <w:szCs w:val="24"/>
        </w:rPr>
        <w:t xml:space="preserve">] </w:t>
      </w:r>
      <w:r w:rsidRPr="00D435DE">
        <w:rPr>
          <w:sz w:val="24"/>
          <w:szCs w:val="24"/>
        </w:rPr>
        <w:t xml:space="preserve">BRASIL. Ministério da saúde. </w:t>
      </w:r>
      <w:r w:rsidRPr="00D435DE">
        <w:rPr>
          <w:i/>
          <w:iCs/>
          <w:sz w:val="24"/>
          <w:szCs w:val="24"/>
        </w:rPr>
        <w:t>Entendendo o SUS</w:t>
      </w:r>
      <w:r w:rsidRPr="00D435DE">
        <w:rPr>
          <w:sz w:val="24"/>
          <w:szCs w:val="24"/>
        </w:rPr>
        <w:t>. [S.l.], 2006.</w:t>
      </w:r>
    </w:p>
    <w:p w:rsidR="00E9008B" w:rsidRPr="00D435DE" w:rsidRDefault="0013755C" w:rsidP="00211F81">
      <w:pPr>
        <w:pStyle w:val="bibitem"/>
        <w:spacing w:before="240" w:after="240" w:line="240" w:lineRule="auto"/>
        <w:rPr>
          <w:sz w:val="24"/>
          <w:szCs w:val="24"/>
        </w:rPr>
      </w:pPr>
      <w:r w:rsidRPr="00D435DE">
        <w:rPr>
          <w:sz w:val="24"/>
          <w:szCs w:val="24"/>
        </w:rPr>
        <w:t>[</w:t>
      </w:r>
      <w:bookmarkStart w:id="12" w:name="BIB_sus_2010"/>
      <w:r w:rsidR="001F0063">
        <w:rPr>
          <w:sz w:val="24"/>
          <w:szCs w:val="24"/>
        </w:rPr>
        <w:t>Brasil</w:t>
      </w:r>
      <w:r w:rsidRPr="00D435DE">
        <w:rPr>
          <w:sz w:val="24"/>
          <w:szCs w:val="24"/>
        </w:rPr>
        <w:t xml:space="preserve"> 2010</w:t>
      </w:r>
      <w:bookmarkEnd w:id="12"/>
      <w:r w:rsidR="00C010C3">
        <w:rPr>
          <w:sz w:val="24"/>
          <w:szCs w:val="24"/>
        </w:rPr>
        <w:t xml:space="preserve">] </w:t>
      </w:r>
      <w:r w:rsidRPr="00D435DE">
        <w:rPr>
          <w:sz w:val="24"/>
          <w:szCs w:val="24"/>
        </w:rPr>
        <w:t xml:space="preserve">BRASIL. Ministério da Saúde. Secretaria de Vigilância à Saúde. Secretaria de Atenção à Saúde. Diretrizes nacionais da vigilância em saúde. In: </w:t>
      </w:r>
      <w:r w:rsidRPr="00D435DE">
        <w:rPr>
          <w:i/>
          <w:iCs/>
          <w:sz w:val="24"/>
          <w:szCs w:val="24"/>
        </w:rPr>
        <w:t>Série Pactos pela Saúde 2006</w:t>
      </w:r>
      <w:r w:rsidRPr="00D435DE">
        <w:rPr>
          <w:sz w:val="24"/>
          <w:szCs w:val="24"/>
        </w:rPr>
        <w:t>. Brasília - DF, 2010. v. 13.</w:t>
      </w:r>
    </w:p>
    <w:p w:rsidR="00E9008B" w:rsidRPr="004C01D0" w:rsidRDefault="0013755C" w:rsidP="00211F81">
      <w:pPr>
        <w:pStyle w:val="bibitem"/>
        <w:spacing w:before="240" w:after="240" w:line="240" w:lineRule="auto"/>
        <w:rPr>
          <w:sz w:val="24"/>
          <w:szCs w:val="24"/>
        </w:rPr>
      </w:pPr>
      <w:r w:rsidRPr="00D435DE">
        <w:rPr>
          <w:sz w:val="24"/>
          <w:szCs w:val="24"/>
        </w:rPr>
        <w:t>[</w:t>
      </w:r>
      <w:bookmarkStart w:id="13" w:name="BIB_sus_2011"/>
      <w:r w:rsidRPr="00D435DE">
        <w:rPr>
          <w:sz w:val="24"/>
          <w:szCs w:val="24"/>
        </w:rPr>
        <w:t>CONASS 2011</w:t>
      </w:r>
      <w:bookmarkEnd w:id="13"/>
      <w:r w:rsidRPr="00D435DE">
        <w:rPr>
          <w:sz w:val="24"/>
          <w:szCs w:val="24"/>
        </w:rPr>
        <w:t xml:space="preserve">] BRASIL.Conselho Nacional de Secretários de Saúde. Sistema Único de saúde. In: CONASS (Ed.). </w:t>
      </w:r>
      <w:r w:rsidRPr="00D435DE">
        <w:rPr>
          <w:i/>
          <w:iCs/>
          <w:sz w:val="24"/>
          <w:szCs w:val="24"/>
        </w:rPr>
        <w:t>Coleção Para Entender a Gestão do SUS</w:t>
      </w:r>
      <w:r w:rsidRPr="00D435DE">
        <w:rPr>
          <w:sz w:val="24"/>
          <w:szCs w:val="24"/>
        </w:rPr>
        <w:t xml:space="preserve">. </w:t>
      </w:r>
      <w:r w:rsidRPr="004C01D0">
        <w:rPr>
          <w:sz w:val="24"/>
          <w:szCs w:val="24"/>
        </w:rPr>
        <w:t>Brasília, 2011. v. 1.</w:t>
      </w:r>
    </w:p>
    <w:p w:rsidR="00E9008B" w:rsidRPr="004C01D0" w:rsidRDefault="0013755C" w:rsidP="00211F81">
      <w:pPr>
        <w:pStyle w:val="bibitem"/>
        <w:spacing w:before="240" w:after="240" w:line="240" w:lineRule="auto"/>
        <w:rPr>
          <w:sz w:val="24"/>
          <w:szCs w:val="24"/>
        </w:rPr>
      </w:pPr>
      <w:r w:rsidRPr="004C01D0">
        <w:rPr>
          <w:sz w:val="24"/>
          <w:szCs w:val="24"/>
        </w:rPr>
        <w:t>[</w:t>
      </w:r>
      <w:bookmarkStart w:id="14" w:name="BIB_chernick_1979"/>
      <w:r w:rsidRPr="004C01D0">
        <w:rPr>
          <w:sz w:val="24"/>
          <w:szCs w:val="24"/>
        </w:rPr>
        <w:t>Chernick 1979</w:t>
      </w:r>
      <w:bookmarkEnd w:id="14"/>
      <w:r w:rsidRPr="004C01D0">
        <w:rPr>
          <w:sz w:val="24"/>
          <w:szCs w:val="24"/>
        </w:rPr>
        <w:t xml:space="preserve">] CHERNICK, H. An economic model of the distribution of project grants. </w:t>
      </w:r>
      <w:r w:rsidRPr="00D435DE">
        <w:rPr>
          <w:sz w:val="24"/>
          <w:szCs w:val="24"/>
          <w:lang w:val="en-US"/>
        </w:rPr>
        <w:t xml:space="preserve">In: PETER, M.; WILLIAM, O. (Ed.). </w:t>
      </w:r>
      <w:r w:rsidRPr="00D435DE">
        <w:rPr>
          <w:i/>
          <w:iCs/>
          <w:sz w:val="24"/>
          <w:szCs w:val="24"/>
          <w:lang w:val="en-US"/>
        </w:rPr>
        <w:t>Fiscal Federalism and Grants-in-Aid</w:t>
      </w:r>
      <w:r w:rsidRPr="00D435DE">
        <w:rPr>
          <w:sz w:val="24"/>
          <w:szCs w:val="24"/>
          <w:lang w:val="en-US"/>
        </w:rPr>
        <w:t xml:space="preserve">. </w:t>
      </w:r>
      <w:r w:rsidRPr="00D435DE">
        <w:rPr>
          <w:sz w:val="24"/>
          <w:szCs w:val="24"/>
        </w:rPr>
        <w:t>The Urban Institute, Washington D.C.: [s.n.], 1979. p. 81–103.</w:t>
      </w:r>
    </w:p>
    <w:p w:rsidR="00E9008B" w:rsidRPr="004C01D0" w:rsidRDefault="0013755C" w:rsidP="00211F81">
      <w:pPr>
        <w:pStyle w:val="bibitem"/>
        <w:spacing w:before="240" w:after="240" w:line="240" w:lineRule="auto"/>
        <w:rPr>
          <w:sz w:val="24"/>
          <w:szCs w:val="24"/>
        </w:rPr>
      </w:pPr>
      <w:r w:rsidRPr="00D435DE">
        <w:rPr>
          <w:sz w:val="24"/>
          <w:szCs w:val="24"/>
        </w:rPr>
        <w:t>[</w:t>
      </w:r>
      <w:bookmarkStart w:id="15" w:name="BIB_cossio_2001"/>
      <w:r w:rsidRPr="00D435DE">
        <w:rPr>
          <w:sz w:val="24"/>
          <w:szCs w:val="24"/>
        </w:rPr>
        <w:t>Cossio e Carvalho 2001</w:t>
      </w:r>
      <w:bookmarkEnd w:id="15"/>
      <w:r w:rsidRPr="00D435DE">
        <w:rPr>
          <w:sz w:val="24"/>
          <w:szCs w:val="24"/>
        </w:rPr>
        <w:t xml:space="preserve">] COSSIO, F. A. B.; CARVALHO, L. M. Os efeitos expansivos das transferências intergovernamentais e transbordamentos espaciais de despesas públicas: evidências para os municípios brasileiros. In: </w:t>
      </w:r>
      <w:r w:rsidRPr="00D435DE">
        <w:rPr>
          <w:i/>
          <w:iCs/>
          <w:sz w:val="24"/>
          <w:szCs w:val="24"/>
        </w:rPr>
        <w:t>Pesquisa e Planejamento Econômico</w:t>
      </w:r>
      <w:r w:rsidRPr="00D435DE">
        <w:rPr>
          <w:sz w:val="24"/>
          <w:szCs w:val="24"/>
        </w:rPr>
        <w:t xml:space="preserve">. </w:t>
      </w:r>
      <w:r w:rsidRPr="004C01D0">
        <w:rPr>
          <w:sz w:val="24"/>
          <w:szCs w:val="24"/>
        </w:rPr>
        <w:t>[S.l.: s.n.], 2001. v. 31, n. 1.</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16" w:name="BIB_cremer_1996"/>
      <w:r w:rsidRPr="00D435DE">
        <w:rPr>
          <w:sz w:val="24"/>
          <w:szCs w:val="24"/>
          <w:lang w:val="en-US"/>
        </w:rPr>
        <w:t>Creemer, Estache e Seabright 1996</w:t>
      </w:r>
      <w:bookmarkEnd w:id="16"/>
      <w:r w:rsidRPr="00D435DE">
        <w:rPr>
          <w:sz w:val="24"/>
          <w:szCs w:val="24"/>
          <w:lang w:val="en-US"/>
        </w:rPr>
        <w:t xml:space="preserve">] CREEMER, J.; ESTACHE, A.; SEABRIGHT, P. Decentralizing public services: what can we learn from the theory of the firm?  </w:t>
      </w:r>
      <w:r w:rsidRPr="00D435DE">
        <w:rPr>
          <w:i/>
          <w:iCs/>
          <w:sz w:val="24"/>
          <w:szCs w:val="24"/>
          <w:lang w:val="en-US"/>
        </w:rPr>
        <w:t>Revue d’Economie Politique</w:t>
      </w:r>
      <w:r w:rsidRPr="00D435DE">
        <w:rPr>
          <w:sz w:val="24"/>
          <w:szCs w:val="24"/>
          <w:lang w:val="en-US"/>
        </w:rPr>
        <w:t>, v. 106, p. 37–60, 1996.</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17" w:name="BIB_filimon_1982"/>
      <w:r w:rsidRPr="00D435DE">
        <w:rPr>
          <w:sz w:val="24"/>
          <w:szCs w:val="24"/>
          <w:lang w:val="en-US"/>
        </w:rPr>
        <w:t>Filimon, Romer e Rosenthal 1982</w:t>
      </w:r>
      <w:bookmarkEnd w:id="17"/>
      <w:r w:rsidR="00C010C3">
        <w:rPr>
          <w:sz w:val="24"/>
          <w:szCs w:val="24"/>
          <w:lang w:val="en-US"/>
        </w:rPr>
        <w:t xml:space="preserve">] </w:t>
      </w:r>
      <w:r w:rsidRPr="00D435DE">
        <w:rPr>
          <w:sz w:val="24"/>
          <w:szCs w:val="24"/>
          <w:lang w:val="en-US"/>
        </w:rPr>
        <w:t xml:space="preserve">FILIMON, R.; ROMER, T.; ROSENTHAL, H. Asymmetric </w:t>
      </w:r>
      <w:r w:rsidRPr="00D435DE">
        <w:rPr>
          <w:sz w:val="24"/>
          <w:szCs w:val="24"/>
          <w:lang w:val="en-US"/>
        </w:rPr>
        <w:lastRenderedPageBreak/>
        <w:t xml:space="preserve">information and agenda control. </w:t>
      </w:r>
      <w:r w:rsidRPr="00D435DE">
        <w:rPr>
          <w:i/>
          <w:iCs/>
          <w:sz w:val="24"/>
          <w:szCs w:val="24"/>
          <w:lang w:val="en-US"/>
        </w:rPr>
        <w:t>Journal of Public Economics</w:t>
      </w:r>
      <w:r w:rsidRPr="00D435DE">
        <w:rPr>
          <w:sz w:val="24"/>
          <w:szCs w:val="24"/>
          <w:lang w:val="en-US"/>
        </w:rPr>
        <w:t>, v. 17, p. 51–70, fev. 1982.</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18" w:name="BIB_hines_1995"/>
      <w:r w:rsidRPr="00D435DE">
        <w:rPr>
          <w:sz w:val="24"/>
          <w:szCs w:val="24"/>
          <w:lang w:val="en-US"/>
        </w:rPr>
        <w:t>Hines e Thaler 1995</w:t>
      </w:r>
      <w:bookmarkEnd w:id="18"/>
      <w:r w:rsidR="00C010C3">
        <w:rPr>
          <w:sz w:val="24"/>
          <w:szCs w:val="24"/>
          <w:lang w:val="en-US"/>
        </w:rPr>
        <w:t>]</w:t>
      </w:r>
      <w:r w:rsidR="00C010C3">
        <w:rPr>
          <w:sz w:val="24"/>
          <w:szCs w:val="24"/>
          <w:lang w:val="en-US"/>
        </w:rPr>
        <w:tab/>
        <w:t xml:space="preserve"> </w:t>
      </w:r>
      <w:r w:rsidRPr="00D435DE">
        <w:rPr>
          <w:sz w:val="24"/>
          <w:szCs w:val="24"/>
          <w:lang w:val="en-US"/>
        </w:rPr>
        <w:t xml:space="preserve">HINES, J. R.; THALER, R. H. Anomalies: The flypaper effect. </w:t>
      </w:r>
      <w:r w:rsidRPr="00D435DE">
        <w:rPr>
          <w:i/>
          <w:iCs/>
          <w:sz w:val="24"/>
          <w:szCs w:val="24"/>
          <w:lang w:val="en-US"/>
        </w:rPr>
        <w:t>Journal of Economic Perspectives</w:t>
      </w:r>
      <w:r w:rsidRPr="00D435DE">
        <w:rPr>
          <w:sz w:val="24"/>
          <w:szCs w:val="24"/>
          <w:lang w:val="en-US"/>
        </w:rPr>
        <w:t>, p. 217–226, 1995.</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19" w:name="BIB_knight_2002"/>
      <w:r w:rsidRPr="00D435DE">
        <w:rPr>
          <w:sz w:val="24"/>
          <w:szCs w:val="24"/>
          <w:lang w:val="en-US"/>
        </w:rPr>
        <w:t>Knight 2002</w:t>
      </w:r>
      <w:bookmarkEnd w:id="19"/>
      <w:r w:rsidRPr="00D435DE">
        <w:rPr>
          <w:sz w:val="24"/>
          <w:szCs w:val="24"/>
          <w:lang w:val="en-US"/>
        </w:rPr>
        <w:t>]</w:t>
      </w:r>
      <w:r w:rsidRPr="00D435DE">
        <w:rPr>
          <w:sz w:val="24"/>
          <w:szCs w:val="24"/>
          <w:lang w:val="en-US"/>
        </w:rPr>
        <w:tab/>
        <w:t xml:space="preserve"> KNIGHT, B. Endogenous federal grants and crowd-out of state government spending: Theory and evidence from the federal highway aid program. </w:t>
      </w:r>
      <w:r w:rsidRPr="00D435DE">
        <w:rPr>
          <w:i/>
          <w:iCs/>
          <w:sz w:val="24"/>
          <w:szCs w:val="24"/>
          <w:lang w:val="en-US"/>
        </w:rPr>
        <w:t>American Economic Review</w:t>
      </w:r>
      <w:r w:rsidRPr="00D435DE">
        <w:rPr>
          <w:sz w:val="24"/>
          <w:szCs w:val="24"/>
          <w:lang w:val="en-US"/>
        </w:rPr>
        <w:t>, v. 92, p. 71–92, mar. 2002.</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20" w:name="BIB_marconi_2009"/>
      <w:r w:rsidRPr="00D435DE">
        <w:rPr>
          <w:sz w:val="24"/>
          <w:szCs w:val="24"/>
          <w:lang w:val="en-US"/>
        </w:rPr>
        <w:t>Marconi et al. 2009</w:t>
      </w:r>
      <w:bookmarkEnd w:id="20"/>
      <w:r w:rsidR="00C010C3">
        <w:rPr>
          <w:sz w:val="24"/>
          <w:szCs w:val="24"/>
          <w:lang w:val="en-US"/>
        </w:rPr>
        <w:t xml:space="preserve">] </w:t>
      </w:r>
      <w:r w:rsidRPr="00D435DE">
        <w:rPr>
          <w:sz w:val="24"/>
          <w:szCs w:val="24"/>
          <w:lang w:val="en-US"/>
        </w:rPr>
        <w:t xml:space="preserve">MARCONI, N. et al. Vertical tranfers and the appropriation of resources by the bureaucracy: the case of brazillian state governments. </w:t>
      </w:r>
      <w:r w:rsidRPr="00D435DE">
        <w:rPr>
          <w:i/>
          <w:iCs/>
          <w:sz w:val="24"/>
          <w:szCs w:val="24"/>
          <w:lang w:val="en-US"/>
        </w:rPr>
        <w:t>Public Choice</w:t>
      </w:r>
      <w:r w:rsidRPr="00D435DE">
        <w:rPr>
          <w:sz w:val="24"/>
          <w:szCs w:val="24"/>
          <w:lang w:val="en-US"/>
        </w:rPr>
        <w:t>, v. 141, p. 65–85, 2009.</w:t>
      </w:r>
    </w:p>
    <w:p w:rsidR="00E9008B" w:rsidRPr="00D435DE" w:rsidRDefault="0013755C" w:rsidP="00211F81">
      <w:pPr>
        <w:pStyle w:val="bibitem"/>
        <w:spacing w:before="240" w:after="240" w:line="240" w:lineRule="auto"/>
        <w:rPr>
          <w:sz w:val="24"/>
          <w:szCs w:val="24"/>
        </w:rPr>
      </w:pPr>
      <w:r w:rsidRPr="00D435DE">
        <w:rPr>
          <w:sz w:val="24"/>
          <w:szCs w:val="24"/>
          <w:lang w:val="en-US"/>
        </w:rPr>
        <w:t>[</w:t>
      </w:r>
      <w:bookmarkStart w:id="21" w:name="BIB_mattos_2011"/>
      <w:r w:rsidRPr="00D435DE">
        <w:rPr>
          <w:sz w:val="24"/>
          <w:szCs w:val="24"/>
          <w:lang w:val="en-US"/>
        </w:rPr>
        <w:t>Mattos, Rocha e Arvate 2011</w:t>
      </w:r>
      <w:bookmarkEnd w:id="21"/>
      <w:r w:rsidRPr="00D435DE">
        <w:rPr>
          <w:sz w:val="24"/>
          <w:szCs w:val="24"/>
          <w:lang w:val="en-US"/>
        </w:rPr>
        <w:t>]</w:t>
      </w:r>
      <w:r w:rsidR="00C010C3">
        <w:rPr>
          <w:sz w:val="24"/>
          <w:szCs w:val="24"/>
          <w:lang w:val="en-US"/>
        </w:rPr>
        <w:t xml:space="preserve"> </w:t>
      </w:r>
      <w:r w:rsidRPr="00D435DE">
        <w:rPr>
          <w:sz w:val="24"/>
          <w:szCs w:val="24"/>
          <w:lang w:val="en-US"/>
        </w:rPr>
        <w:t xml:space="preserve">MATTOS, E. H. C.; ROCHA, F. F.; ARVATE, P. R. Flypaper effect revisited: Evidence for tax collection efficiency in brazilian municipalities. </w:t>
      </w:r>
      <w:r w:rsidRPr="00D435DE">
        <w:rPr>
          <w:i/>
          <w:iCs/>
          <w:sz w:val="24"/>
          <w:szCs w:val="24"/>
        </w:rPr>
        <w:t>Estudos Econômicos</w:t>
      </w:r>
      <w:r w:rsidRPr="00D435DE">
        <w:rPr>
          <w:sz w:val="24"/>
          <w:szCs w:val="24"/>
        </w:rPr>
        <w:t>, v. 41, p. 7–28, 2011.</w:t>
      </w:r>
    </w:p>
    <w:p w:rsidR="00E9008B" w:rsidRPr="00D435DE" w:rsidRDefault="0013755C" w:rsidP="00211F81">
      <w:pPr>
        <w:pStyle w:val="bibitem"/>
        <w:spacing w:before="240" w:after="240" w:line="240" w:lineRule="auto"/>
        <w:rPr>
          <w:sz w:val="24"/>
          <w:szCs w:val="24"/>
        </w:rPr>
      </w:pPr>
      <w:r w:rsidRPr="00D435DE">
        <w:rPr>
          <w:sz w:val="24"/>
          <w:szCs w:val="24"/>
        </w:rPr>
        <w:t>[</w:t>
      </w:r>
      <w:bookmarkStart w:id="22" w:name="BIB_mendes_2008"/>
      <w:r w:rsidRPr="00D435DE">
        <w:rPr>
          <w:sz w:val="24"/>
          <w:szCs w:val="24"/>
        </w:rPr>
        <w:t>Mendes, Miranda e Cossio 2008</w:t>
      </w:r>
      <w:bookmarkEnd w:id="22"/>
      <w:r w:rsidRPr="00D435DE">
        <w:rPr>
          <w:sz w:val="24"/>
          <w:szCs w:val="24"/>
        </w:rPr>
        <w:t>]</w:t>
      </w:r>
      <w:r w:rsidR="00C010C3">
        <w:rPr>
          <w:sz w:val="24"/>
          <w:szCs w:val="24"/>
        </w:rPr>
        <w:t xml:space="preserve"> </w:t>
      </w:r>
      <w:r w:rsidRPr="00D435DE">
        <w:rPr>
          <w:sz w:val="24"/>
          <w:szCs w:val="24"/>
        </w:rPr>
        <w:t xml:space="preserve">MENDES, M.; MIRANDA, R. B.; COSSIO, F. Transferências intergovernamentais no Brasil: diagnóstico e proposta de reforma. </w:t>
      </w:r>
      <w:r w:rsidRPr="00D435DE">
        <w:rPr>
          <w:i/>
          <w:iCs/>
          <w:sz w:val="24"/>
          <w:szCs w:val="24"/>
        </w:rPr>
        <w:t>Consultoria Legislativa do Senado Federal, Texto para Discussão</w:t>
      </w:r>
      <w:r w:rsidRPr="00D435DE">
        <w:rPr>
          <w:sz w:val="24"/>
          <w:szCs w:val="24"/>
        </w:rPr>
        <w:t>, v. 40, abr. 2008.</w:t>
      </w:r>
    </w:p>
    <w:p w:rsidR="00E9008B" w:rsidRPr="00D435DE" w:rsidRDefault="0013755C" w:rsidP="00211F81">
      <w:pPr>
        <w:pStyle w:val="bibitem"/>
        <w:spacing w:before="240" w:after="240" w:line="240" w:lineRule="auto"/>
        <w:rPr>
          <w:sz w:val="24"/>
          <w:szCs w:val="24"/>
        </w:rPr>
      </w:pPr>
      <w:r w:rsidRPr="00D435DE">
        <w:rPr>
          <w:sz w:val="24"/>
          <w:szCs w:val="24"/>
          <w:lang w:val="en-US"/>
        </w:rPr>
        <w:t>[</w:t>
      </w:r>
      <w:bookmarkStart w:id="23" w:name="BIB_niskanen_1971"/>
      <w:r w:rsidRPr="00D435DE">
        <w:rPr>
          <w:sz w:val="24"/>
          <w:szCs w:val="24"/>
          <w:lang w:val="en-US"/>
        </w:rPr>
        <w:t>Niskanen 1971</w:t>
      </w:r>
      <w:bookmarkEnd w:id="23"/>
      <w:r w:rsidR="00C010C3">
        <w:rPr>
          <w:sz w:val="24"/>
          <w:szCs w:val="24"/>
          <w:lang w:val="en-US"/>
        </w:rPr>
        <w:t xml:space="preserve">] </w:t>
      </w:r>
      <w:r w:rsidRPr="00D435DE">
        <w:rPr>
          <w:sz w:val="24"/>
          <w:szCs w:val="24"/>
          <w:lang w:val="en-US"/>
        </w:rPr>
        <w:t xml:space="preserve">NISKANEN, W. A. </w:t>
      </w:r>
      <w:r w:rsidRPr="00D435DE">
        <w:rPr>
          <w:i/>
          <w:iCs/>
          <w:sz w:val="24"/>
          <w:szCs w:val="24"/>
          <w:lang w:val="en-US"/>
        </w:rPr>
        <w:t>Bureaucracy and representative government</w:t>
      </w:r>
      <w:r w:rsidRPr="00D435DE">
        <w:rPr>
          <w:sz w:val="24"/>
          <w:szCs w:val="24"/>
          <w:lang w:val="en-US"/>
        </w:rPr>
        <w:t xml:space="preserve">. </w:t>
      </w:r>
      <w:r w:rsidRPr="00D435DE">
        <w:rPr>
          <w:sz w:val="24"/>
          <w:szCs w:val="24"/>
        </w:rPr>
        <w:t>Chicago: Aldine-Atherton, 1971.</w:t>
      </w:r>
    </w:p>
    <w:p w:rsidR="00E9008B" w:rsidRPr="004C01D0" w:rsidRDefault="0013755C" w:rsidP="00211F81">
      <w:pPr>
        <w:pStyle w:val="bibitem"/>
        <w:spacing w:before="240" w:after="240" w:line="240" w:lineRule="auto"/>
        <w:rPr>
          <w:sz w:val="24"/>
          <w:szCs w:val="24"/>
        </w:rPr>
      </w:pPr>
      <w:r w:rsidRPr="00D435DE">
        <w:rPr>
          <w:sz w:val="24"/>
          <w:szCs w:val="24"/>
        </w:rPr>
        <w:t>[</w:t>
      </w:r>
      <w:bookmarkStart w:id="24" w:name="BIB_nunes_2004"/>
      <w:r w:rsidRPr="00D435DE">
        <w:rPr>
          <w:sz w:val="24"/>
          <w:szCs w:val="24"/>
        </w:rPr>
        <w:t>Nunes 2004</w:t>
      </w:r>
      <w:bookmarkEnd w:id="24"/>
      <w:r w:rsidR="00C010C3">
        <w:rPr>
          <w:sz w:val="24"/>
          <w:szCs w:val="24"/>
        </w:rPr>
        <w:t xml:space="preserve">] </w:t>
      </w:r>
      <w:r w:rsidRPr="00D435DE">
        <w:rPr>
          <w:sz w:val="24"/>
          <w:szCs w:val="24"/>
        </w:rPr>
        <w:t xml:space="preserve">NUNES, A. A alocação equitativa inter-regional de recursos públicos federais do SUS: a receita própria do município como variável moderadora. </w:t>
      </w:r>
      <w:r w:rsidRPr="00D435DE">
        <w:rPr>
          <w:i/>
          <w:iCs/>
          <w:sz w:val="24"/>
          <w:szCs w:val="24"/>
        </w:rPr>
        <w:t xml:space="preserve">Brasília: Ministério da Saúde. (Relatório de Consultoria. </w:t>
      </w:r>
      <w:r w:rsidRPr="004C01D0">
        <w:rPr>
          <w:i/>
          <w:iCs/>
          <w:sz w:val="24"/>
          <w:szCs w:val="24"/>
        </w:rPr>
        <w:t>Projeto 1.04.21.)</w:t>
      </w:r>
      <w:r w:rsidRPr="004C01D0">
        <w:rPr>
          <w:sz w:val="24"/>
          <w:szCs w:val="24"/>
        </w:rPr>
        <w:t>, 2004.</w:t>
      </w:r>
    </w:p>
    <w:p w:rsidR="00E9008B" w:rsidRPr="00D435DE" w:rsidRDefault="0013755C" w:rsidP="00211F81">
      <w:pPr>
        <w:pStyle w:val="bibitem"/>
        <w:spacing w:before="240" w:after="240" w:line="240" w:lineRule="auto"/>
        <w:rPr>
          <w:sz w:val="24"/>
          <w:szCs w:val="24"/>
        </w:rPr>
      </w:pPr>
      <w:r w:rsidRPr="004C01D0">
        <w:rPr>
          <w:sz w:val="24"/>
          <w:szCs w:val="24"/>
        </w:rPr>
        <w:t>[</w:t>
      </w:r>
      <w:bookmarkStart w:id="25" w:name="BIB_oates_2005"/>
      <w:r w:rsidRPr="004C01D0">
        <w:rPr>
          <w:sz w:val="24"/>
          <w:szCs w:val="24"/>
        </w:rPr>
        <w:t>Oates 2005</w:t>
      </w:r>
      <w:bookmarkEnd w:id="25"/>
      <w:r w:rsidR="00C010C3" w:rsidRPr="004C01D0">
        <w:rPr>
          <w:sz w:val="24"/>
          <w:szCs w:val="24"/>
        </w:rPr>
        <w:t xml:space="preserve">] </w:t>
      </w:r>
      <w:r w:rsidRPr="004C01D0">
        <w:rPr>
          <w:sz w:val="24"/>
          <w:szCs w:val="24"/>
        </w:rPr>
        <w:t xml:space="preserve">OATES, W. E. Toward a second-generation theory of fiscal federalism. </w:t>
      </w:r>
      <w:r w:rsidRPr="00D435DE">
        <w:rPr>
          <w:i/>
          <w:iCs/>
          <w:sz w:val="24"/>
          <w:szCs w:val="24"/>
        </w:rPr>
        <w:t>International Tax and Public Finance</w:t>
      </w:r>
      <w:r w:rsidRPr="00D435DE">
        <w:rPr>
          <w:sz w:val="24"/>
          <w:szCs w:val="24"/>
        </w:rPr>
        <w:t>, v. 12, p. 349–373, 2005.</w:t>
      </w:r>
    </w:p>
    <w:p w:rsidR="00E9008B" w:rsidRPr="00D435DE" w:rsidRDefault="0013755C" w:rsidP="00211F81">
      <w:pPr>
        <w:pStyle w:val="bibitem"/>
        <w:spacing w:before="240" w:after="240" w:line="240" w:lineRule="auto"/>
        <w:rPr>
          <w:sz w:val="24"/>
          <w:szCs w:val="24"/>
        </w:rPr>
      </w:pPr>
      <w:r w:rsidRPr="00D435DE">
        <w:rPr>
          <w:sz w:val="24"/>
          <w:szCs w:val="24"/>
        </w:rPr>
        <w:t>[</w:t>
      </w:r>
      <w:bookmarkStart w:id="26" w:name="BIB_sakurai_2009"/>
      <w:r w:rsidRPr="00D435DE">
        <w:rPr>
          <w:sz w:val="24"/>
          <w:szCs w:val="24"/>
        </w:rPr>
        <w:t>Sakurai 2009</w:t>
      </w:r>
      <w:bookmarkEnd w:id="26"/>
      <w:r w:rsidRPr="00D435DE">
        <w:rPr>
          <w:sz w:val="24"/>
          <w:szCs w:val="24"/>
        </w:rPr>
        <w:t>]</w:t>
      </w:r>
      <w:r w:rsidRPr="00D435DE">
        <w:rPr>
          <w:sz w:val="24"/>
          <w:szCs w:val="24"/>
        </w:rPr>
        <w:tab/>
        <w:t xml:space="preserve"> SAKURAI, S. N. Transferências governamentais e despesas públicas locais: evidências para os municípios brasileiros. In: </w:t>
      </w:r>
      <w:r w:rsidRPr="00D435DE">
        <w:rPr>
          <w:i/>
          <w:iCs/>
          <w:sz w:val="24"/>
          <w:szCs w:val="24"/>
        </w:rPr>
        <w:t>Informações Fipe</w:t>
      </w:r>
      <w:r w:rsidRPr="00D435DE">
        <w:rPr>
          <w:sz w:val="24"/>
          <w:szCs w:val="24"/>
        </w:rPr>
        <w:t>. [S.l.: s.n.], 2009. p. –.</w:t>
      </w:r>
    </w:p>
    <w:p w:rsidR="00E9008B" w:rsidRPr="00D435DE" w:rsidRDefault="0013755C" w:rsidP="00211F81">
      <w:pPr>
        <w:pStyle w:val="bibitem"/>
        <w:spacing w:before="240" w:after="240" w:line="240" w:lineRule="auto"/>
        <w:rPr>
          <w:sz w:val="24"/>
          <w:szCs w:val="24"/>
        </w:rPr>
      </w:pPr>
      <w:r w:rsidRPr="00D435DE">
        <w:rPr>
          <w:sz w:val="24"/>
          <w:szCs w:val="24"/>
        </w:rPr>
        <w:t>[</w:t>
      </w:r>
      <w:bookmarkStart w:id="27" w:name="BIB_souza_2002"/>
      <w:r w:rsidRPr="00D435DE">
        <w:rPr>
          <w:sz w:val="24"/>
          <w:szCs w:val="24"/>
        </w:rPr>
        <w:t>Souza 2002</w:t>
      </w:r>
      <w:bookmarkEnd w:id="27"/>
      <w:r w:rsidR="00C010C3">
        <w:rPr>
          <w:sz w:val="24"/>
          <w:szCs w:val="24"/>
        </w:rPr>
        <w:t xml:space="preserve">] </w:t>
      </w:r>
      <w:r w:rsidRPr="00D435DE">
        <w:rPr>
          <w:sz w:val="24"/>
          <w:szCs w:val="24"/>
        </w:rPr>
        <w:t xml:space="preserve">SOUZA, R. O Sistema Público de Saúde brasileiro. </w:t>
      </w:r>
      <w:r w:rsidRPr="00D435DE">
        <w:rPr>
          <w:i/>
          <w:iCs/>
          <w:sz w:val="24"/>
          <w:szCs w:val="24"/>
        </w:rPr>
        <w:t>Seminário Internacional Tendências e Desafios dos Sistemas de Saúde nas Américas</w:t>
      </w:r>
      <w:r w:rsidRPr="00D435DE">
        <w:rPr>
          <w:sz w:val="24"/>
          <w:szCs w:val="24"/>
        </w:rPr>
        <w:t>, São Paulo, 2002.</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28" w:name="BIB_varela_2010"/>
      <w:r w:rsidRPr="00D435DE">
        <w:rPr>
          <w:sz w:val="24"/>
          <w:szCs w:val="24"/>
          <w:lang w:val="en-US"/>
        </w:rPr>
        <w:t>Varela, Martins e FÁvero 2010</w:t>
      </w:r>
      <w:bookmarkEnd w:id="28"/>
      <w:r w:rsidRPr="00D435DE">
        <w:rPr>
          <w:sz w:val="24"/>
          <w:szCs w:val="24"/>
          <w:lang w:val="en-US"/>
        </w:rPr>
        <w:t>]</w:t>
      </w:r>
      <w:r w:rsidR="00C010C3">
        <w:rPr>
          <w:sz w:val="24"/>
          <w:szCs w:val="24"/>
          <w:lang w:val="en-US"/>
        </w:rPr>
        <w:t xml:space="preserve"> </w:t>
      </w:r>
      <w:r w:rsidRPr="00D435DE">
        <w:rPr>
          <w:sz w:val="24"/>
          <w:szCs w:val="24"/>
          <w:lang w:val="en-US"/>
        </w:rPr>
        <w:t xml:space="preserve">VARELA, P. S.; MARTINS, G. de A.; FÁVERO, L. P. L. Production efficiency and financing of public health: an analysis of small municipalities in the state of são paulo brazil. </w:t>
      </w:r>
      <w:r w:rsidRPr="00D435DE">
        <w:rPr>
          <w:i/>
          <w:iCs/>
          <w:sz w:val="24"/>
          <w:szCs w:val="24"/>
          <w:lang w:val="en-US"/>
        </w:rPr>
        <w:t>Health Care Management Science</w:t>
      </w:r>
      <w:r w:rsidRPr="00D435DE">
        <w:rPr>
          <w:sz w:val="24"/>
          <w:szCs w:val="24"/>
          <w:lang w:val="en-US"/>
        </w:rPr>
        <w:t>, v. 13, p. 112–123, 2010.</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29" w:name="BIB_woold_2002"/>
      <w:r w:rsidRPr="00D435DE">
        <w:rPr>
          <w:sz w:val="24"/>
          <w:szCs w:val="24"/>
          <w:lang w:val="en-US"/>
        </w:rPr>
        <w:t>WOOLDRIDGE 2002</w:t>
      </w:r>
      <w:bookmarkEnd w:id="29"/>
      <w:r w:rsidR="00C010C3">
        <w:rPr>
          <w:sz w:val="24"/>
          <w:szCs w:val="24"/>
          <w:lang w:val="en-US"/>
        </w:rPr>
        <w:t xml:space="preserve">] </w:t>
      </w:r>
      <w:r w:rsidRPr="00D435DE">
        <w:rPr>
          <w:sz w:val="24"/>
          <w:szCs w:val="24"/>
          <w:lang w:val="en-US"/>
        </w:rPr>
        <w:t xml:space="preserve">WOOLDRIDGE, J. M. </w:t>
      </w:r>
      <w:r w:rsidRPr="00D435DE">
        <w:rPr>
          <w:i/>
          <w:iCs/>
          <w:sz w:val="24"/>
          <w:szCs w:val="24"/>
          <w:lang w:val="en-US"/>
        </w:rPr>
        <w:t>Econometric Analysis of cross section and panel data</w:t>
      </w:r>
      <w:r w:rsidRPr="00D435DE">
        <w:rPr>
          <w:sz w:val="24"/>
          <w:szCs w:val="24"/>
          <w:lang w:val="en-US"/>
        </w:rPr>
        <w:t>. [S.l.]: MIT Press, 2002.</w:t>
      </w:r>
    </w:p>
    <w:p w:rsidR="00E9008B"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30" w:name="BIB_wyckoff_1988"/>
      <w:r w:rsidRPr="00D435DE">
        <w:rPr>
          <w:sz w:val="24"/>
          <w:szCs w:val="24"/>
          <w:lang w:val="en-US"/>
        </w:rPr>
        <w:t>Wyckoff 1988</w:t>
      </w:r>
      <w:bookmarkEnd w:id="30"/>
      <w:r w:rsidR="00C010C3">
        <w:rPr>
          <w:sz w:val="24"/>
          <w:szCs w:val="24"/>
          <w:lang w:val="en-US"/>
        </w:rPr>
        <w:t xml:space="preserve">] </w:t>
      </w:r>
      <w:r w:rsidRPr="00D435DE">
        <w:rPr>
          <w:sz w:val="24"/>
          <w:szCs w:val="24"/>
          <w:lang w:val="en-US"/>
        </w:rPr>
        <w:t xml:space="preserve">WYCKOFF, P. G. A bureaucratic theory of flypaper effect. </w:t>
      </w:r>
      <w:r w:rsidRPr="00D435DE">
        <w:rPr>
          <w:i/>
          <w:iCs/>
          <w:sz w:val="24"/>
          <w:szCs w:val="24"/>
          <w:lang w:val="en-US"/>
        </w:rPr>
        <w:t>Journal of Urban Economics</w:t>
      </w:r>
      <w:r w:rsidRPr="00D435DE">
        <w:rPr>
          <w:sz w:val="24"/>
          <w:szCs w:val="24"/>
          <w:lang w:val="en-US"/>
        </w:rPr>
        <w:t>, v. 23, p. 115–129, 1988.</w:t>
      </w:r>
    </w:p>
    <w:p w:rsidR="0013755C" w:rsidRPr="00D435DE" w:rsidRDefault="0013755C" w:rsidP="00211F81">
      <w:pPr>
        <w:pStyle w:val="bibitem"/>
        <w:spacing w:before="240" w:after="240" w:line="240" w:lineRule="auto"/>
        <w:rPr>
          <w:sz w:val="24"/>
          <w:szCs w:val="24"/>
          <w:lang w:val="en-US"/>
        </w:rPr>
      </w:pPr>
      <w:r w:rsidRPr="00D435DE">
        <w:rPr>
          <w:sz w:val="24"/>
          <w:szCs w:val="24"/>
          <w:lang w:val="en-US"/>
        </w:rPr>
        <w:t>[</w:t>
      </w:r>
      <w:bookmarkStart w:id="31" w:name="BIB_wyckoff_1991"/>
      <w:r w:rsidRPr="00D435DE">
        <w:rPr>
          <w:sz w:val="24"/>
          <w:szCs w:val="24"/>
          <w:lang w:val="en-US"/>
        </w:rPr>
        <w:t>Wyckoff 1991</w:t>
      </w:r>
      <w:bookmarkEnd w:id="31"/>
      <w:r w:rsidRPr="00D435DE">
        <w:rPr>
          <w:sz w:val="24"/>
          <w:szCs w:val="24"/>
          <w:lang w:val="en-US"/>
        </w:rPr>
        <w:t xml:space="preserve">] WYCKOFF, P. G. The elusive flypaper effect. </w:t>
      </w:r>
      <w:r w:rsidRPr="00D435DE">
        <w:rPr>
          <w:i/>
          <w:iCs/>
          <w:sz w:val="24"/>
          <w:szCs w:val="24"/>
          <w:lang w:val="en-US"/>
        </w:rPr>
        <w:t>Journal of Urban Economics</w:t>
      </w:r>
      <w:r w:rsidRPr="00D435DE">
        <w:rPr>
          <w:sz w:val="24"/>
          <w:szCs w:val="24"/>
          <w:lang w:val="en-US"/>
        </w:rPr>
        <w:t>, v. 30, p. 310–328, 1991.</w:t>
      </w:r>
    </w:p>
    <w:sectPr w:rsidR="0013755C" w:rsidRPr="00D435DE" w:rsidSect="005363E9">
      <w:footerReference w:type="default" r:id="rId10"/>
      <w:pgSz w:w="11907" w:h="16839" w:code="9"/>
      <w:pgMar w:top="1134" w:right="851" w:bottom="1134" w:left="851"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52" w:rsidRDefault="00667F52" w:rsidP="00E916F5">
      <w:r>
        <w:separator/>
      </w:r>
    </w:p>
  </w:endnote>
  <w:endnote w:type="continuationSeparator" w:id="0">
    <w:p w:rsidR="00667F52" w:rsidRDefault="00667F52" w:rsidP="00E9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086" w:rsidRDefault="00085086" w:rsidP="00E916F5">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52" w:rsidRDefault="00667F52" w:rsidP="00E916F5">
      <w:r>
        <w:separator/>
      </w:r>
    </w:p>
  </w:footnote>
  <w:footnote w:type="continuationSeparator" w:id="0">
    <w:p w:rsidR="00667F52" w:rsidRDefault="00667F52" w:rsidP="00E916F5">
      <w:r>
        <w:continuationSeparator/>
      </w:r>
    </w:p>
  </w:footnote>
  <w:footnote w:id="1">
    <w:p w:rsidR="00085086" w:rsidRDefault="00085086" w:rsidP="00DD6AC9">
      <w:pPr>
        <w:pStyle w:val="Textodenotaderodap"/>
        <w:spacing w:before="0" w:line="240" w:lineRule="auto"/>
        <w:ind w:left="113"/>
        <w:contextualSpacing/>
      </w:pPr>
      <w:r w:rsidRPr="00812452">
        <w:rPr>
          <w:rStyle w:val="Refdenotaderodap"/>
        </w:rPr>
        <w:footnoteRef/>
      </w:r>
      <w:r>
        <w:t xml:space="preserve"> O coeficiente de variação (CV) de uma distribuição é dado pela razão entre seu desvio padrão e sua média. A medida auxilia na mensuração da homogeneidade de um conjunto de dados. </w:t>
      </w:r>
    </w:p>
  </w:footnote>
  <w:footnote w:id="2">
    <w:p w:rsidR="00085086" w:rsidRPr="00DD6AC9" w:rsidRDefault="00085086" w:rsidP="00DD6AC9">
      <w:pPr>
        <w:pStyle w:val="Textodenotaderodap"/>
        <w:spacing w:before="0" w:line="240" w:lineRule="auto"/>
        <w:ind w:left="113"/>
        <w:contextualSpacing/>
        <w:rPr>
          <w:sz w:val="18"/>
          <w:szCs w:val="18"/>
        </w:rPr>
      </w:pPr>
      <w:r w:rsidRPr="00DD6AC9">
        <w:rPr>
          <w:rStyle w:val="Refdenotaderodap"/>
          <w:sz w:val="18"/>
          <w:szCs w:val="18"/>
        </w:rPr>
        <w:footnoteRef/>
      </w:r>
      <w:r w:rsidRPr="00DD6AC9">
        <w:rPr>
          <w:sz w:val="18"/>
          <w:szCs w:val="18"/>
        </w:rPr>
        <w:t xml:space="preserve"> </w:t>
      </w:r>
      <w:r w:rsidRPr="002F7CAE">
        <w:t>Conforme seção </w:t>
      </w:r>
      <w:r w:rsidR="00667F52">
        <w:fldChar w:fldCharType="begin"/>
      </w:r>
      <w:r w:rsidR="00667F52">
        <w:instrText xml:space="preserve">REF BMcap_04 \* MERGEFORMAT </w:instrText>
      </w:r>
      <w:r w:rsidR="00667F52">
        <w:fldChar w:fldCharType="separate"/>
      </w:r>
      <w:r w:rsidR="008F7554" w:rsidRPr="008F7554">
        <w:t>4</w:t>
      </w:r>
      <w:r w:rsidR="00667F52">
        <w:fldChar w:fldCharType="end"/>
      </w:r>
      <w:r w:rsidRPr="002F7CAE">
        <w:t>, tópico </w:t>
      </w:r>
      <w:r w:rsidR="001D02A9">
        <w:t>4.1</w:t>
      </w:r>
      <w:r w:rsidRPr="00DD6AC9">
        <w:rPr>
          <w:sz w:val="18"/>
          <w:szCs w:val="18"/>
        </w:rPr>
        <w:t>.</w:t>
      </w:r>
    </w:p>
  </w:footnote>
  <w:footnote w:id="3">
    <w:p w:rsidR="00085086" w:rsidRDefault="00085086" w:rsidP="001F64E2">
      <w:pPr>
        <w:pStyle w:val="Textodenotaderodap"/>
        <w:spacing w:before="0" w:line="240" w:lineRule="auto"/>
        <w:ind w:left="113"/>
        <w:contextualSpacing/>
      </w:pPr>
      <w:r w:rsidRPr="00812452">
        <w:rPr>
          <w:rStyle w:val="Refdenotaderodap"/>
        </w:rPr>
        <w:footnoteRef/>
      </w:r>
      <w:r>
        <w:t xml:space="preserve"> Segundo Hines e Thaler [</w:t>
      </w:r>
      <w:r w:rsidR="00667F52">
        <w:fldChar w:fldCharType="begin"/>
      </w:r>
      <w:r w:rsidR="00667F52">
        <w:instrText xml:space="preserve">REF BIB_hines_1995 \* MERGEFORMAT </w:instrText>
      </w:r>
      <w:r w:rsidR="00667F52">
        <w:fldChar w:fldCharType="separate"/>
      </w:r>
      <w:r w:rsidR="008F7554" w:rsidRPr="008F7554">
        <w:t>Hines e Thaler 1995</w:t>
      </w:r>
      <w:r w:rsidR="00667F52">
        <w:fldChar w:fldCharType="end"/>
      </w:r>
      <w:r>
        <w:t>], essa nomenclatura foi atribuída ao fenômeno por Arthur Okun, uma vez que o dinheiro “gruda” na jurisdição que o recebe: “</w:t>
      </w:r>
      <w:r>
        <w:rPr>
          <w:i/>
          <w:iCs/>
        </w:rPr>
        <w:t>money sticks where it hits</w:t>
      </w:r>
      <w:r>
        <w:t>”.</w:t>
      </w:r>
    </w:p>
  </w:footnote>
  <w:footnote w:id="4">
    <w:p w:rsidR="00085086" w:rsidRPr="00FA5257" w:rsidRDefault="00085086" w:rsidP="001F64E2">
      <w:pPr>
        <w:pStyle w:val="Textodenotaderodap"/>
        <w:spacing w:before="0" w:line="240" w:lineRule="auto"/>
        <w:ind w:left="113"/>
        <w:jc w:val="both"/>
        <w:rPr>
          <w:sz w:val="18"/>
          <w:szCs w:val="18"/>
        </w:rPr>
      </w:pPr>
      <w:r w:rsidRPr="00FA5257">
        <w:rPr>
          <w:rStyle w:val="Refdenotaderodap"/>
          <w:sz w:val="18"/>
          <w:szCs w:val="18"/>
        </w:rPr>
        <w:footnoteRef/>
      </w:r>
      <w:r w:rsidRPr="00FA5257">
        <w:rPr>
          <w:sz w:val="18"/>
          <w:szCs w:val="18"/>
        </w:rPr>
        <w:t xml:space="preserve"> </w:t>
      </w:r>
      <w:r w:rsidRPr="001F64E2">
        <w:t>A prestação de contas é feita a partir dos relatórios gestão, que são submetidos à aprovação do conselho municipal de saúde e encaminhados ao Ministério da Saúde, à Secretaria de Saúde e ao tribunal de contas a que o município estiver jurisdicionado. O monitoramento é feito pelos órgãos de controle interno e externo.</w:t>
      </w:r>
    </w:p>
  </w:footnote>
  <w:footnote w:id="5">
    <w:p w:rsidR="00085086" w:rsidRPr="00A30A44" w:rsidRDefault="00085086" w:rsidP="001F64E2">
      <w:pPr>
        <w:pStyle w:val="Textodenotaderodap"/>
        <w:spacing w:before="0" w:line="240" w:lineRule="auto"/>
        <w:ind w:left="113"/>
        <w:contextualSpacing/>
        <w:rPr>
          <w:sz w:val="18"/>
          <w:szCs w:val="18"/>
        </w:rPr>
      </w:pPr>
      <w:r w:rsidRPr="00A30A44">
        <w:rPr>
          <w:rStyle w:val="Refdenotaderodap"/>
          <w:sz w:val="18"/>
          <w:szCs w:val="18"/>
        </w:rPr>
        <w:footnoteRef/>
      </w:r>
      <w:r w:rsidRPr="00A30A44">
        <w:rPr>
          <w:sz w:val="18"/>
          <w:szCs w:val="18"/>
        </w:rPr>
        <w:t xml:space="preserve"> Veja capítulo 2 de Wooldridge [</w:t>
      </w:r>
      <w:r w:rsidRPr="00A30A44">
        <w:rPr>
          <w:sz w:val="18"/>
          <w:szCs w:val="18"/>
        </w:rPr>
        <w:fldChar w:fldCharType="begin"/>
      </w:r>
      <w:r w:rsidRPr="00A30A44">
        <w:rPr>
          <w:sz w:val="18"/>
          <w:szCs w:val="18"/>
        </w:rPr>
        <w:instrText xml:space="preserve">REF BIB_woold_2002 \* MERGEFORMAT </w:instrText>
      </w:r>
      <w:r w:rsidRPr="00A30A44">
        <w:rPr>
          <w:sz w:val="18"/>
          <w:szCs w:val="18"/>
        </w:rPr>
        <w:fldChar w:fldCharType="separate"/>
      </w:r>
      <w:r w:rsidR="008F7554" w:rsidRPr="008F7554">
        <w:rPr>
          <w:sz w:val="18"/>
          <w:szCs w:val="18"/>
        </w:rPr>
        <w:t>WOOLDRIDGE 2002</w:t>
      </w:r>
      <w:r w:rsidRPr="00A30A44">
        <w:rPr>
          <w:sz w:val="18"/>
          <w:szCs w:val="18"/>
        </w:rPr>
        <w:fldChar w:fldCharType="end"/>
      </w:r>
      <w:r w:rsidRPr="00A30A44">
        <w:rPr>
          <w:sz w:val="18"/>
          <w:szCs w:val="18"/>
        </w:rPr>
        <w:t xml:space="preserve">] para a interpretação de elasticidade atribuída aos coeficientes quando os valores são regredidos em </w:t>
      </w:r>
      <w:r w:rsidRPr="00A30A44">
        <w:rPr>
          <w:sz w:val="18"/>
          <w:szCs w:val="18"/>
        </w:rPr>
        <w:fldChar w:fldCharType="begin"/>
      </w:r>
      <w:r w:rsidRPr="00A30A44">
        <w:rPr>
          <w:sz w:val="18"/>
          <w:szCs w:val="18"/>
        </w:rPr>
        <w:instrText xml:space="preserve"> COMMENTS " $\log$" </w:instrText>
      </w:r>
      <w:r w:rsidRPr="00A30A44">
        <w:rPr>
          <w:sz w:val="18"/>
          <w:szCs w:val="18"/>
        </w:rPr>
        <w:fldChar w:fldCharType="end"/>
      </w:r>
      <w:r>
        <w:rPr>
          <w:sz w:val="18"/>
          <w:szCs w:val="18"/>
        </w:rPr>
        <w:t>logaritmo</w:t>
      </w:r>
      <w:r w:rsidRPr="00A30A44">
        <w:rPr>
          <w:sz w:val="18"/>
          <w:szCs w:val="18"/>
        </w:rPr>
        <w:t>.</w:t>
      </w:r>
    </w:p>
  </w:footnote>
  <w:footnote w:id="6">
    <w:p w:rsidR="00085086" w:rsidRPr="00A30A44" w:rsidRDefault="00085086" w:rsidP="001F64E2">
      <w:pPr>
        <w:pStyle w:val="Textodenotaderodap"/>
        <w:spacing w:before="0" w:line="240" w:lineRule="auto"/>
        <w:ind w:left="113"/>
        <w:contextualSpacing/>
        <w:rPr>
          <w:sz w:val="18"/>
          <w:szCs w:val="18"/>
        </w:rPr>
      </w:pPr>
      <w:r w:rsidRPr="00A30A44">
        <w:rPr>
          <w:rStyle w:val="Refdenotaderodap"/>
          <w:sz w:val="18"/>
          <w:szCs w:val="18"/>
        </w:rPr>
        <w:footnoteRef/>
      </w:r>
      <w:r w:rsidRPr="00A30A44">
        <w:rPr>
          <w:sz w:val="18"/>
          <w:szCs w:val="18"/>
        </w:rPr>
        <w:t xml:space="preserve">  O IPCA – Índice Nacional de Preços ao Consumidor Amplo, calculado pelo IBGE, é o índice oficial de inflação do Brasil.</w:t>
      </w:r>
    </w:p>
  </w:footnote>
  <w:footnote w:id="7">
    <w:p w:rsidR="00085086" w:rsidRPr="00FE56AE" w:rsidRDefault="00085086" w:rsidP="001F64E2">
      <w:pPr>
        <w:spacing w:before="0" w:line="240" w:lineRule="auto"/>
        <w:contextualSpacing/>
        <w:rPr>
          <w:sz w:val="18"/>
          <w:szCs w:val="18"/>
        </w:rPr>
      </w:pPr>
      <w:r w:rsidRPr="00FE56AE">
        <w:rPr>
          <w:rStyle w:val="Refdenotaderodap"/>
          <w:sz w:val="18"/>
          <w:szCs w:val="18"/>
        </w:rPr>
        <w:footnoteRef/>
      </w:r>
      <w:r w:rsidRPr="00FE56AE">
        <w:rPr>
          <w:sz w:val="18"/>
          <w:szCs w:val="18"/>
        </w:rPr>
        <w:t xml:space="preserve"> Além disso, de acordo com o argumento desses autores esperar-se-ia uma correlação negativa entre arrecadação local e transferências, ao contrário daquilo que se espera neste estudo.</w:t>
      </w:r>
    </w:p>
    <w:p w:rsidR="00085086" w:rsidRDefault="00085086">
      <w:pPr>
        <w:pStyle w:val="Textodenotaderodap"/>
      </w:pPr>
    </w:p>
  </w:footnote>
  <w:footnote w:id="8">
    <w:p w:rsidR="00085086" w:rsidRDefault="00085086" w:rsidP="000D27F0">
      <w:pPr>
        <w:pStyle w:val="Textodenotaderodap"/>
        <w:spacing w:before="0" w:line="240" w:lineRule="auto"/>
        <w:ind w:left="0" w:firstLine="0"/>
      </w:pPr>
      <w:r>
        <w:rPr>
          <w:rStyle w:val="Refdenotaderodap"/>
        </w:rPr>
        <w:footnoteRef/>
      </w:r>
      <w:r>
        <w:t xml:space="preserve"> A correlação condicional entre o grau de adesão local ao PSF e ao PACS e o recebimento de transferências SUS </w:t>
      </w:r>
      <w:r w:rsidRPr="0002242F">
        <w:rPr>
          <w:i/>
        </w:rPr>
        <w:t>per capita</w:t>
      </w:r>
      <w:r>
        <w:t xml:space="preserve"> é positiva, elevada e estatisticamente significativa.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452"/>
    <w:rsid w:val="0000076A"/>
    <w:rsid w:val="0002176C"/>
    <w:rsid w:val="0002242F"/>
    <w:rsid w:val="000243B3"/>
    <w:rsid w:val="000269EF"/>
    <w:rsid w:val="00032262"/>
    <w:rsid w:val="00032CFC"/>
    <w:rsid w:val="0003782E"/>
    <w:rsid w:val="00052612"/>
    <w:rsid w:val="00055054"/>
    <w:rsid w:val="0005725E"/>
    <w:rsid w:val="00071D68"/>
    <w:rsid w:val="00076CFC"/>
    <w:rsid w:val="00085086"/>
    <w:rsid w:val="000930A7"/>
    <w:rsid w:val="0009359D"/>
    <w:rsid w:val="000971DE"/>
    <w:rsid w:val="000A04CB"/>
    <w:rsid w:val="000A130C"/>
    <w:rsid w:val="000B7BC7"/>
    <w:rsid w:val="000C10A0"/>
    <w:rsid w:val="000D27F0"/>
    <w:rsid w:val="000D5D7D"/>
    <w:rsid w:val="0010194A"/>
    <w:rsid w:val="00104A11"/>
    <w:rsid w:val="0011507A"/>
    <w:rsid w:val="001160F9"/>
    <w:rsid w:val="0011611A"/>
    <w:rsid w:val="0013755C"/>
    <w:rsid w:val="001443A2"/>
    <w:rsid w:val="00150E93"/>
    <w:rsid w:val="00162E42"/>
    <w:rsid w:val="00176959"/>
    <w:rsid w:val="00181871"/>
    <w:rsid w:val="001A0190"/>
    <w:rsid w:val="001A5C69"/>
    <w:rsid w:val="001B41A0"/>
    <w:rsid w:val="001C191E"/>
    <w:rsid w:val="001D02A9"/>
    <w:rsid w:val="001D6A20"/>
    <w:rsid w:val="001D7194"/>
    <w:rsid w:val="001D7C94"/>
    <w:rsid w:val="001E1B82"/>
    <w:rsid w:val="001F0009"/>
    <w:rsid w:val="001F0063"/>
    <w:rsid w:val="001F628A"/>
    <w:rsid w:val="001F64E2"/>
    <w:rsid w:val="002006C7"/>
    <w:rsid w:val="00211F81"/>
    <w:rsid w:val="00213B84"/>
    <w:rsid w:val="00222088"/>
    <w:rsid w:val="00240C60"/>
    <w:rsid w:val="002419E3"/>
    <w:rsid w:val="00242D78"/>
    <w:rsid w:val="00245821"/>
    <w:rsid w:val="00246A26"/>
    <w:rsid w:val="00253C6E"/>
    <w:rsid w:val="00253E45"/>
    <w:rsid w:val="0026339C"/>
    <w:rsid w:val="00264D9F"/>
    <w:rsid w:val="002761BC"/>
    <w:rsid w:val="002806FA"/>
    <w:rsid w:val="002938F9"/>
    <w:rsid w:val="002A184C"/>
    <w:rsid w:val="002D7FDA"/>
    <w:rsid w:val="002E01B0"/>
    <w:rsid w:val="002E3A47"/>
    <w:rsid w:val="002F754C"/>
    <w:rsid w:val="002F7CAE"/>
    <w:rsid w:val="00303E33"/>
    <w:rsid w:val="003132D1"/>
    <w:rsid w:val="00316CAB"/>
    <w:rsid w:val="0032216F"/>
    <w:rsid w:val="00336792"/>
    <w:rsid w:val="00343F18"/>
    <w:rsid w:val="003470DD"/>
    <w:rsid w:val="00351123"/>
    <w:rsid w:val="00355A5D"/>
    <w:rsid w:val="00367596"/>
    <w:rsid w:val="00393C3D"/>
    <w:rsid w:val="003A0F16"/>
    <w:rsid w:val="003C4348"/>
    <w:rsid w:val="003D0A26"/>
    <w:rsid w:val="003D1352"/>
    <w:rsid w:val="003E32FF"/>
    <w:rsid w:val="003F19CB"/>
    <w:rsid w:val="003F4C83"/>
    <w:rsid w:val="004043FE"/>
    <w:rsid w:val="00405F0A"/>
    <w:rsid w:val="00406B95"/>
    <w:rsid w:val="004137E2"/>
    <w:rsid w:val="00420736"/>
    <w:rsid w:val="004412C2"/>
    <w:rsid w:val="004562E7"/>
    <w:rsid w:val="0046563F"/>
    <w:rsid w:val="00476085"/>
    <w:rsid w:val="00477317"/>
    <w:rsid w:val="00494948"/>
    <w:rsid w:val="004953D0"/>
    <w:rsid w:val="004A2362"/>
    <w:rsid w:val="004B1F9E"/>
    <w:rsid w:val="004C01D0"/>
    <w:rsid w:val="004C07DD"/>
    <w:rsid w:val="004E648C"/>
    <w:rsid w:val="005168AA"/>
    <w:rsid w:val="005363E9"/>
    <w:rsid w:val="00550E90"/>
    <w:rsid w:val="0055796C"/>
    <w:rsid w:val="0057131F"/>
    <w:rsid w:val="00575CFB"/>
    <w:rsid w:val="00592A9F"/>
    <w:rsid w:val="005A0E87"/>
    <w:rsid w:val="005A20BF"/>
    <w:rsid w:val="005A323A"/>
    <w:rsid w:val="005A7444"/>
    <w:rsid w:val="005B03FA"/>
    <w:rsid w:val="005B5C54"/>
    <w:rsid w:val="005B63DF"/>
    <w:rsid w:val="005D5A51"/>
    <w:rsid w:val="005D623F"/>
    <w:rsid w:val="005D6FD7"/>
    <w:rsid w:val="005D7789"/>
    <w:rsid w:val="005F4330"/>
    <w:rsid w:val="006315F6"/>
    <w:rsid w:val="00636B72"/>
    <w:rsid w:val="006437BD"/>
    <w:rsid w:val="0065099C"/>
    <w:rsid w:val="006544FD"/>
    <w:rsid w:val="00663026"/>
    <w:rsid w:val="00664C2B"/>
    <w:rsid w:val="00667F52"/>
    <w:rsid w:val="00677B69"/>
    <w:rsid w:val="006A2302"/>
    <w:rsid w:val="006B63C8"/>
    <w:rsid w:val="006C303C"/>
    <w:rsid w:val="006F0302"/>
    <w:rsid w:val="00716366"/>
    <w:rsid w:val="00721F9D"/>
    <w:rsid w:val="00744D2B"/>
    <w:rsid w:val="007478E1"/>
    <w:rsid w:val="0076518E"/>
    <w:rsid w:val="00791970"/>
    <w:rsid w:val="00792ACA"/>
    <w:rsid w:val="0079507A"/>
    <w:rsid w:val="007954CA"/>
    <w:rsid w:val="007A19D1"/>
    <w:rsid w:val="007C4053"/>
    <w:rsid w:val="007C432F"/>
    <w:rsid w:val="007D102D"/>
    <w:rsid w:val="007D5983"/>
    <w:rsid w:val="007E67F9"/>
    <w:rsid w:val="007F007E"/>
    <w:rsid w:val="007F5FDC"/>
    <w:rsid w:val="007F610B"/>
    <w:rsid w:val="00807785"/>
    <w:rsid w:val="00812452"/>
    <w:rsid w:val="008251BC"/>
    <w:rsid w:val="00842049"/>
    <w:rsid w:val="00842E52"/>
    <w:rsid w:val="0085370E"/>
    <w:rsid w:val="00860FB5"/>
    <w:rsid w:val="00863312"/>
    <w:rsid w:val="0086498F"/>
    <w:rsid w:val="008656A2"/>
    <w:rsid w:val="00870BE0"/>
    <w:rsid w:val="00883F67"/>
    <w:rsid w:val="008868E8"/>
    <w:rsid w:val="00894255"/>
    <w:rsid w:val="008A52BB"/>
    <w:rsid w:val="008B3692"/>
    <w:rsid w:val="008C09E0"/>
    <w:rsid w:val="008C2763"/>
    <w:rsid w:val="008D578F"/>
    <w:rsid w:val="008D6C8C"/>
    <w:rsid w:val="008E205D"/>
    <w:rsid w:val="008E722E"/>
    <w:rsid w:val="008F7554"/>
    <w:rsid w:val="009017D0"/>
    <w:rsid w:val="00903828"/>
    <w:rsid w:val="00913B7A"/>
    <w:rsid w:val="00915784"/>
    <w:rsid w:val="00922A32"/>
    <w:rsid w:val="00933E60"/>
    <w:rsid w:val="00941CC9"/>
    <w:rsid w:val="00952283"/>
    <w:rsid w:val="00952B1A"/>
    <w:rsid w:val="009629A2"/>
    <w:rsid w:val="0097127A"/>
    <w:rsid w:val="00974CA9"/>
    <w:rsid w:val="00997CF1"/>
    <w:rsid w:val="009B2A91"/>
    <w:rsid w:val="009B6452"/>
    <w:rsid w:val="009F3CDD"/>
    <w:rsid w:val="009F510E"/>
    <w:rsid w:val="00A061FC"/>
    <w:rsid w:val="00A06764"/>
    <w:rsid w:val="00A176C4"/>
    <w:rsid w:val="00A25E8F"/>
    <w:rsid w:val="00A30A44"/>
    <w:rsid w:val="00A42017"/>
    <w:rsid w:val="00A42694"/>
    <w:rsid w:val="00A43E78"/>
    <w:rsid w:val="00A44B2B"/>
    <w:rsid w:val="00A657CF"/>
    <w:rsid w:val="00A668ED"/>
    <w:rsid w:val="00A943B2"/>
    <w:rsid w:val="00AA347F"/>
    <w:rsid w:val="00AC2094"/>
    <w:rsid w:val="00AD3515"/>
    <w:rsid w:val="00AE2C38"/>
    <w:rsid w:val="00AF4662"/>
    <w:rsid w:val="00B0535F"/>
    <w:rsid w:val="00B1341C"/>
    <w:rsid w:val="00B23442"/>
    <w:rsid w:val="00B36AA3"/>
    <w:rsid w:val="00B428E5"/>
    <w:rsid w:val="00B45102"/>
    <w:rsid w:val="00B75CE3"/>
    <w:rsid w:val="00B7701C"/>
    <w:rsid w:val="00B8071F"/>
    <w:rsid w:val="00BB3ACD"/>
    <w:rsid w:val="00BB7BB0"/>
    <w:rsid w:val="00BC404B"/>
    <w:rsid w:val="00BC44A7"/>
    <w:rsid w:val="00BC44CB"/>
    <w:rsid w:val="00BC715E"/>
    <w:rsid w:val="00BE21EF"/>
    <w:rsid w:val="00BE6B25"/>
    <w:rsid w:val="00BF24D1"/>
    <w:rsid w:val="00BF3777"/>
    <w:rsid w:val="00BF3CDA"/>
    <w:rsid w:val="00C010C3"/>
    <w:rsid w:val="00C01D75"/>
    <w:rsid w:val="00C02E24"/>
    <w:rsid w:val="00C0304D"/>
    <w:rsid w:val="00C04344"/>
    <w:rsid w:val="00C05294"/>
    <w:rsid w:val="00C10200"/>
    <w:rsid w:val="00C158E5"/>
    <w:rsid w:val="00C15950"/>
    <w:rsid w:val="00C16190"/>
    <w:rsid w:val="00C20874"/>
    <w:rsid w:val="00C20DE5"/>
    <w:rsid w:val="00C21CCC"/>
    <w:rsid w:val="00C47065"/>
    <w:rsid w:val="00C62D12"/>
    <w:rsid w:val="00C67DA9"/>
    <w:rsid w:val="00C82D2A"/>
    <w:rsid w:val="00C84FD8"/>
    <w:rsid w:val="00C963DE"/>
    <w:rsid w:val="00CB55A5"/>
    <w:rsid w:val="00CB6262"/>
    <w:rsid w:val="00CE42DB"/>
    <w:rsid w:val="00CF0415"/>
    <w:rsid w:val="00CF651D"/>
    <w:rsid w:val="00D06CDF"/>
    <w:rsid w:val="00D10F05"/>
    <w:rsid w:val="00D12D24"/>
    <w:rsid w:val="00D13493"/>
    <w:rsid w:val="00D17811"/>
    <w:rsid w:val="00D210EE"/>
    <w:rsid w:val="00D25F40"/>
    <w:rsid w:val="00D32948"/>
    <w:rsid w:val="00D40133"/>
    <w:rsid w:val="00D435DE"/>
    <w:rsid w:val="00D43D08"/>
    <w:rsid w:val="00D612CC"/>
    <w:rsid w:val="00D6267D"/>
    <w:rsid w:val="00D6767C"/>
    <w:rsid w:val="00D770AD"/>
    <w:rsid w:val="00D85C89"/>
    <w:rsid w:val="00D9020E"/>
    <w:rsid w:val="00D961D4"/>
    <w:rsid w:val="00DA539E"/>
    <w:rsid w:val="00DB5272"/>
    <w:rsid w:val="00DC20BB"/>
    <w:rsid w:val="00DC7B5F"/>
    <w:rsid w:val="00DD6AC9"/>
    <w:rsid w:val="00DE676B"/>
    <w:rsid w:val="00E051E4"/>
    <w:rsid w:val="00E1340A"/>
    <w:rsid w:val="00E139DA"/>
    <w:rsid w:val="00E16636"/>
    <w:rsid w:val="00E16BD7"/>
    <w:rsid w:val="00E34CD8"/>
    <w:rsid w:val="00E739C6"/>
    <w:rsid w:val="00E9008B"/>
    <w:rsid w:val="00E91501"/>
    <w:rsid w:val="00E916F5"/>
    <w:rsid w:val="00EC3124"/>
    <w:rsid w:val="00ED2097"/>
    <w:rsid w:val="00EE0804"/>
    <w:rsid w:val="00EE46F3"/>
    <w:rsid w:val="00EF27CF"/>
    <w:rsid w:val="00F04568"/>
    <w:rsid w:val="00F1405B"/>
    <w:rsid w:val="00F156D4"/>
    <w:rsid w:val="00F32BAC"/>
    <w:rsid w:val="00F570E9"/>
    <w:rsid w:val="00F60AF6"/>
    <w:rsid w:val="00F60C45"/>
    <w:rsid w:val="00F643F0"/>
    <w:rsid w:val="00F95B49"/>
    <w:rsid w:val="00F977D1"/>
    <w:rsid w:val="00FA28F7"/>
    <w:rsid w:val="00FA5257"/>
    <w:rsid w:val="00FA541B"/>
    <w:rsid w:val="00FA6959"/>
    <w:rsid w:val="00FB670C"/>
    <w:rsid w:val="00FC5015"/>
    <w:rsid w:val="00FD0D20"/>
    <w:rsid w:val="00FE2B2B"/>
    <w:rsid w:val="00FE56AE"/>
    <w:rsid w:val="00FF4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916F5"/>
    <w:pPr>
      <w:autoSpaceDE w:val="0"/>
      <w:autoSpaceDN w:val="0"/>
      <w:adjustRightInd w:val="0"/>
      <w:spacing w:before="180" w:after="0" w:line="312" w:lineRule="auto"/>
      <w:jc w:val="both"/>
    </w:pPr>
    <w:rPr>
      <w:rFonts w:ascii="Times New Roman" w:hAnsi="Times New Roman" w:cs="Times New Roman"/>
      <w:noProof/>
      <w:sz w:val="20"/>
      <w:szCs w:val="20"/>
    </w:rPr>
  </w:style>
  <w:style w:type="paragraph" w:styleId="Ttulo1">
    <w:name w:val="heading 1"/>
    <w:basedOn w:val="Ttulo2"/>
    <w:next w:val="Normal"/>
    <w:link w:val="Ttulo1Char"/>
    <w:uiPriority w:val="99"/>
    <w:qFormat/>
    <w:rsid w:val="0032216F"/>
    <w:pPr>
      <w:widowControl/>
      <w:spacing w:before="420"/>
      <w:outlineLvl w:val="0"/>
    </w:pPr>
    <w:rPr>
      <w:sz w:val="28"/>
      <w:szCs w:val="28"/>
    </w:rPr>
  </w:style>
  <w:style w:type="paragraph" w:styleId="Ttulo2">
    <w:name w:val="heading 2"/>
    <w:basedOn w:val="Normal"/>
    <w:next w:val="Normal"/>
    <w:link w:val="Ttulo2Char"/>
    <w:uiPriority w:val="99"/>
    <w:qFormat/>
    <w:rsid w:val="0032216F"/>
    <w:pPr>
      <w:keepNext/>
      <w:widowControl w:val="0"/>
      <w:spacing w:before="240" w:after="120"/>
      <w:jc w:val="left"/>
      <w:outlineLvl w:val="1"/>
    </w:pPr>
    <w:rPr>
      <w:b/>
      <w:bCs/>
      <w:sz w:val="24"/>
      <w:szCs w:val="24"/>
    </w:rPr>
  </w:style>
  <w:style w:type="paragraph" w:styleId="Ttulo3">
    <w:name w:val="heading 3"/>
    <w:basedOn w:val="Ttulo4"/>
    <w:next w:val="Normal"/>
    <w:link w:val="Ttulo3Char"/>
    <w:uiPriority w:val="99"/>
    <w:qFormat/>
    <w:rsid w:val="0032216F"/>
    <w:pPr>
      <w:outlineLvl w:val="2"/>
    </w:pPr>
  </w:style>
  <w:style w:type="paragraph" w:styleId="Ttulo4">
    <w:name w:val="heading 4"/>
    <w:basedOn w:val="Normal"/>
    <w:next w:val="Normal"/>
    <w:link w:val="Ttulo4Char"/>
    <w:uiPriority w:val="99"/>
    <w:qFormat/>
    <w:pPr>
      <w:keepNext/>
      <w:widowControl w:val="0"/>
      <w:spacing w:before="240" w:after="120"/>
      <w:jc w:val="left"/>
      <w:outlineLvl w:val="3"/>
    </w:pPr>
    <w:rPr>
      <w:b/>
      <w:bCs/>
    </w:rPr>
  </w:style>
  <w:style w:type="paragraph" w:styleId="Ttulo5">
    <w:name w:val="heading 5"/>
    <w:basedOn w:val="Normal"/>
    <w:next w:val="Normal"/>
    <w:link w:val="Ttulo5Char"/>
    <w:uiPriority w:val="99"/>
    <w:qFormat/>
    <w:pPr>
      <w:keepNext/>
      <w:widowControl w:val="0"/>
      <w:spacing w:before="240" w:after="120"/>
      <w:jc w:val="left"/>
      <w:outlineLvl w:val="4"/>
    </w:pPr>
    <w:rPr>
      <w:b/>
      <w:bCs/>
    </w:rPr>
  </w:style>
  <w:style w:type="paragraph" w:styleId="Ttulo6">
    <w:name w:val="heading 6"/>
    <w:basedOn w:val="Normal"/>
    <w:next w:val="Normal"/>
    <w:link w:val="Ttulo6Char"/>
    <w:uiPriority w:val="99"/>
    <w:qFormat/>
    <w:pPr>
      <w:keepNext/>
      <w:widowControl w:val="0"/>
      <w:spacing w:before="240" w:after="120"/>
      <w:jc w:val="left"/>
      <w:outlineLvl w:val="5"/>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Ttulo1Char">
    <w:name w:val="Título 1 Char"/>
    <w:basedOn w:val="Fontepargpadro"/>
    <w:link w:val="Ttulo1"/>
    <w:uiPriority w:val="99"/>
    <w:rsid w:val="0032216F"/>
    <w:rPr>
      <w:rFonts w:ascii="Times New Roman" w:hAnsi="Times New Roman" w:cs="Times New Roman"/>
      <w:b/>
      <w:bCs/>
      <w:noProof/>
      <w:sz w:val="28"/>
      <w:szCs w:val="28"/>
    </w:rPr>
  </w:style>
  <w:style w:type="character" w:customStyle="1" w:styleId="Ttulo2Char">
    <w:name w:val="Título 2 Char"/>
    <w:basedOn w:val="Fontepargpadro"/>
    <w:link w:val="Ttulo2"/>
    <w:uiPriority w:val="99"/>
    <w:rsid w:val="0032216F"/>
    <w:rPr>
      <w:rFonts w:ascii="Times New Roman" w:hAnsi="Times New Roman" w:cs="Times New Roman"/>
      <w:b/>
      <w:bCs/>
      <w:noProof/>
      <w:sz w:val="24"/>
      <w:szCs w:val="24"/>
    </w:rPr>
  </w:style>
  <w:style w:type="character" w:customStyle="1" w:styleId="Ttulo3Char">
    <w:name w:val="Título 3 Char"/>
    <w:basedOn w:val="Fontepargpadro"/>
    <w:link w:val="Ttulo3"/>
    <w:uiPriority w:val="99"/>
    <w:rsid w:val="0032216F"/>
    <w:rPr>
      <w:rFonts w:ascii="Times New Roman" w:hAnsi="Times New Roman" w:cs="Times New Roman"/>
      <w:b/>
      <w:bCs/>
      <w:noProof/>
    </w:rPr>
  </w:style>
  <w:style w:type="character" w:customStyle="1" w:styleId="Ttulo4Char">
    <w:name w:val="Título 4 Char"/>
    <w:basedOn w:val="Fontepargpadro"/>
    <w:link w:val="Ttulo4"/>
    <w:uiPriority w:val="9"/>
    <w:semiHidden/>
    <w:rPr>
      <w:b/>
      <w:bCs/>
      <w:noProof/>
      <w:sz w:val="28"/>
      <w:szCs w:val="28"/>
    </w:rPr>
  </w:style>
  <w:style w:type="character" w:customStyle="1" w:styleId="Ttulo5Char">
    <w:name w:val="Título 5 Char"/>
    <w:basedOn w:val="Fontepargpadro"/>
    <w:link w:val="Ttulo5"/>
    <w:uiPriority w:val="9"/>
    <w:semiHidden/>
    <w:rPr>
      <w:b/>
      <w:bCs/>
      <w:i/>
      <w:iCs/>
      <w:noProof/>
      <w:sz w:val="26"/>
      <w:szCs w:val="26"/>
    </w:rPr>
  </w:style>
  <w:style w:type="character" w:customStyle="1" w:styleId="Ttulo6Char">
    <w:name w:val="Título 6 Char"/>
    <w:basedOn w:val="Fontepargpadro"/>
    <w:link w:val="Ttulo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style>
  <w:style w:type="paragraph" w:styleId="Ttulo">
    <w:name w:val="Title"/>
    <w:basedOn w:val="Normal"/>
    <w:next w:val="author"/>
    <w:link w:val="TtuloChar"/>
    <w:uiPriority w:val="99"/>
    <w:qFormat/>
    <w:pPr>
      <w:widowControl w:val="0"/>
      <w:spacing w:before="240" w:after="240"/>
      <w:jc w:val="center"/>
    </w:pPr>
    <w:rPr>
      <w:b/>
      <w:bCs/>
      <w:sz w:val="36"/>
      <w:szCs w:val="36"/>
    </w:rPr>
  </w:style>
  <w:style w:type="character" w:customStyle="1" w:styleId="TtuloChar">
    <w:name w:val="Título Char"/>
    <w:basedOn w:val="Fontepargpadro"/>
    <w:link w:val="Ttulo"/>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Rodap">
    <w:name w:val="footer"/>
    <w:basedOn w:val="Normal"/>
    <w:link w:val="RodapChar"/>
    <w:uiPriority w:val="99"/>
    <w:pPr>
      <w:widowControl w:val="0"/>
      <w:tabs>
        <w:tab w:val="center" w:pos="4536"/>
        <w:tab w:val="right" w:pos="9072"/>
      </w:tabs>
      <w:jc w:val="left"/>
    </w:pPr>
  </w:style>
  <w:style w:type="character" w:customStyle="1" w:styleId="RodapChar">
    <w:name w:val="Rodapé Char"/>
    <w:basedOn w:val="Fontepargpadro"/>
    <w:link w:val="Rodap"/>
    <w:uiPriority w:val="99"/>
    <w:rPr>
      <w:rFonts w:ascii="Times New Roman" w:hAnsi="Times New Roman" w:cs="Times New Roman"/>
      <w:noProof/>
      <w:sz w:val="24"/>
      <w:szCs w:val="24"/>
    </w:rPr>
  </w:style>
  <w:style w:type="paragraph" w:styleId="Cabealho">
    <w:name w:val="header"/>
    <w:basedOn w:val="Normal"/>
    <w:link w:val="CabealhoChar"/>
    <w:uiPriority w:val="99"/>
    <w:pPr>
      <w:widowControl w:val="0"/>
      <w:tabs>
        <w:tab w:val="center" w:pos="4536"/>
        <w:tab w:val="right" w:pos="9072"/>
      </w:tabs>
      <w:jc w:val="left"/>
    </w:pPr>
  </w:style>
  <w:style w:type="character" w:customStyle="1" w:styleId="CabealhoChar">
    <w:name w:val="Cabeçalho Char"/>
    <w:basedOn w:val="Fontepargpadro"/>
    <w:link w:val="Cabealho"/>
    <w:uiPriority w:val="99"/>
    <w:semiHidden/>
    <w:rPr>
      <w:rFonts w:ascii="Times New Roman" w:hAnsi="Times New Roman" w:cs="Times New Roman"/>
      <w:noProof/>
      <w:sz w:val="24"/>
      <w:szCs w:val="24"/>
    </w:rPr>
  </w:style>
  <w:style w:type="paragraph" w:styleId="Legenda">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Citao">
    <w:name w:val="Quote"/>
    <w:basedOn w:val="Normal"/>
    <w:link w:val="CitaoChar"/>
    <w:uiPriority w:val="99"/>
    <w:qFormat/>
    <w:pPr>
      <w:ind w:left="1024" w:right="1024" w:firstLine="340"/>
    </w:pPr>
  </w:style>
  <w:style w:type="character" w:customStyle="1" w:styleId="CitaoChar">
    <w:name w:val="Citação Char"/>
    <w:basedOn w:val="Fontepargpadro"/>
    <w:link w:val="Citao"/>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a">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Textodenotaderodap">
    <w:name w:val="footnote text"/>
    <w:basedOn w:val="Normal"/>
    <w:link w:val="TextodenotaderodapChar"/>
    <w:uiPriority w:val="99"/>
    <w:pPr>
      <w:widowControl w:val="0"/>
      <w:ind w:left="397" w:hanging="113"/>
      <w:jc w:val="left"/>
    </w:pPr>
  </w:style>
  <w:style w:type="character" w:customStyle="1" w:styleId="TextodenotaderodapChar">
    <w:name w:val="Texto de nota de rodapé Char"/>
    <w:basedOn w:val="Fontepargpadro"/>
    <w:link w:val="Textodenotaderodap"/>
    <w:uiPriority w:val="99"/>
    <w:semiHidden/>
    <w:rPr>
      <w:rFonts w:ascii="Times New Roman" w:hAnsi="Times New Roman" w:cs="Times New Roman"/>
      <w:noProof/>
      <w:sz w:val="20"/>
      <w:szCs w:val="20"/>
    </w:rPr>
  </w:style>
  <w:style w:type="paragraph" w:styleId="Textodenotadefim">
    <w:name w:val="endnote text"/>
    <w:basedOn w:val="Normal"/>
    <w:link w:val="TextodenotadefimChar"/>
    <w:uiPriority w:val="99"/>
    <w:pPr>
      <w:widowControl w:val="0"/>
      <w:ind w:left="454" w:hanging="170"/>
    </w:pPr>
  </w:style>
  <w:style w:type="character" w:customStyle="1" w:styleId="TextodenotadefimChar">
    <w:name w:val="Texto de nota de fim Char"/>
    <w:basedOn w:val="Fontepargpadro"/>
    <w:link w:val="Textodenotadefim"/>
    <w:uiPriority w:val="99"/>
    <w:semiHidden/>
    <w:rPr>
      <w:rFonts w:ascii="Times New Roman" w:hAnsi="Times New Roman" w:cs="Times New Roman"/>
      <w:noProof/>
      <w:sz w:val="20"/>
      <w:szCs w:val="20"/>
    </w:rPr>
  </w:style>
  <w:style w:type="character" w:styleId="Refdenotaderodap">
    <w:name w:val="footnote reference"/>
    <w:basedOn w:val="Fontepargpadro"/>
    <w:uiPriority w:val="99"/>
    <w:semiHidden/>
    <w:unhideWhenUsed/>
    <w:rPr>
      <w:vertAlign w:val="superscript"/>
    </w:rPr>
  </w:style>
  <w:style w:type="character" w:styleId="Refdenotadefim">
    <w:name w:val="endnote reference"/>
    <w:basedOn w:val="Fontepargpadro"/>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Sumrio1">
    <w:name w:val="toc 1"/>
    <w:basedOn w:val="Normal"/>
    <w:next w:val="Sumrio2"/>
    <w:uiPriority w:val="39"/>
    <w:pPr>
      <w:keepNext/>
      <w:widowControl w:val="0"/>
      <w:tabs>
        <w:tab w:val="right" w:leader="dot" w:pos="8222"/>
      </w:tabs>
      <w:spacing w:before="240" w:after="60"/>
      <w:ind w:left="425"/>
      <w:jc w:val="left"/>
    </w:pPr>
    <w:rPr>
      <w:b/>
      <w:bCs/>
    </w:rPr>
  </w:style>
  <w:style w:type="paragraph" w:styleId="Sumrio2">
    <w:name w:val="toc 2"/>
    <w:basedOn w:val="Normal"/>
    <w:next w:val="Sumrio3"/>
    <w:uiPriority w:val="39"/>
    <w:pPr>
      <w:keepNext/>
      <w:widowControl w:val="0"/>
      <w:tabs>
        <w:tab w:val="right" w:leader="dot" w:pos="8222"/>
      </w:tabs>
      <w:spacing w:before="60" w:after="60"/>
      <w:ind w:left="512"/>
      <w:jc w:val="left"/>
    </w:pPr>
  </w:style>
  <w:style w:type="paragraph" w:styleId="Sumrio3">
    <w:name w:val="toc 3"/>
    <w:basedOn w:val="Normal"/>
    <w:next w:val="Sumrio4"/>
    <w:uiPriority w:val="39"/>
    <w:pPr>
      <w:keepNext/>
      <w:widowControl w:val="0"/>
      <w:tabs>
        <w:tab w:val="right" w:leader="dot" w:pos="8222"/>
      </w:tabs>
      <w:spacing w:before="60" w:after="60"/>
      <w:ind w:left="1024"/>
      <w:jc w:val="left"/>
    </w:pPr>
  </w:style>
  <w:style w:type="paragraph" w:styleId="Sumrio4">
    <w:name w:val="toc 4"/>
    <w:basedOn w:val="Normal"/>
    <w:next w:val="Sumrio5"/>
    <w:uiPriority w:val="99"/>
    <w:pPr>
      <w:keepNext/>
      <w:widowControl w:val="0"/>
      <w:tabs>
        <w:tab w:val="right" w:leader="dot" w:pos="8222"/>
      </w:tabs>
      <w:spacing w:before="60" w:after="60"/>
      <w:ind w:left="1536"/>
      <w:jc w:val="left"/>
    </w:pPr>
  </w:style>
  <w:style w:type="paragraph" w:styleId="Sumrio5">
    <w:name w:val="toc 5"/>
    <w:basedOn w:val="Normal"/>
    <w:next w:val="Sumrio6"/>
    <w:uiPriority w:val="99"/>
    <w:pPr>
      <w:keepNext/>
      <w:widowControl w:val="0"/>
      <w:tabs>
        <w:tab w:val="right" w:leader="dot" w:pos="8222"/>
      </w:tabs>
      <w:spacing w:before="60" w:after="60"/>
      <w:ind w:left="2048"/>
      <w:jc w:val="left"/>
    </w:pPr>
  </w:style>
  <w:style w:type="paragraph" w:styleId="Sumrio6">
    <w:name w:val="toc 6"/>
    <w:basedOn w:val="Normal"/>
    <w:uiPriority w:val="99"/>
    <w:pPr>
      <w:keepNext/>
      <w:widowControl w:val="0"/>
      <w:tabs>
        <w:tab w:val="right" w:leader="dot" w:pos="8222"/>
      </w:tabs>
      <w:spacing w:before="60" w:after="60"/>
      <w:ind w:left="2560"/>
      <w:jc w:val="left"/>
    </w:pPr>
  </w:style>
  <w:style w:type="paragraph" w:styleId="Textodebalo">
    <w:name w:val="Balloon Text"/>
    <w:basedOn w:val="Normal"/>
    <w:link w:val="TextodebaloChar"/>
    <w:uiPriority w:val="99"/>
    <w:semiHidden/>
    <w:unhideWhenUsed/>
    <w:rsid w:val="008C2763"/>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2763"/>
    <w:rPr>
      <w:rFonts w:ascii="Tahoma" w:hAnsi="Tahoma" w:cs="Tahoma"/>
      <w:noProof/>
      <w:sz w:val="16"/>
      <w:szCs w:val="16"/>
    </w:rPr>
  </w:style>
  <w:style w:type="table" w:styleId="Tabelacomgrade">
    <w:name w:val="Table Grid"/>
    <w:basedOn w:val="Tabelanormal"/>
    <w:uiPriority w:val="59"/>
    <w:rsid w:val="00664C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DE676B"/>
    <w:pPr>
      <w:ind w:left="720"/>
      <w:contextualSpacing/>
    </w:pPr>
  </w:style>
  <w:style w:type="character" w:styleId="Hyperlink">
    <w:name w:val="Hyperlink"/>
    <w:basedOn w:val="Fontepargpadro"/>
    <w:uiPriority w:val="99"/>
    <w:unhideWhenUsed/>
    <w:rsid w:val="00ED20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916F5"/>
    <w:pPr>
      <w:autoSpaceDE w:val="0"/>
      <w:autoSpaceDN w:val="0"/>
      <w:adjustRightInd w:val="0"/>
      <w:spacing w:before="180" w:after="0" w:line="312" w:lineRule="auto"/>
      <w:jc w:val="both"/>
    </w:pPr>
    <w:rPr>
      <w:rFonts w:ascii="Times New Roman" w:hAnsi="Times New Roman" w:cs="Times New Roman"/>
      <w:noProof/>
      <w:sz w:val="20"/>
      <w:szCs w:val="20"/>
    </w:rPr>
  </w:style>
  <w:style w:type="paragraph" w:styleId="Ttulo1">
    <w:name w:val="heading 1"/>
    <w:basedOn w:val="Ttulo2"/>
    <w:next w:val="Normal"/>
    <w:link w:val="Ttulo1Char"/>
    <w:uiPriority w:val="99"/>
    <w:qFormat/>
    <w:rsid w:val="0032216F"/>
    <w:pPr>
      <w:widowControl/>
      <w:spacing w:before="420"/>
      <w:outlineLvl w:val="0"/>
    </w:pPr>
    <w:rPr>
      <w:sz w:val="28"/>
      <w:szCs w:val="28"/>
    </w:rPr>
  </w:style>
  <w:style w:type="paragraph" w:styleId="Ttulo2">
    <w:name w:val="heading 2"/>
    <w:basedOn w:val="Normal"/>
    <w:next w:val="Normal"/>
    <w:link w:val="Ttulo2Char"/>
    <w:uiPriority w:val="99"/>
    <w:qFormat/>
    <w:rsid w:val="0032216F"/>
    <w:pPr>
      <w:keepNext/>
      <w:widowControl w:val="0"/>
      <w:spacing w:before="240" w:after="120"/>
      <w:jc w:val="left"/>
      <w:outlineLvl w:val="1"/>
    </w:pPr>
    <w:rPr>
      <w:b/>
      <w:bCs/>
      <w:sz w:val="24"/>
      <w:szCs w:val="24"/>
    </w:rPr>
  </w:style>
  <w:style w:type="paragraph" w:styleId="Ttulo3">
    <w:name w:val="heading 3"/>
    <w:basedOn w:val="Ttulo4"/>
    <w:next w:val="Normal"/>
    <w:link w:val="Ttulo3Char"/>
    <w:uiPriority w:val="99"/>
    <w:qFormat/>
    <w:rsid w:val="0032216F"/>
    <w:pPr>
      <w:outlineLvl w:val="2"/>
    </w:pPr>
  </w:style>
  <w:style w:type="paragraph" w:styleId="Ttulo4">
    <w:name w:val="heading 4"/>
    <w:basedOn w:val="Normal"/>
    <w:next w:val="Normal"/>
    <w:link w:val="Ttulo4Char"/>
    <w:uiPriority w:val="99"/>
    <w:qFormat/>
    <w:pPr>
      <w:keepNext/>
      <w:widowControl w:val="0"/>
      <w:spacing w:before="240" w:after="120"/>
      <w:jc w:val="left"/>
      <w:outlineLvl w:val="3"/>
    </w:pPr>
    <w:rPr>
      <w:b/>
      <w:bCs/>
    </w:rPr>
  </w:style>
  <w:style w:type="paragraph" w:styleId="Ttulo5">
    <w:name w:val="heading 5"/>
    <w:basedOn w:val="Normal"/>
    <w:next w:val="Normal"/>
    <w:link w:val="Ttulo5Char"/>
    <w:uiPriority w:val="99"/>
    <w:qFormat/>
    <w:pPr>
      <w:keepNext/>
      <w:widowControl w:val="0"/>
      <w:spacing w:before="240" w:after="120"/>
      <w:jc w:val="left"/>
      <w:outlineLvl w:val="4"/>
    </w:pPr>
    <w:rPr>
      <w:b/>
      <w:bCs/>
    </w:rPr>
  </w:style>
  <w:style w:type="paragraph" w:styleId="Ttulo6">
    <w:name w:val="heading 6"/>
    <w:basedOn w:val="Normal"/>
    <w:next w:val="Normal"/>
    <w:link w:val="Ttulo6Char"/>
    <w:uiPriority w:val="99"/>
    <w:qFormat/>
    <w:pPr>
      <w:keepNext/>
      <w:widowControl w:val="0"/>
      <w:spacing w:before="240" w:after="120"/>
      <w:jc w:val="left"/>
      <w:outlineLvl w:val="5"/>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Ttulo1Char">
    <w:name w:val="Título 1 Char"/>
    <w:basedOn w:val="Fontepargpadro"/>
    <w:link w:val="Ttulo1"/>
    <w:uiPriority w:val="99"/>
    <w:rsid w:val="0032216F"/>
    <w:rPr>
      <w:rFonts w:ascii="Times New Roman" w:hAnsi="Times New Roman" w:cs="Times New Roman"/>
      <w:b/>
      <w:bCs/>
      <w:noProof/>
      <w:sz w:val="28"/>
      <w:szCs w:val="28"/>
    </w:rPr>
  </w:style>
  <w:style w:type="character" w:customStyle="1" w:styleId="Ttulo2Char">
    <w:name w:val="Título 2 Char"/>
    <w:basedOn w:val="Fontepargpadro"/>
    <w:link w:val="Ttulo2"/>
    <w:uiPriority w:val="99"/>
    <w:rsid w:val="0032216F"/>
    <w:rPr>
      <w:rFonts w:ascii="Times New Roman" w:hAnsi="Times New Roman" w:cs="Times New Roman"/>
      <w:b/>
      <w:bCs/>
      <w:noProof/>
      <w:sz w:val="24"/>
      <w:szCs w:val="24"/>
    </w:rPr>
  </w:style>
  <w:style w:type="character" w:customStyle="1" w:styleId="Ttulo3Char">
    <w:name w:val="Título 3 Char"/>
    <w:basedOn w:val="Fontepargpadro"/>
    <w:link w:val="Ttulo3"/>
    <w:uiPriority w:val="99"/>
    <w:rsid w:val="0032216F"/>
    <w:rPr>
      <w:rFonts w:ascii="Times New Roman" w:hAnsi="Times New Roman" w:cs="Times New Roman"/>
      <w:b/>
      <w:bCs/>
      <w:noProof/>
    </w:rPr>
  </w:style>
  <w:style w:type="character" w:customStyle="1" w:styleId="Ttulo4Char">
    <w:name w:val="Título 4 Char"/>
    <w:basedOn w:val="Fontepargpadro"/>
    <w:link w:val="Ttulo4"/>
    <w:uiPriority w:val="9"/>
    <w:semiHidden/>
    <w:rPr>
      <w:b/>
      <w:bCs/>
      <w:noProof/>
      <w:sz w:val="28"/>
      <w:szCs w:val="28"/>
    </w:rPr>
  </w:style>
  <w:style w:type="character" w:customStyle="1" w:styleId="Ttulo5Char">
    <w:name w:val="Título 5 Char"/>
    <w:basedOn w:val="Fontepargpadro"/>
    <w:link w:val="Ttulo5"/>
    <w:uiPriority w:val="9"/>
    <w:semiHidden/>
    <w:rPr>
      <w:b/>
      <w:bCs/>
      <w:i/>
      <w:iCs/>
      <w:noProof/>
      <w:sz w:val="26"/>
      <w:szCs w:val="26"/>
    </w:rPr>
  </w:style>
  <w:style w:type="character" w:customStyle="1" w:styleId="Ttulo6Char">
    <w:name w:val="Título 6 Char"/>
    <w:basedOn w:val="Fontepargpadro"/>
    <w:link w:val="Ttulo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style>
  <w:style w:type="paragraph" w:styleId="Ttulo">
    <w:name w:val="Title"/>
    <w:basedOn w:val="Normal"/>
    <w:next w:val="author"/>
    <w:link w:val="TtuloChar"/>
    <w:uiPriority w:val="99"/>
    <w:qFormat/>
    <w:pPr>
      <w:widowControl w:val="0"/>
      <w:spacing w:before="240" w:after="240"/>
      <w:jc w:val="center"/>
    </w:pPr>
    <w:rPr>
      <w:b/>
      <w:bCs/>
      <w:sz w:val="36"/>
      <w:szCs w:val="36"/>
    </w:rPr>
  </w:style>
  <w:style w:type="character" w:customStyle="1" w:styleId="TtuloChar">
    <w:name w:val="Título Char"/>
    <w:basedOn w:val="Fontepargpadro"/>
    <w:link w:val="Ttulo"/>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Rodap">
    <w:name w:val="footer"/>
    <w:basedOn w:val="Normal"/>
    <w:link w:val="RodapChar"/>
    <w:uiPriority w:val="99"/>
    <w:pPr>
      <w:widowControl w:val="0"/>
      <w:tabs>
        <w:tab w:val="center" w:pos="4536"/>
        <w:tab w:val="right" w:pos="9072"/>
      </w:tabs>
      <w:jc w:val="left"/>
    </w:pPr>
  </w:style>
  <w:style w:type="character" w:customStyle="1" w:styleId="RodapChar">
    <w:name w:val="Rodapé Char"/>
    <w:basedOn w:val="Fontepargpadro"/>
    <w:link w:val="Rodap"/>
    <w:uiPriority w:val="99"/>
    <w:rPr>
      <w:rFonts w:ascii="Times New Roman" w:hAnsi="Times New Roman" w:cs="Times New Roman"/>
      <w:noProof/>
      <w:sz w:val="24"/>
      <w:szCs w:val="24"/>
    </w:rPr>
  </w:style>
  <w:style w:type="paragraph" w:styleId="Cabealho">
    <w:name w:val="header"/>
    <w:basedOn w:val="Normal"/>
    <w:link w:val="CabealhoChar"/>
    <w:uiPriority w:val="99"/>
    <w:pPr>
      <w:widowControl w:val="0"/>
      <w:tabs>
        <w:tab w:val="center" w:pos="4536"/>
        <w:tab w:val="right" w:pos="9072"/>
      </w:tabs>
      <w:jc w:val="left"/>
    </w:pPr>
  </w:style>
  <w:style w:type="character" w:customStyle="1" w:styleId="CabealhoChar">
    <w:name w:val="Cabeçalho Char"/>
    <w:basedOn w:val="Fontepargpadro"/>
    <w:link w:val="Cabealho"/>
    <w:uiPriority w:val="99"/>
    <w:semiHidden/>
    <w:rPr>
      <w:rFonts w:ascii="Times New Roman" w:hAnsi="Times New Roman" w:cs="Times New Roman"/>
      <w:noProof/>
      <w:sz w:val="24"/>
      <w:szCs w:val="24"/>
    </w:rPr>
  </w:style>
  <w:style w:type="paragraph" w:styleId="Legenda">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Citao">
    <w:name w:val="Quote"/>
    <w:basedOn w:val="Normal"/>
    <w:link w:val="CitaoChar"/>
    <w:uiPriority w:val="99"/>
    <w:qFormat/>
    <w:pPr>
      <w:ind w:left="1024" w:right="1024" w:firstLine="340"/>
    </w:pPr>
  </w:style>
  <w:style w:type="character" w:customStyle="1" w:styleId="CitaoChar">
    <w:name w:val="Citação Char"/>
    <w:basedOn w:val="Fontepargpadro"/>
    <w:link w:val="Citao"/>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a">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Textodenotaderodap">
    <w:name w:val="footnote text"/>
    <w:basedOn w:val="Normal"/>
    <w:link w:val="TextodenotaderodapChar"/>
    <w:uiPriority w:val="99"/>
    <w:pPr>
      <w:widowControl w:val="0"/>
      <w:ind w:left="397" w:hanging="113"/>
      <w:jc w:val="left"/>
    </w:pPr>
  </w:style>
  <w:style w:type="character" w:customStyle="1" w:styleId="TextodenotaderodapChar">
    <w:name w:val="Texto de nota de rodapé Char"/>
    <w:basedOn w:val="Fontepargpadro"/>
    <w:link w:val="Textodenotaderodap"/>
    <w:uiPriority w:val="99"/>
    <w:semiHidden/>
    <w:rPr>
      <w:rFonts w:ascii="Times New Roman" w:hAnsi="Times New Roman" w:cs="Times New Roman"/>
      <w:noProof/>
      <w:sz w:val="20"/>
      <w:szCs w:val="20"/>
    </w:rPr>
  </w:style>
  <w:style w:type="paragraph" w:styleId="Textodenotadefim">
    <w:name w:val="endnote text"/>
    <w:basedOn w:val="Normal"/>
    <w:link w:val="TextodenotadefimChar"/>
    <w:uiPriority w:val="99"/>
    <w:pPr>
      <w:widowControl w:val="0"/>
      <w:ind w:left="454" w:hanging="170"/>
    </w:pPr>
  </w:style>
  <w:style w:type="character" w:customStyle="1" w:styleId="TextodenotadefimChar">
    <w:name w:val="Texto de nota de fim Char"/>
    <w:basedOn w:val="Fontepargpadro"/>
    <w:link w:val="Textodenotadefim"/>
    <w:uiPriority w:val="99"/>
    <w:semiHidden/>
    <w:rPr>
      <w:rFonts w:ascii="Times New Roman" w:hAnsi="Times New Roman" w:cs="Times New Roman"/>
      <w:noProof/>
      <w:sz w:val="20"/>
      <w:szCs w:val="20"/>
    </w:rPr>
  </w:style>
  <w:style w:type="character" w:styleId="Refdenotaderodap">
    <w:name w:val="footnote reference"/>
    <w:basedOn w:val="Fontepargpadro"/>
    <w:uiPriority w:val="99"/>
    <w:semiHidden/>
    <w:unhideWhenUsed/>
    <w:rPr>
      <w:vertAlign w:val="superscript"/>
    </w:rPr>
  </w:style>
  <w:style w:type="character" w:styleId="Refdenotadefim">
    <w:name w:val="endnote reference"/>
    <w:basedOn w:val="Fontepargpadro"/>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Sumrio1">
    <w:name w:val="toc 1"/>
    <w:basedOn w:val="Normal"/>
    <w:next w:val="Sumrio2"/>
    <w:uiPriority w:val="39"/>
    <w:pPr>
      <w:keepNext/>
      <w:widowControl w:val="0"/>
      <w:tabs>
        <w:tab w:val="right" w:leader="dot" w:pos="8222"/>
      </w:tabs>
      <w:spacing w:before="240" w:after="60"/>
      <w:ind w:left="425"/>
      <w:jc w:val="left"/>
    </w:pPr>
    <w:rPr>
      <w:b/>
      <w:bCs/>
    </w:rPr>
  </w:style>
  <w:style w:type="paragraph" w:styleId="Sumrio2">
    <w:name w:val="toc 2"/>
    <w:basedOn w:val="Normal"/>
    <w:next w:val="Sumrio3"/>
    <w:uiPriority w:val="39"/>
    <w:pPr>
      <w:keepNext/>
      <w:widowControl w:val="0"/>
      <w:tabs>
        <w:tab w:val="right" w:leader="dot" w:pos="8222"/>
      </w:tabs>
      <w:spacing w:before="60" w:after="60"/>
      <w:ind w:left="512"/>
      <w:jc w:val="left"/>
    </w:pPr>
  </w:style>
  <w:style w:type="paragraph" w:styleId="Sumrio3">
    <w:name w:val="toc 3"/>
    <w:basedOn w:val="Normal"/>
    <w:next w:val="Sumrio4"/>
    <w:uiPriority w:val="39"/>
    <w:pPr>
      <w:keepNext/>
      <w:widowControl w:val="0"/>
      <w:tabs>
        <w:tab w:val="right" w:leader="dot" w:pos="8222"/>
      </w:tabs>
      <w:spacing w:before="60" w:after="60"/>
      <w:ind w:left="1024"/>
      <w:jc w:val="left"/>
    </w:pPr>
  </w:style>
  <w:style w:type="paragraph" w:styleId="Sumrio4">
    <w:name w:val="toc 4"/>
    <w:basedOn w:val="Normal"/>
    <w:next w:val="Sumrio5"/>
    <w:uiPriority w:val="99"/>
    <w:pPr>
      <w:keepNext/>
      <w:widowControl w:val="0"/>
      <w:tabs>
        <w:tab w:val="right" w:leader="dot" w:pos="8222"/>
      </w:tabs>
      <w:spacing w:before="60" w:after="60"/>
      <w:ind w:left="1536"/>
      <w:jc w:val="left"/>
    </w:pPr>
  </w:style>
  <w:style w:type="paragraph" w:styleId="Sumrio5">
    <w:name w:val="toc 5"/>
    <w:basedOn w:val="Normal"/>
    <w:next w:val="Sumrio6"/>
    <w:uiPriority w:val="99"/>
    <w:pPr>
      <w:keepNext/>
      <w:widowControl w:val="0"/>
      <w:tabs>
        <w:tab w:val="right" w:leader="dot" w:pos="8222"/>
      </w:tabs>
      <w:spacing w:before="60" w:after="60"/>
      <w:ind w:left="2048"/>
      <w:jc w:val="left"/>
    </w:pPr>
  </w:style>
  <w:style w:type="paragraph" w:styleId="Sumrio6">
    <w:name w:val="toc 6"/>
    <w:basedOn w:val="Normal"/>
    <w:uiPriority w:val="99"/>
    <w:pPr>
      <w:keepNext/>
      <w:widowControl w:val="0"/>
      <w:tabs>
        <w:tab w:val="right" w:leader="dot" w:pos="8222"/>
      </w:tabs>
      <w:spacing w:before="60" w:after="60"/>
      <w:ind w:left="2560"/>
      <w:jc w:val="left"/>
    </w:pPr>
  </w:style>
  <w:style w:type="paragraph" w:styleId="Textodebalo">
    <w:name w:val="Balloon Text"/>
    <w:basedOn w:val="Normal"/>
    <w:link w:val="TextodebaloChar"/>
    <w:uiPriority w:val="99"/>
    <w:semiHidden/>
    <w:unhideWhenUsed/>
    <w:rsid w:val="008C2763"/>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2763"/>
    <w:rPr>
      <w:rFonts w:ascii="Tahoma" w:hAnsi="Tahoma" w:cs="Tahoma"/>
      <w:noProof/>
      <w:sz w:val="16"/>
      <w:szCs w:val="16"/>
    </w:rPr>
  </w:style>
  <w:style w:type="table" w:styleId="Tabelacomgrade">
    <w:name w:val="Table Grid"/>
    <w:basedOn w:val="Tabelanormal"/>
    <w:uiPriority w:val="59"/>
    <w:rsid w:val="00664C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DE676B"/>
    <w:pPr>
      <w:ind w:left="720"/>
      <w:contextualSpacing/>
    </w:pPr>
  </w:style>
  <w:style w:type="character" w:styleId="Hyperlink">
    <w:name w:val="Hyperlink"/>
    <w:basedOn w:val="Fontepargpadro"/>
    <w:uiPriority w:val="99"/>
    <w:unhideWhenUsed/>
    <w:rsid w:val="00ED20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7257">
      <w:bodyDiv w:val="1"/>
      <w:marLeft w:val="0"/>
      <w:marRight w:val="0"/>
      <w:marTop w:val="0"/>
      <w:marBottom w:val="0"/>
      <w:divBdr>
        <w:top w:val="none" w:sz="0" w:space="0" w:color="auto"/>
        <w:left w:val="none" w:sz="0" w:space="0" w:color="auto"/>
        <w:bottom w:val="none" w:sz="0" w:space="0" w:color="auto"/>
        <w:right w:val="none" w:sz="0" w:space="0" w:color="auto"/>
      </w:divBdr>
    </w:div>
    <w:div w:id="204486655">
      <w:bodyDiv w:val="1"/>
      <w:marLeft w:val="0"/>
      <w:marRight w:val="0"/>
      <w:marTop w:val="0"/>
      <w:marBottom w:val="0"/>
      <w:divBdr>
        <w:top w:val="none" w:sz="0" w:space="0" w:color="auto"/>
        <w:left w:val="none" w:sz="0" w:space="0" w:color="auto"/>
        <w:bottom w:val="none" w:sz="0" w:space="0" w:color="auto"/>
        <w:right w:val="none" w:sz="0" w:space="0" w:color="auto"/>
      </w:divBdr>
    </w:div>
    <w:div w:id="1296328156">
      <w:bodyDiv w:val="1"/>
      <w:marLeft w:val="0"/>
      <w:marRight w:val="0"/>
      <w:marTop w:val="0"/>
      <w:marBottom w:val="0"/>
      <w:divBdr>
        <w:top w:val="none" w:sz="0" w:space="0" w:color="auto"/>
        <w:left w:val="none" w:sz="0" w:space="0" w:color="auto"/>
        <w:bottom w:val="none" w:sz="0" w:space="0" w:color="auto"/>
        <w:right w:val="none" w:sz="0" w:space="0" w:color="auto"/>
      </w:divBdr>
    </w:div>
    <w:div w:id="1603145833">
      <w:bodyDiv w:val="1"/>
      <w:marLeft w:val="0"/>
      <w:marRight w:val="0"/>
      <w:marTop w:val="0"/>
      <w:marBottom w:val="0"/>
      <w:divBdr>
        <w:top w:val="none" w:sz="0" w:space="0" w:color="auto"/>
        <w:left w:val="none" w:sz="0" w:space="0" w:color="auto"/>
        <w:bottom w:val="none" w:sz="0" w:space="0" w:color="auto"/>
        <w:right w:val="none" w:sz="0" w:space="0" w:color="auto"/>
      </w:divBdr>
    </w:div>
    <w:div w:id="1701513879">
      <w:bodyDiv w:val="1"/>
      <w:marLeft w:val="0"/>
      <w:marRight w:val="0"/>
      <w:marTop w:val="0"/>
      <w:marBottom w:val="0"/>
      <w:divBdr>
        <w:top w:val="none" w:sz="0" w:space="0" w:color="auto"/>
        <w:left w:val="none" w:sz="0" w:space="0" w:color="auto"/>
        <w:bottom w:val="none" w:sz="0" w:space="0" w:color="auto"/>
        <w:right w:val="none" w:sz="0" w:space="0" w:color="auto"/>
      </w:divBdr>
    </w:div>
    <w:div w:id="1760255806">
      <w:bodyDiv w:val="1"/>
      <w:marLeft w:val="0"/>
      <w:marRight w:val="0"/>
      <w:marTop w:val="0"/>
      <w:marBottom w:val="0"/>
      <w:divBdr>
        <w:top w:val="none" w:sz="0" w:space="0" w:color="auto"/>
        <w:left w:val="none" w:sz="0" w:space="0" w:color="auto"/>
        <w:bottom w:val="none" w:sz="0" w:space="0" w:color="auto"/>
        <w:right w:val="none" w:sz="0" w:space="0" w:color="auto"/>
      </w:divBdr>
    </w:div>
    <w:div w:id="178133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0A31D-EE23-4B47-9D97-16906540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11416</Words>
  <Characters>61647</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Original file was testeWord.tex</vt:lpstr>
    </vt:vector>
  </TitlesOfParts>
  <Company>Hewlett-Packard</Company>
  <LinksUpToDate>false</LinksUpToDate>
  <CharactersWithSpaces>72918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testeWord.tex</dc:title>
  <dc:creator>Juliana</dc:creator>
  <dc:description>Created using latex2rtf 2.3.3 r1230 (released Feb 26, 2013) on Mon May 06 00:15:26 2013</dc:description>
  <cp:lastModifiedBy>Juliana</cp:lastModifiedBy>
  <cp:revision>7</cp:revision>
  <cp:lastPrinted>2013-07-22T00:23:00Z</cp:lastPrinted>
  <dcterms:created xsi:type="dcterms:W3CDTF">2013-07-22T00:15:00Z</dcterms:created>
  <dcterms:modified xsi:type="dcterms:W3CDTF">2013-07-22T00:29:00Z</dcterms:modified>
</cp:coreProperties>
</file>