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266" w:rsidRPr="003A6980" w:rsidRDefault="00057E3A" w:rsidP="00726852">
      <w:pPr>
        <w:autoSpaceDE w:val="0"/>
        <w:autoSpaceDN w:val="0"/>
        <w:adjustRightInd w:val="0"/>
        <w:jc w:val="center"/>
        <w:rPr>
          <w:b/>
          <w:sz w:val="24"/>
          <w:szCs w:val="24"/>
        </w:rPr>
      </w:pPr>
      <w:r w:rsidRPr="00057E3A">
        <w:rPr>
          <w:b/>
          <w:sz w:val="24"/>
          <w:szCs w:val="24"/>
        </w:rPr>
        <w:t>GASTOS PÚBLICOS EM INFRAESTRUTURA E EM CAPITAL HUMANO COMO FORMA DE PROMOÇÃO DO CRESCIMENTO PRÓ-POBRE NOS ESTADOS BRASILEIROS</w:t>
      </w:r>
      <w:r w:rsidRPr="00057E3A">
        <w:rPr>
          <w:rStyle w:val="Refdenotaderodap"/>
          <w:b/>
          <w:sz w:val="24"/>
          <w:szCs w:val="24"/>
        </w:rPr>
        <w:footnoteReference w:id="1"/>
      </w:r>
    </w:p>
    <w:p w:rsidR="001E0460" w:rsidRDefault="001E0460" w:rsidP="00726852">
      <w:pPr>
        <w:autoSpaceDE w:val="0"/>
        <w:autoSpaceDN w:val="0"/>
        <w:adjustRightInd w:val="0"/>
        <w:jc w:val="right"/>
        <w:rPr>
          <w:sz w:val="24"/>
          <w:szCs w:val="24"/>
        </w:rPr>
      </w:pPr>
    </w:p>
    <w:p w:rsidR="00B77266" w:rsidRDefault="00021D57" w:rsidP="00726852">
      <w:pPr>
        <w:autoSpaceDE w:val="0"/>
        <w:autoSpaceDN w:val="0"/>
        <w:adjustRightInd w:val="0"/>
        <w:jc w:val="right"/>
        <w:rPr>
          <w:sz w:val="24"/>
          <w:szCs w:val="24"/>
        </w:rPr>
      </w:pPr>
      <w:r>
        <w:rPr>
          <w:sz w:val="24"/>
          <w:szCs w:val="24"/>
        </w:rPr>
        <w:t>Aline Cristina Cruz</w:t>
      </w:r>
      <w:r>
        <w:rPr>
          <w:rStyle w:val="Refdenotaderodap"/>
          <w:sz w:val="24"/>
          <w:szCs w:val="24"/>
        </w:rPr>
        <w:footnoteReference w:id="2"/>
      </w:r>
    </w:p>
    <w:p w:rsidR="00B77266" w:rsidRDefault="00021D57" w:rsidP="00726852">
      <w:pPr>
        <w:autoSpaceDE w:val="0"/>
        <w:autoSpaceDN w:val="0"/>
        <w:adjustRightInd w:val="0"/>
        <w:jc w:val="right"/>
        <w:rPr>
          <w:sz w:val="24"/>
          <w:szCs w:val="24"/>
        </w:rPr>
      </w:pPr>
      <w:r>
        <w:rPr>
          <w:sz w:val="24"/>
          <w:szCs w:val="24"/>
        </w:rPr>
        <w:t>Daniela Almeida Raposo Torres</w:t>
      </w:r>
      <w:r>
        <w:rPr>
          <w:rStyle w:val="Refdenotaderodap"/>
          <w:sz w:val="24"/>
          <w:szCs w:val="24"/>
        </w:rPr>
        <w:footnoteReference w:id="3"/>
      </w:r>
    </w:p>
    <w:p w:rsidR="00B77266" w:rsidRDefault="00021D57" w:rsidP="00726852">
      <w:pPr>
        <w:autoSpaceDE w:val="0"/>
        <w:autoSpaceDN w:val="0"/>
        <w:adjustRightInd w:val="0"/>
        <w:jc w:val="right"/>
        <w:rPr>
          <w:sz w:val="24"/>
          <w:szCs w:val="24"/>
        </w:rPr>
      </w:pPr>
      <w:proofErr w:type="spellStart"/>
      <w:r>
        <w:rPr>
          <w:sz w:val="24"/>
          <w:szCs w:val="24"/>
        </w:rPr>
        <w:t>Erly</w:t>
      </w:r>
      <w:proofErr w:type="spellEnd"/>
      <w:r>
        <w:rPr>
          <w:sz w:val="24"/>
          <w:szCs w:val="24"/>
        </w:rPr>
        <w:t xml:space="preserve"> Cardoso Teixeira</w:t>
      </w:r>
      <w:r>
        <w:rPr>
          <w:rStyle w:val="Refdenotaderodap"/>
          <w:sz w:val="24"/>
          <w:szCs w:val="24"/>
        </w:rPr>
        <w:footnoteReference w:id="4"/>
      </w:r>
    </w:p>
    <w:p w:rsidR="00DC35C9" w:rsidRDefault="00DC35C9" w:rsidP="00726852">
      <w:pPr>
        <w:autoSpaceDE w:val="0"/>
        <w:autoSpaceDN w:val="0"/>
        <w:adjustRightInd w:val="0"/>
        <w:jc w:val="right"/>
        <w:rPr>
          <w:sz w:val="24"/>
          <w:szCs w:val="24"/>
        </w:rPr>
      </w:pPr>
    </w:p>
    <w:p w:rsidR="001E0460" w:rsidRPr="00A05AA0" w:rsidRDefault="00120302" w:rsidP="001E0460">
      <w:pPr>
        <w:jc w:val="both"/>
        <w:rPr>
          <w:sz w:val="24"/>
          <w:szCs w:val="24"/>
        </w:rPr>
      </w:pPr>
      <w:r w:rsidRPr="00A05AA0">
        <w:rPr>
          <w:b/>
          <w:sz w:val="24"/>
          <w:szCs w:val="24"/>
        </w:rPr>
        <w:t>Resumo</w:t>
      </w:r>
      <w:r w:rsidR="00057E3A" w:rsidRPr="00A05AA0">
        <w:rPr>
          <w:sz w:val="24"/>
          <w:szCs w:val="24"/>
        </w:rPr>
        <w:t xml:space="preserve">: </w:t>
      </w:r>
      <w:r w:rsidR="001E0460" w:rsidRPr="001E0460">
        <w:rPr>
          <w:sz w:val="24"/>
          <w:szCs w:val="24"/>
        </w:rPr>
        <w:t xml:space="preserve">Este estudo avalia a efetividade dos gastos públicos em capital humano e em infraestrutura física como forma de promover o crescimento econômico pró-pobre nos estados brasileiros, no período 1995-2008. Para tal, realizou-se a estimação de um sistema de equações com variáveis instrumentais a partir do Método dos Momentos Generalizados (GMM), tal como proposto em Cruz </w:t>
      </w:r>
      <w:proofErr w:type="spellStart"/>
      <w:proofErr w:type="gramStart"/>
      <w:r w:rsidR="001E0460" w:rsidRPr="001E0460">
        <w:rPr>
          <w:sz w:val="24"/>
          <w:szCs w:val="24"/>
        </w:rPr>
        <w:t>et</w:t>
      </w:r>
      <w:proofErr w:type="spellEnd"/>
      <w:proofErr w:type="gramEnd"/>
      <w:r w:rsidR="001E0460" w:rsidRPr="001E0460">
        <w:rPr>
          <w:sz w:val="24"/>
          <w:szCs w:val="24"/>
        </w:rPr>
        <w:t xml:space="preserve"> al. (2010), adequado à análise de dados em painel, seguindo o modelo de efeito fixo. Os resultados comprovam a eficácia dos dispêndios governamentais em educação, saúde e em transporte rodoviário quanto aos avanços obtidos nos estoques destes tipos de capital humano e físico. Atesta-se ainda a importância deste tipo de política pública para aumentar o nível de emprego na economia. Ademais, destaca-se, sobretudo, a relação indireta estabelecida entre tais categorias de gasto público e o fomento ao crescimento econômico por meio do aumento da renda per capita. Diante disso, comprovada a capacidade da elevação do rendimento per capita de reduzir o contingente populacional em condições de pobreza, em cada estado, confirma-se a eficácia dos gastos públicos aqui analisados como </w:t>
      </w:r>
      <w:proofErr w:type="gramStart"/>
      <w:r w:rsidR="001E0460" w:rsidRPr="001E0460">
        <w:rPr>
          <w:sz w:val="24"/>
          <w:szCs w:val="24"/>
        </w:rPr>
        <w:t>instrumentos de promoção de crescimento pró-pobre nos estados do Brasil.</w:t>
      </w:r>
      <w:proofErr w:type="gramEnd"/>
    </w:p>
    <w:p w:rsidR="00F147A6" w:rsidRPr="00A05AA0" w:rsidRDefault="00F147A6" w:rsidP="00726852">
      <w:pPr>
        <w:jc w:val="both"/>
        <w:rPr>
          <w:sz w:val="24"/>
          <w:szCs w:val="24"/>
        </w:rPr>
      </w:pPr>
    </w:p>
    <w:p w:rsidR="00A32331" w:rsidRPr="00A05AA0" w:rsidRDefault="00120302" w:rsidP="00726852">
      <w:pPr>
        <w:jc w:val="both"/>
        <w:rPr>
          <w:sz w:val="24"/>
          <w:szCs w:val="24"/>
        </w:rPr>
      </w:pPr>
      <w:r w:rsidRPr="00A05AA0">
        <w:rPr>
          <w:b/>
          <w:sz w:val="24"/>
          <w:szCs w:val="24"/>
        </w:rPr>
        <w:t>Palavras-chave:</w:t>
      </w:r>
      <w:r w:rsidR="00A32331" w:rsidRPr="00A05AA0">
        <w:rPr>
          <w:sz w:val="24"/>
          <w:szCs w:val="24"/>
        </w:rPr>
        <w:t xml:space="preserve"> Gastos públicos; capital humano; infraestrutura; crescimento pró-pobre; estados brasileiros.</w:t>
      </w:r>
    </w:p>
    <w:p w:rsidR="00A32331" w:rsidRPr="00A05AA0" w:rsidRDefault="00A32331" w:rsidP="00726852">
      <w:pPr>
        <w:jc w:val="both"/>
        <w:rPr>
          <w:sz w:val="24"/>
          <w:szCs w:val="24"/>
        </w:rPr>
      </w:pPr>
    </w:p>
    <w:p w:rsidR="001E0460" w:rsidRPr="00A05AA0" w:rsidRDefault="00057E3A" w:rsidP="001E0460">
      <w:pPr>
        <w:jc w:val="both"/>
        <w:rPr>
          <w:sz w:val="24"/>
          <w:szCs w:val="24"/>
          <w:lang w:val="en-US"/>
        </w:rPr>
      </w:pPr>
      <w:r w:rsidRPr="00A05AA0">
        <w:rPr>
          <w:b/>
          <w:sz w:val="24"/>
          <w:szCs w:val="24"/>
          <w:lang w:val="en-US"/>
        </w:rPr>
        <w:t>Abstract</w:t>
      </w:r>
      <w:r w:rsidR="00A32331" w:rsidRPr="00A05AA0">
        <w:rPr>
          <w:sz w:val="24"/>
          <w:szCs w:val="24"/>
          <w:lang w:val="en-US"/>
        </w:rPr>
        <w:t>:</w:t>
      </w:r>
      <w:r w:rsidR="001B08FB" w:rsidRPr="00A05AA0">
        <w:rPr>
          <w:sz w:val="24"/>
          <w:szCs w:val="24"/>
          <w:lang w:val="en-US"/>
        </w:rPr>
        <w:t xml:space="preserve"> </w:t>
      </w:r>
      <w:r w:rsidR="001E0460" w:rsidRPr="00A05AA0">
        <w:rPr>
          <w:sz w:val="24"/>
          <w:szCs w:val="24"/>
          <w:lang w:val="en-US"/>
        </w:rPr>
        <w:t>This paper evaluates the effectiveness of public expenditures in human capital and physical infrastructure to promote pro-poor economic growth in Brazilian states, from 1995 to 2008. For this, it was estimate a system of equations with instrumental variables using the Generalized Moments Method (GMM) as proposed in Cruz et al. (2010), applied to a panel analysis and the fixed effect model. The results prove the efficacy of the governmental expenses in education, health and roads related to the advances of this kind of stocks of human and physical capital. It was proved too the importance of this type of public politics for increasing the level of employment. The main result is the definition of the indirect linkage between these categories of public expenditure and the state economic growth by elevation of per capita income and the reduction of poverty in each state. To sum up, it was instruments of promotion of pro-poor economic.</w:t>
      </w:r>
    </w:p>
    <w:p w:rsidR="00A32331" w:rsidRPr="00A05AA0" w:rsidRDefault="00A32331" w:rsidP="00726852">
      <w:pPr>
        <w:jc w:val="both"/>
        <w:rPr>
          <w:sz w:val="24"/>
          <w:szCs w:val="24"/>
          <w:lang w:val="en-US"/>
        </w:rPr>
      </w:pPr>
    </w:p>
    <w:p w:rsidR="00A32331" w:rsidRPr="00A05AA0" w:rsidRDefault="00120302" w:rsidP="00726852">
      <w:pPr>
        <w:jc w:val="both"/>
        <w:rPr>
          <w:sz w:val="24"/>
          <w:szCs w:val="24"/>
          <w:lang w:val="en-US"/>
        </w:rPr>
      </w:pPr>
      <w:r w:rsidRPr="00A05AA0">
        <w:rPr>
          <w:b/>
          <w:sz w:val="24"/>
          <w:szCs w:val="24"/>
          <w:lang w:val="en-US"/>
        </w:rPr>
        <w:t>Keys-Word:</w:t>
      </w:r>
      <w:r w:rsidR="00A32331" w:rsidRPr="00A05AA0">
        <w:rPr>
          <w:sz w:val="24"/>
          <w:szCs w:val="24"/>
          <w:lang w:val="en-US"/>
        </w:rPr>
        <w:t xml:space="preserve"> public expenditure; human capital; infrastructure; pro-poor growth; Brazilians states.</w:t>
      </w:r>
    </w:p>
    <w:p w:rsidR="00BB71D1" w:rsidRDefault="00BB71D1" w:rsidP="00BB71D1">
      <w:pPr>
        <w:pStyle w:val="CorpoDissertao"/>
        <w:spacing w:after="0" w:line="240" w:lineRule="auto"/>
        <w:rPr>
          <w:i/>
          <w:iCs/>
        </w:rPr>
      </w:pPr>
    </w:p>
    <w:p w:rsidR="00162383" w:rsidRPr="00162383" w:rsidRDefault="00BB71D1" w:rsidP="00162383">
      <w:pPr>
        <w:jc w:val="both"/>
        <w:rPr>
          <w:sz w:val="24"/>
          <w:szCs w:val="24"/>
          <w:lang w:val="en-US"/>
        </w:rPr>
      </w:pPr>
      <w:r w:rsidRPr="00162383">
        <w:rPr>
          <w:b/>
          <w:sz w:val="24"/>
          <w:szCs w:val="24"/>
          <w:lang w:val="en-US"/>
        </w:rPr>
        <w:t xml:space="preserve">JEL: </w:t>
      </w:r>
      <w:r w:rsidR="00162383" w:rsidRPr="00162383">
        <w:rPr>
          <w:sz w:val="24"/>
          <w:szCs w:val="24"/>
          <w:lang w:val="en-US"/>
        </w:rPr>
        <w:t xml:space="preserve">C3, O15, O4. </w:t>
      </w:r>
    </w:p>
    <w:p w:rsidR="00B3163D" w:rsidRDefault="00B3163D" w:rsidP="00BB71D1">
      <w:pPr>
        <w:jc w:val="both"/>
        <w:rPr>
          <w:b/>
          <w:sz w:val="24"/>
          <w:szCs w:val="24"/>
        </w:rPr>
      </w:pPr>
    </w:p>
    <w:p w:rsidR="00B3163D" w:rsidRDefault="00162383" w:rsidP="00BB71D1">
      <w:pPr>
        <w:jc w:val="both"/>
        <w:rPr>
          <w:sz w:val="24"/>
          <w:szCs w:val="24"/>
        </w:rPr>
      </w:pPr>
      <w:r w:rsidRPr="00946D92">
        <w:rPr>
          <w:b/>
          <w:sz w:val="24"/>
          <w:szCs w:val="24"/>
        </w:rPr>
        <w:t xml:space="preserve">Área </w:t>
      </w:r>
      <w:r w:rsidR="00946D92" w:rsidRPr="00946D92">
        <w:rPr>
          <w:b/>
          <w:sz w:val="24"/>
          <w:szCs w:val="24"/>
        </w:rPr>
        <w:t>6</w:t>
      </w:r>
      <w:r w:rsidRPr="00946D92">
        <w:rPr>
          <w:b/>
          <w:sz w:val="24"/>
          <w:szCs w:val="24"/>
        </w:rPr>
        <w:t xml:space="preserve"> - </w:t>
      </w:r>
      <w:r w:rsidRPr="00946D92">
        <w:rPr>
          <w:sz w:val="24"/>
          <w:szCs w:val="24"/>
        </w:rPr>
        <w:t xml:space="preserve">Crescimento, Desenvolvimento Econômico e </w:t>
      </w:r>
      <w:proofErr w:type="gramStart"/>
      <w:r w:rsidRPr="00946D92">
        <w:rPr>
          <w:sz w:val="24"/>
          <w:szCs w:val="24"/>
        </w:rPr>
        <w:t>Instituições</w:t>
      </w:r>
      <w:proofErr w:type="gramEnd"/>
    </w:p>
    <w:p w:rsidR="00162383" w:rsidRPr="00B3163D" w:rsidRDefault="00B3163D" w:rsidP="00B3163D">
      <w:pPr>
        <w:spacing w:after="200" w:line="276" w:lineRule="auto"/>
        <w:rPr>
          <w:sz w:val="24"/>
          <w:szCs w:val="24"/>
        </w:rPr>
      </w:pPr>
      <w:r>
        <w:rPr>
          <w:sz w:val="24"/>
          <w:szCs w:val="24"/>
        </w:rPr>
        <w:br w:type="page"/>
      </w:r>
    </w:p>
    <w:p w:rsidR="00B77266" w:rsidRPr="00991FC5" w:rsidRDefault="00057E3A" w:rsidP="00991FC5">
      <w:pPr>
        <w:numPr>
          <w:ilvl w:val="0"/>
          <w:numId w:val="1"/>
        </w:numPr>
        <w:ind w:left="0" w:firstLine="0"/>
        <w:jc w:val="both"/>
        <w:rPr>
          <w:b/>
          <w:sz w:val="24"/>
          <w:szCs w:val="24"/>
          <w:lang w:val="en-US"/>
        </w:rPr>
      </w:pPr>
      <w:r w:rsidRPr="00057E3A">
        <w:rPr>
          <w:b/>
          <w:sz w:val="24"/>
          <w:szCs w:val="24"/>
          <w:lang w:val="en-US"/>
        </w:rPr>
        <w:lastRenderedPageBreak/>
        <w:t>INTRODUÇÃO</w:t>
      </w:r>
    </w:p>
    <w:p w:rsidR="00B77266" w:rsidRDefault="00057E3A" w:rsidP="00726852">
      <w:pPr>
        <w:autoSpaceDE w:val="0"/>
        <w:autoSpaceDN w:val="0"/>
        <w:adjustRightInd w:val="0"/>
        <w:ind w:firstLine="708"/>
        <w:jc w:val="both"/>
        <w:rPr>
          <w:sz w:val="24"/>
          <w:szCs w:val="24"/>
        </w:rPr>
      </w:pPr>
      <w:r w:rsidRPr="008E32B7">
        <w:rPr>
          <w:sz w:val="24"/>
          <w:szCs w:val="24"/>
        </w:rPr>
        <w:t>Na</w:t>
      </w:r>
      <w:r w:rsidR="00872B7C" w:rsidRPr="005C2796">
        <w:rPr>
          <w:sz w:val="24"/>
          <w:szCs w:val="24"/>
        </w:rPr>
        <w:t xml:space="preserve">s últimas décadas, </w:t>
      </w:r>
      <w:r w:rsidR="00726852">
        <w:rPr>
          <w:sz w:val="24"/>
          <w:szCs w:val="24"/>
        </w:rPr>
        <w:t xml:space="preserve">apesar dos avanços, </w:t>
      </w:r>
      <w:r w:rsidR="00872B7C" w:rsidRPr="005C2796">
        <w:rPr>
          <w:sz w:val="24"/>
          <w:szCs w:val="24"/>
        </w:rPr>
        <w:t xml:space="preserve">o Brasil </w:t>
      </w:r>
      <w:r w:rsidR="00726852">
        <w:rPr>
          <w:sz w:val="24"/>
          <w:szCs w:val="24"/>
        </w:rPr>
        <w:t>ainda</w:t>
      </w:r>
      <w:r w:rsidR="00726852" w:rsidRPr="005C2796">
        <w:rPr>
          <w:sz w:val="24"/>
          <w:szCs w:val="24"/>
        </w:rPr>
        <w:t xml:space="preserve"> </w:t>
      </w:r>
      <w:r w:rsidR="00A0665B" w:rsidRPr="005C2796">
        <w:rPr>
          <w:sz w:val="24"/>
          <w:szCs w:val="24"/>
        </w:rPr>
        <w:t>manté</w:t>
      </w:r>
      <w:r w:rsidR="00A0665B">
        <w:rPr>
          <w:sz w:val="24"/>
          <w:szCs w:val="24"/>
        </w:rPr>
        <w:t>m</w:t>
      </w:r>
      <w:r w:rsidR="00726852">
        <w:rPr>
          <w:sz w:val="24"/>
          <w:szCs w:val="24"/>
        </w:rPr>
        <w:t xml:space="preserve"> a característica de </w:t>
      </w:r>
      <w:r w:rsidR="00872B7C" w:rsidRPr="005C2796">
        <w:rPr>
          <w:sz w:val="24"/>
          <w:szCs w:val="24"/>
        </w:rPr>
        <w:t xml:space="preserve">grande desigualdade na distribuição de renda e de elevados níveis de pobreza. </w:t>
      </w:r>
      <w:r w:rsidR="00726852">
        <w:rPr>
          <w:sz w:val="24"/>
          <w:szCs w:val="24"/>
        </w:rPr>
        <w:t xml:space="preserve">Prevalece </w:t>
      </w:r>
      <w:r w:rsidR="00872B7C" w:rsidRPr="005C2796">
        <w:rPr>
          <w:sz w:val="24"/>
          <w:szCs w:val="24"/>
        </w:rPr>
        <w:t xml:space="preserve">o desafio histórico de combate à exclusão social, que afeta parte significativa da população sem acesso às condições mínimas de dignidade e cidadania. Em 2009, de acordo com informações do Instituto Brasileiro de Geografia e Estatística (IBGE, 2009), o percentual de pessoas em domicílios com renda per capita inferior à linha de pobreza </w:t>
      </w:r>
      <w:r w:rsidR="003F701C">
        <w:rPr>
          <w:sz w:val="24"/>
          <w:szCs w:val="24"/>
        </w:rPr>
        <w:t>era</w:t>
      </w:r>
      <w:r w:rsidR="003F701C" w:rsidRPr="005C2796">
        <w:rPr>
          <w:sz w:val="24"/>
          <w:szCs w:val="24"/>
        </w:rPr>
        <w:t xml:space="preserve"> </w:t>
      </w:r>
      <w:r w:rsidR="00872B7C" w:rsidRPr="005C2796">
        <w:rPr>
          <w:sz w:val="24"/>
          <w:szCs w:val="24"/>
        </w:rPr>
        <w:t xml:space="preserve">de 21,5% sendo que 14% delas se encontravam em situação de pobreza e 7% </w:t>
      </w:r>
      <w:r w:rsidR="003F701C">
        <w:rPr>
          <w:sz w:val="24"/>
          <w:szCs w:val="24"/>
        </w:rPr>
        <w:t>eram</w:t>
      </w:r>
      <w:r w:rsidR="003F701C" w:rsidRPr="005C2796">
        <w:rPr>
          <w:sz w:val="24"/>
          <w:szCs w:val="24"/>
        </w:rPr>
        <w:t xml:space="preserve"> </w:t>
      </w:r>
      <w:r w:rsidR="00872B7C" w:rsidRPr="005C2796">
        <w:rPr>
          <w:sz w:val="24"/>
          <w:szCs w:val="24"/>
        </w:rPr>
        <w:t xml:space="preserve">classificadas como indigentes. </w:t>
      </w:r>
      <w:r w:rsidR="003F701C">
        <w:rPr>
          <w:sz w:val="24"/>
          <w:szCs w:val="24"/>
        </w:rPr>
        <w:t>Tais números p</w:t>
      </w:r>
      <w:r w:rsidR="00726852">
        <w:rPr>
          <w:sz w:val="24"/>
          <w:szCs w:val="24"/>
        </w:rPr>
        <w:t>rova</w:t>
      </w:r>
      <w:r w:rsidR="003F701C">
        <w:rPr>
          <w:sz w:val="24"/>
          <w:szCs w:val="24"/>
        </w:rPr>
        <w:t xml:space="preserve">m </w:t>
      </w:r>
      <w:r w:rsidR="00726852">
        <w:rPr>
          <w:sz w:val="24"/>
          <w:szCs w:val="24"/>
        </w:rPr>
        <w:t xml:space="preserve">que </w:t>
      </w:r>
      <w:r w:rsidR="00872B7C" w:rsidRPr="005C2796">
        <w:rPr>
          <w:sz w:val="24"/>
          <w:szCs w:val="24"/>
        </w:rPr>
        <w:t>o patamar de pobreza ainda é muito elevado e inadmissível, principalmente, se comparado às nações com renda per capita mensal similar à do Brasil (R$ 755,72).</w:t>
      </w:r>
    </w:p>
    <w:p w:rsidR="008E32B7" w:rsidRDefault="003F701C">
      <w:pPr>
        <w:autoSpaceDE w:val="0"/>
        <w:autoSpaceDN w:val="0"/>
        <w:adjustRightInd w:val="0"/>
        <w:ind w:firstLine="708"/>
        <w:jc w:val="both"/>
        <w:rPr>
          <w:sz w:val="24"/>
          <w:szCs w:val="24"/>
        </w:rPr>
      </w:pPr>
      <w:r>
        <w:rPr>
          <w:sz w:val="24"/>
          <w:szCs w:val="24"/>
        </w:rPr>
        <w:t>Sob tal perspectiva, entres os fatores para</w:t>
      </w:r>
      <w:r w:rsidRPr="005C2796">
        <w:rPr>
          <w:sz w:val="24"/>
          <w:szCs w:val="24"/>
        </w:rPr>
        <w:t xml:space="preserve"> identificar </w:t>
      </w:r>
      <w:r>
        <w:rPr>
          <w:sz w:val="24"/>
          <w:szCs w:val="24"/>
        </w:rPr>
        <w:t>a</w:t>
      </w:r>
      <w:r w:rsidRPr="005C2796">
        <w:rPr>
          <w:sz w:val="24"/>
          <w:szCs w:val="24"/>
        </w:rPr>
        <w:t xml:space="preserve"> pobreza</w:t>
      </w:r>
      <w:r>
        <w:rPr>
          <w:sz w:val="24"/>
          <w:szCs w:val="24"/>
        </w:rPr>
        <w:t xml:space="preserve"> tem-se </w:t>
      </w:r>
      <w:r w:rsidRPr="005C2796">
        <w:rPr>
          <w:sz w:val="24"/>
          <w:szCs w:val="24"/>
        </w:rPr>
        <w:t xml:space="preserve">a escassez </w:t>
      </w:r>
      <w:r>
        <w:rPr>
          <w:sz w:val="24"/>
          <w:szCs w:val="24"/>
        </w:rPr>
        <w:t>e</w:t>
      </w:r>
      <w:r w:rsidRPr="005C2796">
        <w:rPr>
          <w:sz w:val="24"/>
          <w:szCs w:val="24"/>
        </w:rPr>
        <w:t xml:space="preserve"> a desigualdade na distribuição de recursos</w:t>
      </w:r>
      <w:r>
        <w:rPr>
          <w:sz w:val="24"/>
          <w:szCs w:val="24"/>
        </w:rPr>
        <w:t xml:space="preserve">. </w:t>
      </w:r>
      <w:r w:rsidRPr="005C2796">
        <w:rPr>
          <w:sz w:val="24"/>
          <w:szCs w:val="24"/>
        </w:rPr>
        <w:t xml:space="preserve">No Brasil, a renda média é de R$ 755,72, que é muito superior à linha de pobreza, o que corrobora a alta concentração de renda no </w:t>
      </w:r>
      <w:r>
        <w:rPr>
          <w:sz w:val="24"/>
          <w:szCs w:val="24"/>
        </w:rPr>
        <w:t>p</w:t>
      </w:r>
      <w:r w:rsidRPr="005C2796">
        <w:rPr>
          <w:sz w:val="24"/>
          <w:szCs w:val="24"/>
        </w:rPr>
        <w:t xml:space="preserve">aís. </w:t>
      </w:r>
      <w:r>
        <w:rPr>
          <w:sz w:val="24"/>
          <w:szCs w:val="24"/>
        </w:rPr>
        <w:t xml:space="preserve">Na </w:t>
      </w:r>
      <w:r w:rsidR="002679F3">
        <w:rPr>
          <w:sz w:val="24"/>
          <w:szCs w:val="24"/>
        </w:rPr>
        <w:t xml:space="preserve">análise </w:t>
      </w:r>
      <w:proofErr w:type="spellStart"/>
      <w:r>
        <w:rPr>
          <w:sz w:val="24"/>
          <w:szCs w:val="24"/>
        </w:rPr>
        <w:t>interregional</w:t>
      </w:r>
      <w:proofErr w:type="spellEnd"/>
      <w:r>
        <w:rPr>
          <w:sz w:val="24"/>
          <w:szCs w:val="24"/>
        </w:rPr>
        <w:t xml:space="preserve"> da </w:t>
      </w:r>
      <w:r w:rsidRPr="005C2796">
        <w:rPr>
          <w:sz w:val="24"/>
          <w:szCs w:val="24"/>
        </w:rPr>
        <w:t xml:space="preserve">incidência de pobreza no Brasil, as regiões Nordeste </w:t>
      </w:r>
      <w:r>
        <w:rPr>
          <w:sz w:val="24"/>
          <w:szCs w:val="24"/>
        </w:rPr>
        <w:t xml:space="preserve">e Sudeste </w:t>
      </w:r>
      <w:r w:rsidRPr="005C2796">
        <w:rPr>
          <w:sz w:val="24"/>
          <w:szCs w:val="24"/>
        </w:rPr>
        <w:t>destacam-se, em termos absolutos</w:t>
      </w:r>
      <w:r>
        <w:rPr>
          <w:sz w:val="24"/>
          <w:szCs w:val="24"/>
        </w:rPr>
        <w:t xml:space="preserve">, </w:t>
      </w:r>
      <w:r w:rsidRPr="005C2796">
        <w:rPr>
          <w:sz w:val="24"/>
          <w:szCs w:val="24"/>
        </w:rPr>
        <w:t>quanto ao contingente de indivíduos considerados pobres</w:t>
      </w:r>
      <w:r>
        <w:rPr>
          <w:sz w:val="24"/>
          <w:szCs w:val="24"/>
        </w:rPr>
        <w:t xml:space="preserve"> e extremamente pobres</w:t>
      </w:r>
      <w:r w:rsidRPr="005C2796">
        <w:rPr>
          <w:sz w:val="24"/>
          <w:szCs w:val="24"/>
        </w:rPr>
        <w:t xml:space="preserve">, conforme mostra a Tabela 1. </w:t>
      </w:r>
    </w:p>
    <w:p w:rsidR="008E32B7" w:rsidRDefault="008E32B7">
      <w:pPr>
        <w:autoSpaceDE w:val="0"/>
        <w:autoSpaceDN w:val="0"/>
        <w:adjustRightInd w:val="0"/>
        <w:ind w:firstLine="708"/>
        <w:jc w:val="both"/>
        <w:rPr>
          <w:sz w:val="24"/>
          <w:szCs w:val="24"/>
        </w:rPr>
      </w:pPr>
    </w:p>
    <w:p w:rsidR="008E32B7" w:rsidRDefault="003F701C">
      <w:pPr>
        <w:autoSpaceDE w:val="0"/>
        <w:autoSpaceDN w:val="0"/>
        <w:adjustRightInd w:val="0"/>
        <w:jc w:val="both"/>
        <w:rPr>
          <w:sz w:val="24"/>
          <w:szCs w:val="24"/>
        </w:rPr>
      </w:pPr>
      <w:r w:rsidRPr="005C2796">
        <w:rPr>
          <w:sz w:val="24"/>
          <w:szCs w:val="24"/>
        </w:rPr>
        <w:t xml:space="preserve">Tabela 1 – Incidência de pobreza, Brasil e regiões, </w:t>
      </w:r>
      <w:proofErr w:type="gramStart"/>
      <w:r w:rsidRPr="005C2796">
        <w:rPr>
          <w:sz w:val="24"/>
          <w:szCs w:val="24"/>
        </w:rPr>
        <w:t>2009</w:t>
      </w:r>
      <w:proofErr w:type="gramEnd"/>
    </w:p>
    <w:tbl>
      <w:tblPr>
        <w:tblpPr w:leftFromText="141" w:rightFromText="141" w:vertAnchor="text" w:tblpXSpec="center" w:tblpY="1"/>
        <w:tblOverlap w:val="never"/>
        <w:tblW w:w="4797" w:type="pct"/>
        <w:jc w:val="center"/>
        <w:tblBorders>
          <w:insideH w:val="single" w:sz="4" w:space="0" w:color="auto"/>
          <w:insideV w:val="single" w:sz="4" w:space="0" w:color="auto"/>
        </w:tblBorders>
        <w:tblCellMar>
          <w:left w:w="70" w:type="dxa"/>
          <w:right w:w="70" w:type="dxa"/>
        </w:tblCellMar>
        <w:tblLook w:val="0000"/>
      </w:tblPr>
      <w:tblGrid>
        <w:gridCol w:w="1468"/>
        <w:gridCol w:w="2114"/>
        <w:gridCol w:w="2114"/>
        <w:gridCol w:w="2114"/>
        <w:gridCol w:w="2114"/>
      </w:tblGrid>
      <w:tr w:rsidR="003F701C" w:rsidRPr="003F701C" w:rsidTr="006A3331">
        <w:trPr>
          <w:trHeight w:hRule="exact" w:val="577"/>
          <w:jc w:val="center"/>
        </w:trPr>
        <w:tc>
          <w:tcPr>
            <w:tcW w:w="739" w:type="pct"/>
            <w:tcBorders>
              <w:top w:val="single" w:sz="4" w:space="0" w:color="auto"/>
              <w:bottom w:val="single" w:sz="4" w:space="0" w:color="auto"/>
            </w:tcBorders>
            <w:shd w:val="clear" w:color="auto" w:fill="auto"/>
            <w:vAlign w:val="center"/>
          </w:tcPr>
          <w:p w:rsidR="003F701C" w:rsidRPr="003F701C" w:rsidRDefault="00057E3A" w:rsidP="003F701C">
            <w:pPr>
              <w:jc w:val="center"/>
              <w:rPr>
                <w:sz w:val="20"/>
              </w:rPr>
            </w:pPr>
            <w:r w:rsidRPr="00057E3A">
              <w:rPr>
                <w:sz w:val="20"/>
              </w:rPr>
              <w:t>Região</w:t>
            </w:r>
          </w:p>
        </w:tc>
        <w:tc>
          <w:tcPr>
            <w:tcW w:w="1065" w:type="pct"/>
            <w:tcBorders>
              <w:top w:val="single" w:sz="4" w:space="0" w:color="auto"/>
              <w:bottom w:val="single" w:sz="4" w:space="0" w:color="auto"/>
            </w:tcBorders>
            <w:shd w:val="clear" w:color="auto" w:fill="auto"/>
            <w:vAlign w:val="center"/>
          </w:tcPr>
          <w:p w:rsidR="003F701C" w:rsidRPr="003F701C" w:rsidRDefault="00057E3A" w:rsidP="003F701C">
            <w:pPr>
              <w:jc w:val="center"/>
              <w:rPr>
                <w:sz w:val="20"/>
              </w:rPr>
            </w:pPr>
            <w:r w:rsidRPr="00057E3A">
              <w:rPr>
                <w:sz w:val="20"/>
              </w:rPr>
              <w:t xml:space="preserve">Número de pessoas extremamente pobres </w:t>
            </w:r>
          </w:p>
        </w:tc>
        <w:tc>
          <w:tcPr>
            <w:tcW w:w="1065" w:type="pct"/>
            <w:tcBorders>
              <w:top w:val="single" w:sz="4" w:space="0" w:color="auto"/>
              <w:bottom w:val="single" w:sz="4" w:space="0" w:color="auto"/>
            </w:tcBorders>
            <w:vAlign w:val="center"/>
          </w:tcPr>
          <w:p w:rsidR="008E32B7" w:rsidRDefault="00057E3A">
            <w:pPr>
              <w:jc w:val="center"/>
              <w:rPr>
                <w:sz w:val="20"/>
              </w:rPr>
            </w:pPr>
            <w:r w:rsidRPr="00057E3A">
              <w:rPr>
                <w:sz w:val="20"/>
              </w:rPr>
              <w:t>Parcela da população extremamente pobre (%)</w:t>
            </w:r>
          </w:p>
        </w:tc>
        <w:tc>
          <w:tcPr>
            <w:tcW w:w="1065" w:type="pct"/>
            <w:tcBorders>
              <w:top w:val="single" w:sz="4" w:space="0" w:color="auto"/>
              <w:bottom w:val="single" w:sz="4" w:space="0" w:color="auto"/>
            </w:tcBorders>
            <w:shd w:val="clear" w:color="auto" w:fill="auto"/>
            <w:vAlign w:val="center"/>
          </w:tcPr>
          <w:p w:rsidR="008E32B7" w:rsidRDefault="00057E3A">
            <w:pPr>
              <w:jc w:val="center"/>
              <w:rPr>
                <w:sz w:val="20"/>
              </w:rPr>
            </w:pPr>
            <w:r w:rsidRPr="00057E3A">
              <w:rPr>
                <w:sz w:val="20"/>
              </w:rPr>
              <w:t>Número de pessoas pobres</w:t>
            </w:r>
          </w:p>
        </w:tc>
        <w:tc>
          <w:tcPr>
            <w:tcW w:w="1065" w:type="pct"/>
            <w:tcBorders>
              <w:top w:val="single" w:sz="4" w:space="0" w:color="auto"/>
              <w:bottom w:val="single" w:sz="4" w:space="0" w:color="auto"/>
            </w:tcBorders>
            <w:shd w:val="clear" w:color="auto" w:fill="auto"/>
            <w:vAlign w:val="center"/>
          </w:tcPr>
          <w:p w:rsidR="008E32B7" w:rsidRDefault="00057E3A">
            <w:pPr>
              <w:jc w:val="center"/>
              <w:rPr>
                <w:sz w:val="20"/>
              </w:rPr>
            </w:pPr>
            <w:r w:rsidRPr="00057E3A">
              <w:rPr>
                <w:sz w:val="20"/>
              </w:rPr>
              <w:t>Parcela da população pobre (%)</w:t>
            </w:r>
          </w:p>
        </w:tc>
      </w:tr>
      <w:tr w:rsidR="003F701C" w:rsidRPr="003F701C" w:rsidTr="006A3331">
        <w:trPr>
          <w:trHeight w:hRule="exact" w:val="312"/>
          <w:jc w:val="center"/>
        </w:trPr>
        <w:tc>
          <w:tcPr>
            <w:tcW w:w="739" w:type="pct"/>
            <w:tcBorders>
              <w:top w:val="single" w:sz="4" w:space="0" w:color="auto"/>
            </w:tcBorders>
            <w:shd w:val="clear" w:color="auto" w:fill="auto"/>
            <w:noWrap/>
            <w:vAlign w:val="center"/>
          </w:tcPr>
          <w:p w:rsidR="003F701C" w:rsidRPr="003F701C" w:rsidRDefault="00057E3A" w:rsidP="003F701C">
            <w:pPr>
              <w:jc w:val="center"/>
              <w:rPr>
                <w:sz w:val="20"/>
              </w:rPr>
            </w:pPr>
            <w:r w:rsidRPr="00057E3A">
              <w:rPr>
                <w:sz w:val="20"/>
              </w:rPr>
              <w:t>Centro-oeste</w:t>
            </w:r>
          </w:p>
        </w:tc>
        <w:tc>
          <w:tcPr>
            <w:tcW w:w="1065" w:type="pct"/>
            <w:tcBorders>
              <w:top w:val="single" w:sz="4" w:space="0" w:color="auto"/>
            </w:tcBorders>
            <w:shd w:val="clear" w:color="auto" w:fill="auto"/>
            <w:noWrap/>
            <w:vAlign w:val="center"/>
          </w:tcPr>
          <w:p w:rsidR="003F701C" w:rsidRPr="003F701C" w:rsidRDefault="00057E3A" w:rsidP="003F701C">
            <w:pPr>
              <w:jc w:val="center"/>
              <w:rPr>
                <w:sz w:val="20"/>
              </w:rPr>
            </w:pPr>
            <w:r w:rsidRPr="00057E3A">
              <w:rPr>
                <w:sz w:val="20"/>
              </w:rPr>
              <w:t>460.893</w:t>
            </w:r>
          </w:p>
        </w:tc>
        <w:tc>
          <w:tcPr>
            <w:tcW w:w="1065" w:type="pct"/>
            <w:tcBorders>
              <w:top w:val="single" w:sz="4" w:space="0" w:color="auto"/>
            </w:tcBorders>
            <w:vAlign w:val="center"/>
          </w:tcPr>
          <w:p w:rsidR="008E32B7" w:rsidRDefault="00057E3A">
            <w:pPr>
              <w:jc w:val="center"/>
              <w:rPr>
                <w:sz w:val="20"/>
              </w:rPr>
            </w:pPr>
            <w:r w:rsidRPr="00057E3A">
              <w:rPr>
                <w:sz w:val="20"/>
              </w:rPr>
              <w:t>3,49</w:t>
            </w:r>
          </w:p>
        </w:tc>
        <w:tc>
          <w:tcPr>
            <w:tcW w:w="1065" w:type="pct"/>
            <w:tcBorders>
              <w:top w:val="single" w:sz="4" w:space="0" w:color="auto"/>
            </w:tcBorders>
            <w:shd w:val="clear" w:color="auto" w:fill="auto"/>
            <w:noWrap/>
            <w:vAlign w:val="center"/>
          </w:tcPr>
          <w:p w:rsidR="008E32B7" w:rsidRDefault="00057E3A">
            <w:pPr>
              <w:jc w:val="center"/>
              <w:rPr>
                <w:sz w:val="20"/>
              </w:rPr>
            </w:pPr>
            <w:r w:rsidRPr="00057E3A">
              <w:rPr>
                <w:sz w:val="20"/>
              </w:rPr>
              <w:t>1.574.079</w:t>
            </w:r>
          </w:p>
        </w:tc>
        <w:tc>
          <w:tcPr>
            <w:tcW w:w="1065" w:type="pct"/>
            <w:tcBorders>
              <w:top w:val="single" w:sz="4" w:space="0" w:color="auto"/>
            </w:tcBorders>
            <w:shd w:val="clear" w:color="auto" w:fill="auto"/>
            <w:noWrap/>
            <w:vAlign w:val="center"/>
          </w:tcPr>
          <w:p w:rsidR="008E32B7" w:rsidRDefault="00057E3A">
            <w:pPr>
              <w:jc w:val="center"/>
              <w:rPr>
                <w:sz w:val="20"/>
              </w:rPr>
            </w:pPr>
            <w:r w:rsidRPr="00057E3A">
              <w:rPr>
                <w:sz w:val="20"/>
              </w:rPr>
              <w:t>11,90</w:t>
            </w:r>
          </w:p>
        </w:tc>
      </w:tr>
      <w:tr w:rsidR="003F701C" w:rsidRPr="003F701C" w:rsidTr="006A3331">
        <w:trPr>
          <w:trHeight w:hRule="exact" w:val="312"/>
          <w:jc w:val="center"/>
        </w:trPr>
        <w:tc>
          <w:tcPr>
            <w:tcW w:w="739" w:type="pct"/>
            <w:shd w:val="clear" w:color="auto" w:fill="auto"/>
            <w:noWrap/>
            <w:vAlign w:val="center"/>
          </w:tcPr>
          <w:p w:rsidR="003F701C" w:rsidRPr="003F701C" w:rsidRDefault="00057E3A" w:rsidP="003F701C">
            <w:pPr>
              <w:jc w:val="center"/>
              <w:rPr>
                <w:sz w:val="20"/>
              </w:rPr>
            </w:pPr>
            <w:r w:rsidRPr="00057E3A">
              <w:rPr>
                <w:sz w:val="20"/>
              </w:rPr>
              <w:t>Norte</w:t>
            </w:r>
          </w:p>
        </w:tc>
        <w:tc>
          <w:tcPr>
            <w:tcW w:w="1065" w:type="pct"/>
            <w:shd w:val="clear" w:color="auto" w:fill="auto"/>
            <w:noWrap/>
            <w:vAlign w:val="center"/>
          </w:tcPr>
          <w:p w:rsidR="003F701C" w:rsidRPr="003F701C" w:rsidRDefault="00057E3A" w:rsidP="003F701C">
            <w:pPr>
              <w:jc w:val="center"/>
              <w:rPr>
                <w:sz w:val="20"/>
              </w:rPr>
            </w:pPr>
            <w:r w:rsidRPr="00057E3A">
              <w:rPr>
                <w:sz w:val="20"/>
              </w:rPr>
              <w:t>1.501.823</w:t>
            </w:r>
          </w:p>
        </w:tc>
        <w:tc>
          <w:tcPr>
            <w:tcW w:w="1065" w:type="pct"/>
            <w:vAlign w:val="center"/>
          </w:tcPr>
          <w:p w:rsidR="008E32B7" w:rsidRDefault="00057E3A">
            <w:pPr>
              <w:jc w:val="center"/>
              <w:rPr>
                <w:sz w:val="20"/>
              </w:rPr>
            </w:pPr>
            <w:r w:rsidRPr="00057E3A">
              <w:rPr>
                <w:sz w:val="20"/>
              </w:rPr>
              <w:t>10,27</w:t>
            </w:r>
          </w:p>
        </w:tc>
        <w:tc>
          <w:tcPr>
            <w:tcW w:w="1065" w:type="pct"/>
            <w:shd w:val="clear" w:color="auto" w:fill="auto"/>
            <w:noWrap/>
            <w:vAlign w:val="center"/>
          </w:tcPr>
          <w:p w:rsidR="008E32B7" w:rsidRDefault="00057E3A">
            <w:pPr>
              <w:jc w:val="center"/>
              <w:rPr>
                <w:sz w:val="20"/>
              </w:rPr>
            </w:pPr>
            <w:r w:rsidRPr="00057E3A">
              <w:rPr>
                <w:sz w:val="20"/>
              </w:rPr>
              <w:t>4.924.547</w:t>
            </w:r>
          </w:p>
        </w:tc>
        <w:tc>
          <w:tcPr>
            <w:tcW w:w="1065" w:type="pct"/>
            <w:shd w:val="clear" w:color="auto" w:fill="auto"/>
            <w:noWrap/>
            <w:vAlign w:val="center"/>
          </w:tcPr>
          <w:p w:rsidR="008E32B7" w:rsidRDefault="00057E3A">
            <w:pPr>
              <w:jc w:val="center"/>
              <w:rPr>
                <w:sz w:val="20"/>
              </w:rPr>
            </w:pPr>
            <w:r w:rsidRPr="00057E3A">
              <w:rPr>
                <w:sz w:val="20"/>
              </w:rPr>
              <w:t>33,68</w:t>
            </w:r>
          </w:p>
        </w:tc>
      </w:tr>
      <w:tr w:rsidR="003F701C" w:rsidRPr="003F701C" w:rsidTr="006A3331">
        <w:trPr>
          <w:trHeight w:hRule="exact" w:val="312"/>
          <w:jc w:val="center"/>
        </w:trPr>
        <w:tc>
          <w:tcPr>
            <w:tcW w:w="739" w:type="pct"/>
            <w:shd w:val="clear" w:color="auto" w:fill="auto"/>
            <w:noWrap/>
            <w:vAlign w:val="center"/>
          </w:tcPr>
          <w:p w:rsidR="003F701C" w:rsidRPr="003F701C" w:rsidRDefault="00057E3A" w:rsidP="003F701C">
            <w:pPr>
              <w:jc w:val="center"/>
              <w:rPr>
                <w:sz w:val="20"/>
              </w:rPr>
            </w:pPr>
            <w:r w:rsidRPr="00057E3A">
              <w:rPr>
                <w:sz w:val="20"/>
              </w:rPr>
              <w:t>Nordeste</w:t>
            </w:r>
          </w:p>
        </w:tc>
        <w:tc>
          <w:tcPr>
            <w:tcW w:w="1065" w:type="pct"/>
            <w:shd w:val="clear" w:color="auto" w:fill="auto"/>
            <w:noWrap/>
            <w:vAlign w:val="center"/>
          </w:tcPr>
          <w:p w:rsidR="003F701C" w:rsidRPr="003F701C" w:rsidRDefault="00057E3A" w:rsidP="003F701C">
            <w:pPr>
              <w:jc w:val="center"/>
              <w:rPr>
                <w:sz w:val="20"/>
              </w:rPr>
            </w:pPr>
            <w:r w:rsidRPr="00057E3A">
              <w:rPr>
                <w:sz w:val="20"/>
              </w:rPr>
              <w:t>8.215.239</w:t>
            </w:r>
          </w:p>
        </w:tc>
        <w:tc>
          <w:tcPr>
            <w:tcW w:w="1065" w:type="pct"/>
            <w:vAlign w:val="center"/>
          </w:tcPr>
          <w:p w:rsidR="008E32B7" w:rsidRDefault="00057E3A">
            <w:pPr>
              <w:jc w:val="center"/>
              <w:rPr>
                <w:sz w:val="20"/>
              </w:rPr>
            </w:pPr>
            <w:r w:rsidRPr="00057E3A">
              <w:rPr>
                <w:sz w:val="20"/>
              </w:rPr>
              <w:t>15,94</w:t>
            </w:r>
          </w:p>
        </w:tc>
        <w:tc>
          <w:tcPr>
            <w:tcW w:w="1065" w:type="pct"/>
            <w:shd w:val="clear" w:color="auto" w:fill="auto"/>
            <w:noWrap/>
            <w:vAlign w:val="center"/>
          </w:tcPr>
          <w:p w:rsidR="008E32B7" w:rsidRDefault="00057E3A">
            <w:pPr>
              <w:jc w:val="center"/>
              <w:rPr>
                <w:sz w:val="20"/>
              </w:rPr>
            </w:pPr>
            <w:r w:rsidRPr="00057E3A">
              <w:rPr>
                <w:sz w:val="20"/>
              </w:rPr>
              <w:t>20.975.867</w:t>
            </w:r>
          </w:p>
        </w:tc>
        <w:tc>
          <w:tcPr>
            <w:tcW w:w="1065" w:type="pct"/>
            <w:shd w:val="clear" w:color="auto" w:fill="auto"/>
            <w:noWrap/>
            <w:vAlign w:val="center"/>
          </w:tcPr>
          <w:p w:rsidR="008E32B7" w:rsidRDefault="00057E3A">
            <w:pPr>
              <w:jc w:val="center"/>
              <w:rPr>
                <w:sz w:val="20"/>
              </w:rPr>
            </w:pPr>
            <w:r w:rsidRPr="00057E3A">
              <w:rPr>
                <w:sz w:val="20"/>
              </w:rPr>
              <w:t>40,70</w:t>
            </w:r>
          </w:p>
        </w:tc>
      </w:tr>
      <w:tr w:rsidR="003F701C" w:rsidRPr="003F701C" w:rsidTr="006A3331">
        <w:trPr>
          <w:trHeight w:hRule="exact" w:val="312"/>
          <w:jc w:val="center"/>
        </w:trPr>
        <w:tc>
          <w:tcPr>
            <w:tcW w:w="739" w:type="pct"/>
            <w:shd w:val="clear" w:color="auto" w:fill="auto"/>
            <w:noWrap/>
            <w:vAlign w:val="center"/>
          </w:tcPr>
          <w:p w:rsidR="003F701C" w:rsidRPr="003F701C" w:rsidRDefault="00057E3A" w:rsidP="003F701C">
            <w:pPr>
              <w:jc w:val="center"/>
              <w:rPr>
                <w:sz w:val="20"/>
              </w:rPr>
            </w:pPr>
            <w:r w:rsidRPr="00057E3A">
              <w:rPr>
                <w:sz w:val="20"/>
              </w:rPr>
              <w:t>Sul</w:t>
            </w:r>
          </w:p>
        </w:tc>
        <w:tc>
          <w:tcPr>
            <w:tcW w:w="1065" w:type="pct"/>
            <w:shd w:val="clear" w:color="auto" w:fill="auto"/>
            <w:noWrap/>
            <w:vAlign w:val="center"/>
          </w:tcPr>
          <w:p w:rsidR="003F701C" w:rsidRPr="003F701C" w:rsidRDefault="00057E3A" w:rsidP="003F701C">
            <w:pPr>
              <w:jc w:val="center"/>
              <w:rPr>
                <w:sz w:val="20"/>
              </w:rPr>
            </w:pPr>
            <w:r w:rsidRPr="00057E3A">
              <w:rPr>
                <w:sz w:val="20"/>
              </w:rPr>
              <w:t>850.438</w:t>
            </w:r>
          </w:p>
        </w:tc>
        <w:tc>
          <w:tcPr>
            <w:tcW w:w="1065" w:type="pct"/>
            <w:vAlign w:val="center"/>
          </w:tcPr>
          <w:p w:rsidR="008E32B7" w:rsidRDefault="00057E3A">
            <w:pPr>
              <w:jc w:val="center"/>
              <w:rPr>
                <w:sz w:val="20"/>
              </w:rPr>
            </w:pPr>
            <w:r w:rsidRPr="00057E3A">
              <w:rPr>
                <w:sz w:val="20"/>
              </w:rPr>
              <w:t>3,18</w:t>
            </w:r>
          </w:p>
        </w:tc>
        <w:tc>
          <w:tcPr>
            <w:tcW w:w="1065" w:type="pct"/>
            <w:shd w:val="clear" w:color="auto" w:fill="auto"/>
            <w:noWrap/>
            <w:vAlign w:val="center"/>
          </w:tcPr>
          <w:p w:rsidR="008E32B7" w:rsidRDefault="00057E3A">
            <w:pPr>
              <w:jc w:val="center"/>
              <w:rPr>
                <w:sz w:val="20"/>
              </w:rPr>
            </w:pPr>
            <w:r w:rsidRPr="00057E3A">
              <w:rPr>
                <w:sz w:val="20"/>
              </w:rPr>
              <w:t>3.140.184</w:t>
            </w:r>
          </w:p>
        </w:tc>
        <w:tc>
          <w:tcPr>
            <w:tcW w:w="1065" w:type="pct"/>
            <w:shd w:val="clear" w:color="auto" w:fill="auto"/>
            <w:noWrap/>
            <w:vAlign w:val="center"/>
          </w:tcPr>
          <w:p w:rsidR="008E32B7" w:rsidRDefault="00057E3A">
            <w:pPr>
              <w:jc w:val="center"/>
              <w:rPr>
                <w:sz w:val="20"/>
              </w:rPr>
            </w:pPr>
            <w:r w:rsidRPr="00057E3A">
              <w:rPr>
                <w:sz w:val="20"/>
              </w:rPr>
              <w:t>11,75</w:t>
            </w:r>
          </w:p>
        </w:tc>
      </w:tr>
      <w:tr w:rsidR="003F701C" w:rsidRPr="003F701C" w:rsidTr="006A3331">
        <w:trPr>
          <w:trHeight w:hRule="exact" w:val="312"/>
          <w:jc w:val="center"/>
        </w:trPr>
        <w:tc>
          <w:tcPr>
            <w:tcW w:w="739" w:type="pct"/>
            <w:tcBorders>
              <w:bottom w:val="single" w:sz="4" w:space="0" w:color="auto"/>
            </w:tcBorders>
            <w:shd w:val="clear" w:color="auto" w:fill="auto"/>
            <w:noWrap/>
            <w:vAlign w:val="center"/>
          </w:tcPr>
          <w:p w:rsidR="003F701C" w:rsidRPr="003F701C" w:rsidRDefault="00057E3A" w:rsidP="003F701C">
            <w:pPr>
              <w:jc w:val="center"/>
              <w:rPr>
                <w:sz w:val="20"/>
              </w:rPr>
            </w:pPr>
            <w:r w:rsidRPr="00057E3A">
              <w:rPr>
                <w:sz w:val="20"/>
              </w:rPr>
              <w:t>Sudeste</w:t>
            </w:r>
          </w:p>
        </w:tc>
        <w:tc>
          <w:tcPr>
            <w:tcW w:w="1065" w:type="pct"/>
            <w:tcBorders>
              <w:bottom w:val="single" w:sz="4" w:space="0" w:color="auto"/>
            </w:tcBorders>
            <w:shd w:val="clear" w:color="auto" w:fill="auto"/>
            <w:noWrap/>
            <w:vAlign w:val="center"/>
          </w:tcPr>
          <w:p w:rsidR="003F701C" w:rsidRPr="003F701C" w:rsidRDefault="00057E3A" w:rsidP="003F701C">
            <w:pPr>
              <w:jc w:val="center"/>
              <w:rPr>
                <w:sz w:val="20"/>
              </w:rPr>
            </w:pPr>
            <w:r w:rsidRPr="00057E3A">
              <w:rPr>
                <w:sz w:val="20"/>
              </w:rPr>
              <w:t>2.446.590</w:t>
            </w:r>
          </w:p>
        </w:tc>
        <w:tc>
          <w:tcPr>
            <w:tcW w:w="1065" w:type="pct"/>
            <w:tcBorders>
              <w:bottom w:val="single" w:sz="4" w:space="0" w:color="auto"/>
            </w:tcBorders>
            <w:vAlign w:val="center"/>
          </w:tcPr>
          <w:p w:rsidR="008E32B7" w:rsidRDefault="00057E3A">
            <w:pPr>
              <w:jc w:val="center"/>
              <w:rPr>
                <w:sz w:val="20"/>
              </w:rPr>
            </w:pPr>
            <w:r w:rsidRPr="00057E3A">
              <w:rPr>
                <w:sz w:val="20"/>
              </w:rPr>
              <w:t>3,14</w:t>
            </w:r>
          </w:p>
        </w:tc>
        <w:tc>
          <w:tcPr>
            <w:tcW w:w="1065" w:type="pct"/>
            <w:tcBorders>
              <w:bottom w:val="single" w:sz="4" w:space="0" w:color="auto"/>
            </w:tcBorders>
            <w:shd w:val="clear" w:color="auto" w:fill="auto"/>
            <w:noWrap/>
            <w:vAlign w:val="center"/>
          </w:tcPr>
          <w:p w:rsidR="008E32B7" w:rsidRDefault="00057E3A">
            <w:pPr>
              <w:jc w:val="center"/>
              <w:rPr>
                <w:sz w:val="20"/>
              </w:rPr>
            </w:pPr>
            <w:r w:rsidRPr="00057E3A">
              <w:rPr>
                <w:sz w:val="20"/>
              </w:rPr>
              <w:t>9.016.873</w:t>
            </w:r>
          </w:p>
        </w:tc>
        <w:tc>
          <w:tcPr>
            <w:tcW w:w="1065" w:type="pct"/>
            <w:tcBorders>
              <w:bottom w:val="single" w:sz="4" w:space="0" w:color="auto"/>
            </w:tcBorders>
            <w:shd w:val="clear" w:color="auto" w:fill="auto"/>
            <w:noWrap/>
            <w:vAlign w:val="center"/>
          </w:tcPr>
          <w:p w:rsidR="008E32B7" w:rsidRDefault="00057E3A">
            <w:pPr>
              <w:jc w:val="center"/>
              <w:rPr>
                <w:sz w:val="20"/>
              </w:rPr>
            </w:pPr>
            <w:r w:rsidRPr="00057E3A">
              <w:rPr>
                <w:sz w:val="20"/>
              </w:rPr>
              <w:t>11,58</w:t>
            </w:r>
          </w:p>
        </w:tc>
      </w:tr>
      <w:tr w:rsidR="003F701C" w:rsidRPr="003F701C" w:rsidTr="006A3331">
        <w:trPr>
          <w:trHeight w:hRule="exact" w:val="312"/>
          <w:jc w:val="center"/>
        </w:trPr>
        <w:tc>
          <w:tcPr>
            <w:tcW w:w="739" w:type="pct"/>
            <w:tcBorders>
              <w:top w:val="single" w:sz="4" w:space="0" w:color="auto"/>
              <w:bottom w:val="single" w:sz="4" w:space="0" w:color="auto"/>
            </w:tcBorders>
            <w:shd w:val="clear" w:color="auto" w:fill="auto"/>
            <w:noWrap/>
            <w:vAlign w:val="center"/>
          </w:tcPr>
          <w:p w:rsidR="003F701C" w:rsidRPr="003F701C" w:rsidRDefault="00057E3A" w:rsidP="003F701C">
            <w:pPr>
              <w:jc w:val="center"/>
              <w:rPr>
                <w:bCs/>
                <w:sz w:val="20"/>
              </w:rPr>
            </w:pPr>
            <w:r w:rsidRPr="00057E3A">
              <w:rPr>
                <w:bCs/>
                <w:sz w:val="20"/>
              </w:rPr>
              <w:t>Brasil</w:t>
            </w:r>
          </w:p>
        </w:tc>
        <w:tc>
          <w:tcPr>
            <w:tcW w:w="1065" w:type="pct"/>
            <w:tcBorders>
              <w:top w:val="single" w:sz="4" w:space="0" w:color="auto"/>
              <w:bottom w:val="single" w:sz="4" w:space="0" w:color="auto"/>
            </w:tcBorders>
            <w:shd w:val="clear" w:color="auto" w:fill="auto"/>
            <w:noWrap/>
            <w:vAlign w:val="center"/>
          </w:tcPr>
          <w:p w:rsidR="003F701C" w:rsidRPr="003F701C" w:rsidRDefault="00057E3A" w:rsidP="003F701C">
            <w:pPr>
              <w:jc w:val="center"/>
              <w:rPr>
                <w:bCs/>
                <w:sz w:val="20"/>
              </w:rPr>
            </w:pPr>
            <w:r w:rsidRPr="00057E3A">
              <w:rPr>
                <w:bCs/>
                <w:sz w:val="20"/>
              </w:rPr>
              <w:t>13.474.983</w:t>
            </w:r>
          </w:p>
        </w:tc>
        <w:tc>
          <w:tcPr>
            <w:tcW w:w="1065" w:type="pct"/>
            <w:tcBorders>
              <w:top w:val="single" w:sz="4" w:space="0" w:color="auto"/>
              <w:bottom w:val="single" w:sz="4" w:space="0" w:color="auto"/>
            </w:tcBorders>
            <w:vAlign w:val="center"/>
          </w:tcPr>
          <w:p w:rsidR="008E32B7" w:rsidRDefault="00057E3A">
            <w:pPr>
              <w:jc w:val="center"/>
              <w:rPr>
                <w:bCs/>
                <w:sz w:val="20"/>
              </w:rPr>
            </w:pPr>
            <w:r w:rsidRPr="00057E3A">
              <w:rPr>
                <w:bCs/>
                <w:sz w:val="20"/>
              </w:rPr>
              <w:t>7,32</w:t>
            </w:r>
          </w:p>
        </w:tc>
        <w:tc>
          <w:tcPr>
            <w:tcW w:w="1065" w:type="pct"/>
            <w:tcBorders>
              <w:top w:val="single" w:sz="4" w:space="0" w:color="auto"/>
              <w:bottom w:val="single" w:sz="4" w:space="0" w:color="auto"/>
            </w:tcBorders>
            <w:shd w:val="clear" w:color="auto" w:fill="auto"/>
            <w:noWrap/>
            <w:vAlign w:val="center"/>
          </w:tcPr>
          <w:p w:rsidR="008E32B7" w:rsidRDefault="00057E3A">
            <w:pPr>
              <w:jc w:val="center"/>
              <w:rPr>
                <w:bCs/>
                <w:sz w:val="20"/>
              </w:rPr>
            </w:pPr>
            <w:r w:rsidRPr="00057E3A">
              <w:rPr>
                <w:bCs/>
                <w:sz w:val="20"/>
              </w:rPr>
              <w:t>39.631.550</w:t>
            </w:r>
          </w:p>
        </w:tc>
        <w:tc>
          <w:tcPr>
            <w:tcW w:w="1065" w:type="pct"/>
            <w:tcBorders>
              <w:top w:val="single" w:sz="4" w:space="0" w:color="auto"/>
              <w:bottom w:val="single" w:sz="4" w:space="0" w:color="auto"/>
            </w:tcBorders>
            <w:shd w:val="clear" w:color="auto" w:fill="auto"/>
            <w:noWrap/>
            <w:vAlign w:val="center"/>
          </w:tcPr>
          <w:p w:rsidR="008E32B7" w:rsidRDefault="00057E3A">
            <w:pPr>
              <w:jc w:val="center"/>
              <w:rPr>
                <w:bCs/>
                <w:sz w:val="20"/>
              </w:rPr>
            </w:pPr>
            <w:r w:rsidRPr="00057E3A">
              <w:rPr>
                <w:bCs/>
                <w:sz w:val="20"/>
              </w:rPr>
              <w:t>21,54</w:t>
            </w:r>
          </w:p>
        </w:tc>
      </w:tr>
    </w:tbl>
    <w:p w:rsidR="003F701C" w:rsidRPr="005C2796" w:rsidRDefault="003F701C" w:rsidP="003F701C">
      <w:pPr>
        <w:autoSpaceDE w:val="0"/>
        <w:autoSpaceDN w:val="0"/>
        <w:adjustRightInd w:val="0"/>
        <w:jc w:val="both"/>
        <w:rPr>
          <w:sz w:val="20"/>
        </w:rPr>
      </w:pPr>
      <w:r w:rsidRPr="005C2796">
        <w:rPr>
          <w:sz w:val="20"/>
        </w:rPr>
        <w:t xml:space="preserve">Fonte: </w:t>
      </w:r>
      <w:proofErr w:type="spellStart"/>
      <w:r w:rsidRPr="005C2796">
        <w:rPr>
          <w:sz w:val="20"/>
        </w:rPr>
        <w:t>Ipeadata</w:t>
      </w:r>
      <w:proofErr w:type="spellEnd"/>
      <w:r>
        <w:rPr>
          <w:sz w:val="20"/>
        </w:rPr>
        <w:t xml:space="preserve"> (2013)</w:t>
      </w:r>
      <w:r w:rsidRPr="005C2796">
        <w:rPr>
          <w:sz w:val="20"/>
        </w:rPr>
        <w:t>.</w:t>
      </w:r>
    </w:p>
    <w:p w:rsidR="008E32B7" w:rsidRDefault="003F701C">
      <w:pPr>
        <w:autoSpaceDE w:val="0"/>
        <w:autoSpaceDN w:val="0"/>
        <w:adjustRightInd w:val="0"/>
        <w:ind w:firstLine="708"/>
        <w:jc w:val="both"/>
        <w:rPr>
          <w:sz w:val="24"/>
          <w:szCs w:val="24"/>
        </w:rPr>
      </w:pPr>
      <w:r>
        <w:rPr>
          <w:sz w:val="24"/>
          <w:szCs w:val="24"/>
        </w:rPr>
        <w:t>No ano de 2009, as</w:t>
      </w:r>
      <w:r w:rsidRPr="005C2796">
        <w:rPr>
          <w:sz w:val="24"/>
          <w:szCs w:val="24"/>
        </w:rPr>
        <w:t xml:space="preserve"> r</w:t>
      </w:r>
      <w:r>
        <w:rPr>
          <w:sz w:val="24"/>
          <w:szCs w:val="24"/>
        </w:rPr>
        <w:t>egiões Sudeste e Nordeste possuíam 9.017</w:t>
      </w:r>
      <w:r w:rsidRPr="005C2796">
        <w:rPr>
          <w:sz w:val="24"/>
          <w:szCs w:val="24"/>
        </w:rPr>
        <w:t xml:space="preserve"> mil e </w:t>
      </w:r>
      <w:r>
        <w:rPr>
          <w:sz w:val="24"/>
          <w:szCs w:val="24"/>
        </w:rPr>
        <w:t>20.976</w:t>
      </w:r>
      <w:r w:rsidRPr="005C2796">
        <w:rPr>
          <w:sz w:val="24"/>
          <w:szCs w:val="24"/>
        </w:rPr>
        <w:t xml:space="preserve"> mil pessoas em condição de pobreza, </w:t>
      </w:r>
      <w:r>
        <w:rPr>
          <w:sz w:val="24"/>
          <w:szCs w:val="24"/>
        </w:rPr>
        <w:t xml:space="preserve">cabendo destacar que o número de </w:t>
      </w:r>
      <w:r w:rsidRPr="005C2796">
        <w:rPr>
          <w:sz w:val="24"/>
          <w:szCs w:val="24"/>
        </w:rPr>
        <w:t xml:space="preserve">indigentes no Nordeste </w:t>
      </w:r>
      <w:r>
        <w:rPr>
          <w:sz w:val="24"/>
          <w:szCs w:val="24"/>
        </w:rPr>
        <w:t xml:space="preserve">correspondia a </w:t>
      </w:r>
      <w:r w:rsidRPr="005C2796">
        <w:rPr>
          <w:sz w:val="24"/>
          <w:szCs w:val="24"/>
        </w:rPr>
        <w:t xml:space="preserve">60% do total </w:t>
      </w:r>
      <w:r>
        <w:rPr>
          <w:sz w:val="24"/>
          <w:szCs w:val="24"/>
        </w:rPr>
        <w:t>d</w:t>
      </w:r>
      <w:r w:rsidRPr="005C2796">
        <w:rPr>
          <w:sz w:val="24"/>
          <w:szCs w:val="24"/>
        </w:rPr>
        <w:t xml:space="preserve">o </w:t>
      </w:r>
      <w:r>
        <w:rPr>
          <w:sz w:val="24"/>
          <w:szCs w:val="24"/>
        </w:rPr>
        <w:t>p</w:t>
      </w:r>
      <w:r w:rsidRPr="005C2796">
        <w:rPr>
          <w:sz w:val="24"/>
          <w:szCs w:val="24"/>
        </w:rPr>
        <w:t xml:space="preserve">aís. </w:t>
      </w:r>
      <w:r>
        <w:rPr>
          <w:sz w:val="24"/>
          <w:szCs w:val="24"/>
        </w:rPr>
        <w:t xml:space="preserve">Em termos relativos, a região Norte possui 33,68% da população em condições de pobreza, enquanto na região Nordeste a parcela de indivíduos em domicílios com renda per capita inferior à linha de pobreza é de 40,70%. </w:t>
      </w:r>
    </w:p>
    <w:p w:rsidR="00B77266" w:rsidRDefault="00CF30DC" w:rsidP="003F701C">
      <w:pPr>
        <w:autoSpaceDE w:val="0"/>
        <w:autoSpaceDN w:val="0"/>
        <w:adjustRightInd w:val="0"/>
        <w:ind w:firstLine="708"/>
        <w:jc w:val="both"/>
        <w:rPr>
          <w:sz w:val="24"/>
          <w:szCs w:val="24"/>
        </w:rPr>
      </w:pPr>
      <w:r>
        <w:rPr>
          <w:sz w:val="24"/>
          <w:szCs w:val="24"/>
        </w:rPr>
        <w:t xml:space="preserve">Entre as formas de buscar </w:t>
      </w:r>
      <w:r w:rsidR="00872B7C" w:rsidRPr="005C2796">
        <w:rPr>
          <w:sz w:val="24"/>
          <w:szCs w:val="24"/>
        </w:rPr>
        <w:t>amenizar o grave problema da pobreza</w:t>
      </w:r>
      <w:r w:rsidR="002679F3">
        <w:rPr>
          <w:sz w:val="24"/>
          <w:szCs w:val="24"/>
        </w:rPr>
        <w:t xml:space="preserve"> ligada à renda</w:t>
      </w:r>
      <w:r>
        <w:rPr>
          <w:sz w:val="24"/>
          <w:szCs w:val="24"/>
        </w:rPr>
        <w:t xml:space="preserve">, destaca-se a </w:t>
      </w:r>
      <w:r w:rsidR="002679F3">
        <w:rPr>
          <w:sz w:val="24"/>
          <w:szCs w:val="24"/>
        </w:rPr>
        <w:t>possibilidade de</w:t>
      </w:r>
      <w:r>
        <w:rPr>
          <w:sz w:val="24"/>
          <w:szCs w:val="24"/>
        </w:rPr>
        <w:t xml:space="preserve"> </w:t>
      </w:r>
      <w:r w:rsidR="00872B7C" w:rsidRPr="005C2796">
        <w:rPr>
          <w:sz w:val="24"/>
          <w:szCs w:val="24"/>
        </w:rPr>
        <w:t xml:space="preserve">aumento dos rendimentos dos pobres, </w:t>
      </w:r>
      <w:r w:rsidR="002679F3">
        <w:rPr>
          <w:sz w:val="24"/>
          <w:szCs w:val="24"/>
        </w:rPr>
        <w:t xml:space="preserve">seja </w:t>
      </w:r>
      <w:r w:rsidR="00872B7C" w:rsidRPr="005C2796">
        <w:rPr>
          <w:sz w:val="24"/>
          <w:szCs w:val="24"/>
        </w:rPr>
        <w:t xml:space="preserve">via crescimento econômico (aumento geral da renda) ou pela queda de desigualdade de renda (BARROS </w:t>
      </w:r>
      <w:proofErr w:type="spellStart"/>
      <w:proofErr w:type="gramStart"/>
      <w:r w:rsidR="00872B7C" w:rsidRPr="005C2796">
        <w:rPr>
          <w:sz w:val="24"/>
          <w:szCs w:val="24"/>
        </w:rPr>
        <w:t>et</w:t>
      </w:r>
      <w:proofErr w:type="spellEnd"/>
      <w:proofErr w:type="gramEnd"/>
      <w:r w:rsidR="00872B7C" w:rsidRPr="005C2796">
        <w:rPr>
          <w:sz w:val="24"/>
          <w:szCs w:val="24"/>
        </w:rPr>
        <w:t xml:space="preserve"> al., 2007). No entanto, </w:t>
      </w:r>
      <w:r w:rsidR="002679F3">
        <w:rPr>
          <w:sz w:val="24"/>
          <w:szCs w:val="24"/>
        </w:rPr>
        <w:t xml:space="preserve">a </w:t>
      </w:r>
      <w:r w:rsidR="00872B7C" w:rsidRPr="005C2796">
        <w:rPr>
          <w:sz w:val="24"/>
          <w:szCs w:val="24"/>
        </w:rPr>
        <w:t>alta concentração de renda</w:t>
      </w:r>
      <w:r w:rsidR="002679F3">
        <w:rPr>
          <w:sz w:val="24"/>
          <w:szCs w:val="24"/>
        </w:rPr>
        <w:t xml:space="preserve"> é </w:t>
      </w:r>
      <w:r w:rsidR="00872B7C" w:rsidRPr="005C2796">
        <w:rPr>
          <w:sz w:val="24"/>
          <w:szCs w:val="24"/>
        </w:rPr>
        <w:t>um obstáculo adicional</w:t>
      </w:r>
      <w:r>
        <w:rPr>
          <w:sz w:val="24"/>
          <w:szCs w:val="24"/>
        </w:rPr>
        <w:t xml:space="preserve"> </w:t>
      </w:r>
      <w:r w:rsidR="002679F3">
        <w:rPr>
          <w:sz w:val="24"/>
          <w:szCs w:val="24"/>
        </w:rPr>
        <w:t xml:space="preserve">aos </w:t>
      </w:r>
      <w:proofErr w:type="spellStart"/>
      <w:r w:rsidR="002679F3">
        <w:rPr>
          <w:sz w:val="24"/>
          <w:szCs w:val="24"/>
        </w:rPr>
        <w:t>policymakers</w:t>
      </w:r>
      <w:proofErr w:type="spellEnd"/>
      <w:r w:rsidR="002679F3">
        <w:rPr>
          <w:sz w:val="24"/>
          <w:szCs w:val="24"/>
        </w:rPr>
        <w:t xml:space="preserve"> ao</w:t>
      </w:r>
      <w:r w:rsidR="00872B7C" w:rsidRPr="005C2796">
        <w:rPr>
          <w:sz w:val="24"/>
          <w:szCs w:val="24"/>
        </w:rPr>
        <w:t xml:space="preserve"> reduzir os efeitos positivos das políticas pró-crescimento. </w:t>
      </w:r>
      <w:r>
        <w:rPr>
          <w:sz w:val="24"/>
          <w:szCs w:val="24"/>
        </w:rPr>
        <w:t>Assim</w:t>
      </w:r>
      <w:r w:rsidR="00872B7C" w:rsidRPr="005C2796">
        <w:rPr>
          <w:sz w:val="24"/>
          <w:szCs w:val="24"/>
        </w:rPr>
        <w:t xml:space="preserve">, </w:t>
      </w:r>
      <w:r>
        <w:rPr>
          <w:sz w:val="24"/>
          <w:szCs w:val="24"/>
        </w:rPr>
        <w:t xml:space="preserve">a solução é </w:t>
      </w:r>
      <w:r w:rsidR="00872B7C" w:rsidRPr="005C2796">
        <w:rPr>
          <w:sz w:val="24"/>
          <w:szCs w:val="24"/>
        </w:rPr>
        <w:t>dar prioridade às políticas de longo prazo de crescimento sustentado, visto que medidas de cunho apenas redistributivo são, exclusivamente, mais eficientes no curto prazo (BOURGUIGNON, 200</w:t>
      </w:r>
      <w:r w:rsidR="00991FC5">
        <w:rPr>
          <w:sz w:val="24"/>
          <w:szCs w:val="24"/>
        </w:rPr>
        <w:t>3</w:t>
      </w:r>
      <w:r w:rsidR="00872B7C" w:rsidRPr="005C2796">
        <w:rPr>
          <w:sz w:val="24"/>
          <w:szCs w:val="24"/>
        </w:rPr>
        <w:t xml:space="preserve">). </w:t>
      </w:r>
    </w:p>
    <w:p w:rsidR="00B77266" w:rsidRDefault="002679F3" w:rsidP="00726852">
      <w:pPr>
        <w:autoSpaceDE w:val="0"/>
        <w:autoSpaceDN w:val="0"/>
        <w:adjustRightInd w:val="0"/>
        <w:ind w:firstLine="708"/>
        <w:jc w:val="both"/>
        <w:rPr>
          <w:sz w:val="24"/>
          <w:szCs w:val="24"/>
        </w:rPr>
      </w:pPr>
      <w:r>
        <w:rPr>
          <w:sz w:val="24"/>
          <w:szCs w:val="24"/>
        </w:rPr>
        <w:t xml:space="preserve">Sobre o perfil atual da </w:t>
      </w:r>
      <w:r w:rsidR="00872B7C" w:rsidRPr="005C2796">
        <w:rPr>
          <w:sz w:val="24"/>
          <w:szCs w:val="24"/>
        </w:rPr>
        <w:t>política econômica brasileira</w:t>
      </w:r>
      <w:r>
        <w:rPr>
          <w:sz w:val="24"/>
          <w:szCs w:val="24"/>
        </w:rPr>
        <w:t>, este tem como norte</w:t>
      </w:r>
      <w:r w:rsidR="00872B7C" w:rsidRPr="005C2796">
        <w:rPr>
          <w:sz w:val="24"/>
          <w:szCs w:val="24"/>
        </w:rPr>
        <w:t xml:space="preserve">, principalmente, </w:t>
      </w:r>
      <w:r>
        <w:rPr>
          <w:sz w:val="24"/>
          <w:szCs w:val="24"/>
        </w:rPr>
        <w:t>os</w:t>
      </w:r>
      <w:r w:rsidRPr="005C2796">
        <w:rPr>
          <w:sz w:val="24"/>
          <w:szCs w:val="24"/>
        </w:rPr>
        <w:t xml:space="preserve"> </w:t>
      </w:r>
      <w:r w:rsidR="00872B7C" w:rsidRPr="005C2796">
        <w:rPr>
          <w:sz w:val="24"/>
          <w:szCs w:val="24"/>
        </w:rPr>
        <w:t>mecanismos de transferência de renda</w:t>
      </w:r>
      <w:r w:rsidR="00D01DD6">
        <w:rPr>
          <w:sz w:val="24"/>
          <w:szCs w:val="24"/>
        </w:rPr>
        <w:t xml:space="preserve"> (P</w:t>
      </w:r>
      <w:r w:rsidR="00872B7C" w:rsidRPr="005C2796">
        <w:rPr>
          <w:sz w:val="24"/>
          <w:szCs w:val="24"/>
        </w:rPr>
        <w:t>rograma Bolsa Família</w:t>
      </w:r>
      <w:r w:rsidR="00D01DD6">
        <w:rPr>
          <w:sz w:val="24"/>
          <w:szCs w:val="24"/>
        </w:rPr>
        <w:t>)</w:t>
      </w:r>
      <w:r w:rsidR="00872B7C" w:rsidRPr="005C2796">
        <w:rPr>
          <w:sz w:val="24"/>
          <w:szCs w:val="24"/>
        </w:rPr>
        <w:t xml:space="preserve"> e </w:t>
      </w:r>
      <w:r>
        <w:rPr>
          <w:sz w:val="24"/>
          <w:szCs w:val="24"/>
        </w:rPr>
        <w:t xml:space="preserve">medidas para </w:t>
      </w:r>
      <w:r w:rsidR="00872B7C" w:rsidRPr="005C2796">
        <w:rPr>
          <w:sz w:val="24"/>
          <w:szCs w:val="24"/>
        </w:rPr>
        <w:t>aceleração do crescimento, a exemplo do</w:t>
      </w:r>
      <w:r>
        <w:rPr>
          <w:sz w:val="24"/>
          <w:szCs w:val="24"/>
        </w:rPr>
        <w:t>s</w:t>
      </w:r>
      <w:r w:rsidR="00872B7C" w:rsidRPr="005C2796">
        <w:rPr>
          <w:sz w:val="24"/>
          <w:szCs w:val="24"/>
        </w:rPr>
        <w:t xml:space="preserve"> Programa</w:t>
      </w:r>
      <w:r>
        <w:rPr>
          <w:sz w:val="24"/>
          <w:szCs w:val="24"/>
        </w:rPr>
        <w:t>s</w:t>
      </w:r>
      <w:r w:rsidR="00872B7C" w:rsidRPr="005C2796">
        <w:rPr>
          <w:sz w:val="24"/>
          <w:szCs w:val="24"/>
        </w:rPr>
        <w:t xml:space="preserve"> de Aceleração do Crescimento</w:t>
      </w:r>
      <w:r>
        <w:rPr>
          <w:sz w:val="24"/>
          <w:szCs w:val="24"/>
        </w:rPr>
        <w:t xml:space="preserve"> I </w:t>
      </w:r>
      <w:r w:rsidR="00D01DD6">
        <w:rPr>
          <w:sz w:val="24"/>
          <w:szCs w:val="24"/>
        </w:rPr>
        <w:t>e II</w:t>
      </w:r>
      <w:r w:rsidR="00872B7C" w:rsidRPr="005C2796">
        <w:rPr>
          <w:sz w:val="24"/>
          <w:szCs w:val="24"/>
        </w:rPr>
        <w:t>. Do ponto de vista dos gastos públicos em infraestrutura social</w:t>
      </w:r>
      <w:r w:rsidR="00D01DD6">
        <w:rPr>
          <w:bCs/>
          <w:sz w:val="24"/>
          <w:szCs w:val="24"/>
        </w:rPr>
        <w:t xml:space="preserve"> </w:t>
      </w:r>
      <w:r w:rsidR="000573A8">
        <w:rPr>
          <w:bCs/>
          <w:sz w:val="24"/>
          <w:szCs w:val="24"/>
        </w:rPr>
        <w:t>têm-se</w:t>
      </w:r>
      <w:r w:rsidR="00E02C18">
        <w:rPr>
          <w:bCs/>
          <w:sz w:val="24"/>
          <w:szCs w:val="24"/>
        </w:rPr>
        <w:t xml:space="preserve"> as categorias de </w:t>
      </w:r>
      <w:r w:rsidR="00872B7C" w:rsidRPr="005C2796">
        <w:rPr>
          <w:bCs/>
          <w:sz w:val="24"/>
          <w:szCs w:val="24"/>
        </w:rPr>
        <w:t xml:space="preserve">infraestrutura e </w:t>
      </w:r>
      <w:r w:rsidR="00E02C18">
        <w:rPr>
          <w:bCs/>
          <w:sz w:val="24"/>
          <w:szCs w:val="24"/>
        </w:rPr>
        <w:t>de</w:t>
      </w:r>
      <w:r w:rsidR="00E02C18" w:rsidRPr="005C2796">
        <w:rPr>
          <w:bCs/>
          <w:sz w:val="24"/>
          <w:szCs w:val="24"/>
        </w:rPr>
        <w:t xml:space="preserve"> </w:t>
      </w:r>
      <w:r w:rsidR="00872B7C" w:rsidRPr="005C2796">
        <w:rPr>
          <w:bCs/>
          <w:sz w:val="24"/>
          <w:szCs w:val="24"/>
        </w:rPr>
        <w:t>capital humano.</w:t>
      </w:r>
      <w:r w:rsidR="00E02C18">
        <w:rPr>
          <w:bCs/>
          <w:sz w:val="24"/>
          <w:szCs w:val="24"/>
        </w:rPr>
        <w:t xml:space="preserve"> A despeito dos dispêndios do governo em </w:t>
      </w:r>
      <w:r w:rsidR="00872B7C" w:rsidRPr="005C2796">
        <w:rPr>
          <w:bCs/>
          <w:sz w:val="24"/>
          <w:szCs w:val="24"/>
        </w:rPr>
        <w:t xml:space="preserve">capital físico, o que se tem observado é </w:t>
      </w:r>
      <w:r w:rsidR="00314366">
        <w:rPr>
          <w:bCs/>
          <w:sz w:val="24"/>
          <w:szCs w:val="24"/>
        </w:rPr>
        <w:t>su</w:t>
      </w:r>
      <w:r w:rsidR="00872B7C" w:rsidRPr="005C2796">
        <w:rPr>
          <w:bCs/>
          <w:sz w:val="24"/>
          <w:szCs w:val="24"/>
        </w:rPr>
        <w:t xml:space="preserve">a </w:t>
      </w:r>
      <w:r w:rsidR="00872B7C" w:rsidRPr="005C2796">
        <w:rPr>
          <w:sz w:val="24"/>
          <w:szCs w:val="24"/>
        </w:rPr>
        <w:t xml:space="preserve">acentuada redução desde os anos oitenta, </w:t>
      </w:r>
      <w:r>
        <w:rPr>
          <w:sz w:val="24"/>
          <w:szCs w:val="24"/>
        </w:rPr>
        <w:t>década</w:t>
      </w:r>
      <w:r w:rsidRPr="005C2796">
        <w:rPr>
          <w:sz w:val="24"/>
          <w:szCs w:val="24"/>
        </w:rPr>
        <w:t xml:space="preserve"> </w:t>
      </w:r>
      <w:r w:rsidR="00872B7C" w:rsidRPr="005C2796">
        <w:rPr>
          <w:sz w:val="24"/>
          <w:szCs w:val="24"/>
        </w:rPr>
        <w:t xml:space="preserve">em que o </w:t>
      </w:r>
      <w:r w:rsidR="00170CD1">
        <w:rPr>
          <w:sz w:val="24"/>
          <w:szCs w:val="24"/>
        </w:rPr>
        <w:t>Brasil</w:t>
      </w:r>
      <w:r w:rsidR="00170CD1" w:rsidRPr="005C2796">
        <w:rPr>
          <w:sz w:val="24"/>
          <w:szCs w:val="24"/>
        </w:rPr>
        <w:t xml:space="preserve"> </w:t>
      </w:r>
      <w:r w:rsidR="00872B7C" w:rsidRPr="005C2796">
        <w:rPr>
          <w:sz w:val="24"/>
          <w:szCs w:val="24"/>
        </w:rPr>
        <w:t xml:space="preserve">enfrentou baixas taxas de crescimento do PIB, processo inflacionário, contração fiscal e dificuldades nas contas externas. No que </w:t>
      </w:r>
      <w:r w:rsidR="00170CD1">
        <w:rPr>
          <w:sz w:val="24"/>
          <w:szCs w:val="24"/>
        </w:rPr>
        <w:t>diz respeito</w:t>
      </w:r>
      <w:r w:rsidR="00170CD1" w:rsidRPr="005C2796">
        <w:rPr>
          <w:sz w:val="24"/>
          <w:szCs w:val="24"/>
        </w:rPr>
        <w:t xml:space="preserve"> </w:t>
      </w:r>
      <w:r w:rsidR="00872B7C" w:rsidRPr="005C2796">
        <w:rPr>
          <w:sz w:val="24"/>
          <w:szCs w:val="24"/>
        </w:rPr>
        <w:t xml:space="preserve">aos </w:t>
      </w:r>
      <w:r w:rsidR="00314366">
        <w:rPr>
          <w:sz w:val="24"/>
          <w:szCs w:val="24"/>
        </w:rPr>
        <w:t xml:space="preserve">recursos para </w:t>
      </w:r>
      <w:r w:rsidR="00872B7C" w:rsidRPr="005C2796">
        <w:rPr>
          <w:sz w:val="24"/>
          <w:szCs w:val="24"/>
        </w:rPr>
        <w:t>capital humano, há ainda muito que se fazer</w:t>
      </w:r>
      <w:r w:rsidR="00E02C18">
        <w:rPr>
          <w:sz w:val="24"/>
          <w:szCs w:val="24"/>
        </w:rPr>
        <w:t xml:space="preserve">, apesar das metas cumpridas </w:t>
      </w:r>
      <w:r w:rsidR="00314366">
        <w:rPr>
          <w:sz w:val="24"/>
          <w:szCs w:val="24"/>
        </w:rPr>
        <w:t xml:space="preserve">quanto </w:t>
      </w:r>
      <w:r w:rsidR="00872B7C" w:rsidRPr="005C2796">
        <w:rPr>
          <w:sz w:val="24"/>
          <w:szCs w:val="24"/>
        </w:rPr>
        <w:t xml:space="preserve">à </w:t>
      </w:r>
      <w:r w:rsidR="00FC1BC3" w:rsidRPr="005C2796">
        <w:rPr>
          <w:sz w:val="24"/>
          <w:szCs w:val="24"/>
        </w:rPr>
        <w:t>frequência</w:t>
      </w:r>
      <w:r w:rsidR="00872B7C" w:rsidRPr="005C2796">
        <w:rPr>
          <w:sz w:val="24"/>
          <w:szCs w:val="24"/>
        </w:rPr>
        <w:t xml:space="preserve"> escolar</w:t>
      </w:r>
      <w:r w:rsidR="00E02C18">
        <w:rPr>
          <w:sz w:val="24"/>
          <w:szCs w:val="24"/>
        </w:rPr>
        <w:t xml:space="preserve">. O que se denota é que esses gastos permanecem como </w:t>
      </w:r>
      <w:r w:rsidR="00872B7C" w:rsidRPr="005C2796">
        <w:rPr>
          <w:sz w:val="24"/>
          <w:szCs w:val="24"/>
        </w:rPr>
        <w:t xml:space="preserve">ineficientes </w:t>
      </w:r>
      <w:r w:rsidR="00E02C18">
        <w:rPr>
          <w:sz w:val="24"/>
          <w:szCs w:val="24"/>
        </w:rPr>
        <w:t>perante</w:t>
      </w:r>
      <w:r w:rsidR="00314366">
        <w:rPr>
          <w:sz w:val="24"/>
          <w:szCs w:val="24"/>
        </w:rPr>
        <w:t xml:space="preserve"> a </w:t>
      </w:r>
      <w:r w:rsidR="00872B7C" w:rsidRPr="005C2796">
        <w:rPr>
          <w:sz w:val="24"/>
          <w:szCs w:val="24"/>
        </w:rPr>
        <w:t xml:space="preserve">busca </w:t>
      </w:r>
      <w:r w:rsidR="00314366">
        <w:rPr>
          <w:sz w:val="24"/>
          <w:szCs w:val="24"/>
        </w:rPr>
        <w:t>da</w:t>
      </w:r>
      <w:r w:rsidR="00314366" w:rsidRPr="005C2796">
        <w:rPr>
          <w:sz w:val="24"/>
          <w:szCs w:val="24"/>
        </w:rPr>
        <w:t xml:space="preserve"> </w:t>
      </w:r>
      <w:r w:rsidR="00872B7C" w:rsidRPr="005C2796">
        <w:rPr>
          <w:sz w:val="24"/>
          <w:szCs w:val="24"/>
        </w:rPr>
        <w:t xml:space="preserve">qualidade do ensino. Problemas estruturais como o atraso escolar, o elevado índice de analfabetismo funcional e a baixa escolaridade média do cidadão brasileiro são </w:t>
      </w:r>
      <w:r w:rsidR="00E02C18">
        <w:rPr>
          <w:sz w:val="24"/>
          <w:szCs w:val="24"/>
        </w:rPr>
        <w:t xml:space="preserve">ainda </w:t>
      </w:r>
      <w:r w:rsidR="00872B7C" w:rsidRPr="005C2796">
        <w:rPr>
          <w:sz w:val="24"/>
          <w:szCs w:val="24"/>
        </w:rPr>
        <w:t xml:space="preserve">obstáculos ao desenvolvimento econômico </w:t>
      </w:r>
      <w:r w:rsidR="00170CD1">
        <w:rPr>
          <w:sz w:val="24"/>
          <w:szCs w:val="24"/>
        </w:rPr>
        <w:t>nacional</w:t>
      </w:r>
      <w:r w:rsidR="00872B7C" w:rsidRPr="005C2796">
        <w:rPr>
          <w:sz w:val="24"/>
          <w:szCs w:val="24"/>
        </w:rPr>
        <w:t>, o que requer investimentos adicionais</w:t>
      </w:r>
      <w:r w:rsidR="00766635">
        <w:rPr>
          <w:sz w:val="24"/>
          <w:szCs w:val="24"/>
        </w:rPr>
        <w:t xml:space="preserve"> </w:t>
      </w:r>
      <w:r w:rsidR="00872B7C" w:rsidRPr="005C2796">
        <w:rPr>
          <w:sz w:val="24"/>
          <w:szCs w:val="24"/>
        </w:rPr>
        <w:t>desde a educação primária até o ensino superior.</w:t>
      </w:r>
    </w:p>
    <w:p w:rsidR="00B77266" w:rsidRDefault="00817AA8" w:rsidP="00726852">
      <w:pPr>
        <w:ind w:firstLine="708"/>
        <w:jc w:val="both"/>
        <w:rPr>
          <w:sz w:val="24"/>
          <w:szCs w:val="24"/>
        </w:rPr>
      </w:pPr>
      <w:r>
        <w:rPr>
          <w:sz w:val="24"/>
          <w:szCs w:val="24"/>
        </w:rPr>
        <w:lastRenderedPageBreak/>
        <w:t xml:space="preserve">Dentro desta temática, </w:t>
      </w:r>
      <w:r w:rsidR="00B867B9">
        <w:rPr>
          <w:sz w:val="24"/>
          <w:szCs w:val="24"/>
        </w:rPr>
        <w:t xml:space="preserve">na </w:t>
      </w:r>
      <w:r w:rsidR="00B867B9" w:rsidRPr="005C2796">
        <w:rPr>
          <w:sz w:val="24"/>
          <w:szCs w:val="24"/>
        </w:rPr>
        <w:t>literatura empírica e teórica</w:t>
      </w:r>
      <w:r w:rsidR="00EA2972">
        <w:rPr>
          <w:sz w:val="24"/>
          <w:szCs w:val="24"/>
        </w:rPr>
        <w:t>,</w:t>
      </w:r>
      <w:r w:rsidR="00B867B9" w:rsidRPr="005C2796">
        <w:rPr>
          <w:sz w:val="24"/>
          <w:szCs w:val="24"/>
        </w:rPr>
        <w:t xml:space="preserve"> </w:t>
      </w:r>
      <w:r>
        <w:rPr>
          <w:sz w:val="24"/>
          <w:szCs w:val="24"/>
        </w:rPr>
        <w:t>h</w:t>
      </w:r>
      <w:r w:rsidR="00872B7C" w:rsidRPr="005C2796">
        <w:rPr>
          <w:sz w:val="24"/>
          <w:szCs w:val="24"/>
        </w:rPr>
        <w:t xml:space="preserve">á muitos trabalhos </w:t>
      </w:r>
      <w:r w:rsidR="00B867B9">
        <w:rPr>
          <w:sz w:val="24"/>
          <w:szCs w:val="24"/>
        </w:rPr>
        <w:t xml:space="preserve">que </w:t>
      </w:r>
      <w:r w:rsidR="00872B7C" w:rsidRPr="005C2796">
        <w:rPr>
          <w:sz w:val="24"/>
          <w:szCs w:val="24"/>
        </w:rPr>
        <w:t>investiga</w:t>
      </w:r>
      <w:r w:rsidR="00B867B9">
        <w:rPr>
          <w:sz w:val="24"/>
          <w:szCs w:val="24"/>
        </w:rPr>
        <w:t>m</w:t>
      </w:r>
      <w:r w:rsidR="00872B7C" w:rsidRPr="005C2796">
        <w:rPr>
          <w:sz w:val="24"/>
          <w:szCs w:val="24"/>
        </w:rPr>
        <w:t xml:space="preserve"> a </w:t>
      </w:r>
      <w:r w:rsidR="00B867B9">
        <w:rPr>
          <w:sz w:val="24"/>
          <w:szCs w:val="24"/>
        </w:rPr>
        <w:t xml:space="preserve">eficácia e/ou </w:t>
      </w:r>
      <w:r w:rsidR="00872B7C" w:rsidRPr="005C2796">
        <w:rPr>
          <w:sz w:val="24"/>
          <w:szCs w:val="24"/>
        </w:rPr>
        <w:t>eficiência do Estado na promoção do crescimento e do bem-estar da sociedade. Outros focam</w:t>
      </w:r>
      <w:r w:rsidR="00B867B9">
        <w:rPr>
          <w:sz w:val="24"/>
          <w:szCs w:val="24"/>
        </w:rPr>
        <w:t xml:space="preserve"> em</w:t>
      </w:r>
      <w:r w:rsidR="00872B7C" w:rsidRPr="005C2796">
        <w:rPr>
          <w:sz w:val="24"/>
          <w:szCs w:val="24"/>
        </w:rPr>
        <w:t xml:space="preserve"> componentes particulares dos gastos govern</w:t>
      </w:r>
      <w:r w:rsidR="00170CD1">
        <w:rPr>
          <w:sz w:val="24"/>
          <w:szCs w:val="24"/>
        </w:rPr>
        <w:t>amentais</w:t>
      </w:r>
      <w:r w:rsidR="00872B7C" w:rsidRPr="005C2796">
        <w:rPr>
          <w:sz w:val="24"/>
          <w:szCs w:val="24"/>
        </w:rPr>
        <w:t xml:space="preserve"> que podem afetar a produtividade do setor privado e o crescimento econômico, como </w:t>
      </w:r>
      <w:r w:rsidR="00170CD1">
        <w:rPr>
          <w:sz w:val="24"/>
          <w:szCs w:val="24"/>
        </w:rPr>
        <w:t xml:space="preserve">os dispêndios </w:t>
      </w:r>
      <w:r w:rsidR="00872B7C" w:rsidRPr="005C2796">
        <w:rPr>
          <w:sz w:val="24"/>
          <w:szCs w:val="24"/>
        </w:rPr>
        <w:t xml:space="preserve">em capital físico e humano. No trabalho de Cruz </w:t>
      </w:r>
      <w:proofErr w:type="spellStart"/>
      <w:proofErr w:type="gramStart"/>
      <w:r w:rsidR="00872B7C" w:rsidRPr="005C2796">
        <w:rPr>
          <w:sz w:val="24"/>
          <w:szCs w:val="24"/>
        </w:rPr>
        <w:t>et</w:t>
      </w:r>
      <w:proofErr w:type="spellEnd"/>
      <w:proofErr w:type="gramEnd"/>
      <w:r w:rsidR="00872B7C" w:rsidRPr="005C2796">
        <w:rPr>
          <w:sz w:val="24"/>
          <w:szCs w:val="24"/>
        </w:rPr>
        <w:t xml:space="preserve"> al. (2010), </w:t>
      </w:r>
      <w:r w:rsidR="00A35054">
        <w:rPr>
          <w:sz w:val="24"/>
          <w:szCs w:val="24"/>
        </w:rPr>
        <w:t xml:space="preserve">a </w:t>
      </w:r>
      <w:r w:rsidR="00872B7C" w:rsidRPr="005C2796">
        <w:rPr>
          <w:sz w:val="24"/>
          <w:szCs w:val="24"/>
        </w:rPr>
        <w:t>partir da estimação de um sistema de equações</w:t>
      </w:r>
      <w:r w:rsidR="00170CD1">
        <w:rPr>
          <w:sz w:val="24"/>
          <w:szCs w:val="24"/>
        </w:rPr>
        <w:t>,</w:t>
      </w:r>
      <w:r w:rsidR="00872B7C" w:rsidRPr="005C2796">
        <w:rPr>
          <w:sz w:val="24"/>
          <w:szCs w:val="24"/>
        </w:rPr>
        <w:t xml:space="preserve"> </w:t>
      </w:r>
      <w:r w:rsidR="00B867B9">
        <w:rPr>
          <w:sz w:val="24"/>
          <w:szCs w:val="24"/>
        </w:rPr>
        <w:t>apontam-se</w:t>
      </w:r>
      <w:r w:rsidR="00B867B9" w:rsidRPr="005C2796">
        <w:rPr>
          <w:sz w:val="24"/>
          <w:szCs w:val="24"/>
        </w:rPr>
        <w:t xml:space="preserve"> </w:t>
      </w:r>
      <w:r w:rsidR="00872B7C" w:rsidRPr="005C2796">
        <w:rPr>
          <w:sz w:val="24"/>
          <w:szCs w:val="24"/>
        </w:rPr>
        <w:t>os efeitos direitos e indiretos das despesas públicas em educação, saúde, estradas e energia sobre o PIB per capita, a produtividade total dos fatores e a pobreza no Brasil</w:t>
      </w:r>
      <w:r w:rsidR="00CA74AD" w:rsidRPr="00CA74AD">
        <w:rPr>
          <w:sz w:val="24"/>
          <w:szCs w:val="24"/>
        </w:rPr>
        <w:t xml:space="preserve"> </w:t>
      </w:r>
      <w:r w:rsidR="00CA74AD" w:rsidRPr="005C2796">
        <w:rPr>
          <w:sz w:val="24"/>
          <w:szCs w:val="24"/>
        </w:rPr>
        <w:t>como um todo</w:t>
      </w:r>
      <w:r w:rsidR="00872B7C" w:rsidRPr="005C2796">
        <w:rPr>
          <w:sz w:val="24"/>
          <w:szCs w:val="24"/>
        </w:rPr>
        <w:t xml:space="preserve">. Este estudo tem como base os trabalhos de </w:t>
      </w:r>
      <w:proofErr w:type="spellStart"/>
      <w:r w:rsidR="00872B7C" w:rsidRPr="005C2796">
        <w:rPr>
          <w:sz w:val="24"/>
          <w:szCs w:val="24"/>
        </w:rPr>
        <w:t>Fan</w:t>
      </w:r>
      <w:proofErr w:type="spellEnd"/>
      <w:r w:rsidR="00872B7C" w:rsidRPr="005C2796">
        <w:rPr>
          <w:sz w:val="24"/>
          <w:szCs w:val="24"/>
        </w:rPr>
        <w:t xml:space="preserve"> e </w:t>
      </w:r>
      <w:proofErr w:type="spellStart"/>
      <w:r w:rsidR="00872B7C" w:rsidRPr="005C2796">
        <w:rPr>
          <w:bCs/>
          <w:sz w:val="24"/>
          <w:szCs w:val="24"/>
        </w:rPr>
        <w:t>Chan-Kang</w:t>
      </w:r>
      <w:proofErr w:type="spellEnd"/>
      <w:r w:rsidR="00872B7C" w:rsidRPr="005C2796">
        <w:rPr>
          <w:bCs/>
          <w:sz w:val="24"/>
          <w:szCs w:val="24"/>
        </w:rPr>
        <w:t xml:space="preserve"> (</w:t>
      </w:r>
      <w:r w:rsidR="00872B7C" w:rsidRPr="005C2796">
        <w:rPr>
          <w:sz w:val="24"/>
          <w:szCs w:val="24"/>
        </w:rPr>
        <w:t>2005)</w:t>
      </w:r>
      <w:r w:rsidR="00AF306F">
        <w:rPr>
          <w:sz w:val="24"/>
          <w:szCs w:val="24"/>
        </w:rPr>
        <w:t xml:space="preserve"> e</w:t>
      </w:r>
      <w:r w:rsidR="00872B7C" w:rsidRPr="005C2796">
        <w:rPr>
          <w:sz w:val="24"/>
          <w:szCs w:val="24"/>
        </w:rPr>
        <w:t xml:space="preserve"> </w:t>
      </w:r>
      <w:proofErr w:type="spellStart"/>
      <w:r w:rsidR="00872B7C" w:rsidRPr="005C2796">
        <w:rPr>
          <w:sz w:val="24"/>
          <w:szCs w:val="24"/>
        </w:rPr>
        <w:t>Fan</w:t>
      </w:r>
      <w:proofErr w:type="spellEnd"/>
      <w:r w:rsidR="00872B7C" w:rsidRPr="005C2796">
        <w:rPr>
          <w:sz w:val="24"/>
          <w:szCs w:val="24"/>
        </w:rPr>
        <w:t xml:space="preserve"> </w:t>
      </w:r>
      <w:proofErr w:type="spellStart"/>
      <w:proofErr w:type="gramStart"/>
      <w:r w:rsidR="00872B7C" w:rsidRPr="005C2796">
        <w:rPr>
          <w:sz w:val="24"/>
          <w:szCs w:val="24"/>
        </w:rPr>
        <w:t>et</w:t>
      </w:r>
      <w:proofErr w:type="spellEnd"/>
      <w:proofErr w:type="gramEnd"/>
      <w:r w:rsidR="00872B7C" w:rsidRPr="005C2796">
        <w:rPr>
          <w:sz w:val="24"/>
          <w:szCs w:val="24"/>
        </w:rPr>
        <w:t xml:space="preserve"> al. (2002), os quais investigam o papel dos gastos públicos na redução da pobreza na China</w:t>
      </w:r>
      <w:r w:rsidR="00AF306F">
        <w:rPr>
          <w:sz w:val="24"/>
          <w:szCs w:val="24"/>
        </w:rPr>
        <w:t xml:space="preserve"> e</w:t>
      </w:r>
      <w:r w:rsidR="00872B7C" w:rsidRPr="005C2796">
        <w:rPr>
          <w:sz w:val="24"/>
          <w:szCs w:val="24"/>
        </w:rPr>
        <w:t xml:space="preserve"> na China Rural, respectivamente. </w:t>
      </w:r>
    </w:p>
    <w:p w:rsidR="00B77266" w:rsidRDefault="00872B7C" w:rsidP="00726852">
      <w:pPr>
        <w:ind w:firstLine="708"/>
        <w:jc w:val="both"/>
        <w:rPr>
          <w:sz w:val="24"/>
          <w:szCs w:val="24"/>
        </w:rPr>
      </w:pPr>
      <w:r w:rsidRPr="005C2796">
        <w:rPr>
          <w:sz w:val="24"/>
          <w:szCs w:val="24"/>
        </w:rPr>
        <w:t>Os principais resultados</w:t>
      </w:r>
      <w:r w:rsidR="00A35054">
        <w:rPr>
          <w:sz w:val="24"/>
          <w:szCs w:val="24"/>
        </w:rPr>
        <w:t xml:space="preserve"> </w:t>
      </w:r>
      <w:r w:rsidR="00A35054" w:rsidRPr="00EA2972">
        <w:rPr>
          <w:sz w:val="24"/>
          <w:szCs w:val="24"/>
        </w:rPr>
        <w:t xml:space="preserve">de Cruz </w:t>
      </w:r>
      <w:proofErr w:type="spellStart"/>
      <w:proofErr w:type="gramStart"/>
      <w:r w:rsidR="00A35054" w:rsidRPr="00EA2972">
        <w:rPr>
          <w:sz w:val="24"/>
          <w:szCs w:val="24"/>
        </w:rPr>
        <w:t>et</w:t>
      </w:r>
      <w:proofErr w:type="spellEnd"/>
      <w:proofErr w:type="gramEnd"/>
      <w:r w:rsidR="00A35054" w:rsidRPr="00EA2972">
        <w:rPr>
          <w:sz w:val="24"/>
          <w:szCs w:val="24"/>
        </w:rPr>
        <w:t xml:space="preserve"> al. (2010)</w:t>
      </w:r>
      <w:r w:rsidRPr="005C2796">
        <w:rPr>
          <w:sz w:val="24"/>
          <w:szCs w:val="24"/>
        </w:rPr>
        <w:t xml:space="preserve"> mostram que maior nível </w:t>
      </w:r>
      <w:r w:rsidR="00B96105">
        <w:rPr>
          <w:sz w:val="24"/>
          <w:szCs w:val="24"/>
        </w:rPr>
        <w:t>educacional</w:t>
      </w:r>
      <w:r w:rsidRPr="005C2796">
        <w:rPr>
          <w:sz w:val="24"/>
          <w:szCs w:val="24"/>
        </w:rPr>
        <w:t xml:space="preserve">, melhores condições de saúde, acréscimos na formação bruta de capital fixo </w:t>
      </w:r>
      <w:r w:rsidR="00B96105">
        <w:rPr>
          <w:sz w:val="24"/>
          <w:szCs w:val="24"/>
        </w:rPr>
        <w:t>e</w:t>
      </w:r>
      <w:r w:rsidRPr="005C2796">
        <w:rPr>
          <w:sz w:val="24"/>
          <w:szCs w:val="24"/>
        </w:rPr>
        <w:t xml:space="preserve"> melhorias na infraestrutura rodoviária e energética, contribuem significativamente para elevar a renda per capita e a </w:t>
      </w:r>
      <w:r w:rsidR="00991FC5" w:rsidRPr="009366A6">
        <w:rPr>
          <w:sz w:val="24"/>
          <w:szCs w:val="24"/>
        </w:rPr>
        <w:t>produtividade total dos fatores (PTF)</w:t>
      </w:r>
      <w:r w:rsidR="00991FC5">
        <w:rPr>
          <w:sz w:val="24"/>
          <w:szCs w:val="24"/>
        </w:rPr>
        <w:t xml:space="preserve"> </w:t>
      </w:r>
      <w:r w:rsidRPr="005C2796">
        <w:rPr>
          <w:sz w:val="24"/>
          <w:szCs w:val="24"/>
        </w:rPr>
        <w:t>nacional</w:t>
      </w:r>
      <w:r w:rsidR="00D012DB">
        <w:rPr>
          <w:sz w:val="24"/>
          <w:szCs w:val="24"/>
        </w:rPr>
        <w:t xml:space="preserve">, indicadores de </w:t>
      </w:r>
      <w:r w:rsidRPr="005C2796">
        <w:rPr>
          <w:sz w:val="24"/>
          <w:szCs w:val="24"/>
        </w:rPr>
        <w:t xml:space="preserve">relação inversa com o número </w:t>
      </w:r>
      <w:r w:rsidR="00D012DB">
        <w:rPr>
          <w:sz w:val="24"/>
          <w:szCs w:val="24"/>
        </w:rPr>
        <w:t xml:space="preserve">nacional </w:t>
      </w:r>
      <w:r w:rsidRPr="005C2796">
        <w:rPr>
          <w:sz w:val="24"/>
          <w:szCs w:val="24"/>
        </w:rPr>
        <w:t xml:space="preserve">de pobres. </w:t>
      </w:r>
      <w:r w:rsidR="00EA2972">
        <w:rPr>
          <w:sz w:val="24"/>
          <w:szCs w:val="24"/>
        </w:rPr>
        <w:t>A pesquisa</w:t>
      </w:r>
      <w:r w:rsidRPr="005C2796">
        <w:rPr>
          <w:sz w:val="24"/>
          <w:szCs w:val="24"/>
        </w:rPr>
        <w:t xml:space="preserve"> evidencia que, apesar do </w:t>
      </w:r>
      <w:r w:rsidR="00D012DB">
        <w:rPr>
          <w:sz w:val="24"/>
          <w:szCs w:val="24"/>
        </w:rPr>
        <w:t>desempenho</w:t>
      </w:r>
      <w:r w:rsidR="00D012DB" w:rsidRPr="005C2796">
        <w:rPr>
          <w:sz w:val="24"/>
          <w:szCs w:val="24"/>
        </w:rPr>
        <w:t xml:space="preserve"> </w:t>
      </w:r>
      <w:r w:rsidRPr="005C2796">
        <w:rPr>
          <w:sz w:val="24"/>
          <w:szCs w:val="24"/>
        </w:rPr>
        <w:t>econômico modesto e de a pobreza ainda ser um grave problema social, houve crescimento econômico acompanhado de queda na pobreza</w:t>
      </w:r>
      <w:r w:rsidR="00D012DB">
        <w:rPr>
          <w:sz w:val="24"/>
          <w:szCs w:val="24"/>
        </w:rPr>
        <w:t xml:space="preserve"> entre 1980 e 2007</w:t>
      </w:r>
      <w:r w:rsidRPr="005C2796">
        <w:rPr>
          <w:sz w:val="24"/>
          <w:szCs w:val="24"/>
        </w:rPr>
        <w:t xml:space="preserve">. Todavia, a efetividade dos gastos públicos </w:t>
      </w:r>
      <w:r w:rsidR="00C618C4">
        <w:rPr>
          <w:sz w:val="24"/>
          <w:szCs w:val="24"/>
        </w:rPr>
        <w:t xml:space="preserve">tem relação com a estrutura socioeconômica do espaço de análise, </w:t>
      </w:r>
      <w:r w:rsidRPr="005C2796">
        <w:rPr>
          <w:sz w:val="24"/>
          <w:szCs w:val="24"/>
        </w:rPr>
        <w:t xml:space="preserve">principalmente, num país de dimensão continental, como o Brasil. Os efeitos dos gastos públicos tendem a </w:t>
      </w:r>
      <w:proofErr w:type="gramStart"/>
      <w:r w:rsidRPr="005C2796">
        <w:rPr>
          <w:sz w:val="24"/>
          <w:szCs w:val="24"/>
        </w:rPr>
        <w:t>ser</w:t>
      </w:r>
      <w:proofErr w:type="gramEnd"/>
      <w:r w:rsidRPr="005C2796">
        <w:rPr>
          <w:sz w:val="24"/>
          <w:szCs w:val="24"/>
        </w:rPr>
        <w:t xml:space="preserve"> diferentes, consideradas as particularidades de cada reg</w:t>
      </w:r>
      <w:r w:rsidR="00704004">
        <w:rPr>
          <w:sz w:val="24"/>
          <w:szCs w:val="24"/>
        </w:rPr>
        <w:t>ião</w:t>
      </w:r>
      <w:r w:rsidRPr="005C2796">
        <w:rPr>
          <w:sz w:val="24"/>
          <w:szCs w:val="24"/>
        </w:rPr>
        <w:t xml:space="preserve">. </w:t>
      </w:r>
      <w:r w:rsidR="00704004">
        <w:rPr>
          <w:sz w:val="24"/>
          <w:szCs w:val="24"/>
        </w:rPr>
        <w:t>N</w:t>
      </w:r>
      <w:r w:rsidRPr="005C2796">
        <w:rPr>
          <w:sz w:val="24"/>
          <w:szCs w:val="24"/>
        </w:rPr>
        <w:t xml:space="preserve">esse contexto, torna-se </w:t>
      </w:r>
      <w:r w:rsidR="00704004">
        <w:rPr>
          <w:sz w:val="24"/>
          <w:szCs w:val="24"/>
        </w:rPr>
        <w:t>pertinente</w:t>
      </w:r>
      <w:r w:rsidR="00704004" w:rsidRPr="005C2796">
        <w:rPr>
          <w:sz w:val="24"/>
          <w:szCs w:val="24"/>
        </w:rPr>
        <w:t xml:space="preserve"> </w:t>
      </w:r>
      <w:r w:rsidR="00704004">
        <w:rPr>
          <w:sz w:val="24"/>
          <w:szCs w:val="24"/>
        </w:rPr>
        <w:t>avaliar</w:t>
      </w:r>
      <w:r w:rsidR="00704004" w:rsidRPr="005C2796">
        <w:rPr>
          <w:sz w:val="24"/>
          <w:szCs w:val="24"/>
        </w:rPr>
        <w:t xml:space="preserve"> </w:t>
      </w:r>
      <w:r w:rsidRPr="005C2796">
        <w:rPr>
          <w:sz w:val="24"/>
          <w:szCs w:val="24"/>
        </w:rPr>
        <w:t xml:space="preserve">a </w:t>
      </w:r>
      <w:r w:rsidR="002679F3">
        <w:rPr>
          <w:sz w:val="24"/>
          <w:szCs w:val="24"/>
        </w:rPr>
        <w:t>atuação</w:t>
      </w:r>
      <w:r w:rsidR="002679F3" w:rsidRPr="005C2796">
        <w:rPr>
          <w:sz w:val="24"/>
          <w:szCs w:val="24"/>
        </w:rPr>
        <w:t xml:space="preserve"> </w:t>
      </w:r>
      <w:r w:rsidR="00704004">
        <w:rPr>
          <w:sz w:val="24"/>
          <w:szCs w:val="24"/>
        </w:rPr>
        <w:t>do</w:t>
      </w:r>
      <w:r w:rsidRPr="005C2796">
        <w:rPr>
          <w:sz w:val="24"/>
          <w:szCs w:val="24"/>
        </w:rPr>
        <w:t xml:space="preserve"> gasto </w:t>
      </w:r>
      <w:r w:rsidR="00704004">
        <w:rPr>
          <w:sz w:val="24"/>
          <w:szCs w:val="24"/>
        </w:rPr>
        <w:t>governamental</w:t>
      </w:r>
      <w:r w:rsidR="00704004" w:rsidRPr="005C2796">
        <w:rPr>
          <w:sz w:val="24"/>
          <w:szCs w:val="24"/>
        </w:rPr>
        <w:t xml:space="preserve"> </w:t>
      </w:r>
      <w:r w:rsidRPr="005C2796">
        <w:rPr>
          <w:sz w:val="24"/>
          <w:szCs w:val="24"/>
        </w:rPr>
        <w:t xml:space="preserve">em capital humano e físico nos estados brasileiros. A </w:t>
      </w:r>
      <w:r w:rsidR="000573A8" w:rsidRPr="005C2796">
        <w:rPr>
          <w:sz w:val="24"/>
          <w:szCs w:val="24"/>
        </w:rPr>
        <w:t>ideia</w:t>
      </w:r>
      <w:r w:rsidRPr="005C2796">
        <w:rPr>
          <w:sz w:val="24"/>
          <w:szCs w:val="24"/>
        </w:rPr>
        <w:t xml:space="preserve"> é que, para </w:t>
      </w:r>
      <w:r w:rsidR="00170CD1">
        <w:rPr>
          <w:sz w:val="24"/>
          <w:szCs w:val="24"/>
        </w:rPr>
        <w:t>a</w:t>
      </w:r>
      <w:r w:rsidR="00170CD1" w:rsidRPr="005C2796">
        <w:rPr>
          <w:sz w:val="24"/>
          <w:szCs w:val="24"/>
        </w:rPr>
        <w:t xml:space="preserve"> </w:t>
      </w:r>
      <w:r w:rsidRPr="005C2796">
        <w:rPr>
          <w:sz w:val="24"/>
          <w:szCs w:val="24"/>
        </w:rPr>
        <w:t xml:space="preserve">mesma taxa de crescimento, o impacto na redução da pobreza possa apresentar significativa variância, do ponto de vista regional. </w:t>
      </w:r>
    </w:p>
    <w:p w:rsidR="00C44E96" w:rsidRDefault="00FB40AB" w:rsidP="00C44E96">
      <w:pPr>
        <w:autoSpaceDE w:val="0"/>
        <w:autoSpaceDN w:val="0"/>
        <w:adjustRightInd w:val="0"/>
        <w:ind w:firstLine="708"/>
        <w:jc w:val="both"/>
        <w:rPr>
          <w:sz w:val="24"/>
          <w:szCs w:val="24"/>
        </w:rPr>
      </w:pPr>
      <w:r>
        <w:rPr>
          <w:sz w:val="24"/>
          <w:szCs w:val="24"/>
        </w:rPr>
        <w:t xml:space="preserve">Sob esta perspectiva, </w:t>
      </w:r>
      <w:r w:rsidR="00C36638">
        <w:rPr>
          <w:sz w:val="24"/>
          <w:szCs w:val="24"/>
        </w:rPr>
        <w:t>o</w:t>
      </w:r>
      <w:r w:rsidR="00872B7C" w:rsidRPr="005C2796">
        <w:rPr>
          <w:sz w:val="24"/>
          <w:szCs w:val="24"/>
        </w:rPr>
        <w:t xml:space="preserve"> presente </w:t>
      </w:r>
      <w:r w:rsidR="00C36638">
        <w:rPr>
          <w:sz w:val="24"/>
          <w:szCs w:val="24"/>
        </w:rPr>
        <w:t>artigo</w:t>
      </w:r>
      <w:r w:rsidR="00872B7C" w:rsidRPr="005C2796">
        <w:rPr>
          <w:sz w:val="24"/>
          <w:szCs w:val="24"/>
        </w:rPr>
        <w:t xml:space="preserve"> propõe</w:t>
      </w:r>
      <w:r>
        <w:rPr>
          <w:sz w:val="24"/>
          <w:szCs w:val="24"/>
        </w:rPr>
        <w:t xml:space="preserve"> tal </w:t>
      </w:r>
      <w:r w:rsidR="00872B7C" w:rsidRPr="005C2796">
        <w:rPr>
          <w:sz w:val="24"/>
          <w:szCs w:val="24"/>
        </w:rPr>
        <w:t xml:space="preserve">análise para os estados brasileiros, seguindo o modelo proposto em Cruz </w:t>
      </w:r>
      <w:proofErr w:type="spellStart"/>
      <w:proofErr w:type="gramStart"/>
      <w:r w:rsidR="00872B7C" w:rsidRPr="005C2796">
        <w:rPr>
          <w:sz w:val="24"/>
          <w:szCs w:val="24"/>
        </w:rPr>
        <w:t>et</w:t>
      </w:r>
      <w:proofErr w:type="spellEnd"/>
      <w:proofErr w:type="gramEnd"/>
      <w:r w:rsidR="00872B7C" w:rsidRPr="005C2796">
        <w:rPr>
          <w:sz w:val="24"/>
          <w:szCs w:val="24"/>
        </w:rPr>
        <w:t xml:space="preserve"> al. (2010)</w:t>
      </w:r>
      <w:r w:rsidR="00C44E96">
        <w:rPr>
          <w:sz w:val="24"/>
          <w:szCs w:val="24"/>
        </w:rPr>
        <w:t xml:space="preserve">. </w:t>
      </w:r>
      <w:r w:rsidR="00C618C4">
        <w:rPr>
          <w:sz w:val="24"/>
          <w:szCs w:val="24"/>
        </w:rPr>
        <w:t>Assim, torna-se possível avaliar</w:t>
      </w:r>
      <w:r w:rsidR="00C44E96" w:rsidRPr="003F4892">
        <w:rPr>
          <w:sz w:val="24"/>
          <w:szCs w:val="24"/>
        </w:rPr>
        <w:t xml:space="preserve"> de que forma os gastos públicos em infraestrutura e em capital humano podem ser alocados de maneira eficaz para atingir ambas as metas: crescimento econômico e queda de pobreza nos estados brasileiros</w:t>
      </w:r>
      <w:r w:rsidR="00354141">
        <w:rPr>
          <w:sz w:val="24"/>
          <w:szCs w:val="24"/>
        </w:rPr>
        <w:t xml:space="preserve"> </w:t>
      </w:r>
      <w:r w:rsidR="00935937">
        <w:rPr>
          <w:sz w:val="24"/>
          <w:szCs w:val="24"/>
        </w:rPr>
        <w:t>de 1995 a 2008</w:t>
      </w:r>
      <w:r w:rsidR="00C44E96" w:rsidRPr="003F4892">
        <w:rPr>
          <w:sz w:val="24"/>
          <w:szCs w:val="24"/>
        </w:rPr>
        <w:t xml:space="preserve">. </w:t>
      </w:r>
      <w:r w:rsidR="00C44E96" w:rsidRPr="005C2796">
        <w:rPr>
          <w:sz w:val="24"/>
          <w:szCs w:val="24"/>
        </w:rPr>
        <w:t>O que se espera é que a possibilidade de</w:t>
      </w:r>
      <w:r w:rsidR="00C44E96" w:rsidRPr="005C2796">
        <w:rPr>
          <w:bCs/>
          <w:sz w:val="24"/>
          <w:szCs w:val="24"/>
        </w:rPr>
        <w:t xml:space="preserve"> expansão </w:t>
      </w:r>
      <w:r w:rsidR="00C44E96">
        <w:rPr>
          <w:bCs/>
          <w:sz w:val="24"/>
          <w:szCs w:val="24"/>
        </w:rPr>
        <w:t>d</w:t>
      </w:r>
      <w:r w:rsidR="00C44E96" w:rsidRPr="005C2796">
        <w:rPr>
          <w:bCs/>
          <w:sz w:val="24"/>
          <w:szCs w:val="24"/>
        </w:rPr>
        <w:t xml:space="preserve">os estoques de infraestrutura e de capital humano possa contribuir para </w:t>
      </w:r>
      <w:r w:rsidR="00C44E96" w:rsidRPr="00170CD1">
        <w:rPr>
          <w:bCs/>
          <w:sz w:val="24"/>
          <w:szCs w:val="24"/>
        </w:rPr>
        <w:t>melhores oportunidades socioeconômicas para os pobres e melhor distribuição de renda via aumento dos retornos dos insumos capital e trabalho</w:t>
      </w:r>
      <w:r w:rsidR="00C44E96">
        <w:rPr>
          <w:bCs/>
          <w:sz w:val="24"/>
          <w:szCs w:val="24"/>
        </w:rPr>
        <w:t xml:space="preserve">. </w:t>
      </w:r>
      <w:r w:rsidR="00C44E96" w:rsidRPr="003F4892">
        <w:rPr>
          <w:sz w:val="24"/>
          <w:szCs w:val="24"/>
        </w:rPr>
        <w:t xml:space="preserve">Entre as justificativas para essa análise incluem-se as pressões orçamentárias que o Estado e as unidades federativas enfrentam, além das reduzidas margens para expansão das receitas fiscais. </w:t>
      </w:r>
    </w:p>
    <w:p w:rsidR="00B77266" w:rsidRDefault="003F4892" w:rsidP="00726852">
      <w:pPr>
        <w:ind w:firstLine="708"/>
        <w:jc w:val="both"/>
        <w:rPr>
          <w:sz w:val="24"/>
          <w:szCs w:val="24"/>
        </w:rPr>
      </w:pPr>
      <w:r w:rsidRPr="003F4892">
        <w:rPr>
          <w:sz w:val="24"/>
          <w:szCs w:val="24"/>
        </w:rPr>
        <w:t xml:space="preserve">No que se refere à estrutura, o trabalho contem, além da introdução e das </w:t>
      </w:r>
      <w:r w:rsidR="002679F3">
        <w:rPr>
          <w:sz w:val="24"/>
          <w:szCs w:val="24"/>
        </w:rPr>
        <w:t>conclusões</w:t>
      </w:r>
      <w:r w:rsidRPr="003F4892">
        <w:rPr>
          <w:sz w:val="24"/>
          <w:szCs w:val="24"/>
        </w:rPr>
        <w:t xml:space="preserve">, a segunda seção que relata os principais </w:t>
      </w:r>
      <w:r w:rsidR="0005587B">
        <w:rPr>
          <w:sz w:val="24"/>
          <w:szCs w:val="24"/>
        </w:rPr>
        <w:t>estudos</w:t>
      </w:r>
      <w:r w:rsidR="0005587B" w:rsidRPr="003F4892">
        <w:rPr>
          <w:sz w:val="24"/>
          <w:szCs w:val="24"/>
        </w:rPr>
        <w:t xml:space="preserve"> </w:t>
      </w:r>
      <w:r w:rsidRPr="003F4892">
        <w:rPr>
          <w:sz w:val="24"/>
          <w:szCs w:val="24"/>
        </w:rPr>
        <w:t xml:space="preserve">teóricos e empíricos </w:t>
      </w:r>
      <w:r w:rsidR="0005587B">
        <w:rPr>
          <w:sz w:val="24"/>
          <w:szCs w:val="24"/>
        </w:rPr>
        <w:t>dentro da</w:t>
      </w:r>
      <w:r w:rsidRPr="003F4892">
        <w:rPr>
          <w:sz w:val="24"/>
          <w:szCs w:val="24"/>
        </w:rPr>
        <w:t xml:space="preserve"> temática deste trabalho, de modo a dar suporte aos resultados encontrados. Na terceira seção, apresenta-se a metodologia com detalhamento do sistema de equações proposto</w:t>
      </w:r>
      <w:r w:rsidR="00E478CD">
        <w:rPr>
          <w:sz w:val="24"/>
          <w:szCs w:val="24"/>
        </w:rPr>
        <w:t xml:space="preserve"> </w:t>
      </w:r>
      <w:r w:rsidR="0005587B">
        <w:rPr>
          <w:sz w:val="24"/>
          <w:szCs w:val="24"/>
        </w:rPr>
        <w:t>e sua fonte de dados</w:t>
      </w:r>
      <w:r w:rsidRPr="003F4892">
        <w:rPr>
          <w:sz w:val="24"/>
          <w:szCs w:val="24"/>
        </w:rPr>
        <w:t xml:space="preserve">. </w:t>
      </w:r>
      <w:r w:rsidR="00E478CD">
        <w:rPr>
          <w:sz w:val="24"/>
          <w:szCs w:val="24"/>
        </w:rPr>
        <w:t>P</w:t>
      </w:r>
      <w:r w:rsidRPr="003F4892">
        <w:rPr>
          <w:sz w:val="24"/>
          <w:szCs w:val="24"/>
        </w:rPr>
        <w:t xml:space="preserve">or fim, são discutidos os resultados obtidos a </w:t>
      </w:r>
      <w:r w:rsidR="00354141">
        <w:rPr>
          <w:sz w:val="24"/>
          <w:szCs w:val="24"/>
        </w:rPr>
        <w:t xml:space="preserve">luz da teoria e da conjuntura econômica do período analisado. </w:t>
      </w:r>
      <w:r w:rsidRPr="003F4892">
        <w:rPr>
          <w:sz w:val="24"/>
          <w:szCs w:val="24"/>
        </w:rPr>
        <w:t xml:space="preserve"> </w:t>
      </w:r>
    </w:p>
    <w:p w:rsidR="00B77266" w:rsidRDefault="00B77266" w:rsidP="00726852">
      <w:pPr>
        <w:ind w:firstLine="708"/>
        <w:jc w:val="both"/>
        <w:rPr>
          <w:sz w:val="24"/>
          <w:szCs w:val="24"/>
        </w:rPr>
      </w:pPr>
    </w:p>
    <w:p w:rsidR="008E32B7" w:rsidRPr="00991FC5" w:rsidRDefault="0083027D" w:rsidP="00991FC5">
      <w:pPr>
        <w:pStyle w:val="PargrafodaLista"/>
        <w:numPr>
          <w:ilvl w:val="0"/>
          <w:numId w:val="1"/>
        </w:numPr>
        <w:rPr>
          <w:b/>
        </w:rPr>
      </w:pPr>
      <w:r>
        <w:rPr>
          <w:b/>
        </w:rPr>
        <w:t xml:space="preserve">REVISÃO DE LITERATURA </w:t>
      </w:r>
    </w:p>
    <w:p w:rsidR="00B77266" w:rsidRDefault="002679F3" w:rsidP="00726852">
      <w:pPr>
        <w:ind w:firstLine="709"/>
        <w:jc w:val="both"/>
        <w:rPr>
          <w:sz w:val="24"/>
          <w:szCs w:val="24"/>
        </w:rPr>
      </w:pPr>
      <w:r>
        <w:rPr>
          <w:sz w:val="24"/>
          <w:szCs w:val="24"/>
        </w:rPr>
        <w:t>N</w:t>
      </w:r>
      <w:r w:rsidR="001A2F75" w:rsidRPr="008D2E6C">
        <w:rPr>
          <w:sz w:val="24"/>
          <w:szCs w:val="24"/>
        </w:rPr>
        <w:t xml:space="preserve">o século XX, mais especificamente, após a Segunda Guerra Mundial, com a concretização do chamado Estado de Bem-Estar, que se inicia a defesa da importância dos gastos públicos, dando impulso ao debate sobre a formulação de políticas eficazes voltadas para a questão social mundial. No Brasil, esse processo não foi diferente. Ao longo de sua trajetória, o </w:t>
      </w:r>
      <w:r w:rsidR="00E83BA7">
        <w:rPr>
          <w:sz w:val="24"/>
          <w:szCs w:val="24"/>
        </w:rPr>
        <w:t>país</w:t>
      </w:r>
      <w:r w:rsidR="00E83BA7" w:rsidRPr="008D2E6C">
        <w:rPr>
          <w:sz w:val="24"/>
          <w:szCs w:val="24"/>
        </w:rPr>
        <w:t xml:space="preserve"> </w:t>
      </w:r>
      <w:r w:rsidR="001A2F75" w:rsidRPr="008D2E6C">
        <w:rPr>
          <w:sz w:val="24"/>
          <w:szCs w:val="24"/>
        </w:rPr>
        <w:t xml:space="preserve">desenvolveu características marcantes, entre </w:t>
      </w:r>
      <w:r w:rsidR="001C3350">
        <w:rPr>
          <w:sz w:val="24"/>
          <w:szCs w:val="24"/>
        </w:rPr>
        <w:t xml:space="preserve">as quais </w:t>
      </w:r>
      <w:r w:rsidR="001A2F75" w:rsidRPr="008D2E6C">
        <w:rPr>
          <w:sz w:val="24"/>
          <w:szCs w:val="24"/>
        </w:rPr>
        <w:t>se destacam a desigualdade social e a pobreza, as quais se mostram bastante estáveis, indicando que o problema não é circunstancial, mas sim, estrutural.</w:t>
      </w:r>
    </w:p>
    <w:p w:rsidR="00B77266" w:rsidRDefault="001A2F75" w:rsidP="00726852">
      <w:pPr>
        <w:ind w:firstLine="709"/>
        <w:jc w:val="both"/>
        <w:rPr>
          <w:sz w:val="24"/>
          <w:szCs w:val="24"/>
        </w:rPr>
      </w:pPr>
      <w:r w:rsidRPr="008D2E6C">
        <w:rPr>
          <w:sz w:val="24"/>
          <w:szCs w:val="24"/>
        </w:rPr>
        <w:t>O termo desigualdade social</w:t>
      </w:r>
      <w:r w:rsidR="001C3350">
        <w:rPr>
          <w:sz w:val="24"/>
          <w:szCs w:val="24"/>
        </w:rPr>
        <w:t>,</w:t>
      </w:r>
      <w:r w:rsidRPr="008D2E6C">
        <w:rPr>
          <w:sz w:val="24"/>
          <w:szCs w:val="24"/>
        </w:rPr>
        <w:t xml:space="preserve"> bastante recorrente no Brasil, tem sua definição envolvida por diversos tipos de desigualdade: desigualdade educacional, desigualdade de oportunidades, desigualdade de renda. Em síntese, a desigualdade econômica percebida entre os indivíduos de uma nação denomina-se de desigualdade social, levando-se em consideração a distribuição da renda. Isso porque o aumento de renda não proporciona a inserção social, diretamente, uma vez que depende de variáveis multidimensionais. Desta forma, políticas que visam apenas ao aumento da renda média </w:t>
      </w:r>
      <w:r w:rsidR="001C3350">
        <w:rPr>
          <w:sz w:val="24"/>
          <w:szCs w:val="24"/>
        </w:rPr>
        <w:t xml:space="preserve">como instrumento de </w:t>
      </w:r>
      <w:r w:rsidRPr="008D2E6C">
        <w:rPr>
          <w:sz w:val="24"/>
          <w:szCs w:val="24"/>
        </w:rPr>
        <w:t>redu</w:t>
      </w:r>
      <w:r w:rsidR="001C3350">
        <w:rPr>
          <w:sz w:val="24"/>
          <w:szCs w:val="24"/>
        </w:rPr>
        <w:t xml:space="preserve">ção da </w:t>
      </w:r>
      <w:r w:rsidRPr="008D2E6C">
        <w:rPr>
          <w:sz w:val="24"/>
          <w:szCs w:val="24"/>
        </w:rPr>
        <w:t xml:space="preserve">desigualdade </w:t>
      </w:r>
      <w:r w:rsidR="001C3350">
        <w:rPr>
          <w:sz w:val="24"/>
          <w:szCs w:val="24"/>
        </w:rPr>
        <w:t xml:space="preserve">tendem a </w:t>
      </w:r>
      <w:proofErr w:type="gramStart"/>
      <w:r w:rsidR="001C3350">
        <w:rPr>
          <w:sz w:val="24"/>
          <w:szCs w:val="24"/>
        </w:rPr>
        <w:t>ser</w:t>
      </w:r>
      <w:proofErr w:type="gramEnd"/>
      <w:r w:rsidR="001C3350" w:rsidRPr="008D2E6C">
        <w:rPr>
          <w:sz w:val="24"/>
          <w:szCs w:val="24"/>
        </w:rPr>
        <w:t xml:space="preserve"> </w:t>
      </w:r>
      <w:r w:rsidRPr="008D2E6C">
        <w:rPr>
          <w:sz w:val="24"/>
          <w:szCs w:val="24"/>
        </w:rPr>
        <w:t xml:space="preserve">apenas políticas de curto prazo, com efeitos limitados sobre outras áreas. </w:t>
      </w:r>
    </w:p>
    <w:p w:rsidR="00B77266" w:rsidRDefault="001C3350" w:rsidP="00726852">
      <w:pPr>
        <w:ind w:firstLine="709"/>
        <w:jc w:val="both"/>
        <w:rPr>
          <w:sz w:val="24"/>
          <w:szCs w:val="24"/>
        </w:rPr>
      </w:pPr>
      <w:r>
        <w:rPr>
          <w:sz w:val="24"/>
          <w:szCs w:val="24"/>
        </w:rPr>
        <w:lastRenderedPageBreak/>
        <w:t xml:space="preserve">Sob essa perspectiva, emerge </w:t>
      </w:r>
      <w:r w:rsidR="00553F21">
        <w:rPr>
          <w:sz w:val="24"/>
          <w:szCs w:val="24"/>
        </w:rPr>
        <w:t xml:space="preserve">a importância das </w:t>
      </w:r>
      <w:r w:rsidR="001A2F75" w:rsidRPr="008D2E6C">
        <w:rPr>
          <w:sz w:val="24"/>
          <w:szCs w:val="24"/>
        </w:rPr>
        <w:t xml:space="preserve">políticas públicas pautadas na possibilidade de conceder à população acesso aos serviços de educação, saúde, inclusão digital, participação política, entre outros </w:t>
      </w:r>
      <w:r>
        <w:rPr>
          <w:sz w:val="24"/>
          <w:szCs w:val="24"/>
        </w:rPr>
        <w:t>bens sociais</w:t>
      </w:r>
      <w:r w:rsidR="001A2F75" w:rsidRPr="008D2E6C">
        <w:rPr>
          <w:sz w:val="24"/>
          <w:szCs w:val="24"/>
        </w:rPr>
        <w:t xml:space="preserve">. Assim, o simples aumento de renda, </w:t>
      </w:r>
      <w:r w:rsidR="00553F21">
        <w:rPr>
          <w:sz w:val="24"/>
          <w:szCs w:val="24"/>
        </w:rPr>
        <w:t xml:space="preserve">enquanto </w:t>
      </w:r>
      <w:r w:rsidR="001A2F75" w:rsidRPr="008D2E6C">
        <w:rPr>
          <w:sz w:val="24"/>
          <w:szCs w:val="24"/>
        </w:rPr>
        <w:t xml:space="preserve">condição necessária, não é condição suficiente para a obtenção desses serviços. </w:t>
      </w:r>
      <w:r w:rsidR="00553F21">
        <w:rPr>
          <w:sz w:val="24"/>
          <w:szCs w:val="24"/>
        </w:rPr>
        <w:t xml:space="preserve">Para </w:t>
      </w:r>
      <w:proofErr w:type="spellStart"/>
      <w:r w:rsidR="001A2F75" w:rsidRPr="008D2E6C">
        <w:rPr>
          <w:sz w:val="24"/>
          <w:szCs w:val="24"/>
        </w:rPr>
        <w:t>Sen</w:t>
      </w:r>
      <w:proofErr w:type="spellEnd"/>
      <w:r w:rsidR="001A2F75" w:rsidRPr="008D2E6C">
        <w:rPr>
          <w:sz w:val="24"/>
          <w:szCs w:val="24"/>
        </w:rPr>
        <w:t xml:space="preserve"> (1983), não é condição suficiente aumentar os recursos financeiros do individuo, mas é, sumariamente, importante </w:t>
      </w:r>
      <w:r w:rsidR="001A2F75" w:rsidRPr="00700831">
        <w:rPr>
          <w:sz w:val="24"/>
          <w:szCs w:val="24"/>
        </w:rPr>
        <w:t>ampliar suas oportunidades de escolhas</w:t>
      </w:r>
      <w:r w:rsidRPr="00700831">
        <w:rPr>
          <w:sz w:val="24"/>
          <w:szCs w:val="24"/>
        </w:rPr>
        <w:t>,</w:t>
      </w:r>
      <w:r w:rsidR="001A2F75" w:rsidRPr="00700831">
        <w:rPr>
          <w:sz w:val="24"/>
          <w:szCs w:val="24"/>
        </w:rPr>
        <w:t xml:space="preserve"> no intuito de elevar o nível do bem-estar. Isso </w:t>
      </w:r>
      <w:r w:rsidRPr="00700831">
        <w:rPr>
          <w:sz w:val="24"/>
          <w:szCs w:val="24"/>
        </w:rPr>
        <w:t xml:space="preserve">é possível por meio do </w:t>
      </w:r>
      <w:r w:rsidR="001A2F75" w:rsidRPr="00700831">
        <w:rPr>
          <w:sz w:val="24"/>
          <w:szCs w:val="24"/>
        </w:rPr>
        <w:t xml:space="preserve">investimento em capital humano, o </w:t>
      </w:r>
      <w:r w:rsidRPr="00700831">
        <w:rPr>
          <w:sz w:val="24"/>
          <w:szCs w:val="24"/>
        </w:rPr>
        <w:t xml:space="preserve">que viabiliza </w:t>
      </w:r>
      <w:r w:rsidR="001A2F75" w:rsidRPr="00700831">
        <w:rPr>
          <w:sz w:val="24"/>
          <w:szCs w:val="24"/>
        </w:rPr>
        <w:t>agregação de conhecimento e, com isso, eleva a renda, permit</w:t>
      </w:r>
      <w:r w:rsidRPr="00700831">
        <w:rPr>
          <w:sz w:val="24"/>
          <w:szCs w:val="24"/>
        </w:rPr>
        <w:t xml:space="preserve">e </w:t>
      </w:r>
      <w:r w:rsidR="001A2F75" w:rsidRPr="00700831">
        <w:rPr>
          <w:sz w:val="24"/>
          <w:szCs w:val="24"/>
        </w:rPr>
        <w:t xml:space="preserve">acesso à saúde e </w:t>
      </w:r>
      <w:r w:rsidRPr="00700831">
        <w:rPr>
          <w:sz w:val="24"/>
          <w:szCs w:val="24"/>
        </w:rPr>
        <w:t>possibilita</w:t>
      </w:r>
      <w:r w:rsidR="001A2F75" w:rsidRPr="00700831">
        <w:rPr>
          <w:sz w:val="24"/>
          <w:szCs w:val="24"/>
        </w:rPr>
        <w:t xml:space="preserve"> maior participação nas decisões políticas do país, ou seja, </w:t>
      </w:r>
      <w:r w:rsidR="002679F3">
        <w:rPr>
          <w:sz w:val="24"/>
          <w:szCs w:val="24"/>
        </w:rPr>
        <w:t>expande</w:t>
      </w:r>
      <w:r w:rsidR="002679F3" w:rsidRPr="00700831">
        <w:rPr>
          <w:sz w:val="24"/>
          <w:szCs w:val="24"/>
        </w:rPr>
        <w:t xml:space="preserve"> </w:t>
      </w:r>
      <w:r w:rsidR="001A2F75" w:rsidRPr="00700831">
        <w:rPr>
          <w:sz w:val="24"/>
          <w:szCs w:val="24"/>
        </w:rPr>
        <w:t xml:space="preserve">as oportunidades do indivíduo enquanto cidadão. </w:t>
      </w:r>
    </w:p>
    <w:p w:rsidR="00B77266" w:rsidRDefault="006A3331" w:rsidP="00726852">
      <w:pPr>
        <w:ind w:firstLine="708"/>
        <w:jc w:val="both"/>
        <w:rPr>
          <w:sz w:val="24"/>
          <w:szCs w:val="24"/>
        </w:rPr>
      </w:pPr>
      <w:r w:rsidRPr="003F4892">
        <w:rPr>
          <w:sz w:val="24"/>
          <w:szCs w:val="24"/>
        </w:rPr>
        <w:t xml:space="preserve">No </w:t>
      </w:r>
      <w:r>
        <w:rPr>
          <w:sz w:val="24"/>
          <w:szCs w:val="24"/>
        </w:rPr>
        <w:t>centro</w:t>
      </w:r>
      <w:r w:rsidRPr="003F4892">
        <w:rPr>
          <w:sz w:val="24"/>
          <w:szCs w:val="24"/>
        </w:rPr>
        <w:t xml:space="preserve"> </w:t>
      </w:r>
      <w:r>
        <w:rPr>
          <w:sz w:val="24"/>
          <w:szCs w:val="24"/>
        </w:rPr>
        <w:t>destas</w:t>
      </w:r>
      <w:r w:rsidRPr="003F4892">
        <w:rPr>
          <w:sz w:val="24"/>
          <w:szCs w:val="24"/>
        </w:rPr>
        <w:t xml:space="preserve"> </w:t>
      </w:r>
      <w:r>
        <w:rPr>
          <w:sz w:val="24"/>
          <w:szCs w:val="24"/>
        </w:rPr>
        <w:t>questões</w:t>
      </w:r>
      <w:r w:rsidRPr="003F4892">
        <w:rPr>
          <w:sz w:val="24"/>
          <w:szCs w:val="24"/>
        </w:rPr>
        <w:t xml:space="preserve">, </w:t>
      </w:r>
      <w:r>
        <w:rPr>
          <w:sz w:val="24"/>
          <w:szCs w:val="24"/>
        </w:rPr>
        <w:t>destaca</w:t>
      </w:r>
      <w:r w:rsidRPr="003F4892">
        <w:rPr>
          <w:sz w:val="24"/>
          <w:szCs w:val="24"/>
        </w:rPr>
        <w:t>-se o co</w:t>
      </w:r>
      <w:r>
        <w:rPr>
          <w:sz w:val="24"/>
          <w:szCs w:val="24"/>
        </w:rPr>
        <w:t xml:space="preserve">nceito de crescimento pró-pobre, </w:t>
      </w:r>
      <w:r w:rsidR="002679F3">
        <w:rPr>
          <w:sz w:val="24"/>
          <w:szCs w:val="24"/>
        </w:rPr>
        <w:t xml:space="preserve">que </w:t>
      </w:r>
      <w:r w:rsidRPr="003F4892">
        <w:rPr>
          <w:sz w:val="24"/>
          <w:szCs w:val="24"/>
        </w:rPr>
        <w:t>faz com que o aumento generalizado</w:t>
      </w:r>
      <w:r w:rsidRPr="00700831">
        <w:rPr>
          <w:sz w:val="24"/>
          <w:szCs w:val="24"/>
        </w:rPr>
        <w:t xml:space="preserve"> da</w:t>
      </w:r>
      <w:r w:rsidRPr="00AB45BC">
        <w:rPr>
          <w:sz w:val="24"/>
          <w:szCs w:val="24"/>
        </w:rPr>
        <w:t xml:space="preserve"> renda beneficie</w:t>
      </w:r>
      <w:r w:rsidR="002679F3">
        <w:rPr>
          <w:sz w:val="24"/>
          <w:szCs w:val="24"/>
        </w:rPr>
        <w:t xml:space="preserve"> o pobre </w:t>
      </w:r>
      <w:r w:rsidRPr="00AB45BC">
        <w:rPr>
          <w:sz w:val="24"/>
          <w:szCs w:val="24"/>
        </w:rPr>
        <w:t xml:space="preserve">proporcionalmente mais que </w:t>
      </w:r>
      <w:r w:rsidR="002679F3">
        <w:rPr>
          <w:sz w:val="24"/>
          <w:szCs w:val="24"/>
        </w:rPr>
        <w:t>a</w:t>
      </w:r>
      <w:r w:rsidRPr="00AB45BC">
        <w:rPr>
          <w:sz w:val="24"/>
          <w:szCs w:val="24"/>
        </w:rPr>
        <w:t>o não pobre.</w:t>
      </w:r>
      <w:r w:rsidR="001A2F75" w:rsidRPr="00AB45BC">
        <w:rPr>
          <w:sz w:val="24"/>
          <w:szCs w:val="24"/>
        </w:rPr>
        <w:t xml:space="preserve"> </w:t>
      </w:r>
      <w:r w:rsidR="00EA1D5C">
        <w:rPr>
          <w:sz w:val="24"/>
          <w:szCs w:val="24"/>
        </w:rPr>
        <w:t xml:space="preserve">Este tipo de dinamismo </w:t>
      </w:r>
      <w:r w:rsidR="001A2F75" w:rsidRPr="00AB45BC">
        <w:rPr>
          <w:sz w:val="24"/>
          <w:szCs w:val="24"/>
        </w:rPr>
        <w:t>econômico faz</w:t>
      </w:r>
      <w:r w:rsidR="001A2F75" w:rsidRPr="008D2E6C">
        <w:rPr>
          <w:sz w:val="24"/>
          <w:szCs w:val="24"/>
        </w:rPr>
        <w:t xml:space="preserve"> </w:t>
      </w:r>
      <w:r w:rsidR="001A2F75" w:rsidRPr="00AB45BC">
        <w:rPr>
          <w:sz w:val="24"/>
          <w:szCs w:val="24"/>
        </w:rPr>
        <w:t>referência à inclusão dos pobres na geração do crescimento econômico e usufruto de seus</w:t>
      </w:r>
      <w:r w:rsidR="001A2F75" w:rsidRPr="008D2E6C">
        <w:rPr>
          <w:sz w:val="24"/>
          <w:szCs w:val="24"/>
        </w:rPr>
        <w:t xml:space="preserve"> </w:t>
      </w:r>
      <w:r w:rsidR="001A2F75" w:rsidRPr="00AB45BC">
        <w:rPr>
          <w:sz w:val="24"/>
          <w:szCs w:val="24"/>
        </w:rPr>
        <w:t>resultados</w:t>
      </w:r>
      <w:r w:rsidR="001A2F75" w:rsidRPr="008D2E6C">
        <w:rPr>
          <w:sz w:val="24"/>
          <w:szCs w:val="24"/>
        </w:rPr>
        <w:t>.</w:t>
      </w:r>
      <w:r w:rsidR="00700831">
        <w:rPr>
          <w:sz w:val="24"/>
          <w:szCs w:val="24"/>
        </w:rPr>
        <w:t xml:space="preserve"> </w:t>
      </w:r>
      <w:r w:rsidR="001A2F75">
        <w:rPr>
          <w:sz w:val="24"/>
          <w:szCs w:val="24"/>
        </w:rPr>
        <w:t xml:space="preserve">Porém, </w:t>
      </w:r>
      <w:r w:rsidR="001A2F75" w:rsidRPr="008D2E6C">
        <w:rPr>
          <w:sz w:val="24"/>
          <w:szCs w:val="24"/>
        </w:rPr>
        <w:t xml:space="preserve">a literatura sobre o crescimento pró-pobre é ampla e diversificada. </w:t>
      </w:r>
      <w:r w:rsidR="00EA1D5C">
        <w:rPr>
          <w:sz w:val="24"/>
          <w:szCs w:val="24"/>
        </w:rPr>
        <w:t>Os</w:t>
      </w:r>
      <w:r w:rsidR="001A2F75" w:rsidRPr="008D2E6C">
        <w:rPr>
          <w:sz w:val="24"/>
          <w:szCs w:val="24"/>
        </w:rPr>
        <w:t xml:space="preserve"> trabalhos de </w:t>
      </w:r>
      <w:r w:rsidR="001A2F75" w:rsidRPr="008D2E6C">
        <w:rPr>
          <w:color w:val="000000"/>
          <w:sz w:val="24"/>
          <w:szCs w:val="24"/>
        </w:rPr>
        <w:t>White e Anderson (2000)</w:t>
      </w:r>
      <w:r w:rsidR="002679F3">
        <w:rPr>
          <w:color w:val="000000"/>
          <w:sz w:val="24"/>
          <w:szCs w:val="24"/>
        </w:rPr>
        <w:t xml:space="preserve"> e</w:t>
      </w:r>
      <w:r w:rsidR="001A2F75" w:rsidRPr="008D2E6C">
        <w:rPr>
          <w:color w:val="000000"/>
          <w:sz w:val="24"/>
          <w:szCs w:val="24"/>
        </w:rPr>
        <w:t xml:space="preserve"> de </w:t>
      </w:r>
      <w:r w:rsidR="001A2F75" w:rsidRPr="008D2E6C">
        <w:rPr>
          <w:sz w:val="24"/>
          <w:szCs w:val="24"/>
        </w:rPr>
        <w:t xml:space="preserve">Manso e Barreto (2009) </w:t>
      </w:r>
      <w:r w:rsidR="001A2F75" w:rsidRPr="008D2E6C">
        <w:rPr>
          <w:color w:val="000000"/>
          <w:sz w:val="24"/>
          <w:szCs w:val="24"/>
        </w:rPr>
        <w:t>limitam a</w:t>
      </w:r>
      <w:r w:rsidR="001A2F75" w:rsidRPr="008D2E6C">
        <w:rPr>
          <w:sz w:val="24"/>
          <w:szCs w:val="24"/>
        </w:rPr>
        <w:t xml:space="preserve"> discussão </w:t>
      </w:r>
      <w:r w:rsidR="002679F3">
        <w:rPr>
          <w:sz w:val="24"/>
          <w:szCs w:val="24"/>
        </w:rPr>
        <w:t xml:space="preserve">dessa definição </w:t>
      </w:r>
      <w:r w:rsidR="001A2F75" w:rsidRPr="008D2E6C">
        <w:rPr>
          <w:sz w:val="24"/>
          <w:szCs w:val="24"/>
        </w:rPr>
        <w:t xml:space="preserve">em torno </w:t>
      </w:r>
      <w:r w:rsidR="002679F3">
        <w:rPr>
          <w:sz w:val="24"/>
          <w:szCs w:val="24"/>
        </w:rPr>
        <w:t>da relevância de</w:t>
      </w:r>
      <w:r w:rsidR="002679F3" w:rsidRPr="008D2E6C">
        <w:rPr>
          <w:sz w:val="24"/>
          <w:szCs w:val="24"/>
        </w:rPr>
        <w:t xml:space="preserve"> </w:t>
      </w:r>
      <w:r w:rsidR="001A2F75" w:rsidRPr="008D2E6C">
        <w:rPr>
          <w:sz w:val="24"/>
          <w:szCs w:val="24"/>
        </w:rPr>
        <w:t>dois indicadores</w:t>
      </w:r>
      <w:r w:rsidR="002679F3" w:rsidRPr="002679F3">
        <w:rPr>
          <w:sz w:val="24"/>
          <w:szCs w:val="24"/>
        </w:rPr>
        <w:t xml:space="preserve"> </w:t>
      </w:r>
      <w:r w:rsidR="002679F3">
        <w:rPr>
          <w:sz w:val="24"/>
          <w:szCs w:val="24"/>
        </w:rPr>
        <w:t>para a redução d</w:t>
      </w:r>
      <w:r w:rsidR="002679F3" w:rsidRPr="008D2E6C">
        <w:rPr>
          <w:sz w:val="24"/>
          <w:szCs w:val="24"/>
        </w:rPr>
        <w:t>a pobreza</w:t>
      </w:r>
      <w:r w:rsidR="001A2F75" w:rsidRPr="008D2E6C">
        <w:rPr>
          <w:sz w:val="24"/>
          <w:szCs w:val="24"/>
        </w:rPr>
        <w:t xml:space="preserve">: desigualdade de renda e crescimento da renda média. </w:t>
      </w:r>
    </w:p>
    <w:p w:rsidR="00B77266" w:rsidRDefault="001A2F75" w:rsidP="00726852">
      <w:pPr>
        <w:ind w:firstLine="709"/>
        <w:jc w:val="both"/>
        <w:rPr>
          <w:sz w:val="24"/>
          <w:szCs w:val="24"/>
        </w:rPr>
      </w:pPr>
      <w:r w:rsidRPr="008D2E6C">
        <w:rPr>
          <w:color w:val="000000"/>
          <w:sz w:val="24"/>
          <w:szCs w:val="24"/>
        </w:rPr>
        <w:t>Defendendo a visão que leva em consideração a des</w:t>
      </w:r>
      <w:r w:rsidR="00C04715">
        <w:rPr>
          <w:color w:val="000000"/>
          <w:sz w:val="24"/>
          <w:szCs w:val="24"/>
        </w:rPr>
        <w:t>igualdade de renda, Lopez (2004</w:t>
      </w:r>
      <w:r w:rsidRPr="008D2E6C">
        <w:rPr>
          <w:color w:val="000000"/>
          <w:sz w:val="24"/>
          <w:szCs w:val="24"/>
        </w:rPr>
        <w:t>)</w:t>
      </w:r>
      <w:r w:rsidR="00700831">
        <w:rPr>
          <w:color w:val="000000"/>
          <w:sz w:val="24"/>
          <w:szCs w:val="24"/>
        </w:rPr>
        <w:t xml:space="preserve"> </w:t>
      </w:r>
      <w:r w:rsidRPr="008D2E6C">
        <w:rPr>
          <w:color w:val="000000"/>
          <w:sz w:val="24"/>
          <w:szCs w:val="24"/>
        </w:rPr>
        <w:t xml:space="preserve">mostra que </w:t>
      </w:r>
      <w:r w:rsidRPr="008D2E6C">
        <w:rPr>
          <w:sz w:val="24"/>
          <w:szCs w:val="24"/>
        </w:rPr>
        <w:t>crescimento “pró-pobre” se dá quando a participação da renda dos mais pobres da população aumenta mais que proporcionalmente ao crescimento da renda média da economia</w:t>
      </w:r>
      <w:r w:rsidR="00E10F0F">
        <w:rPr>
          <w:sz w:val="24"/>
          <w:szCs w:val="24"/>
        </w:rPr>
        <w:t xml:space="preserve">, </w:t>
      </w:r>
      <w:r w:rsidR="00700831">
        <w:rPr>
          <w:sz w:val="24"/>
          <w:szCs w:val="24"/>
        </w:rPr>
        <w:t xml:space="preserve">culminando na </w:t>
      </w:r>
      <w:r w:rsidRPr="008D2E6C">
        <w:rPr>
          <w:sz w:val="24"/>
          <w:szCs w:val="24"/>
        </w:rPr>
        <w:t xml:space="preserve">queda da desigualdade lado a lado com o crescimento dos rendimentos. </w:t>
      </w:r>
      <w:r w:rsidR="00700831">
        <w:rPr>
          <w:sz w:val="24"/>
          <w:szCs w:val="24"/>
        </w:rPr>
        <w:t>Nesta linha, c</w:t>
      </w:r>
      <w:r w:rsidRPr="008D2E6C">
        <w:rPr>
          <w:sz w:val="24"/>
          <w:szCs w:val="24"/>
        </w:rPr>
        <w:t xml:space="preserve">itam-se White e Anderson (2000), que </w:t>
      </w:r>
      <w:r w:rsidR="00E10F0F">
        <w:rPr>
          <w:sz w:val="24"/>
          <w:szCs w:val="24"/>
        </w:rPr>
        <w:t>defendem o critério d</w:t>
      </w:r>
      <w:r w:rsidRPr="008D2E6C">
        <w:rPr>
          <w:sz w:val="24"/>
          <w:szCs w:val="24"/>
        </w:rPr>
        <w:t xml:space="preserve">a variação positiva da renda dos pobres pelo menos tão quanto à variação da participação desta camada na população. Em outras palavras, há aumento da renda per capita dos mais pobres e, por conseguinte, a queda da desigualdade absoluta. No entanto, </w:t>
      </w:r>
      <w:r w:rsidR="00700831">
        <w:rPr>
          <w:sz w:val="24"/>
          <w:szCs w:val="24"/>
        </w:rPr>
        <w:t xml:space="preserve">entre os </w:t>
      </w:r>
      <w:r w:rsidRPr="008D2E6C">
        <w:rPr>
          <w:sz w:val="24"/>
          <w:szCs w:val="24"/>
        </w:rPr>
        <w:t xml:space="preserve">estudiosos defensores do crescimento da renda, </w:t>
      </w:r>
      <w:proofErr w:type="spellStart"/>
      <w:r w:rsidRPr="008D2E6C">
        <w:rPr>
          <w:sz w:val="24"/>
          <w:szCs w:val="24"/>
        </w:rPr>
        <w:t>Ravallion</w:t>
      </w:r>
      <w:proofErr w:type="spellEnd"/>
      <w:r w:rsidRPr="008D2E6C">
        <w:rPr>
          <w:sz w:val="24"/>
          <w:szCs w:val="24"/>
        </w:rPr>
        <w:t xml:space="preserve"> e Chen (2003)</w:t>
      </w:r>
      <w:r w:rsidR="00E10F0F">
        <w:rPr>
          <w:sz w:val="24"/>
          <w:szCs w:val="24"/>
        </w:rPr>
        <w:t xml:space="preserve"> usam como justificativa sua</w:t>
      </w:r>
      <w:r w:rsidRPr="008D2E6C">
        <w:rPr>
          <w:sz w:val="24"/>
          <w:szCs w:val="24"/>
        </w:rPr>
        <w:t xml:space="preserve"> capacidade de reduzir a pobreza para determinada medida pré-estabelecida, independente do ocorrido com o nível de </w:t>
      </w:r>
      <w:r w:rsidR="00365378" w:rsidRPr="008D2E6C">
        <w:rPr>
          <w:sz w:val="24"/>
          <w:szCs w:val="24"/>
        </w:rPr>
        <w:t>desigualdade.</w:t>
      </w:r>
      <w:r w:rsidR="00365378">
        <w:rPr>
          <w:sz w:val="24"/>
          <w:szCs w:val="24"/>
        </w:rPr>
        <w:t xml:space="preserve"> Já </w:t>
      </w:r>
      <w:proofErr w:type="spellStart"/>
      <w:r w:rsidRPr="008572DA">
        <w:rPr>
          <w:sz w:val="24"/>
          <w:szCs w:val="24"/>
        </w:rPr>
        <w:t>Kalkwani</w:t>
      </w:r>
      <w:proofErr w:type="spellEnd"/>
      <w:r w:rsidRPr="008572DA">
        <w:rPr>
          <w:sz w:val="24"/>
          <w:szCs w:val="24"/>
        </w:rPr>
        <w:t xml:space="preserve"> e </w:t>
      </w:r>
      <w:proofErr w:type="spellStart"/>
      <w:r w:rsidRPr="008572DA">
        <w:rPr>
          <w:sz w:val="24"/>
          <w:szCs w:val="24"/>
        </w:rPr>
        <w:t>Pernia</w:t>
      </w:r>
      <w:proofErr w:type="spellEnd"/>
      <w:r w:rsidR="00365378">
        <w:rPr>
          <w:sz w:val="24"/>
          <w:szCs w:val="24"/>
        </w:rPr>
        <w:t xml:space="preserve"> (</w:t>
      </w:r>
      <w:r w:rsidRPr="008572DA">
        <w:rPr>
          <w:sz w:val="24"/>
          <w:szCs w:val="24"/>
        </w:rPr>
        <w:t>2000) mescla</w:t>
      </w:r>
      <w:r w:rsidR="00365378">
        <w:rPr>
          <w:sz w:val="24"/>
          <w:szCs w:val="24"/>
        </w:rPr>
        <w:t>m</w:t>
      </w:r>
      <w:r w:rsidRPr="008572DA">
        <w:rPr>
          <w:sz w:val="24"/>
          <w:szCs w:val="24"/>
        </w:rPr>
        <w:t xml:space="preserve"> ambos os indicadores</w:t>
      </w:r>
      <w:r w:rsidR="00365378">
        <w:rPr>
          <w:sz w:val="24"/>
          <w:szCs w:val="24"/>
        </w:rPr>
        <w:t xml:space="preserve"> e sugerem a </w:t>
      </w:r>
      <w:r w:rsidRPr="008572DA">
        <w:rPr>
          <w:sz w:val="24"/>
          <w:szCs w:val="24"/>
        </w:rPr>
        <w:t xml:space="preserve">comparação entre as mudanças na pobreza devido ao crescimento econômico e </w:t>
      </w:r>
      <w:r w:rsidR="0055519D">
        <w:rPr>
          <w:sz w:val="24"/>
          <w:szCs w:val="24"/>
        </w:rPr>
        <w:t>aquelas devidas às</w:t>
      </w:r>
      <w:r w:rsidRPr="008572DA">
        <w:rPr>
          <w:sz w:val="24"/>
          <w:szCs w:val="24"/>
        </w:rPr>
        <w:t xml:space="preserve"> alterações reais na desigualdade. </w:t>
      </w:r>
    </w:p>
    <w:p w:rsidR="00B77266" w:rsidRDefault="00F0510C" w:rsidP="00726852">
      <w:pPr>
        <w:ind w:firstLine="708"/>
        <w:jc w:val="both"/>
      </w:pPr>
      <w:r>
        <w:rPr>
          <w:sz w:val="24"/>
          <w:szCs w:val="24"/>
        </w:rPr>
        <w:t xml:space="preserve">O fato é que </w:t>
      </w:r>
      <w:r w:rsidR="003F4892">
        <w:rPr>
          <w:sz w:val="24"/>
          <w:szCs w:val="24"/>
        </w:rPr>
        <w:t>nenhuma destas definições está isenta de contradições devido à complexidade do tema. Em meio à discussão sobre o crescimento pró-pobre dever-se-ia aprofundar no foco do problema, a pobreza, para depois, caracterizá-la. A noção de pobreza refere-se a algum tipo de privação</w:t>
      </w:r>
      <w:r>
        <w:rPr>
          <w:sz w:val="24"/>
          <w:szCs w:val="24"/>
        </w:rPr>
        <w:t xml:space="preserve"> (</w:t>
      </w:r>
      <w:r w:rsidR="003F4892">
        <w:rPr>
          <w:sz w:val="24"/>
          <w:szCs w:val="24"/>
        </w:rPr>
        <w:t>material ou de elementos culturais e sociais</w:t>
      </w:r>
      <w:r>
        <w:rPr>
          <w:sz w:val="24"/>
          <w:szCs w:val="24"/>
        </w:rPr>
        <w:t>)</w:t>
      </w:r>
      <w:r w:rsidR="003F4892">
        <w:rPr>
          <w:sz w:val="24"/>
          <w:szCs w:val="24"/>
        </w:rPr>
        <w:t xml:space="preserve">, ou mesmo de natureza absoluta, relativa ou subjetiva. </w:t>
      </w:r>
      <w:proofErr w:type="spellStart"/>
      <w:r w:rsidR="003F4892">
        <w:rPr>
          <w:sz w:val="24"/>
          <w:szCs w:val="24"/>
        </w:rPr>
        <w:t>Hagenaars</w:t>
      </w:r>
      <w:proofErr w:type="spellEnd"/>
      <w:r w:rsidR="003F4892">
        <w:rPr>
          <w:sz w:val="24"/>
          <w:szCs w:val="24"/>
        </w:rPr>
        <w:t xml:space="preserve"> e De Vos (1988) classificam a pobreza em três categorias</w:t>
      </w:r>
      <w:r>
        <w:rPr>
          <w:sz w:val="24"/>
          <w:szCs w:val="24"/>
        </w:rPr>
        <w:t>: a</w:t>
      </w:r>
      <w:r w:rsidR="003F4892">
        <w:rPr>
          <w:sz w:val="24"/>
          <w:szCs w:val="24"/>
        </w:rPr>
        <w:t xml:space="preserve"> pobreza absoluta</w:t>
      </w:r>
      <w:r>
        <w:rPr>
          <w:sz w:val="24"/>
          <w:szCs w:val="24"/>
        </w:rPr>
        <w:t>,</w:t>
      </w:r>
      <w:r w:rsidR="003F4892">
        <w:rPr>
          <w:sz w:val="24"/>
          <w:szCs w:val="24"/>
        </w:rPr>
        <w:t xml:space="preserve"> caracterizada pela detenção de nível de renda inferior ao necessário para consumir os bens considerados essenciais para a vida das pessoas</w:t>
      </w:r>
      <w:r>
        <w:rPr>
          <w:sz w:val="24"/>
          <w:szCs w:val="24"/>
        </w:rPr>
        <w:t xml:space="preserve">; a </w:t>
      </w:r>
      <w:r w:rsidR="003F4892">
        <w:rPr>
          <w:sz w:val="24"/>
          <w:szCs w:val="24"/>
        </w:rPr>
        <w:t>pobreza relativa</w:t>
      </w:r>
      <w:r>
        <w:rPr>
          <w:sz w:val="24"/>
          <w:szCs w:val="24"/>
        </w:rPr>
        <w:t xml:space="preserve">, </w:t>
      </w:r>
      <w:r w:rsidR="003F4892">
        <w:rPr>
          <w:sz w:val="24"/>
          <w:szCs w:val="24"/>
        </w:rPr>
        <w:t xml:space="preserve">situação em que o indivíduo possui renda muito abaixo da renda média do país. E </w:t>
      </w:r>
      <w:r>
        <w:rPr>
          <w:sz w:val="24"/>
          <w:szCs w:val="24"/>
        </w:rPr>
        <w:t>ainda a p</w:t>
      </w:r>
      <w:r w:rsidR="003F4892">
        <w:rPr>
          <w:sz w:val="24"/>
          <w:szCs w:val="24"/>
        </w:rPr>
        <w:t xml:space="preserve">obreza subjetiva, </w:t>
      </w:r>
      <w:r w:rsidR="002F2B8B">
        <w:rPr>
          <w:sz w:val="24"/>
          <w:szCs w:val="24"/>
        </w:rPr>
        <w:t xml:space="preserve">condição na qual </w:t>
      </w:r>
      <w:r w:rsidR="003F4892" w:rsidRPr="003F4892">
        <w:rPr>
          <w:sz w:val="24"/>
          <w:szCs w:val="24"/>
        </w:rPr>
        <w:t xml:space="preserve">o cidadão sente que não </w:t>
      </w:r>
      <w:r w:rsidR="00106020" w:rsidRPr="003F4892">
        <w:rPr>
          <w:sz w:val="24"/>
          <w:szCs w:val="24"/>
        </w:rPr>
        <w:t>detém</w:t>
      </w:r>
      <w:r w:rsidR="003F4892" w:rsidRPr="003F4892">
        <w:rPr>
          <w:sz w:val="24"/>
          <w:szCs w:val="24"/>
        </w:rPr>
        <w:t xml:space="preserve"> o suficiente para seguir adiante.</w:t>
      </w:r>
    </w:p>
    <w:p w:rsidR="00B77266" w:rsidRDefault="001A2F75" w:rsidP="00726852">
      <w:pPr>
        <w:ind w:firstLine="709"/>
        <w:jc w:val="both"/>
        <w:rPr>
          <w:sz w:val="24"/>
          <w:szCs w:val="24"/>
        </w:rPr>
      </w:pPr>
      <w:proofErr w:type="spellStart"/>
      <w:r w:rsidRPr="00C30E6F">
        <w:rPr>
          <w:sz w:val="24"/>
          <w:szCs w:val="24"/>
        </w:rPr>
        <w:t>Bradshaw</w:t>
      </w:r>
      <w:proofErr w:type="spellEnd"/>
      <w:r w:rsidRPr="00C30E6F">
        <w:rPr>
          <w:sz w:val="24"/>
          <w:szCs w:val="24"/>
        </w:rPr>
        <w:t xml:space="preserve"> e </w:t>
      </w:r>
      <w:proofErr w:type="spellStart"/>
      <w:r w:rsidRPr="00C30E6F">
        <w:rPr>
          <w:sz w:val="24"/>
          <w:szCs w:val="24"/>
        </w:rPr>
        <w:t>Finch</w:t>
      </w:r>
      <w:proofErr w:type="spellEnd"/>
      <w:r w:rsidRPr="00C30E6F">
        <w:rPr>
          <w:sz w:val="24"/>
          <w:szCs w:val="24"/>
        </w:rPr>
        <w:t xml:space="preserve"> (2003) defendem a privação de bens e condições de vida como o indicador direto de pobreza, sendo a renda apenas um indicador indireto. Já Rocha (1995) enfatiza que a maioria das necessidades no campo do consumo privado é atendida através do mercado, logo o nível de bem-estar está, estritamente, ligado ao nível da renda, ou seja, uma medida de pobreza unidimensional.</w:t>
      </w:r>
    </w:p>
    <w:p w:rsidR="00C3783F" w:rsidRDefault="001A2F75">
      <w:pPr>
        <w:ind w:firstLine="708"/>
        <w:jc w:val="both"/>
        <w:rPr>
          <w:sz w:val="24"/>
          <w:szCs w:val="24"/>
        </w:rPr>
      </w:pPr>
      <w:r w:rsidRPr="00215C3E">
        <w:rPr>
          <w:sz w:val="24"/>
          <w:szCs w:val="24"/>
        </w:rPr>
        <w:t>Na busca de soluções para a pobreza</w:t>
      </w:r>
      <w:r w:rsidR="00695FAB">
        <w:rPr>
          <w:sz w:val="24"/>
          <w:szCs w:val="24"/>
        </w:rPr>
        <w:t>,</w:t>
      </w:r>
      <w:r w:rsidRPr="00215C3E">
        <w:rPr>
          <w:sz w:val="24"/>
          <w:szCs w:val="24"/>
        </w:rPr>
        <w:t xml:space="preserve"> </w:t>
      </w:r>
      <w:r w:rsidR="002F2B8B">
        <w:rPr>
          <w:sz w:val="24"/>
          <w:szCs w:val="24"/>
        </w:rPr>
        <w:t>a</w:t>
      </w:r>
      <w:r w:rsidRPr="00215C3E">
        <w:rPr>
          <w:sz w:val="24"/>
          <w:szCs w:val="24"/>
        </w:rPr>
        <w:t xml:space="preserve"> análise das políticas públicas adotadas é essencial</w:t>
      </w:r>
      <w:r w:rsidR="00AF411D">
        <w:rPr>
          <w:sz w:val="24"/>
          <w:szCs w:val="24"/>
        </w:rPr>
        <w:t xml:space="preserve">. Analisando-se </w:t>
      </w:r>
      <w:r w:rsidRPr="00215C3E">
        <w:rPr>
          <w:sz w:val="24"/>
          <w:szCs w:val="24"/>
        </w:rPr>
        <w:t>os gastos públicos que alteram a relação entre os fatores de produção</w:t>
      </w:r>
      <w:r w:rsidR="000763B1">
        <w:rPr>
          <w:sz w:val="24"/>
          <w:szCs w:val="24"/>
        </w:rPr>
        <w:t xml:space="preserve"> </w:t>
      </w:r>
      <w:r w:rsidRPr="00215C3E">
        <w:rPr>
          <w:sz w:val="24"/>
          <w:szCs w:val="24"/>
        </w:rPr>
        <w:t>e</w:t>
      </w:r>
      <w:r w:rsidR="000763B1">
        <w:rPr>
          <w:sz w:val="24"/>
          <w:szCs w:val="24"/>
        </w:rPr>
        <w:t>,</w:t>
      </w:r>
      <w:r w:rsidRPr="00215C3E">
        <w:rPr>
          <w:sz w:val="24"/>
          <w:szCs w:val="24"/>
        </w:rPr>
        <w:t xml:space="preserve"> deste modo</w:t>
      </w:r>
      <w:r w:rsidR="000763B1">
        <w:rPr>
          <w:sz w:val="24"/>
          <w:szCs w:val="24"/>
        </w:rPr>
        <w:t>, a</w:t>
      </w:r>
      <w:r w:rsidRPr="00215C3E">
        <w:rPr>
          <w:sz w:val="24"/>
          <w:szCs w:val="24"/>
        </w:rPr>
        <w:t xml:space="preserve"> dinâmica do mercado de trabalho, pode-se destacar os gastos em capital humano e capital físico. </w:t>
      </w:r>
      <w:r w:rsidR="00DD0139">
        <w:rPr>
          <w:sz w:val="24"/>
          <w:szCs w:val="24"/>
        </w:rPr>
        <w:t xml:space="preserve">Na discussão do </w:t>
      </w:r>
      <w:r w:rsidR="00DD0139" w:rsidRPr="00215C3E">
        <w:rPr>
          <w:sz w:val="24"/>
          <w:szCs w:val="24"/>
        </w:rPr>
        <w:t xml:space="preserve">gasto em capital humano </w:t>
      </w:r>
      <w:r w:rsidR="00DD0139">
        <w:rPr>
          <w:sz w:val="24"/>
          <w:szCs w:val="24"/>
        </w:rPr>
        <w:t xml:space="preserve">e </w:t>
      </w:r>
      <w:r w:rsidR="00DD0139" w:rsidRPr="00215C3E">
        <w:rPr>
          <w:sz w:val="24"/>
          <w:szCs w:val="24"/>
        </w:rPr>
        <w:t>sua relação com o crescimento econômico</w:t>
      </w:r>
      <w:r w:rsidR="00DD0139">
        <w:rPr>
          <w:sz w:val="24"/>
          <w:szCs w:val="24"/>
        </w:rPr>
        <w:t xml:space="preserve">, </w:t>
      </w:r>
      <w:r w:rsidR="00DD0139" w:rsidRPr="00215C3E">
        <w:rPr>
          <w:sz w:val="24"/>
          <w:szCs w:val="24"/>
        </w:rPr>
        <w:t>Ferreira</w:t>
      </w:r>
      <w:r w:rsidR="00DD0139">
        <w:rPr>
          <w:sz w:val="24"/>
          <w:szCs w:val="24"/>
        </w:rPr>
        <w:t xml:space="preserve"> </w:t>
      </w:r>
      <w:proofErr w:type="spellStart"/>
      <w:proofErr w:type="gramStart"/>
      <w:r w:rsidR="00DD0139">
        <w:rPr>
          <w:sz w:val="24"/>
          <w:szCs w:val="24"/>
        </w:rPr>
        <w:t>et</w:t>
      </w:r>
      <w:proofErr w:type="spellEnd"/>
      <w:proofErr w:type="gramEnd"/>
      <w:r w:rsidR="00DD0139">
        <w:rPr>
          <w:sz w:val="24"/>
          <w:szCs w:val="24"/>
        </w:rPr>
        <w:t xml:space="preserve"> al.</w:t>
      </w:r>
      <w:r w:rsidR="00DD0139" w:rsidRPr="00215C3E">
        <w:rPr>
          <w:sz w:val="24"/>
          <w:szCs w:val="24"/>
        </w:rPr>
        <w:t>(2003)</w:t>
      </w:r>
      <w:r w:rsidR="00DD0139">
        <w:rPr>
          <w:sz w:val="24"/>
          <w:szCs w:val="24"/>
        </w:rPr>
        <w:t xml:space="preserve">, supondo </w:t>
      </w:r>
      <w:r w:rsidR="00DD0139" w:rsidRPr="00215C3E">
        <w:rPr>
          <w:sz w:val="24"/>
          <w:szCs w:val="24"/>
        </w:rPr>
        <w:t xml:space="preserve">rendimentos decrescentes de capital físico e trabalho, </w:t>
      </w:r>
      <w:r w:rsidR="00DD0139">
        <w:rPr>
          <w:sz w:val="24"/>
          <w:szCs w:val="24"/>
        </w:rPr>
        <w:t>explicam o</w:t>
      </w:r>
      <w:r w:rsidR="000573A8">
        <w:rPr>
          <w:sz w:val="24"/>
          <w:szCs w:val="24"/>
        </w:rPr>
        <w:t xml:space="preserve"> </w:t>
      </w:r>
      <w:r w:rsidR="00DD0139" w:rsidRPr="00215C3E">
        <w:rPr>
          <w:sz w:val="24"/>
          <w:szCs w:val="24"/>
        </w:rPr>
        <w:t>crescimento de longo prazo</w:t>
      </w:r>
      <w:r w:rsidR="00DD0139">
        <w:rPr>
          <w:sz w:val="24"/>
          <w:szCs w:val="24"/>
        </w:rPr>
        <w:t xml:space="preserve"> pelo</w:t>
      </w:r>
      <w:r w:rsidR="00DD0139" w:rsidRPr="00215C3E">
        <w:rPr>
          <w:sz w:val="24"/>
          <w:szCs w:val="24"/>
        </w:rPr>
        <w:t xml:space="preserve"> avanço tecnológico, </w:t>
      </w:r>
      <w:r w:rsidR="00DD0139">
        <w:rPr>
          <w:sz w:val="24"/>
          <w:szCs w:val="24"/>
        </w:rPr>
        <w:t xml:space="preserve">que </w:t>
      </w:r>
      <w:r w:rsidR="00DD0139" w:rsidRPr="00215C3E">
        <w:rPr>
          <w:sz w:val="24"/>
          <w:szCs w:val="24"/>
        </w:rPr>
        <w:t xml:space="preserve">eleva a produtividade dos fatores de produção. </w:t>
      </w:r>
      <w:r w:rsidR="00DD0139">
        <w:rPr>
          <w:sz w:val="24"/>
          <w:szCs w:val="24"/>
        </w:rPr>
        <w:t>No caso de</w:t>
      </w:r>
      <w:r w:rsidR="00DD0139" w:rsidRPr="00215C3E">
        <w:rPr>
          <w:sz w:val="24"/>
          <w:szCs w:val="24"/>
        </w:rPr>
        <w:t xml:space="preserve"> </w:t>
      </w:r>
      <w:proofErr w:type="spellStart"/>
      <w:r w:rsidR="00DD0139" w:rsidRPr="00215C3E">
        <w:rPr>
          <w:sz w:val="24"/>
          <w:szCs w:val="24"/>
        </w:rPr>
        <w:t>Hung</w:t>
      </w:r>
      <w:proofErr w:type="spellEnd"/>
      <w:r w:rsidR="00DD0139" w:rsidRPr="00215C3E">
        <w:rPr>
          <w:sz w:val="24"/>
          <w:szCs w:val="24"/>
        </w:rPr>
        <w:t xml:space="preserve"> e </w:t>
      </w:r>
      <w:proofErr w:type="spellStart"/>
      <w:r w:rsidR="00DD0139" w:rsidRPr="00215C3E">
        <w:rPr>
          <w:sz w:val="24"/>
          <w:szCs w:val="24"/>
        </w:rPr>
        <w:t>Pozzolo</w:t>
      </w:r>
      <w:proofErr w:type="spellEnd"/>
      <w:r w:rsidR="00DD0139" w:rsidRPr="00215C3E">
        <w:rPr>
          <w:sz w:val="24"/>
          <w:szCs w:val="24"/>
        </w:rPr>
        <w:t xml:space="preserve"> (2000)</w:t>
      </w:r>
      <w:r w:rsidR="00DD0139">
        <w:rPr>
          <w:sz w:val="24"/>
          <w:szCs w:val="24"/>
        </w:rPr>
        <w:t>,</w:t>
      </w:r>
      <w:r w:rsidR="00DD0139" w:rsidRPr="00215C3E">
        <w:rPr>
          <w:sz w:val="24"/>
          <w:szCs w:val="24"/>
        </w:rPr>
        <w:t xml:space="preserve"> </w:t>
      </w:r>
      <w:r w:rsidR="00DD0139">
        <w:rPr>
          <w:sz w:val="24"/>
          <w:szCs w:val="24"/>
        </w:rPr>
        <w:t xml:space="preserve">o estudo adverte que </w:t>
      </w:r>
      <w:r w:rsidR="00DD0139" w:rsidRPr="00215C3E">
        <w:rPr>
          <w:sz w:val="24"/>
          <w:szCs w:val="24"/>
        </w:rPr>
        <w:t xml:space="preserve">a acumulação de capital humano é fator determinante na determinação do progresso tecnológico. </w:t>
      </w:r>
      <w:r w:rsidR="00DD0139">
        <w:rPr>
          <w:sz w:val="24"/>
          <w:szCs w:val="24"/>
        </w:rPr>
        <w:t xml:space="preserve">No que diz respeito à </w:t>
      </w:r>
      <w:r w:rsidR="00DD0139" w:rsidRPr="00215C3E">
        <w:rPr>
          <w:sz w:val="24"/>
          <w:szCs w:val="24"/>
        </w:rPr>
        <w:t>assimilação de novas tecnologia</w:t>
      </w:r>
      <w:r w:rsidR="00DD0139">
        <w:rPr>
          <w:sz w:val="24"/>
          <w:szCs w:val="24"/>
        </w:rPr>
        <w:t xml:space="preserve">s, segundo </w:t>
      </w:r>
      <w:r w:rsidR="00DD0139" w:rsidRPr="00215C3E">
        <w:rPr>
          <w:sz w:val="24"/>
          <w:szCs w:val="24"/>
        </w:rPr>
        <w:t xml:space="preserve">Foster e </w:t>
      </w:r>
      <w:proofErr w:type="spellStart"/>
      <w:r w:rsidR="00DD0139" w:rsidRPr="00215C3E">
        <w:rPr>
          <w:sz w:val="24"/>
          <w:szCs w:val="24"/>
        </w:rPr>
        <w:t>Rosenzweig</w:t>
      </w:r>
      <w:proofErr w:type="spellEnd"/>
      <w:r w:rsidR="00DD0139" w:rsidRPr="00215C3E">
        <w:rPr>
          <w:sz w:val="24"/>
          <w:szCs w:val="24"/>
        </w:rPr>
        <w:t xml:space="preserve"> (1996)</w:t>
      </w:r>
      <w:r w:rsidR="00DD0139">
        <w:rPr>
          <w:sz w:val="24"/>
          <w:szCs w:val="24"/>
        </w:rPr>
        <w:t xml:space="preserve">, </w:t>
      </w:r>
      <w:r w:rsidR="00DD0139" w:rsidRPr="00215C3E">
        <w:rPr>
          <w:sz w:val="24"/>
          <w:szCs w:val="24"/>
        </w:rPr>
        <w:t>pessoas mais educadas são mais capazes de assimilar novas informações e de gerir novas tecnologias, tirando maiores proveitos de mudanças tecnológicas</w:t>
      </w:r>
      <w:r w:rsidR="00DD0139">
        <w:rPr>
          <w:sz w:val="24"/>
          <w:szCs w:val="24"/>
        </w:rPr>
        <w:t xml:space="preserve">. Ademais, </w:t>
      </w:r>
      <w:r w:rsidR="00C04715">
        <w:rPr>
          <w:sz w:val="24"/>
          <w:szCs w:val="24"/>
        </w:rPr>
        <w:t>segundo</w:t>
      </w:r>
      <w:r w:rsidR="00DD0139">
        <w:rPr>
          <w:sz w:val="24"/>
          <w:szCs w:val="24"/>
        </w:rPr>
        <w:t xml:space="preserve"> </w:t>
      </w:r>
      <w:r w:rsidRPr="00215C3E">
        <w:rPr>
          <w:sz w:val="24"/>
          <w:szCs w:val="24"/>
        </w:rPr>
        <w:t xml:space="preserve">Nogueira </w:t>
      </w:r>
      <w:r w:rsidRPr="00215C3E">
        <w:rPr>
          <w:sz w:val="24"/>
          <w:szCs w:val="24"/>
        </w:rPr>
        <w:lastRenderedPageBreak/>
        <w:t>(2006)</w:t>
      </w:r>
      <w:r w:rsidR="00DD0139">
        <w:rPr>
          <w:sz w:val="24"/>
          <w:szCs w:val="24"/>
        </w:rPr>
        <w:t xml:space="preserve">, </w:t>
      </w:r>
      <w:r w:rsidRPr="00215C3E">
        <w:rPr>
          <w:sz w:val="24"/>
          <w:szCs w:val="24"/>
        </w:rPr>
        <w:t>a falta de investimento em capital humano condena parte da população à baixa produtividade e renda, levando esses indivíduos à situação de pobreza quase imutável.</w:t>
      </w:r>
    </w:p>
    <w:p w:rsidR="00B77266" w:rsidRDefault="00DD0139" w:rsidP="00726852">
      <w:pPr>
        <w:ind w:firstLine="709"/>
        <w:jc w:val="both"/>
        <w:rPr>
          <w:sz w:val="24"/>
          <w:szCs w:val="24"/>
        </w:rPr>
      </w:pPr>
      <w:r>
        <w:rPr>
          <w:sz w:val="24"/>
          <w:szCs w:val="24"/>
        </w:rPr>
        <w:t>Menciona-se também a capacidade dos</w:t>
      </w:r>
      <w:r w:rsidR="001A2F75" w:rsidRPr="00215C3E">
        <w:rPr>
          <w:sz w:val="24"/>
          <w:szCs w:val="24"/>
        </w:rPr>
        <w:t xml:space="preserve"> investimentos públicos em capital humano</w:t>
      </w:r>
      <w:r>
        <w:rPr>
          <w:sz w:val="24"/>
          <w:szCs w:val="24"/>
        </w:rPr>
        <w:t xml:space="preserve"> de </w:t>
      </w:r>
      <w:r w:rsidR="001A2F75" w:rsidRPr="00215C3E">
        <w:rPr>
          <w:sz w:val="24"/>
          <w:szCs w:val="24"/>
        </w:rPr>
        <w:t xml:space="preserve">complementar os gastos individuais daqueles afetados pelas imperfeições dos mercados. </w:t>
      </w:r>
      <w:r w:rsidR="00AF411D">
        <w:rPr>
          <w:sz w:val="24"/>
          <w:szCs w:val="24"/>
        </w:rPr>
        <w:t>O</w:t>
      </w:r>
      <w:r w:rsidR="001A2F75" w:rsidRPr="00215C3E">
        <w:rPr>
          <w:sz w:val="24"/>
          <w:szCs w:val="24"/>
        </w:rPr>
        <w:t xml:space="preserve"> gasto em capital humano tem a particularidade de permitir que o indivíduo consiga reduzir seu nível de pobreza, </w:t>
      </w:r>
      <w:r w:rsidR="0091031E">
        <w:rPr>
          <w:sz w:val="24"/>
          <w:szCs w:val="24"/>
        </w:rPr>
        <w:t>por intermédio</w:t>
      </w:r>
      <w:r w:rsidR="0091031E" w:rsidRPr="00215C3E">
        <w:rPr>
          <w:sz w:val="24"/>
          <w:szCs w:val="24"/>
        </w:rPr>
        <w:t xml:space="preserve"> </w:t>
      </w:r>
      <w:r w:rsidR="001A2F75" w:rsidRPr="00215C3E">
        <w:rPr>
          <w:sz w:val="24"/>
          <w:szCs w:val="24"/>
        </w:rPr>
        <w:t>do próprio esforço, sendo assim uma política sustentável de combate à pobreza e promoção do crescimento econômico, através do aumento da produtividade.</w:t>
      </w:r>
    </w:p>
    <w:p w:rsidR="008133BF" w:rsidRDefault="008133BF" w:rsidP="00ED4D25">
      <w:pPr>
        <w:ind w:firstLine="709"/>
        <w:jc w:val="both"/>
        <w:rPr>
          <w:sz w:val="24"/>
          <w:szCs w:val="24"/>
        </w:rPr>
      </w:pPr>
      <w:r w:rsidRPr="009E1BA6">
        <w:rPr>
          <w:sz w:val="24"/>
          <w:szCs w:val="24"/>
        </w:rPr>
        <w:t>Segundo Lopez (2003),</w:t>
      </w:r>
      <w:r>
        <w:rPr>
          <w:sz w:val="24"/>
          <w:szCs w:val="24"/>
        </w:rPr>
        <w:t xml:space="preserve"> s</w:t>
      </w:r>
      <w:r w:rsidRPr="009E1BA6">
        <w:rPr>
          <w:sz w:val="24"/>
          <w:szCs w:val="24"/>
        </w:rPr>
        <w:t>ob o ponto de vista do impacto da infraestrutura na distribuição de renda, se o investimento em infraestrutura é um instrumento de política em áreas pobres e tais áreas administram as novas oportunidades, a infraestrutura pode também reduzir a desigualdade. Este tipo de investimento público produtivo pode também potencialmente aliviar a desigualdade, mesmo se uniformemente distribuído. Esse seria o caso em que os grupos mais pobres da sociedade enfrentariam restrições de crédito que os impedissem de adquirir substitutos privados dos bens de infraestrutura. Estando a classe mais rica hábil para complementar a provisão pública destes serviços, formam-se, então, as chamadas parcerias público-privadas</w:t>
      </w:r>
      <w:r>
        <w:rPr>
          <w:sz w:val="24"/>
          <w:szCs w:val="24"/>
        </w:rPr>
        <w:t xml:space="preserve">. </w:t>
      </w:r>
    </w:p>
    <w:p w:rsidR="00ED4D25" w:rsidRDefault="001A2F75" w:rsidP="00ED4D25">
      <w:pPr>
        <w:ind w:firstLine="709"/>
        <w:jc w:val="both"/>
        <w:rPr>
          <w:sz w:val="24"/>
          <w:szCs w:val="24"/>
        </w:rPr>
      </w:pPr>
      <w:r w:rsidRPr="00215C3E">
        <w:rPr>
          <w:sz w:val="24"/>
          <w:szCs w:val="24"/>
        </w:rPr>
        <w:t xml:space="preserve">Deste modo, </w:t>
      </w:r>
      <w:r w:rsidR="00CC3777">
        <w:rPr>
          <w:sz w:val="24"/>
          <w:szCs w:val="24"/>
        </w:rPr>
        <w:t xml:space="preserve">os formuladores de políticas, cuja meta seja </w:t>
      </w:r>
      <w:r w:rsidRPr="00215C3E">
        <w:rPr>
          <w:sz w:val="24"/>
          <w:szCs w:val="24"/>
        </w:rPr>
        <w:t>a redução da pobreza</w:t>
      </w:r>
      <w:r w:rsidR="00CC3777">
        <w:rPr>
          <w:sz w:val="24"/>
          <w:szCs w:val="24"/>
        </w:rPr>
        <w:t>,</w:t>
      </w:r>
      <w:r w:rsidRPr="00215C3E">
        <w:rPr>
          <w:sz w:val="24"/>
          <w:szCs w:val="24"/>
        </w:rPr>
        <w:t xml:space="preserve"> deve</w:t>
      </w:r>
      <w:r w:rsidR="00CC3777">
        <w:rPr>
          <w:sz w:val="24"/>
          <w:szCs w:val="24"/>
        </w:rPr>
        <w:t>m</w:t>
      </w:r>
      <w:r w:rsidRPr="00215C3E">
        <w:rPr>
          <w:sz w:val="24"/>
          <w:szCs w:val="24"/>
        </w:rPr>
        <w:t xml:space="preserve"> </w:t>
      </w:r>
      <w:r w:rsidR="00CC3777">
        <w:rPr>
          <w:sz w:val="24"/>
          <w:szCs w:val="24"/>
        </w:rPr>
        <w:t>definir</w:t>
      </w:r>
      <w:r w:rsidRPr="00215C3E">
        <w:rPr>
          <w:sz w:val="24"/>
          <w:szCs w:val="24"/>
        </w:rPr>
        <w:t xml:space="preserve"> os níveis </w:t>
      </w:r>
      <w:r w:rsidR="00CC3777">
        <w:rPr>
          <w:sz w:val="24"/>
          <w:szCs w:val="24"/>
        </w:rPr>
        <w:t>eficazes</w:t>
      </w:r>
      <w:r w:rsidR="00CC3777" w:rsidRPr="00215C3E">
        <w:rPr>
          <w:sz w:val="24"/>
          <w:szCs w:val="24"/>
        </w:rPr>
        <w:t xml:space="preserve"> </w:t>
      </w:r>
      <w:r w:rsidRPr="00215C3E">
        <w:rPr>
          <w:sz w:val="24"/>
          <w:szCs w:val="24"/>
        </w:rPr>
        <w:t>de gastos em capital humano e capital físico, considerando que há relação entre esses dois gastos e a possibilidade de crescimento do tipo pró-pobre.  Nesta análise, é necessário também levar em consideração as condições da economia, para que seja possível o melhor aproveitamento dos recursos públicos frente as suas meta</w:t>
      </w:r>
      <w:r w:rsidR="00ED4D25">
        <w:rPr>
          <w:sz w:val="24"/>
          <w:szCs w:val="24"/>
        </w:rPr>
        <w:t xml:space="preserve">s de desenvolvimento econômico. A seguir, testamos empiricamente </w:t>
      </w:r>
      <w:r w:rsidR="00ED4D25" w:rsidRPr="00393970">
        <w:rPr>
          <w:sz w:val="24"/>
          <w:szCs w:val="24"/>
        </w:rPr>
        <w:t>a importância dos gastos públicos em capital físico e</w:t>
      </w:r>
      <w:r w:rsidR="00ED4D25">
        <w:rPr>
          <w:sz w:val="24"/>
          <w:szCs w:val="24"/>
        </w:rPr>
        <w:t xml:space="preserve"> </w:t>
      </w:r>
      <w:r w:rsidR="00ED4D25" w:rsidRPr="00393970">
        <w:rPr>
          <w:sz w:val="24"/>
          <w:szCs w:val="24"/>
        </w:rPr>
        <w:t>humano para promover o crescimento econômico e, ao mesmo tempo, reduzir a</w:t>
      </w:r>
      <w:r w:rsidR="00ED4D25">
        <w:rPr>
          <w:sz w:val="24"/>
          <w:szCs w:val="24"/>
        </w:rPr>
        <w:t xml:space="preserve"> </w:t>
      </w:r>
      <w:r w:rsidR="00ED4D25" w:rsidRPr="00393970">
        <w:rPr>
          <w:sz w:val="24"/>
          <w:szCs w:val="24"/>
        </w:rPr>
        <w:t>pobreza</w:t>
      </w:r>
      <w:r w:rsidR="00ED4D25">
        <w:rPr>
          <w:sz w:val="24"/>
          <w:szCs w:val="24"/>
        </w:rPr>
        <w:t xml:space="preserve"> nos estados brasileiros</w:t>
      </w:r>
      <w:r w:rsidR="00ED4D25" w:rsidRPr="00393970">
        <w:rPr>
          <w:sz w:val="24"/>
          <w:szCs w:val="24"/>
        </w:rPr>
        <w:t>.</w:t>
      </w:r>
    </w:p>
    <w:p w:rsidR="0083027D" w:rsidRDefault="0083027D" w:rsidP="00ED4D25">
      <w:pPr>
        <w:ind w:firstLine="709"/>
        <w:jc w:val="both"/>
        <w:rPr>
          <w:sz w:val="24"/>
          <w:szCs w:val="24"/>
        </w:rPr>
      </w:pPr>
    </w:p>
    <w:p w:rsidR="00B77266" w:rsidRDefault="00E56832" w:rsidP="00255B65">
      <w:pPr>
        <w:pStyle w:val="PargrafodaLista"/>
        <w:numPr>
          <w:ilvl w:val="0"/>
          <w:numId w:val="1"/>
        </w:numPr>
        <w:autoSpaceDE w:val="0"/>
        <w:autoSpaceDN w:val="0"/>
        <w:adjustRightInd w:val="0"/>
        <w:rPr>
          <w:b/>
        </w:rPr>
      </w:pPr>
      <w:r w:rsidRPr="00AC35B4">
        <w:rPr>
          <w:b/>
        </w:rPr>
        <w:t>METODOLOGIA</w:t>
      </w:r>
    </w:p>
    <w:p w:rsidR="008F6512" w:rsidRDefault="00F07BD5" w:rsidP="008F6512">
      <w:pPr>
        <w:ind w:firstLine="708"/>
        <w:jc w:val="both"/>
        <w:rPr>
          <w:sz w:val="24"/>
          <w:szCs w:val="24"/>
        </w:rPr>
      </w:pPr>
      <w:r>
        <w:rPr>
          <w:sz w:val="24"/>
          <w:szCs w:val="24"/>
        </w:rPr>
        <w:t xml:space="preserve">Seguindo o método proposto em Cruz </w:t>
      </w:r>
      <w:proofErr w:type="spellStart"/>
      <w:proofErr w:type="gramStart"/>
      <w:r>
        <w:rPr>
          <w:sz w:val="24"/>
          <w:szCs w:val="24"/>
        </w:rPr>
        <w:t>et</w:t>
      </w:r>
      <w:proofErr w:type="spellEnd"/>
      <w:proofErr w:type="gramEnd"/>
      <w:r>
        <w:rPr>
          <w:sz w:val="24"/>
          <w:szCs w:val="24"/>
        </w:rPr>
        <w:t xml:space="preserve"> al. (2010), </w:t>
      </w:r>
      <w:r w:rsidR="00E56832" w:rsidRPr="009366A6">
        <w:rPr>
          <w:sz w:val="24"/>
          <w:szCs w:val="24"/>
        </w:rPr>
        <w:t>na identificação da importância dos gastos públicos em capital físico e humano para promover o crescimento econômico</w:t>
      </w:r>
      <w:r w:rsidR="00344A61">
        <w:rPr>
          <w:sz w:val="24"/>
          <w:szCs w:val="24"/>
        </w:rPr>
        <w:t xml:space="preserve"> pró-pobre, </w:t>
      </w:r>
      <w:r w:rsidR="00386221">
        <w:rPr>
          <w:sz w:val="24"/>
          <w:szCs w:val="24"/>
        </w:rPr>
        <w:t>parte</w:t>
      </w:r>
      <w:r w:rsidR="00E56832" w:rsidRPr="009366A6">
        <w:rPr>
          <w:sz w:val="24"/>
          <w:szCs w:val="24"/>
        </w:rPr>
        <w:t xml:space="preserve">-se o pressuposto </w:t>
      </w:r>
      <w:r>
        <w:rPr>
          <w:sz w:val="24"/>
          <w:szCs w:val="24"/>
        </w:rPr>
        <w:t xml:space="preserve">de </w:t>
      </w:r>
      <w:proofErr w:type="spellStart"/>
      <w:r>
        <w:rPr>
          <w:sz w:val="24"/>
          <w:szCs w:val="24"/>
        </w:rPr>
        <w:t>interrelação</w:t>
      </w:r>
      <w:proofErr w:type="spellEnd"/>
      <w:r>
        <w:rPr>
          <w:sz w:val="24"/>
          <w:szCs w:val="24"/>
        </w:rPr>
        <w:t xml:space="preserve"> entre </w:t>
      </w:r>
      <w:r w:rsidR="00E56832" w:rsidRPr="009366A6">
        <w:rPr>
          <w:sz w:val="24"/>
          <w:szCs w:val="24"/>
        </w:rPr>
        <w:t>as variáveis econômicas abordadas.</w:t>
      </w:r>
      <w:r>
        <w:rPr>
          <w:sz w:val="24"/>
          <w:szCs w:val="24"/>
        </w:rPr>
        <w:t xml:space="preserve"> </w:t>
      </w:r>
      <w:r w:rsidR="00E56832" w:rsidRPr="009366A6">
        <w:rPr>
          <w:sz w:val="24"/>
          <w:szCs w:val="24"/>
        </w:rPr>
        <w:t xml:space="preserve">Isto significa dizer que determinada variável pode não apenas exercer, mas também sofrer influência </w:t>
      </w:r>
      <w:r w:rsidR="008F6512">
        <w:rPr>
          <w:sz w:val="24"/>
          <w:szCs w:val="24"/>
        </w:rPr>
        <w:t>de</w:t>
      </w:r>
      <w:r w:rsidR="00E56832" w:rsidRPr="009366A6">
        <w:rPr>
          <w:sz w:val="24"/>
          <w:szCs w:val="24"/>
        </w:rPr>
        <w:t xml:space="preserve"> outras variáveis. Neste sentido, </w:t>
      </w:r>
      <w:r w:rsidR="00E56832" w:rsidRPr="009366A6">
        <w:rPr>
          <w:color w:val="000000"/>
          <w:sz w:val="24"/>
          <w:szCs w:val="24"/>
        </w:rPr>
        <w:t>torna-se viável o uso de um modelo de equações simultâneas</w:t>
      </w:r>
      <w:r w:rsidR="008F6512">
        <w:rPr>
          <w:color w:val="000000"/>
          <w:sz w:val="24"/>
          <w:szCs w:val="24"/>
        </w:rPr>
        <w:t xml:space="preserve">, </w:t>
      </w:r>
      <w:r w:rsidR="00386221">
        <w:rPr>
          <w:sz w:val="24"/>
          <w:szCs w:val="24"/>
        </w:rPr>
        <w:t>que permite</w:t>
      </w:r>
      <w:r w:rsidR="00E56832" w:rsidRPr="009366A6">
        <w:rPr>
          <w:sz w:val="24"/>
          <w:szCs w:val="24"/>
        </w:rPr>
        <w:t xml:space="preserve"> interações diretas e indiretas entre variáveis endógenas e exógenas, considerando como essenciais todas as relações presentes no sistema. Nesta abordagem, as </w:t>
      </w:r>
      <w:r w:rsidR="00E56832" w:rsidRPr="009366A6">
        <w:rPr>
          <w:color w:val="000000"/>
          <w:sz w:val="24"/>
          <w:szCs w:val="24"/>
        </w:rPr>
        <w:t>variáveis endógenas são geradas mútua e simultaneamente, enquanto as exógenas são determinadas fora do sistema.</w:t>
      </w:r>
      <w:r w:rsidR="008F6512">
        <w:rPr>
          <w:color w:val="000000"/>
          <w:sz w:val="24"/>
          <w:szCs w:val="24"/>
        </w:rPr>
        <w:t xml:space="preserve"> </w:t>
      </w:r>
      <w:r w:rsidR="00E56832" w:rsidRPr="009366A6">
        <w:rPr>
          <w:sz w:val="24"/>
          <w:szCs w:val="24"/>
        </w:rPr>
        <w:t xml:space="preserve">O sistema </w:t>
      </w:r>
      <w:r w:rsidR="00386221">
        <w:rPr>
          <w:sz w:val="24"/>
          <w:szCs w:val="24"/>
        </w:rPr>
        <w:t xml:space="preserve">consiste do </w:t>
      </w:r>
      <w:r w:rsidR="00E56832" w:rsidRPr="009366A6">
        <w:rPr>
          <w:sz w:val="24"/>
          <w:szCs w:val="24"/>
        </w:rPr>
        <w:t xml:space="preserve">seguinte conjunto de equações, sendo os sinais entre parênteses </w:t>
      </w:r>
      <w:r w:rsidR="008F6512">
        <w:rPr>
          <w:sz w:val="24"/>
          <w:szCs w:val="24"/>
        </w:rPr>
        <w:t>a</w:t>
      </w:r>
      <w:r w:rsidR="00E56832" w:rsidRPr="009366A6">
        <w:rPr>
          <w:sz w:val="24"/>
          <w:szCs w:val="24"/>
        </w:rPr>
        <w:t xml:space="preserve">s relações esperadas entre variáveis </w:t>
      </w:r>
      <w:r w:rsidR="00A35054" w:rsidRPr="009366A6">
        <w:rPr>
          <w:sz w:val="24"/>
          <w:szCs w:val="24"/>
        </w:rPr>
        <w:t>explicativas</w:t>
      </w:r>
      <w:r w:rsidR="00982679">
        <w:rPr>
          <w:sz w:val="24"/>
          <w:szCs w:val="24"/>
        </w:rPr>
        <w:t xml:space="preserve"> </w:t>
      </w:r>
      <w:r w:rsidR="00E56832" w:rsidRPr="009366A6">
        <w:rPr>
          <w:sz w:val="24"/>
          <w:szCs w:val="24"/>
        </w:rPr>
        <w:t>e explicadas</w:t>
      </w:r>
      <w:r w:rsidR="008F6512">
        <w:rPr>
          <w:sz w:val="24"/>
          <w:szCs w:val="24"/>
        </w:rPr>
        <w:t>.</w:t>
      </w:r>
    </w:p>
    <w:p w:rsidR="00B77266" w:rsidRDefault="00E56832" w:rsidP="008F6512">
      <w:pPr>
        <w:ind w:firstLine="708"/>
        <w:jc w:val="both"/>
        <w:rPr>
          <w:sz w:val="24"/>
          <w:szCs w:val="24"/>
        </w:rPr>
      </w:pPr>
      <w:r w:rsidRPr="009366A6">
        <w:rPr>
          <w:position w:val="-28"/>
          <w:sz w:val="24"/>
          <w:szCs w:val="24"/>
        </w:rPr>
        <w:object w:dxaOrig="55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33.95pt" o:ole="">
            <v:imagedata r:id="rId8" o:title=""/>
          </v:shape>
          <o:OLEObject Type="Embed" ProgID="Equation.3" ShapeID="_x0000_i1025" DrawAspect="Content" ObjectID="_1444458704" r:id="rId9"/>
        </w:object>
      </w:r>
      <w:r w:rsidRPr="009366A6">
        <w:rPr>
          <w:sz w:val="24"/>
          <w:szCs w:val="24"/>
        </w:rPr>
        <w:t xml:space="preserve">                         </w:t>
      </w:r>
      <w:r w:rsidR="002F0DB3">
        <w:rPr>
          <w:sz w:val="24"/>
          <w:szCs w:val="24"/>
        </w:rPr>
        <w:t xml:space="preserve">                     </w:t>
      </w:r>
      <w:r w:rsidR="008F6512">
        <w:rPr>
          <w:sz w:val="24"/>
          <w:szCs w:val="24"/>
        </w:rPr>
        <w:t xml:space="preserve">            </w:t>
      </w:r>
      <w:r w:rsidRPr="009366A6">
        <w:rPr>
          <w:sz w:val="24"/>
          <w:szCs w:val="24"/>
        </w:rPr>
        <w:t>(</w:t>
      </w:r>
      <w:r>
        <w:rPr>
          <w:sz w:val="24"/>
          <w:szCs w:val="24"/>
        </w:rPr>
        <w:t>1</w:t>
      </w:r>
      <w:r w:rsidRPr="009366A6">
        <w:rPr>
          <w:sz w:val="24"/>
          <w:szCs w:val="24"/>
        </w:rPr>
        <w:t>)</w:t>
      </w:r>
    </w:p>
    <w:p w:rsidR="00B77266" w:rsidRDefault="00E56832" w:rsidP="00726852">
      <w:pPr>
        <w:ind w:firstLine="708"/>
        <w:jc w:val="both"/>
        <w:rPr>
          <w:sz w:val="24"/>
          <w:szCs w:val="24"/>
        </w:rPr>
      </w:pPr>
      <w:r w:rsidRPr="009366A6">
        <w:rPr>
          <w:position w:val="-28"/>
          <w:sz w:val="24"/>
          <w:szCs w:val="24"/>
        </w:rPr>
        <w:object w:dxaOrig="5080" w:dyaOrig="680">
          <v:shape id="_x0000_i1026" type="#_x0000_t75" style="width:254.05pt;height:33.95pt" o:ole="">
            <v:imagedata r:id="rId10" o:title=""/>
          </v:shape>
          <o:OLEObject Type="Embed" ProgID="Equation.3" ShapeID="_x0000_i1026" DrawAspect="Content" ObjectID="_1444458705" r:id="rId11"/>
        </w:object>
      </w:r>
      <w:r w:rsidRPr="009366A6">
        <w:rPr>
          <w:sz w:val="24"/>
          <w:szCs w:val="24"/>
        </w:rPr>
        <w:t xml:space="preserve">                                             </w:t>
      </w:r>
      <w:r>
        <w:rPr>
          <w:sz w:val="24"/>
          <w:szCs w:val="24"/>
        </w:rPr>
        <w:t xml:space="preserve">  </w:t>
      </w:r>
      <w:r w:rsidR="002F0DB3">
        <w:rPr>
          <w:sz w:val="24"/>
          <w:szCs w:val="24"/>
        </w:rPr>
        <w:t xml:space="preserve">                   </w:t>
      </w:r>
      <w:r w:rsidRPr="009366A6">
        <w:rPr>
          <w:sz w:val="24"/>
          <w:szCs w:val="24"/>
        </w:rPr>
        <w:t>(</w:t>
      </w:r>
      <w:r>
        <w:rPr>
          <w:sz w:val="24"/>
          <w:szCs w:val="24"/>
        </w:rPr>
        <w:t>2</w:t>
      </w:r>
      <w:r w:rsidRPr="009366A6">
        <w:rPr>
          <w:sz w:val="24"/>
          <w:szCs w:val="24"/>
        </w:rPr>
        <w:t>)</w:t>
      </w:r>
    </w:p>
    <w:p w:rsidR="00B77266" w:rsidRDefault="00E56832" w:rsidP="00726852">
      <w:pPr>
        <w:ind w:firstLine="708"/>
        <w:jc w:val="both"/>
        <w:rPr>
          <w:sz w:val="24"/>
          <w:szCs w:val="24"/>
        </w:rPr>
      </w:pPr>
      <w:r w:rsidRPr="009366A6">
        <w:rPr>
          <w:position w:val="-28"/>
          <w:sz w:val="24"/>
          <w:szCs w:val="24"/>
        </w:rPr>
        <w:object w:dxaOrig="5000" w:dyaOrig="680">
          <v:shape id="_x0000_i1027" type="#_x0000_t75" style="width:249.95pt;height:33.95pt" o:ole="">
            <v:imagedata r:id="rId12" o:title=""/>
          </v:shape>
          <o:OLEObject Type="Embed" ProgID="Equation.3" ShapeID="_x0000_i1027" DrawAspect="Content" ObjectID="_1444458706" r:id="rId13"/>
        </w:object>
      </w:r>
      <w:r w:rsidRPr="009366A6">
        <w:rPr>
          <w:sz w:val="24"/>
          <w:szCs w:val="24"/>
        </w:rPr>
        <w:t xml:space="preserve">                  </w:t>
      </w:r>
      <w:r>
        <w:rPr>
          <w:sz w:val="24"/>
          <w:szCs w:val="24"/>
        </w:rPr>
        <w:t xml:space="preserve">                                </w:t>
      </w:r>
      <w:r w:rsidR="002F0DB3">
        <w:rPr>
          <w:sz w:val="24"/>
          <w:szCs w:val="24"/>
        </w:rPr>
        <w:t xml:space="preserve">                   </w:t>
      </w:r>
      <w:r>
        <w:rPr>
          <w:sz w:val="24"/>
          <w:szCs w:val="24"/>
        </w:rPr>
        <w:t>(3</w:t>
      </w:r>
      <w:r w:rsidRPr="009366A6">
        <w:rPr>
          <w:sz w:val="24"/>
          <w:szCs w:val="24"/>
        </w:rPr>
        <w:t>)</w:t>
      </w:r>
    </w:p>
    <w:p w:rsidR="00B77266" w:rsidRDefault="008F6512" w:rsidP="00726852">
      <w:pPr>
        <w:ind w:firstLine="708"/>
        <w:jc w:val="both"/>
        <w:rPr>
          <w:sz w:val="24"/>
          <w:szCs w:val="24"/>
        </w:rPr>
      </w:pPr>
      <w:r w:rsidRPr="002F0DB3">
        <w:rPr>
          <w:position w:val="-28"/>
          <w:sz w:val="24"/>
          <w:szCs w:val="24"/>
        </w:rPr>
        <w:object w:dxaOrig="5720" w:dyaOrig="660">
          <v:shape id="_x0000_i1028" type="#_x0000_t75" style="width:286.65pt;height:29.9pt" o:ole="">
            <v:imagedata r:id="rId14" o:title=""/>
          </v:shape>
          <o:OLEObject Type="Embed" ProgID="Equation.3" ShapeID="_x0000_i1028" DrawAspect="Content" ObjectID="_1444458707" r:id="rId15"/>
        </w:object>
      </w:r>
      <w:r w:rsidR="00E56832">
        <w:rPr>
          <w:sz w:val="24"/>
          <w:szCs w:val="24"/>
        </w:rPr>
        <w:t xml:space="preserve">                         </w:t>
      </w:r>
      <w:r w:rsidR="002F0DB3">
        <w:rPr>
          <w:sz w:val="24"/>
          <w:szCs w:val="24"/>
        </w:rPr>
        <w:t xml:space="preserve">                  </w:t>
      </w:r>
      <w:r w:rsidR="0080417D">
        <w:rPr>
          <w:sz w:val="24"/>
          <w:szCs w:val="24"/>
        </w:rPr>
        <w:t xml:space="preserve">              </w:t>
      </w:r>
      <w:r w:rsidR="002F0DB3">
        <w:rPr>
          <w:sz w:val="24"/>
          <w:szCs w:val="24"/>
        </w:rPr>
        <w:t xml:space="preserve"> </w:t>
      </w:r>
      <w:r w:rsidR="00E56832">
        <w:rPr>
          <w:sz w:val="24"/>
          <w:szCs w:val="24"/>
        </w:rPr>
        <w:t>(</w:t>
      </w:r>
      <w:r w:rsidR="002F0DB3">
        <w:rPr>
          <w:sz w:val="24"/>
          <w:szCs w:val="24"/>
        </w:rPr>
        <w:t>4</w:t>
      </w:r>
      <w:r w:rsidR="00E56832" w:rsidRPr="009366A6">
        <w:rPr>
          <w:sz w:val="24"/>
          <w:szCs w:val="24"/>
        </w:rPr>
        <w:t>)</w:t>
      </w:r>
    </w:p>
    <w:p w:rsidR="00B77266" w:rsidRDefault="00C95094" w:rsidP="00726852">
      <w:pPr>
        <w:ind w:firstLine="708"/>
        <w:jc w:val="both"/>
        <w:rPr>
          <w:sz w:val="24"/>
          <w:szCs w:val="24"/>
        </w:rPr>
      </w:pPr>
      <w:r w:rsidRPr="002F0DB3">
        <w:rPr>
          <w:position w:val="-28"/>
          <w:sz w:val="24"/>
          <w:szCs w:val="24"/>
        </w:rPr>
        <w:object w:dxaOrig="5260" w:dyaOrig="660">
          <v:shape id="_x0000_i1029" type="#_x0000_t75" style="width:262.2pt;height:33.95pt" o:ole="">
            <v:imagedata r:id="rId16" o:title=""/>
          </v:shape>
          <o:OLEObject Type="Embed" ProgID="Equation.3" ShapeID="_x0000_i1029" DrawAspect="Content" ObjectID="_1444458708" r:id="rId17"/>
        </w:object>
      </w:r>
      <w:r w:rsidR="00E56832" w:rsidRPr="009366A6">
        <w:rPr>
          <w:sz w:val="24"/>
          <w:szCs w:val="24"/>
        </w:rPr>
        <w:t xml:space="preserve">       </w:t>
      </w:r>
      <w:r w:rsidR="00E56832">
        <w:rPr>
          <w:sz w:val="24"/>
          <w:szCs w:val="24"/>
        </w:rPr>
        <w:t xml:space="preserve">                               </w:t>
      </w:r>
      <w:r w:rsidR="002F0DB3">
        <w:rPr>
          <w:sz w:val="24"/>
          <w:szCs w:val="24"/>
        </w:rPr>
        <w:t xml:space="preserve">                   </w:t>
      </w:r>
      <w:r w:rsidR="00E56832">
        <w:rPr>
          <w:sz w:val="24"/>
          <w:szCs w:val="24"/>
        </w:rPr>
        <w:t xml:space="preserve"> </w:t>
      </w:r>
      <w:r w:rsidR="002F0DB3">
        <w:rPr>
          <w:sz w:val="24"/>
          <w:szCs w:val="24"/>
        </w:rPr>
        <w:t xml:space="preserve">        </w:t>
      </w:r>
      <w:r w:rsidR="00E56832">
        <w:rPr>
          <w:sz w:val="24"/>
          <w:szCs w:val="24"/>
        </w:rPr>
        <w:t>(</w:t>
      </w:r>
      <w:r w:rsidR="002F0DB3">
        <w:rPr>
          <w:sz w:val="24"/>
          <w:szCs w:val="24"/>
        </w:rPr>
        <w:t>5</w:t>
      </w:r>
      <w:r w:rsidR="00E56832" w:rsidRPr="009366A6">
        <w:rPr>
          <w:sz w:val="24"/>
          <w:szCs w:val="24"/>
        </w:rPr>
        <w:t>)</w:t>
      </w:r>
    </w:p>
    <w:p w:rsidR="00B77266" w:rsidRDefault="00870A0E" w:rsidP="00726852">
      <w:pPr>
        <w:ind w:firstLine="708"/>
        <w:jc w:val="both"/>
        <w:rPr>
          <w:sz w:val="24"/>
          <w:szCs w:val="24"/>
        </w:rPr>
      </w:pPr>
      <w:r w:rsidRPr="002F0DB3">
        <w:rPr>
          <w:position w:val="-28"/>
          <w:sz w:val="24"/>
          <w:szCs w:val="24"/>
        </w:rPr>
        <w:object w:dxaOrig="4900" w:dyaOrig="660">
          <v:shape id="_x0000_i1030" type="#_x0000_t75" style="width:260.85pt;height:33.95pt" o:ole="">
            <v:imagedata r:id="rId18" o:title=""/>
          </v:shape>
          <o:OLEObject Type="Embed" ProgID="Equation.3" ShapeID="_x0000_i1030" DrawAspect="Content" ObjectID="_1444458709" r:id="rId19"/>
        </w:object>
      </w:r>
      <w:r w:rsidR="00E56832">
        <w:rPr>
          <w:sz w:val="24"/>
          <w:szCs w:val="24"/>
        </w:rPr>
        <w:t xml:space="preserve">                             </w:t>
      </w:r>
      <w:r w:rsidR="002F0DB3">
        <w:rPr>
          <w:sz w:val="24"/>
          <w:szCs w:val="24"/>
        </w:rPr>
        <w:t xml:space="preserve">          </w:t>
      </w:r>
      <w:r w:rsidR="0080417D">
        <w:rPr>
          <w:sz w:val="24"/>
          <w:szCs w:val="24"/>
        </w:rPr>
        <w:t xml:space="preserve"> </w:t>
      </w:r>
      <w:r w:rsidR="002F0DB3">
        <w:rPr>
          <w:sz w:val="24"/>
          <w:szCs w:val="24"/>
        </w:rPr>
        <w:t xml:space="preserve">                          </w:t>
      </w:r>
      <w:r w:rsidR="00E56832">
        <w:rPr>
          <w:sz w:val="24"/>
          <w:szCs w:val="24"/>
        </w:rPr>
        <w:t>(</w:t>
      </w:r>
      <w:r w:rsidR="002F0DB3">
        <w:rPr>
          <w:sz w:val="24"/>
          <w:szCs w:val="24"/>
        </w:rPr>
        <w:t>6</w:t>
      </w:r>
      <w:r w:rsidR="00E56832" w:rsidRPr="009366A6">
        <w:rPr>
          <w:sz w:val="24"/>
          <w:szCs w:val="24"/>
        </w:rPr>
        <w:t>)</w:t>
      </w:r>
    </w:p>
    <w:p w:rsidR="00B77266" w:rsidRDefault="00C95094" w:rsidP="00726852">
      <w:pPr>
        <w:ind w:firstLine="708"/>
        <w:jc w:val="both"/>
        <w:rPr>
          <w:sz w:val="24"/>
          <w:szCs w:val="24"/>
        </w:rPr>
      </w:pPr>
      <w:r w:rsidRPr="002F0DB3">
        <w:rPr>
          <w:position w:val="-30"/>
          <w:sz w:val="24"/>
          <w:szCs w:val="24"/>
        </w:rPr>
        <w:object w:dxaOrig="5440" w:dyaOrig="700">
          <v:shape id="_x0000_i1031" type="#_x0000_t75" style="width:272.4pt;height:35.3pt" o:ole="">
            <v:imagedata r:id="rId20" o:title=""/>
          </v:shape>
          <o:OLEObject Type="Embed" ProgID="Equation.3" ShapeID="_x0000_i1031" DrawAspect="Content" ObjectID="_1444458710" r:id="rId21"/>
        </w:object>
      </w:r>
      <w:r w:rsidR="00E56832" w:rsidRPr="009366A6">
        <w:rPr>
          <w:sz w:val="24"/>
          <w:szCs w:val="24"/>
        </w:rPr>
        <w:t xml:space="preserve">                                 </w:t>
      </w:r>
      <w:r w:rsidR="002F0DB3">
        <w:rPr>
          <w:sz w:val="24"/>
          <w:szCs w:val="24"/>
        </w:rPr>
        <w:t xml:space="preserve">                             </w:t>
      </w:r>
      <w:r w:rsidR="00E56832" w:rsidRPr="009366A6">
        <w:rPr>
          <w:sz w:val="24"/>
          <w:szCs w:val="24"/>
        </w:rPr>
        <w:t>(</w:t>
      </w:r>
      <w:r w:rsidR="002F0DB3">
        <w:rPr>
          <w:sz w:val="24"/>
          <w:szCs w:val="24"/>
        </w:rPr>
        <w:t>7</w:t>
      </w:r>
      <w:r w:rsidR="00E56832" w:rsidRPr="009366A6">
        <w:rPr>
          <w:sz w:val="24"/>
          <w:szCs w:val="24"/>
        </w:rPr>
        <w:t>)</w:t>
      </w:r>
    </w:p>
    <w:p w:rsidR="00B77266" w:rsidRDefault="00E56832" w:rsidP="00726852">
      <w:pPr>
        <w:ind w:firstLine="708"/>
        <w:jc w:val="both"/>
        <w:rPr>
          <w:sz w:val="24"/>
          <w:szCs w:val="24"/>
        </w:rPr>
      </w:pPr>
      <w:r w:rsidRPr="009366A6">
        <w:rPr>
          <w:sz w:val="24"/>
          <w:szCs w:val="24"/>
        </w:rPr>
        <w:t>As</w:t>
      </w:r>
      <w:r>
        <w:rPr>
          <w:sz w:val="24"/>
          <w:szCs w:val="24"/>
        </w:rPr>
        <w:t xml:space="preserve"> </w:t>
      </w:r>
      <w:r w:rsidRPr="009366A6">
        <w:rPr>
          <w:sz w:val="24"/>
          <w:szCs w:val="24"/>
        </w:rPr>
        <w:t>equações</w:t>
      </w:r>
      <w:r>
        <w:rPr>
          <w:sz w:val="24"/>
          <w:szCs w:val="24"/>
        </w:rPr>
        <w:t xml:space="preserve"> </w:t>
      </w:r>
      <w:r w:rsidR="00C95094">
        <w:rPr>
          <w:sz w:val="24"/>
          <w:szCs w:val="24"/>
        </w:rPr>
        <w:t xml:space="preserve">de </w:t>
      </w:r>
      <w:r>
        <w:rPr>
          <w:sz w:val="24"/>
          <w:szCs w:val="24"/>
        </w:rPr>
        <w:t xml:space="preserve">1 </w:t>
      </w:r>
      <w:r w:rsidR="00C95094">
        <w:rPr>
          <w:sz w:val="24"/>
          <w:szCs w:val="24"/>
        </w:rPr>
        <w:t>a</w:t>
      </w:r>
      <w:r>
        <w:rPr>
          <w:sz w:val="24"/>
          <w:szCs w:val="24"/>
        </w:rPr>
        <w:t xml:space="preserve"> </w:t>
      </w:r>
      <w:r w:rsidR="00C95094">
        <w:rPr>
          <w:sz w:val="24"/>
          <w:szCs w:val="24"/>
        </w:rPr>
        <w:t>3</w:t>
      </w:r>
      <w:r>
        <w:rPr>
          <w:sz w:val="24"/>
          <w:szCs w:val="24"/>
        </w:rPr>
        <w:t xml:space="preserve"> </w:t>
      </w:r>
      <w:r w:rsidRPr="009366A6">
        <w:rPr>
          <w:sz w:val="24"/>
          <w:szCs w:val="24"/>
        </w:rPr>
        <w:t>relacionam as condições de educação</w:t>
      </w:r>
      <w:r w:rsidR="00C95094">
        <w:rPr>
          <w:sz w:val="24"/>
          <w:szCs w:val="24"/>
        </w:rPr>
        <w:t xml:space="preserve"> </w:t>
      </w:r>
      <w:r w:rsidR="00C95094" w:rsidRPr="009366A6">
        <w:rPr>
          <w:sz w:val="24"/>
          <w:szCs w:val="24"/>
        </w:rPr>
        <w:t>(</w:t>
      </w:r>
      <w:r w:rsidR="003D3F75" w:rsidRPr="009366A6">
        <w:rPr>
          <w:position w:val="-6"/>
          <w:sz w:val="24"/>
          <w:szCs w:val="24"/>
        </w:rPr>
        <w:object w:dxaOrig="499" w:dyaOrig="260">
          <v:shape id="_x0000_i1032" type="#_x0000_t75" style="width:23.75pt;height:13.6pt" o:ole="">
            <v:imagedata r:id="rId22" o:title=""/>
          </v:shape>
          <o:OLEObject Type="Embed" ProgID="Equation.3" ShapeID="_x0000_i1032" DrawAspect="Content" ObjectID="_1444458711" r:id="rId23"/>
        </w:object>
      </w:r>
      <w:r w:rsidR="002112A3" w:rsidRPr="009366A6">
        <w:rPr>
          <w:sz w:val="24"/>
          <w:szCs w:val="24"/>
        </w:rPr>
        <w:t>)</w:t>
      </w:r>
      <w:r w:rsidR="002112A3">
        <w:rPr>
          <w:sz w:val="24"/>
          <w:szCs w:val="24"/>
        </w:rPr>
        <w:t xml:space="preserve">, </w:t>
      </w:r>
      <w:r w:rsidRPr="009366A6">
        <w:rPr>
          <w:sz w:val="24"/>
          <w:szCs w:val="24"/>
        </w:rPr>
        <w:t>saúde (</w:t>
      </w:r>
      <w:r w:rsidRPr="009366A6">
        <w:rPr>
          <w:position w:val="-6"/>
          <w:sz w:val="24"/>
          <w:szCs w:val="24"/>
        </w:rPr>
        <w:object w:dxaOrig="420" w:dyaOrig="220">
          <v:shape id="_x0000_i1033" type="#_x0000_t75" style="width:21.05pt;height:11.55pt" o:ole="">
            <v:imagedata r:id="rId24" o:title=""/>
          </v:shape>
          <o:OLEObject Type="Embed" ProgID="Equation.3" ShapeID="_x0000_i1033" DrawAspect="Content" ObjectID="_1444458712" r:id="rId25"/>
        </w:object>
      </w:r>
      <w:r w:rsidRPr="009366A6">
        <w:rPr>
          <w:sz w:val="24"/>
          <w:szCs w:val="24"/>
        </w:rPr>
        <w:t>)</w:t>
      </w:r>
      <w:r w:rsidR="00C95094">
        <w:rPr>
          <w:sz w:val="24"/>
          <w:szCs w:val="24"/>
        </w:rPr>
        <w:t xml:space="preserve"> e </w:t>
      </w:r>
      <w:r w:rsidR="008F6512">
        <w:rPr>
          <w:sz w:val="24"/>
          <w:szCs w:val="24"/>
        </w:rPr>
        <w:t>das</w:t>
      </w:r>
      <w:r w:rsidR="00C95094">
        <w:rPr>
          <w:sz w:val="24"/>
          <w:szCs w:val="24"/>
        </w:rPr>
        <w:t xml:space="preserve"> rodovias</w:t>
      </w:r>
      <w:r w:rsidR="008F6512">
        <w:rPr>
          <w:sz w:val="24"/>
          <w:szCs w:val="24"/>
        </w:rPr>
        <w:t xml:space="preserve">, </w:t>
      </w:r>
      <w:r w:rsidR="00846BA7" w:rsidRPr="00C95094">
        <w:rPr>
          <w:position w:val="-6"/>
          <w:sz w:val="24"/>
          <w:szCs w:val="24"/>
        </w:rPr>
        <w:object w:dxaOrig="400" w:dyaOrig="260">
          <v:shape id="_x0000_i1034" type="#_x0000_t75" style="width:19.7pt;height:13.6pt" o:ole="">
            <v:imagedata r:id="rId26" o:title=""/>
          </v:shape>
          <o:OLEObject Type="Embed" ProgID="Equation.3" ShapeID="_x0000_i1034" DrawAspect="Content" ObjectID="_1444458713" r:id="rId27"/>
        </w:object>
      </w:r>
      <w:r w:rsidR="008F6512">
        <w:rPr>
          <w:sz w:val="24"/>
          <w:szCs w:val="24"/>
        </w:rPr>
        <w:t xml:space="preserve">, </w:t>
      </w:r>
      <w:r w:rsidRPr="009366A6">
        <w:rPr>
          <w:sz w:val="24"/>
          <w:szCs w:val="24"/>
        </w:rPr>
        <w:t>aos gastos correntes e passados em educação</w:t>
      </w:r>
      <w:r w:rsidR="008F6512">
        <w:rPr>
          <w:sz w:val="24"/>
          <w:szCs w:val="24"/>
        </w:rPr>
        <w:t>,</w:t>
      </w:r>
      <w:r w:rsidR="00C95094">
        <w:rPr>
          <w:sz w:val="24"/>
          <w:szCs w:val="24"/>
        </w:rPr>
        <w:t xml:space="preserve"> e</w:t>
      </w:r>
      <w:r w:rsidRPr="009366A6">
        <w:rPr>
          <w:sz w:val="24"/>
          <w:szCs w:val="24"/>
        </w:rPr>
        <w:t>m saúde</w:t>
      </w:r>
      <w:r w:rsidR="00C95094">
        <w:rPr>
          <w:sz w:val="24"/>
          <w:szCs w:val="24"/>
        </w:rPr>
        <w:t xml:space="preserve"> e em transporte rodoviário</w:t>
      </w:r>
      <w:r w:rsidRPr="009366A6">
        <w:rPr>
          <w:sz w:val="24"/>
          <w:szCs w:val="24"/>
        </w:rPr>
        <w:t>, r</w:t>
      </w:r>
      <w:r>
        <w:rPr>
          <w:sz w:val="24"/>
          <w:szCs w:val="24"/>
        </w:rPr>
        <w:t xml:space="preserve">espectivamente. </w:t>
      </w:r>
      <w:r w:rsidRPr="009366A6">
        <w:rPr>
          <w:sz w:val="24"/>
          <w:szCs w:val="24"/>
        </w:rPr>
        <w:lastRenderedPageBreak/>
        <w:t xml:space="preserve">O objetivo é avaliar a </w:t>
      </w:r>
      <w:r w:rsidR="008F6512">
        <w:rPr>
          <w:sz w:val="24"/>
          <w:szCs w:val="24"/>
        </w:rPr>
        <w:t>efetividade</w:t>
      </w:r>
      <w:r w:rsidRPr="009366A6">
        <w:rPr>
          <w:sz w:val="24"/>
          <w:szCs w:val="24"/>
        </w:rPr>
        <w:t xml:space="preserve"> dos gastos públicos quanto à melhoria das condições de infraestrutura física</w:t>
      </w:r>
      <w:r>
        <w:rPr>
          <w:sz w:val="24"/>
          <w:szCs w:val="24"/>
        </w:rPr>
        <w:t xml:space="preserve"> e do estoque</w:t>
      </w:r>
      <w:r w:rsidR="008F6512">
        <w:rPr>
          <w:sz w:val="24"/>
          <w:szCs w:val="24"/>
        </w:rPr>
        <w:t xml:space="preserve"> de capital humano, consideradas</w:t>
      </w:r>
      <w:r>
        <w:rPr>
          <w:sz w:val="24"/>
          <w:szCs w:val="24"/>
        </w:rPr>
        <w:t xml:space="preserve"> as estruturas de cada </w:t>
      </w:r>
      <w:r w:rsidRPr="009366A6">
        <w:rPr>
          <w:sz w:val="24"/>
          <w:szCs w:val="24"/>
        </w:rPr>
        <w:t>estado.</w:t>
      </w:r>
    </w:p>
    <w:p w:rsidR="00870A0E" w:rsidRDefault="00870A0E" w:rsidP="00870A0E">
      <w:pPr>
        <w:ind w:firstLine="708"/>
        <w:jc w:val="both"/>
        <w:rPr>
          <w:sz w:val="24"/>
          <w:szCs w:val="24"/>
        </w:rPr>
      </w:pPr>
      <w:r w:rsidRPr="009366A6">
        <w:rPr>
          <w:sz w:val="24"/>
          <w:szCs w:val="24"/>
        </w:rPr>
        <w:t xml:space="preserve">Dados os efeitos diretos e indiretos dos estoques de capital físico e humano sobre os salários da economia, espera-se também que este efeito </w:t>
      </w:r>
      <w:r>
        <w:rPr>
          <w:sz w:val="24"/>
          <w:szCs w:val="24"/>
        </w:rPr>
        <w:t xml:space="preserve">também reflita em elevação do </w:t>
      </w:r>
      <w:r w:rsidRPr="009366A6">
        <w:rPr>
          <w:sz w:val="24"/>
          <w:szCs w:val="24"/>
        </w:rPr>
        <w:t>número de trabalhadores no mercado de trabalho. Afinal, esses tipos de gastos públicos tendem a estimular o crescimento da economia e, assim, dinamizam as atividades eco</w:t>
      </w:r>
      <w:r>
        <w:rPr>
          <w:sz w:val="24"/>
          <w:szCs w:val="24"/>
        </w:rPr>
        <w:t xml:space="preserve">nômicas. Desse modo, na equação </w:t>
      </w:r>
      <w:proofErr w:type="gramStart"/>
      <w:r w:rsidR="00E34983">
        <w:rPr>
          <w:sz w:val="24"/>
          <w:szCs w:val="24"/>
        </w:rPr>
        <w:t>4</w:t>
      </w:r>
      <w:proofErr w:type="gramEnd"/>
      <w:r>
        <w:rPr>
          <w:sz w:val="24"/>
          <w:szCs w:val="24"/>
        </w:rPr>
        <w:t xml:space="preserve">, espera-se que o emprego em cada estado reflita </w:t>
      </w:r>
      <w:r w:rsidRPr="009366A6">
        <w:rPr>
          <w:sz w:val="24"/>
          <w:szCs w:val="24"/>
        </w:rPr>
        <w:t>efeitos positivos advindos de gastos do governo em capital humano - educação (</w:t>
      </w:r>
      <w:r w:rsidRPr="009366A6">
        <w:rPr>
          <w:position w:val="-6"/>
          <w:sz w:val="24"/>
          <w:szCs w:val="24"/>
        </w:rPr>
        <w:object w:dxaOrig="639" w:dyaOrig="260">
          <v:shape id="_x0000_i1035" type="#_x0000_t75" style="width:33.3pt;height:12.9pt" o:ole="">
            <v:imagedata r:id="rId28" o:title=""/>
          </v:shape>
          <o:OLEObject Type="Embed" ProgID="Equation.3" ShapeID="_x0000_i1035" DrawAspect="Content" ObjectID="_1444458714" r:id="rId29"/>
        </w:object>
      </w:r>
      <w:r w:rsidRPr="009366A6">
        <w:rPr>
          <w:sz w:val="24"/>
          <w:szCs w:val="24"/>
        </w:rPr>
        <w:t>) e saúde (</w:t>
      </w:r>
      <w:r w:rsidRPr="009366A6">
        <w:rPr>
          <w:position w:val="-6"/>
          <w:sz w:val="24"/>
          <w:szCs w:val="24"/>
        </w:rPr>
        <w:object w:dxaOrig="540" w:dyaOrig="260">
          <v:shape id="_x0000_i1036" type="#_x0000_t75" style="width:27.15pt;height:12.9pt" o:ole="">
            <v:imagedata r:id="rId30" o:title=""/>
          </v:shape>
          <o:OLEObject Type="Embed" ProgID="Equation.3" ShapeID="_x0000_i1036" DrawAspect="Content" ObjectID="_1444458715" r:id="rId31"/>
        </w:object>
      </w:r>
      <w:r w:rsidRPr="009366A6">
        <w:rPr>
          <w:sz w:val="24"/>
          <w:szCs w:val="24"/>
        </w:rPr>
        <w:t>) - e em infraestrutura física das estradas (</w:t>
      </w:r>
      <w:r w:rsidRPr="009366A6">
        <w:rPr>
          <w:position w:val="-6"/>
          <w:sz w:val="24"/>
          <w:szCs w:val="24"/>
        </w:rPr>
        <w:object w:dxaOrig="560" w:dyaOrig="260">
          <v:shape id="_x0000_i1037" type="#_x0000_t75" style="width:28.55pt;height:12.9pt" o:ole="">
            <v:imagedata r:id="rId32" o:title=""/>
          </v:shape>
          <o:OLEObject Type="Embed" ProgID="Equation.3" ShapeID="_x0000_i1037" DrawAspect="Content" ObjectID="_1444458716" r:id="rId33"/>
        </w:object>
      </w:r>
      <w:r w:rsidRPr="009366A6">
        <w:rPr>
          <w:sz w:val="24"/>
          <w:szCs w:val="24"/>
        </w:rPr>
        <w:t xml:space="preserve">). </w:t>
      </w:r>
      <w:r w:rsidR="00E34983">
        <w:rPr>
          <w:sz w:val="24"/>
          <w:szCs w:val="24"/>
        </w:rPr>
        <w:t>Já a</w:t>
      </w:r>
      <w:r w:rsidRPr="009366A6">
        <w:rPr>
          <w:sz w:val="24"/>
          <w:szCs w:val="24"/>
        </w:rPr>
        <w:t xml:space="preserve"> presença da variável de salários</w:t>
      </w:r>
      <w:r>
        <w:rPr>
          <w:sz w:val="24"/>
          <w:szCs w:val="24"/>
        </w:rPr>
        <w:t xml:space="preserve"> </w:t>
      </w:r>
      <w:r w:rsidRPr="009366A6">
        <w:rPr>
          <w:sz w:val="24"/>
          <w:szCs w:val="24"/>
        </w:rPr>
        <w:t>(</w:t>
      </w:r>
      <w:r w:rsidRPr="009366A6">
        <w:rPr>
          <w:position w:val="-6"/>
          <w:sz w:val="24"/>
          <w:szCs w:val="24"/>
        </w:rPr>
        <w:object w:dxaOrig="380" w:dyaOrig="279">
          <v:shape id="_x0000_i1038" type="#_x0000_t75" style="width:19pt;height:14.25pt" o:ole="">
            <v:imagedata r:id="rId34" o:title=""/>
          </v:shape>
          <o:OLEObject Type="Embed" ProgID="Equation.3" ShapeID="_x0000_i1038" DrawAspect="Content" ObjectID="_1444458717" r:id="rId35"/>
        </w:object>
      </w:r>
      <w:r w:rsidRPr="009366A6">
        <w:rPr>
          <w:sz w:val="24"/>
          <w:szCs w:val="24"/>
        </w:rPr>
        <w:t>) está ligada</w:t>
      </w:r>
      <w:r>
        <w:rPr>
          <w:sz w:val="24"/>
          <w:szCs w:val="24"/>
        </w:rPr>
        <w:t xml:space="preserve"> </w:t>
      </w:r>
      <w:r w:rsidRPr="009366A6">
        <w:rPr>
          <w:sz w:val="24"/>
          <w:szCs w:val="24"/>
        </w:rPr>
        <w:t xml:space="preserve">à demanda de trabalho, </w:t>
      </w:r>
      <w:r>
        <w:rPr>
          <w:sz w:val="24"/>
          <w:szCs w:val="24"/>
        </w:rPr>
        <w:t xml:space="preserve">cuja </w:t>
      </w:r>
      <w:r w:rsidRPr="009366A6">
        <w:rPr>
          <w:sz w:val="24"/>
          <w:szCs w:val="24"/>
        </w:rPr>
        <w:t xml:space="preserve">hipótese </w:t>
      </w:r>
      <w:r>
        <w:rPr>
          <w:sz w:val="24"/>
          <w:szCs w:val="24"/>
        </w:rPr>
        <w:t xml:space="preserve">é de </w:t>
      </w:r>
      <w:r w:rsidRPr="009366A6">
        <w:rPr>
          <w:sz w:val="24"/>
          <w:szCs w:val="24"/>
        </w:rPr>
        <w:t>relação negativa com a parcela da PEA de indivíduos ocupados no estado</w:t>
      </w:r>
      <w:r w:rsidR="008F6512">
        <w:rPr>
          <w:sz w:val="24"/>
          <w:szCs w:val="24"/>
        </w:rPr>
        <w:t>.</w:t>
      </w:r>
    </w:p>
    <w:p w:rsidR="008E7F88" w:rsidRDefault="007E157A" w:rsidP="00726852">
      <w:pPr>
        <w:ind w:firstLine="708"/>
        <w:jc w:val="both"/>
        <w:rPr>
          <w:sz w:val="24"/>
          <w:szCs w:val="24"/>
        </w:rPr>
      </w:pPr>
      <w:r>
        <w:rPr>
          <w:sz w:val="24"/>
          <w:szCs w:val="24"/>
        </w:rPr>
        <w:t xml:space="preserve">Na equação </w:t>
      </w:r>
      <w:proofErr w:type="gramStart"/>
      <w:r w:rsidR="00C10CF6">
        <w:rPr>
          <w:sz w:val="24"/>
          <w:szCs w:val="24"/>
        </w:rPr>
        <w:t>5</w:t>
      </w:r>
      <w:proofErr w:type="gramEnd"/>
      <w:r>
        <w:rPr>
          <w:sz w:val="24"/>
          <w:szCs w:val="24"/>
        </w:rPr>
        <w:t>, avalia</w:t>
      </w:r>
      <w:r w:rsidR="00DC38A4">
        <w:rPr>
          <w:sz w:val="24"/>
          <w:szCs w:val="24"/>
        </w:rPr>
        <w:t>-se</w:t>
      </w:r>
      <w:r>
        <w:rPr>
          <w:sz w:val="24"/>
          <w:szCs w:val="24"/>
        </w:rPr>
        <w:t xml:space="preserve"> o</w:t>
      </w:r>
      <w:r w:rsidR="00E56832" w:rsidRPr="009366A6">
        <w:rPr>
          <w:sz w:val="24"/>
          <w:szCs w:val="24"/>
        </w:rPr>
        <w:t xml:space="preserve"> comportamento dos salários</w:t>
      </w:r>
      <w:r w:rsidR="008F6512">
        <w:rPr>
          <w:sz w:val="24"/>
          <w:szCs w:val="24"/>
        </w:rPr>
        <w:t xml:space="preserve"> </w:t>
      </w:r>
      <w:r w:rsidR="00E34983">
        <w:rPr>
          <w:sz w:val="24"/>
          <w:szCs w:val="24"/>
        </w:rPr>
        <w:t xml:space="preserve">sob </w:t>
      </w:r>
      <w:r w:rsidR="008F6512">
        <w:rPr>
          <w:sz w:val="24"/>
          <w:szCs w:val="24"/>
        </w:rPr>
        <w:t xml:space="preserve">a ótica da </w:t>
      </w:r>
      <w:r w:rsidR="00E56832" w:rsidRPr="009366A6">
        <w:rPr>
          <w:sz w:val="24"/>
          <w:szCs w:val="24"/>
        </w:rPr>
        <w:t>demanda de trabalho</w:t>
      </w:r>
      <w:r w:rsidR="00DC38A4">
        <w:rPr>
          <w:sz w:val="24"/>
          <w:szCs w:val="24"/>
        </w:rPr>
        <w:t>. E</w:t>
      </w:r>
      <w:r w:rsidR="00E56832" w:rsidRPr="009366A6">
        <w:rPr>
          <w:sz w:val="24"/>
          <w:szCs w:val="24"/>
        </w:rPr>
        <w:t>spera-se que o salário real (</w:t>
      </w:r>
      <w:r w:rsidR="00E56832" w:rsidRPr="009366A6">
        <w:rPr>
          <w:position w:val="-6"/>
          <w:sz w:val="24"/>
          <w:szCs w:val="24"/>
        </w:rPr>
        <w:object w:dxaOrig="380" w:dyaOrig="279">
          <v:shape id="_x0000_i1039" type="#_x0000_t75" style="width:19pt;height:14.25pt" o:ole="">
            <v:imagedata r:id="rId36" o:title=""/>
          </v:shape>
          <o:OLEObject Type="Embed" ProgID="Equation.3" ShapeID="_x0000_i1039" DrawAspect="Content" ObjectID="_1444458718" r:id="rId37"/>
        </w:object>
      </w:r>
      <w:r w:rsidR="00E56832" w:rsidRPr="009366A6">
        <w:rPr>
          <w:sz w:val="24"/>
          <w:szCs w:val="24"/>
        </w:rPr>
        <w:t xml:space="preserve">) </w:t>
      </w:r>
      <w:r w:rsidR="008F6512">
        <w:rPr>
          <w:sz w:val="24"/>
          <w:szCs w:val="24"/>
        </w:rPr>
        <w:t>tenha</w:t>
      </w:r>
      <w:r w:rsidR="00E56832" w:rsidRPr="009366A6">
        <w:rPr>
          <w:sz w:val="24"/>
          <w:szCs w:val="24"/>
        </w:rPr>
        <w:t xml:space="preserve"> relação positiva com a produtividade </w:t>
      </w:r>
      <w:r>
        <w:rPr>
          <w:sz w:val="24"/>
          <w:szCs w:val="24"/>
        </w:rPr>
        <w:t xml:space="preserve">do </w:t>
      </w:r>
      <w:r w:rsidR="008F6512">
        <w:rPr>
          <w:sz w:val="24"/>
          <w:szCs w:val="24"/>
        </w:rPr>
        <w:t xml:space="preserve">emprego, </w:t>
      </w:r>
      <w:r w:rsidRPr="007E157A">
        <w:rPr>
          <w:position w:val="-10"/>
          <w:sz w:val="24"/>
          <w:szCs w:val="24"/>
        </w:rPr>
        <w:object w:dxaOrig="580" w:dyaOrig="300">
          <v:shape id="_x0000_i1040" type="#_x0000_t75" style="width:29.2pt;height:14.95pt" o:ole="">
            <v:imagedata r:id="rId38" o:title=""/>
          </v:shape>
          <o:OLEObject Type="Embed" ProgID="Equation.3" ShapeID="_x0000_i1040" DrawAspect="Content" ObjectID="_1444458719" r:id="rId39"/>
        </w:object>
      </w:r>
      <w:r w:rsidR="008F6512">
        <w:rPr>
          <w:sz w:val="24"/>
          <w:szCs w:val="24"/>
        </w:rPr>
        <w:t xml:space="preserve">, mas apresente </w:t>
      </w:r>
      <w:r w:rsidR="00E56832" w:rsidRPr="009366A6">
        <w:rPr>
          <w:sz w:val="24"/>
          <w:szCs w:val="24"/>
        </w:rPr>
        <w:t xml:space="preserve">relação </w:t>
      </w:r>
      <w:r w:rsidR="008F6512" w:rsidRPr="009366A6">
        <w:rPr>
          <w:sz w:val="24"/>
          <w:szCs w:val="24"/>
        </w:rPr>
        <w:t>contrária</w:t>
      </w:r>
      <w:r w:rsidR="00E56832" w:rsidRPr="009366A6">
        <w:rPr>
          <w:sz w:val="24"/>
          <w:szCs w:val="24"/>
        </w:rPr>
        <w:t xml:space="preserve"> </w:t>
      </w:r>
      <w:r w:rsidR="00DC38A4">
        <w:rPr>
          <w:sz w:val="24"/>
          <w:szCs w:val="24"/>
        </w:rPr>
        <w:t>co</w:t>
      </w:r>
      <w:r w:rsidR="00E56832" w:rsidRPr="009366A6">
        <w:rPr>
          <w:sz w:val="24"/>
          <w:szCs w:val="24"/>
        </w:rPr>
        <w:t>m a parcela da PEA efetivamente empregada (</w:t>
      </w:r>
      <w:r w:rsidR="00E56832" w:rsidRPr="009366A6">
        <w:rPr>
          <w:position w:val="-10"/>
          <w:sz w:val="24"/>
          <w:szCs w:val="24"/>
        </w:rPr>
        <w:object w:dxaOrig="480" w:dyaOrig="260">
          <v:shape id="_x0000_i1041" type="#_x0000_t75" style="width:23.1pt;height:12.9pt" o:ole="">
            <v:imagedata r:id="rId40" o:title=""/>
          </v:shape>
          <o:OLEObject Type="Embed" ProgID="Equation.3" ShapeID="_x0000_i1041" DrawAspect="Content" ObjectID="_1444458720" r:id="rId41"/>
        </w:object>
      </w:r>
      <w:r w:rsidR="00E56832" w:rsidRPr="009366A6">
        <w:rPr>
          <w:sz w:val="24"/>
          <w:szCs w:val="24"/>
        </w:rPr>
        <w:t>)</w:t>
      </w:r>
      <w:r w:rsidR="008F6512">
        <w:rPr>
          <w:sz w:val="24"/>
          <w:szCs w:val="24"/>
        </w:rPr>
        <w:t xml:space="preserve">. Afinal, segundo a </w:t>
      </w:r>
      <w:r w:rsidR="00E56832" w:rsidRPr="009366A6">
        <w:rPr>
          <w:sz w:val="24"/>
          <w:szCs w:val="24"/>
        </w:rPr>
        <w:t>teoria da demanda de trabalho, o emprego assume, por hipótese, relação inversa com o salário</w:t>
      </w:r>
      <w:r>
        <w:rPr>
          <w:sz w:val="24"/>
          <w:szCs w:val="24"/>
        </w:rPr>
        <w:t xml:space="preserve">. </w:t>
      </w:r>
      <w:r w:rsidR="00E56832">
        <w:rPr>
          <w:sz w:val="24"/>
          <w:szCs w:val="24"/>
        </w:rPr>
        <w:t xml:space="preserve">Na expectativa de </w:t>
      </w:r>
      <w:r w:rsidR="008E7F88">
        <w:rPr>
          <w:sz w:val="24"/>
          <w:szCs w:val="24"/>
        </w:rPr>
        <w:t>relação esperada</w:t>
      </w:r>
      <w:r w:rsidR="00E56832">
        <w:rPr>
          <w:sz w:val="24"/>
          <w:szCs w:val="24"/>
        </w:rPr>
        <w:t xml:space="preserve"> </w:t>
      </w:r>
      <w:r w:rsidR="00E34983">
        <w:rPr>
          <w:sz w:val="24"/>
          <w:szCs w:val="24"/>
        </w:rPr>
        <w:t xml:space="preserve">inversa </w:t>
      </w:r>
      <w:r w:rsidR="00E56832" w:rsidRPr="009366A6">
        <w:rPr>
          <w:sz w:val="24"/>
          <w:szCs w:val="24"/>
        </w:rPr>
        <w:t>entre</w:t>
      </w:r>
      <w:r w:rsidR="00E56832">
        <w:rPr>
          <w:sz w:val="24"/>
          <w:szCs w:val="24"/>
        </w:rPr>
        <w:t xml:space="preserve"> </w:t>
      </w:r>
      <w:r w:rsidR="00E56832" w:rsidRPr="009366A6">
        <w:rPr>
          <w:sz w:val="24"/>
          <w:szCs w:val="24"/>
        </w:rPr>
        <w:t>crescimento populacional (</w:t>
      </w:r>
      <w:r w:rsidR="00E56832" w:rsidRPr="009366A6">
        <w:rPr>
          <w:position w:val="-10"/>
          <w:sz w:val="24"/>
          <w:szCs w:val="24"/>
        </w:rPr>
        <w:object w:dxaOrig="440" w:dyaOrig="240">
          <v:shape id="_x0000_i1042" type="#_x0000_t75" style="width:21.75pt;height:12.25pt" o:ole="">
            <v:imagedata r:id="rId42" o:title=""/>
          </v:shape>
          <o:OLEObject Type="Embed" ProgID="Equation.3" ShapeID="_x0000_i1042" DrawAspect="Content" ObjectID="_1444458721" r:id="rId43"/>
        </w:object>
      </w:r>
      <w:r w:rsidR="00E56832" w:rsidRPr="009366A6">
        <w:rPr>
          <w:sz w:val="24"/>
          <w:szCs w:val="24"/>
        </w:rPr>
        <w:t>) e salário real</w:t>
      </w:r>
      <w:r w:rsidR="00E34983">
        <w:rPr>
          <w:sz w:val="24"/>
          <w:szCs w:val="24"/>
        </w:rPr>
        <w:t>, toma-se por base o cenário em que o</w:t>
      </w:r>
      <w:r w:rsidR="008E7F88">
        <w:rPr>
          <w:sz w:val="24"/>
          <w:szCs w:val="24"/>
        </w:rPr>
        <w:t xml:space="preserve"> </w:t>
      </w:r>
      <w:r w:rsidR="00E56832" w:rsidRPr="009366A6">
        <w:rPr>
          <w:sz w:val="24"/>
          <w:szCs w:val="24"/>
        </w:rPr>
        <w:t>crescimento populacional excessiv</w:t>
      </w:r>
      <w:r w:rsidR="00195082">
        <w:rPr>
          <w:sz w:val="24"/>
          <w:szCs w:val="24"/>
        </w:rPr>
        <w:t xml:space="preserve">o </w:t>
      </w:r>
      <w:r w:rsidR="008E7F88">
        <w:rPr>
          <w:sz w:val="24"/>
          <w:szCs w:val="24"/>
        </w:rPr>
        <w:t>poder</w:t>
      </w:r>
      <w:r w:rsidR="00E56832" w:rsidRPr="009366A6">
        <w:rPr>
          <w:sz w:val="24"/>
          <w:szCs w:val="24"/>
        </w:rPr>
        <w:t xml:space="preserve"> culminar </w:t>
      </w:r>
      <w:r w:rsidR="008E7F88">
        <w:rPr>
          <w:sz w:val="24"/>
          <w:szCs w:val="24"/>
        </w:rPr>
        <w:t>em</w:t>
      </w:r>
      <w:r w:rsidR="00E56832" w:rsidRPr="009366A6">
        <w:rPr>
          <w:sz w:val="24"/>
          <w:szCs w:val="24"/>
        </w:rPr>
        <w:t xml:space="preserve"> excesso de oferta de trabalho, </w:t>
      </w:r>
      <w:r w:rsidR="008E7F88">
        <w:rPr>
          <w:sz w:val="24"/>
          <w:szCs w:val="24"/>
        </w:rPr>
        <w:t>mediante</w:t>
      </w:r>
      <w:r w:rsidR="00E56832" w:rsidRPr="009366A6">
        <w:rPr>
          <w:sz w:val="24"/>
          <w:szCs w:val="24"/>
        </w:rPr>
        <w:t xml:space="preserve"> o crescimento em ritmo mais acelerado da PEA que </w:t>
      </w:r>
      <w:r w:rsidR="008E7F88">
        <w:rPr>
          <w:sz w:val="24"/>
          <w:szCs w:val="24"/>
        </w:rPr>
        <w:t>o aumento da</w:t>
      </w:r>
      <w:r w:rsidR="00E56832" w:rsidRPr="009366A6">
        <w:rPr>
          <w:sz w:val="24"/>
          <w:szCs w:val="24"/>
        </w:rPr>
        <w:t xml:space="preserve"> população ocupada. Por fim, a justificativa da inclusão da taxa de câmbio real (</w:t>
      </w:r>
      <w:r w:rsidR="00E56832" w:rsidRPr="009366A6">
        <w:rPr>
          <w:position w:val="-6"/>
          <w:sz w:val="24"/>
          <w:szCs w:val="24"/>
        </w:rPr>
        <w:object w:dxaOrig="480" w:dyaOrig="220">
          <v:shape id="_x0000_i1043" type="#_x0000_t75" style="width:23.1pt;height:11.55pt" o:ole="">
            <v:imagedata r:id="rId44" o:title=""/>
          </v:shape>
          <o:OLEObject Type="Embed" ProgID="Equation.3" ShapeID="_x0000_i1043" DrawAspect="Content" ObjectID="_1444458722" r:id="rId45"/>
        </w:object>
      </w:r>
      <w:r w:rsidR="00E56832" w:rsidRPr="009366A6">
        <w:rPr>
          <w:sz w:val="24"/>
          <w:szCs w:val="24"/>
        </w:rPr>
        <w:t xml:space="preserve">) é fundamentada na </w:t>
      </w:r>
      <w:r w:rsidR="0001094B">
        <w:rPr>
          <w:sz w:val="24"/>
          <w:szCs w:val="24"/>
        </w:rPr>
        <w:t xml:space="preserve">sua </w:t>
      </w:r>
      <w:r w:rsidR="00E56832" w:rsidRPr="009366A6">
        <w:rPr>
          <w:sz w:val="24"/>
          <w:szCs w:val="24"/>
        </w:rPr>
        <w:t xml:space="preserve">relação </w:t>
      </w:r>
      <w:r w:rsidR="0001094B">
        <w:rPr>
          <w:sz w:val="24"/>
          <w:szCs w:val="24"/>
        </w:rPr>
        <w:t>com</w:t>
      </w:r>
      <w:r w:rsidR="00E56832" w:rsidRPr="009366A6">
        <w:rPr>
          <w:sz w:val="24"/>
          <w:szCs w:val="24"/>
        </w:rPr>
        <w:t xml:space="preserve"> a participação dos salários e dos lucros na renda estadual. </w:t>
      </w:r>
      <w:r w:rsidR="008E7F88">
        <w:rPr>
          <w:sz w:val="24"/>
          <w:szCs w:val="24"/>
        </w:rPr>
        <w:t>Quanto mais apreciado</w:t>
      </w:r>
      <w:r w:rsidR="00195082">
        <w:rPr>
          <w:sz w:val="24"/>
          <w:szCs w:val="24"/>
        </w:rPr>
        <w:t xml:space="preserve"> o </w:t>
      </w:r>
      <w:r w:rsidR="00E56832" w:rsidRPr="009366A6">
        <w:rPr>
          <w:sz w:val="24"/>
          <w:szCs w:val="24"/>
        </w:rPr>
        <w:t xml:space="preserve">câmbio, menores as exportações e maiores as importações, e maior a tendência ao déficit em conta corrente (poupança externa). Nesse contexto, a apreciação cambial pode </w:t>
      </w:r>
      <w:r w:rsidR="008E7F88">
        <w:rPr>
          <w:sz w:val="24"/>
          <w:szCs w:val="24"/>
        </w:rPr>
        <w:t>fazer subir</w:t>
      </w:r>
      <w:r w:rsidR="00E56832" w:rsidRPr="009366A6">
        <w:rPr>
          <w:sz w:val="24"/>
          <w:szCs w:val="24"/>
        </w:rPr>
        <w:t>, em termos reais, os salários dos trabalhadores e os ordenados da classe média profissional</w:t>
      </w:r>
      <w:r w:rsidR="008E7F88">
        <w:rPr>
          <w:sz w:val="24"/>
          <w:szCs w:val="24"/>
        </w:rPr>
        <w:t xml:space="preserve">, mas </w:t>
      </w:r>
      <w:r w:rsidR="00E56832" w:rsidRPr="009366A6">
        <w:rPr>
          <w:sz w:val="24"/>
          <w:szCs w:val="24"/>
        </w:rPr>
        <w:t>reduz</w:t>
      </w:r>
      <w:r w:rsidR="00C10CF6">
        <w:rPr>
          <w:sz w:val="24"/>
          <w:szCs w:val="24"/>
        </w:rPr>
        <w:t>ir</w:t>
      </w:r>
      <w:r w:rsidR="00E56832" w:rsidRPr="009366A6">
        <w:rPr>
          <w:sz w:val="24"/>
          <w:szCs w:val="24"/>
        </w:rPr>
        <w:t xml:space="preserve"> os lucros dos capitalistas, os quais </w:t>
      </w:r>
      <w:r w:rsidR="002112A3" w:rsidRPr="009366A6">
        <w:rPr>
          <w:sz w:val="24"/>
          <w:szCs w:val="24"/>
        </w:rPr>
        <w:t>exportar</w:t>
      </w:r>
      <w:r w:rsidR="002112A3">
        <w:rPr>
          <w:sz w:val="24"/>
          <w:szCs w:val="24"/>
        </w:rPr>
        <w:t>ão</w:t>
      </w:r>
      <w:r w:rsidR="00E56832" w:rsidRPr="009366A6">
        <w:rPr>
          <w:sz w:val="24"/>
          <w:szCs w:val="24"/>
        </w:rPr>
        <w:t xml:space="preserve"> e investir</w:t>
      </w:r>
      <w:r w:rsidR="008E7F88">
        <w:rPr>
          <w:sz w:val="24"/>
          <w:szCs w:val="24"/>
        </w:rPr>
        <w:t>ão</w:t>
      </w:r>
      <w:r w:rsidR="00E56832" w:rsidRPr="009366A6">
        <w:rPr>
          <w:sz w:val="24"/>
          <w:szCs w:val="24"/>
        </w:rPr>
        <w:t xml:space="preserve"> menos. </w:t>
      </w:r>
      <w:r w:rsidR="0001094B">
        <w:rPr>
          <w:sz w:val="24"/>
          <w:szCs w:val="24"/>
        </w:rPr>
        <w:t>A razão é que</w:t>
      </w:r>
      <w:r w:rsidR="008E7F88">
        <w:rPr>
          <w:sz w:val="24"/>
          <w:szCs w:val="24"/>
        </w:rPr>
        <w:t xml:space="preserve"> </w:t>
      </w:r>
      <w:r w:rsidR="00E56832" w:rsidRPr="009366A6">
        <w:rPr>
          <w:sz w:val="24"/>
          <w:szCs w:val="24"/>
        </w:rPr>
        <w:t>os preços dos bens de consumo comercializáveis internacionalmente (</w:t>
      </w:r>
      <w:r w:rsidR="00E56832" w:rsidRPr="0048001E">
        <w:rPr>
          <w:i/>
          <w:sz w:val="24"/>
          <w:szCs w:val="24"/>
        </w:rPr>
        <w:t>commodities</w:t>
      </w:r>
      <w:r w:rsidR="008E7F88">
        <w:rPr>
          <w:sz w:val="24"/>
          <w:szCs w:val="24"/>
        </w:rPr>
        <w:t>) diminuem</w:t>
      </w:r>
      <w:r w:rsidR="00E56832" w:rsidRPr="009366A6">
        <w:rPr>
          <w:sz w:val="24"/>
          <w:szCs w:val="24"/>
        </w:rPr>
        <w:t xml:space="preserve"> com a apreciação da moeda local. </w:t>
      </w:r>
      <w:r w:rsidR="0001094B">
        <w:rPr>
          <w:sz w:val="24"/>
          <w:szCs w:val="24"/>
        </w:rPr>
        <w:t>A</w:t>
      </w:r>
      <w:r w:rsidR="00E56832" w:rsidRPr="009366A6">
        <w:rPr>
          <w:sz w:val="24"/>
          <w:szCs w:val="24"/>
        </w:rPr>
        <w:t xml:space="preserve"> variação nos salários com relação ao câmbio será tanto maior para cada família</w:t>
      </w:r>
      <w:r w:rsidR="00C10CF6">
        <w:rPr>
          <w:sz w:val="24"/>
          <w:szCs w:val="24"/>
        </w:rPr>
        <w:t>,</w:t>
      </w:r>
      <w:r w:rsidR="00E56832" w:rsidRPr="009366A6">
        <w:rPr>
          <w:sz w:val="24"/>
          <w:szCs w:val="24"/>
        </w:rPr>
        <w:t xml:space="preserve"> quanto </w:t>
      </w:r>
      <w:r w:rsidR="008E7F88">
        <w:rPr>
          <w:sz w:val="24"/>
          <w:szCs w:val="24"/>
        </w:rPr>
        <w:t>maior</w:t>
      </w:r>
      <w:r w:rsidR="00E56832" w:rsidRPr="009366A6">
        <w:rPr>
          <w:sz w:val="24"/>
          <w:szCs w:val="24"/>
        </w:rPr>
        <w:t xml:space="preserve"> o consumo de bens comercializáveis, e maior a sensibilidade das exportações e importações à taxa de câmbio</w:t>
      </w:r>
      <w:r w:rsidR="0001094B" w:rsidRPr="0001094B">
        <w:rPr>
          <w:sz w:val="24"/>
          <w:szCs w:val="24"/>
        </w:rPr>
        <w:t xml:space="preserve"> </w:t>
      </w:r>
      <w:r w:rsidR="0001094B">
        <w:rPr>
          <w:sz w:val="24"/>
          <w:szCs w:val="24"/>
        </w:rPr>
        <w:t xml:space="preserve">(BRESSER-PEREIRA E GALA, </w:t>
      </w:r>
      <w:r w:rsidR="0001094B" w:rsidRPr="009366A6">
        <w:rPr>
          <w:sz w:val="24"/>
          <w:szCs w:val="24"/>
        </w:rPr>
        <w:t>2008)</w:t>
      </w:r>
      <w:r w:rsidR="00E56832" w:rsidRPr="009366A6">
        <w:rPr>
          <w:sz w:val="24"/>
          <w:szCs w:val="24"/>
        </w:rPr>
        <w:t xml:space="preserve">. </w:t>
      </w:r>
    </w:p>
    <w:p w:rsidR="00B77266" w:rsidRDefault="0001094B" w:rsidP="00726852">
      <w:pPr>
        <w:ind w:firstLine="708"/>
        <w:jc w:val="both"/>
        <w:rPr>
          <w:sz w:val="24"/>
          <w:szCs w:val="24"/>
        </w:rPr>
      </w:pPr>
      <w:r>
        <w:rPr>
          <w:sz w:val="24"/>
          <w:szCs w:val="24"/>
        </w:rPr>
        <w:t xml:space="preserve">Já na </w:t>
      </w:r>
      <w:r w:rsidR="008E7F88">
        <w:rPr>
          <w:sz w:val="24"/>
          <w:szCs w:val="24"/>
        </w:rPr>
        <w:t>equação</w:t>
      </w:r>
      <w:r w:rsidR="00E56832">
        <w:rPr>
          <w:sz w:val="24"/>
          <w:szCs w:val="24"/>
        </w:rPr>
        <w:t xml:space="preserve"> </w:t>
      </w:r>
      <w:proofErr w:type="gramStart"/>
      <w:r w:rsidR="00C10CF6">
        <w:rPr>
          <w:sz w:val="24"/>
          <w:szCs w:val="24"/>
        </w:rPr>
        <w:t>6</w:t>
      </w:r>
      <w:proofErr w:type="gramEnd"/>
      <w:r w:rsidR="00C10CF6">
        <w:rPr>
          <w:sz w:val="24"/>
          <w:szCs w:val="24"/>
        </w:rPr>
        <w:t xml:space="preserve">, </w:t>
      </w:r>
      <w:r w:rsidR="008E7F88">
        <w:rPr>
          <w:sz w:val="24"/>
          <w:szCs w:val="24"/>
        </w:rPr>
        <w:t xml:space="preserve">o PIB per capita </w:t>
      </w:r>
      <w:r w:rsidR="00FC1F5A">
        <w:rPr>
          <w:sz w:val="24"/>
          <w:szCs w:val="24"/>
        </w:rPr>
        <w:t>é relacionado à</w:t>
      </w:r>
      <w:r w:rsidR="008E7F88">
        <w:rPr>
          <w:sz w:val="24"/>
          <w:szCs w:val="24"/>
        </w:rPr>
        <w:t xml:space="preserve"> quilometragem d</w:t>
      </w:r>
      <w:r w:rsidR="00E56832" w:rsidRPr="009366A6">
        <w:rPr>
          <w:sz w:val="24"/>
          <w:szCs w:val="24"/>
        </w:rPr>
        <w:t>e rodovias pavimentadas no estado</w:t>
      </w:r>
      <w:r w:rsidR="008E7F88">
        <w:rPr>
          <w:sz w:val="24"/>
          <w:szCs w:val="24"/>
        </w:rPr>
        <w:t xml:space="preserve">, </w:t>
      </w:r>
      <w:r w:rsidR="00E56832" w:rsidRPr="009366A6">
        <w:rPr>
          <w:sz w:val="24"/>
          <w:szCs w:val="24"/>
        </w:rPr>
        <w:t>variáve</w:t>
      </w:r>
      <w:r w:rsidR="00C10CF6">
        <w:rPr>
          <w:sz w:val="24"/>
          <w:szCs w:val="24"/>
        </w:rPr>
        <w:t xml:space="preserve">l </w:t>
      </w:r>
      <w:r w:rsidR="00E56832" w:rsidRPr="009366A6">
        <w:rPr>
          <w:sz w:val="24"/>
          <w:szCs w:val="24"/>
        </w:rPr>
        <w:t>de infraestrutura física</w:t>
      </w:r>
      <w:r w:rsidR="008E7F88">
        <w:rPr>
          <w:sz w:val="24"/>
          <w:szCs w:val="24"/>
        </w:rPr>
        <w:t xml:space="preserve">, </w:t>
      </w:r>
      <w:r w:rsidR="00FC1F5A">
        <w:rPr>
          <w:sz w:val="24"/>
          <w:szCs w:val="24"/>
        </w:rPr>
        <w:t>às m</w:t>
      </w:r>
      <w:r w:rsidR="00DC4CE5" w:rsidRPr="00DC4CE5">
        <w:rPr>
          <w:sz w:val="24"/>
          <w:szCs w:val="24"/>
        </w:rPr>
        <w:t xml:space="preserve">edidas de </w:t>
      </w:r>
      <w:r w:rsidR="00E56832" w:rsidRPr="00DC4CE5">
        <w:rPr>
          <w:sz w:val="24"/>
          <w:szCs w:val="24"/>
        </w:rPr>
        <w:t>capital</w:t>
      </w:r>
      <w:r w:rsidR="00E56832" w:rsidRPr="009366A6">
        <w:rPr>
          <w:sz w:val="24"/>
          <w:szCs w:val="24"/>
        </w:rPr>
        <w:t xml:space="preserve"> humano, </w:t>
      </w:r>
      <w:r w:rsidR="00C10CF6">
        <w:rPr>
          <w:sz w:val="24"/>
          <w:szCs w:val="24"/>
        </w:rPr>
        <w:t xml:space="preserve">educação e saúde, </w:t>
      </w:r>
      <w:r w:rsidR="00FC1F5A">
        <w:rPr>
          <w:sz w:val="24"/>
          <w:szCs w:val="24"/>
        </w:rPr>
        <w:t>e à</w:t>
      </w:r>
      <w:r w:rsidR="00C10CF6">
        <w:rPr>
          <w:sz w:val="24"/>
          <w:szCs w:val="24"/>
        </w:rPr>
        <w:t xml:space="preserve"> produtividade do emprego</w:t>
      </w:r>
      <w:r w:rsidR="00E56832" w:rsidRPr="009366A6">
        <w:rPr>
          <w:sz w:val="24"/>
          <w:szCs w:val="24"/>
        </w:rPr>
        <w:t xml:space="preserve">. </w:t>
      </w:r>
      <w:r w:rsidR="008E7F88">
        <w:rPr>
          <w:sz w:val="24"/>
          <w:szCs w:val="24"/>
        </w:rPr>
        <w:t>Quanto aos sinais dos coeficientes, c</w:t>
      </w:r>
      <w:r w:rsidR="00E56832" w:rsidRPr="009366A6">
        <w:rPr>
          <w:sz w:val="24"/>
          <w:szCs w:val="24"/>
        </w:rPr>
        <w:t xml:space="preserve">om exceção da taxa de mortalidade, são esperados impactos positivos sobre o crescimento </w:t>
      </w:r>
      <w:r w:rsidR="00C10CF6">
        <w:rPr>
          <w:sz w:val="24"/>
          <w:szCs w:val="24"/>
        </w:rPr>
        <w:t xml:space="preserve">da renda per capita </w:t>
      </w:r>
      <w:r w:rsidR="00E56832">
        <w:rPr>
          <w:sz w:val="24"/>
          <w:szCs w:val="24"/>
        </w:rPr>
        <w:t xml:space="preserve">dos estados. </w:t>
      </w:r>
      <w:r w:rsidR="008E7F88">
        <w:rPr>
          <w:sz w:val="24"/>
          <w:szCs w:val="24"/>
        </w:rPr>
        <w:t xml:space="preserve">Este pressuposto é </w:t>
      </w:r>
      <w:r w:rsidR="00FC1F5A">
        <w:rPr>
          <w:sz w:val="24"/>
          <w:szCs w:val="24"/>
        </w:rPr>
        <w:t xml:space="preserve">definido dada a premissa de </w:t>
      </w:r>
      <w:r w:rsidR="008E7F88">
        <w:rPr>
          <w:sz w:val="24"/>
          <w:szCs w:val="24"/>
        </w:rPr>
        <w:t xml:space="preserve">que </w:t>
      </w:r>
      <w:r w:rsidR="00E56832" w:rsidRPr="009366A6">
        <w:rPr>
          <w:sz w:val="24"/>
          <w:szCs w:val="24"/>
        </w:rPr>
        <w:t>boas condições de educação</w:t>
      </w:r>
      <w:r w:rsidR="00FC1F5A">
        <w:rPr>
          <w:sz w:val="24"/>
          <w:szCs w:val="24"/>
        </w:rPr>
        <w:t xml:space="preserve"> e</w:t>
      </w:r>
      <w:r w:rsidR="00C10CF6">
        <w:rPr>
          <w:sz w:val="24"/>
          <w:szCs w:val="24"/>
        </w:rPr>
        <w:t xml:space="preserve"> </w:t>
      </w:r>
      <w:r w:rsidR="00E56832" w:rsidRPr="009366A6">
        <w:rPr>
          <w:sz w:val="24"/>
          <w:szCs w:val="24"/>
        </w:rPr>
        <w:t>de s</w:t>
      </w:r>
      <w:r w:rsidR="004D059A">
        <w:rPr>
          <w:sz w:val="24"/>
          <w:szCs w:val="24"/>
        </w:rPr>
        <w:t xml:space="preserve">aúde, alta </w:t>
      </w:r>
      <w:r w:rsidR="00FC1F5A">
        <w:rPr>
          <w:sz w:val="24"/>
          <w:szCs w:val="24"/>
        </w:rPr>
        <w:t>produtividade do trabalho e</w:t>
      </w:r>
      <w:r w:rsidR="004D059A">
        <w:rPr>
          <w:sz w:val="24"/>
          <w:szCs w:val="24"/>
        </w:rPr>
        <w:t xml:space="preserve"> </w:t>
      </w:r>
      <w:r w:rsidR="00C10CF6">
        <w:rPr>
          <w:sz w:val="24"/>
          <w:szCs w:val="24"/>
        </w:rPr>
        <w:t>viabilidade na infraestrutura</w:t>
      </w:r>
      <w:r w:rsidR="00E56832" w:rsidRPr="009366A6">
        <w:rPr>
          <w:sz w:val="24"/>
          <w:szCs w:val="24"/>
        </w:rPr>
        <w:t xml:space="preserve"> </w:t>
      </w:r>
      <w:r w:rsidR="008E7F88">
        <w:rPr>
          <w:sz w:val="24"/>
          <w:szCs w:val="24"/>
        </w:rPr>
        <w:t xml:space="preserve">rodoviária tendem a </w:t>
      </w:r>
      <w:r w:rsidR="00E56832" w:rsidRPr="009366A6">
        <w:rPr>
          <w:sz w:val="24"/>
          <w:szCs w:val="24"/>
        </w:rPr>
        <w:t>influencia</w:t>
      </w:r>
      <w:r w:rsidR="008E7F88">
        <w:rPr>
          <w:sz w:val="24"/>
          <w:szCs w:val="24"/>
        </w:rPr>
        <w:t>r</w:t>
      </w:r>
      <w:r w:rsidR="00E56832" w:rsidRPr="009366A6">
        <w:rPr>
          <w:sz w:val="24"/>
          <w:szCs w:val="24"/>
        </w:rPr>
        <w:t xml:space="preserve"> positivamente o processo de produção, </w:t>
      </w:r>
      <w:r w:rsidR="00FC1F5A">
        <w:rPr>
          <w:sz w:val="24"/>
          <w:szCs w:val="24"/>
        </w:rPr>
        <w:t>contribuindo para a</w:t>
      </w:r>
      <w:r w:rsidR="00E56832" w:rsidRPr="009366A6">
        <w:rPr>
          <w:sz w:val="24"/>
          <w:szCs w:val="24"/>
        </w:rPr>
        <w:t xml:space="preserve"> </w:t>
      </w:r>
      <w:r w:rsidR="00FC1F5A">
        <w:rPr>
          <w:sz w:val="24"/>
          <w:szCs w:val="24"/>
        </w:rPr>
        <w:t xml:space="preserve">criação e absorção de </w:t>
      </w:r>
      <w:r w:rsidR="00E56832" w:rsidRPr="009366A6">
        <w:rPr>
          <w:sz w:val="24"/>
          <w:szCs w:val="24"/>
        </w:rPr>
        <w:t xml:space="preserve">novas tecnologias, </w:t>
      </w:r>
      <w:r w:rsidR="00FC1F5A">
        <w:rPr>
          <w:sz w:val="24"/>
          <w:szCs w:val="24"/>
        </w:rPr>
        <w:t xml:space="preserve">com consequente acréscimo da </w:t>
      </w:r>
      <w:r w:rsidR="00E56832">
        <w:rPr>
          <w:sz w:val="24"/>
          <w:szCs w:val="24"/>
        </w:rPr>
        <w:t xml:space="preserve">renda per capita </w:t>
      </w:r>
      <w:r w:rsidR="0096431D">
        <w:rPr>
          <w:sz w:val="24"/>
          <w:szCs w:val="24"/>
        </w:rPr>
        <w:t>estadual</w:t>
      </w:r>
      <w:r w:rsidR="00E56832">
        <w:rPr>
          <w:sz w:val="24"/>
          <w:szCs w:val="24"/>
        </w:rPr>
        <w:t>.</w:t>
      </w:r>
    </w:p>
    <w:p w:rsidR="00B77266" w:rsidRDefault="0001094B" w:rsidP="0096431D">
      <w:pPr>
        <w:ind w:firstLine="708"/>
        <w:jc w:val="both"/>
        <w:rPr>
          <w:sz w:val="24"/>
          <w:szCs w:val="24"/>
        </w:rPr>
      </w:pPr>
      <w:r>
        <w:rPr>
          <w:sz w:val="24"/>
          <w:szCs w:val="24"/>
        </w:rPr>
        <w:t xml:space="preserve">Por fim, na </w:t>
      </w:r>
      <w:r w:rsidR="00E56832" w:rsidRPr="009366A6">
        <w:rPr>
          <w:sz w:val="24"/>
          <w:szCs w:val="24"/>
        </w:rPr>
        <w:t xml:space="preserve">equação </w:t>
      </w:r>
      <w:proofErr w:type="gramStart"/>
      <w:r w:rsidR="008E7F88">
        <w:rPr>
          <w:sz w:val="24"/>
          <w:szCs w:val="24"/>
        </w:rPr>
        <w:t>7</w:t>
      </w:r>
      <w:proofErr w:type="gramEnd"/>
      <w:r w:rsidR="008E7F88">
        <w:rPr>
          <w:sz w:val="24"/>
          <w:szCs w:val="24"/>
        </w:rPr>
        <w:t>, a</w:t>
      </w:r>
      <w:r w:rsidR="00E56832" w:rsidRPr="009366A6">
        <w:rPr>
          <w:sz w:val="24"/>
          <w:szCs w:val="24"/>
        </w:rPr>
        <w:t xml:space="preserve"> variável dependente </w:t>
      </w:r>
      <w:r w:rsidR="00E56832" w:rsidRPr="009366A6">
        <w:rPr>
          <w:position w:val="-6"/>
          <w:sz w:val="24"/>
          <w:szCs w:val="24"/>
        </w:rPr>
        <w:object w:dxaOrig="480" w:dyaOrig="279">
          <v:shape id="_x0000_i1044" type="#_x0000_t75" style="width:23.1pt;height:14.25pt" o:ole="">
            <v:imagedata r:id="rId46" o:title=""/>
          </v:shape>
          <o:OLEObject Type="Embed" ProgID="Equation.3" ShapeID="_x0000_i1044" DrawAspect="Content" ObjectID="_1444458723" r:id="rId47"/>
        </w:object>
      </w:r>
      <w:r w:rsidR="00E56832" w:rsidRPr="009366A6">
        <w:rPr>
          <w:sz w:val="24"/>
          <w:szCs w:val="24"/>
        </w:rPr>
        <w:t xml:space="preserve"> representa o número de pobres </w:t>
      </w:r>
      <w:r w:rsidR="00E56832">
        <w:rPr>
          <w:sz w:val="24"/>
          <w:szCs w:val="24"/>
        </w:rPr>
        <w:t>nos estados</w:t>
      </w:r>
      <w:r w:rsidR="00E56832" w:rsidRPr="009366A6">
        <w:rPr>
          <w:sz w:val="24"/>
          <w:szCs w:val="24"/>
        </w:rPr>
        <w:t xml:space="preserve">. A inclusão da variável </w:t>
      </w:r>
      <w:r w:rsidR="00E56832" w:rsidRPr="009366A6">
        <w:rPr>
          <w:position w:val="-4"/>
          <w:sz w:val="24"/>
          <w:szCs w:val="24"/>
        </w:rPr>
        <w:object w:dxaOrig="499" w:dyaOrig="260">
          <v:shape id="_x0000_i1045" type="#_x0000_t75" style="width:24.45pt;height:12.9pt" o:ole="">
            <v:imagedata r:id="rId48" o:title=""/>
          </v:shape>
          <o:OLEObject Type="Embed" ProgID="Equation.3" ShapeID="_x0000_i1045" DrawAspect="Content" ObjectID="_1444458724" r:id="rId49"/>
        </w:object>
      </w:r>
      <w:r w:rsidR="00E56832">
        <w:rPr>
          <w:sz w:val="24"/>
          <w:szCs w:val="24"/>
        </w:rPr>
        <w:t xml:space="preserve">per capita </w:t>
      </w:r>
      <w:r w:rsidR="008E7F88">
        <w:rPr>
          <w:sz w:val="24"/>
          <w:szCs w:val="24"/>
        </w:rPr>
        <w:t xml:space="preserve">como </w:t>
      </w:r>
      <w:r w:rsidR="00FC1F5A">
        <w:rPr>
          <w:sz w:val="24"/>
          <w:szCs w:val="24"/>
        </w:rPr>
        <w:t>explicativa</w:t>
      </w:r>
      <w:r w:rsidR="008E7F88">
        <w:rPr>
          <w:sz w:val="24"/>
          <w:szCs w:val="24"/>
        </w:rPr>
        <w:t xml:space="preserve"> </w:t>
      </w:r>
      <w:r w:rsidR="00E56832" w:rsidRPr="009366A6">
        <w:rPr>
          <w:sz w:val="24"/>
          <w:szCs w:val="24"/>
        </w:rPr>
        <w:t xml:space="preserve">tem por objetivo verificar se, no período analisado, o crescimento econômico foi suficiente para reduzir a pobreza estadual, ou seja, se há evidência de crescimento pró-pobre </w:t>
      </w:r>
      <w:r w:rsidR="008E7F88">
        <w:rPr>
          <w:sz w:val="24"/>
          <w:szCs w:val="24"/>
        </w:rPr>
        <w:t>nas</w:t>
      </w:r>
      <w:r w:rsidR="00E56832">
        <w:rPr>
          <w:sz w:val="24"/>
          <w:szCs w:val="24"/>
        </w:rPr>
        <w:t xml:space="preserve"> federações</w:t>
      </w:r>
      <w:r w:rsidR="00E56832" w:rsidRPr="009366A6">
        <w:rPr>
          <w:sz w:val="24"/>
          <w:szCs w:val="24"/>
        </w:rPr>
        <w:t xml:space="preserve">. A equação inclui também a variável produtividade </w:t>
      </w:r>
      <w:r w:rsidR="0096431D">
        <w:rPr>
          <w:sz w:val="24"/>
          <w:szCs w:val="24"/>
        </w:rPr>
        <w:t>do trabalho</w:t>
      </w:r>
      <w:r w:rsidR="008E7F88">
        <w:rPr>
          <w:sz w:val="24"/>
          <w:szCs w:val="24"/>
        </w:rPr>
        <w:t xml:space="preserve">, </w:t>
      </w:r>
      <w:r w:rsidR="00E722A9" w:rsidRPr="0096431D">
        <w:rPr>
          <w:position w:val="-10"/>
          <w:sz w:val="24"/>
          <w:szCs w:val="24"/>
        </w:rPr>
        <w:object w:dxaOrig="580" w:dyaOrig="300">
          <v:shape id="_x0000_i1046" type="#_x0000_t75" style="width:29.2pt;height:14.95pt" o:ole="">
            <v:imagedata r:id="rId50" o:title=""/>
          </v:shape>
          <o:OLEObject Type="Embed" ProgID="Equation.3" ShapeID="_x0000_i1046" DrawAspect="Content" ObjectID="_1444458725" r:id="rId51"/>
        </w:object>
      </w:r>
      <w:r w:rsidR="00E56832" w:rsidRPr="009366A6">
        <w:rPr>
          <w:sz w:val="24"/>
          <w:szCs w:val="24"/>
        </w:rPr>
        <w:t>, cuja relação com a intensidade de pobreza espera-se que seja inversa</w:t>
      </w:r>
      <w:r w:rsidR="008E7F88">
        <w:rPr>
          <w:sz w:val="24"/>
          <w:szCs w:val="24"/>
        </w:rPr>
        <w:t>, por meio de sua atuação positiva no mercado de trabalho</w:t>
      </w:r>
      <w:r w:rsidR="00E56832" w:rsidRPr="009366A6">
        <w:rPr>
          <w:sz w:val="24"/>
          <w:szCs w:val="24"/>
        </w:rPr>
        <w:t xml:space="preserve">. </w:t>
      </w:r>
      <w:r w:rsidR="008E7F88">
        <w:rPr>
          <w:sz w:val="24"/>
          <w:szCs w:val="24"/>
        </w:rPr>
        <w:t xml:space="preserve">Já a </w:t>
      </w:r>
      <w:r w:rsidR="00E56832" w:rsidRPr="009366A6">
        <w:rPr>
          <w:sz w:val="24"/>
          <w:szCs w:val="24"/>
        </w:rPr>
        <w:t>variável concentração de renda (</w:t>
      </w:r>
      <w:r w:rsidR="00E56832" w:rsidRPr="009366A6">
        <w:rPr>
          <w:position w:val="-6"/>
          <w:sz w:val="24"/>
          <w:szCs w:val="24"/>
        </w:rPr>
        <w:object w:dxaOrig="520" w:dyaOrig="220">
          <v:shape id="_x0000_i1047" type="#_x0000_t75" style="width:26.5pt;height:11.55pt" o:ole="">
            <v:imagedata r:id="rId52" o:title=""/>
          </v:shape>
          <o:OLEObject Type="Embed" ProgID="Equation.3" ShapeID="_x0000_i1047" DrawAspect="Content" ObjectID="_1444458726" r:id="rId53"/>
        </w:object>
      </w:r>
      <w:r w:rsidR="008E7F88">
        <w:rPr>
          <w:sz w:val="24"/>
          <w:szCs w:val="24"/>
        </w:rPr>
        <w:t xml:space="preserve">) - índice </w:t>
      </w:r>
      <w:r>
        <w:rPr>
          <w:sz w:val="24"/>
          <w:szCs w:val="24"/>
        </w:rPr>
        <w:t xml:space="preserve">de </w:t>
      </w:r>
      <w:proofErr w:type="spellStart"/>
      <w:r w:rsidR="008E7F88">
        <w:rPr>
          <w:sz w:val="24"/>
          <w:szCs w:val="24"/>
        </w:rPr>
        <w:t>Gini</w:t>
      </w:r>
      <w:proofErr w:type="spellEnd"/>
      <w:r w:rsidR="00E56832" w:rsidRPr="009366A6">
        <w:rPr>
          <w:sz w:val="24"/>
          <w:szCs w:val="24"/>
        </w:rPr>
        <w:t xml:space="preserve"> – é incluída, </w:t>
      </w:r>
      <w:r w:rsidR="008E7F88">
        <w:rPr>
          <w:sz w:val="24"/>
          <w:szCs w:val="24"/>
        </w:rPr>
        <w:t xml:space="preserve">diante da suposição de </w:t>
      </w:r>
      <w:r w:rsidR="00E56832" w:rsidRPr="009366A6">
        <w:rPr>
          <w:sz w:val="24"/>
          <w:szCs w:val="24"/>
        </w:rPr>
        <w:t>que a desigualdade na distribuição de renda elev</w:t>
      </w:r>
      <w:r w:rsidR="00FC1F5A">
        <w:rPr>
          <w:sz w:val="24"/>
          <w:szCs w:val="24"/>
        </w:rPr>
        <w:t>e a</w:t>
      </w:r>
      <w:r w:rsidR="00E56832" w:rsidRPr="009366A6">
        <w:rPr>
          <w:sz w:val="24"/>
          <w:szCs w:val="24"/>
        </w:rPr>
        <w:t xml:space="preserve"> pobreza. </w:t>
      </w:r>
      <w:r>
        <w:rPr>
          <w:sz w:val="24"/>
          <w:szCs w:val="24"/>
        </w:rPr>
        <w:t>A</w:t>
      </w:r>
      <w:r w:rsidR="008E7F88">
        <w:rPr>
          <w:sz w:val="24"/>
          <w:szCs w:val="24"/>
        </w:rPr>
        <w:t>credita</w:t>
      </w:r>
      <w:r w:rsidR="00E56832" w:rsidRPr="009366A6">
        <w:rPr>
          <w:sz w:val="24"/>
          <w:szCs w:val="24"/>
        </w:rPr>
        <w:t>-se que o maior crescimento populacional (</w:t>
      </w:r>
      <w:r w:rsidR="00E56832" w:rsidRPr="009366A6">
        <w:rPr>
          <w:position w:val="-10"/>
          <w:sz w:val="24"/>
          <w:szCs w:val="24"/>
        </w:rPr>
        <w:object w:dxaOrig="440" w:dyaOrig="240">
          <v:shape id="_x0000_i1048" type="#_x0000_t75" style="width:21.75pt;height:12.25pt" o:ole="">
            <v:imagedata r:id="rId54" o:title=""/>
          </v:shape>
          <o:OLEObject Type="Embed" ProgID="Equation.3" ShapeID="_x0000_i1048" DrawAspect="Content" ObjectID="_1444458727" r:id="rId55"/>
        </w:object>
      </w:r>
      <w:r w:rsidR="00E56832" w:rsidRPr="009366A6">
        <w:rPr>
          <w:sz w:val="24"/>
          <w:szCs w:val="24"/>
        </w:rPr>
        <w:t>)</w:t>
      </w:r>
      <w:r w:rsidR="00E56832">
        <w:rPr>
          <w:sz w:val="24"/>
          <w:szCs w:val="24"/>
        </w:rPr>
        <w:t xml:space="preserve"> a</w:t>
      </w:r>
      <w:r w:rsidR="00E56832" w:rsidRPr="009366A6">
        <w:rPr>
          <w:sz w:val="24"/>
          <w:szCs w:val="24"/>
        </w:rPr>
        <w:t>grav</w:t>
      </w:r>
      <w:r w:rsidR="00E56832">
        <w:rPr>
          <w:sz w:val="24"/>
          <w:szCs w:val="24"/>
        </w:rPr>
        <w:t>e</w:t>
      </w:r>
      <w:r w:rsidR="00E56832" w:rsidRPr="009366A6">
        <w:rPr>
          <w:sz w:val="24"/>
          <w:szCs w:val="24"/>
        </w:rPr>
        <w:t xml:space="preserve"> as condições de vida da população, </w:t>
      </w:r>
      <w:r w:rsidR="00E56832">
        <w:rPr>
          <w:sz w:val="24"/>
          <w:szCs w:val="24"/>
        </w:rPr>
        <w:t>no</w:t>
      </w:r>
      <w:r w:rsidR="00E56832" w:rsidRPr="009366A6">
        <w:rPr>
          <w:sz w:val="24"/>
          <w:szCs w:val="24"/>
        </w:rPr>
        <w:t xml:space="preserve"> contexto de infraestrutura física e social insuficiente para atender ao excedente populacional, elevando, portanto, o total de p</w:t>
      </w:r>
      <w:r w:rsidR="00E56832">
        <w:rPr>
          <w:sz w:val="24"/>
          <w:szCs w:val="24"/>
        </w:rPr>
        <w:t>essoas pobres na sociedade.</w:t>
      </w:r>
    </w:p>
    <w:p w:rsidR="00C3783F" w:rsidRDefault="0001094B">
      <w:pPr>
        <w:ind w:firstLine="851"/>
        <w:jc w:val="both"/>
        <w:rPr>
          <w:sz w:val="24"/>
          <w:szCs w:val="24"/>
        </w:rPr>
      </w:pPr>
      <w:r>
        <w:rPr>
          <w:sz w:val="24"/>
          <w:szCs w:val="24"/>
        </w:rPr>
        <w:t>No que diz respeito ao instrumental analítico, p</w:t>
      </w:r>
      <w:r w:rsidR="00FC1F5A">
        <w:rPr>
          <w:sz w:val="24"/>
          <w:szCs w:val="24"/>
        </w:rPr>
        <w:t xml:space="preserve">ara estimar os efeitos públicos no </w:t>
      </w:r>
      <w:r w:rsidR="00E56832">
        <w:rPr>
          <w:sz w:val="24"/>
          <w:szCs w:val="24"/>
        </w:rPr>
        <w:t>univ</w:t>
      </w:r>
      <w:r w:rsidR="00E722A9">
        <w:rPr>
          <w:sz w:val="24"/>
          <w:szCs w:val="24"/>
        </w:rPr>
        <w:t>erso da estrutura socioeconômica</w:t>
      </w:r>
      <w:r w:rsidR="00E56832">
        <w:rPr>
          <w:sz w:val="24"/>
          <w:szCs w:val="24"/>
        </w:rPr>
        <w:t xml:space="preserve"> dos </w:t>
      </w:r>
      <w:r w:rsidR="00E722A9">
        <w:rPr>
          <w:sz w:val="24"/>
          <w:szCs w:val="24"/>
        </w:rPr>
        <w:t xml:space="preserve">27 </w:t>
      </w:r>
      <w:r w:rsidR="00E56832">
        <w:rPr>
          <w:sz w:val="24"/>
          <w:szCs w:val="24"/>
        </w:rPr>
        <w:t xml:space="preserve">estados brasileiros, usou-se da </w:t>
      </w:r>
      <w:r w:rsidR="00E56832" w:rsidRPr="009366A6">
        <w:rPr>
          <w:sz w:val="24"/>
          <w:szCs w:val="24"/>
        </w:rPr>
        <w:t xml:space="preserve">análise de </w:t>
      </w:r>
      <w:r w:rsidR="00E56832">
        <w:rPr>
          <w:sz w:val="24"/>
          <w:szCs w:val="24"/>
        </w:rPr>
        <w:t>dados em painel, no período 1995</w:t>
      </w:r>
      <w:r w:rsidR="00E56832" w:rsidRPr="009366A6">
        <w:rPr>
          <w:sz w:val="24"/>
          <w:szCs w:val="24"/>
        </w:rPr>
        <w:t>-2008</w:t>
      </w:r>
      <w:r w:rsidR="00E722A9">
        <w:rPr>
          <w:rStyle w:val="Refdenotaderodap"/>
          <w:sz w:val="24"/>
          <w:szCs w:val="24"/>
        </w:rPr>
        <w:footnoteReference w:id="5"/>
      </w:r>
      <w:r w:rsidR="00FD622B">
        <w:rPr>
          <w:sz w:val="24"/>
          <w:szCs w:val="24"/>
        </w:rPr>
        <w:t>.</w:t>
      </w:r>
      <w:r w:rsidR="00E56832">
        <w:rPr>
          <w:sz w:val="24"/>
          <w:szCs w:val="24"/>
        </w:rPr>
        <w:t xml:space="preserve"> </w:t>
      </w:r>
      <w:r w:rsidR="00FD622B">
        <w:rPr>
          <w:sz w:val="24"/>
          <w:szCs w:val="24"/>
        </w:rPr>
        <w:t xml:space="preserve">Trata-se de </w:t>
      </w:r>
      <w:r w:rsidR="00E56832">
        <w:rPr>
          <w:sz w:val="24"/>
          <w:szCs w:val="24"/>
        </w:rPr>
        <w:t>um painel equilibrado, uma vez que cada unidade de corte transversal (N) possui o mesmo número de séries temporais (T).</w:t>
      </w:r>
      <w:r>
        <w:rPr>
          <w:sz w:val="24"/>
          <w:szCs w:val="24"/>
        </w:rPr>
        <w:t xml:space="preserve"> Cabe dizer que, e</w:t>
      </w:r>
      <w:r w:rsidR="00FC1F5A">
        <w:rPr>
          <w:sz w:val="24"/>
          <w:szCs w:val="24"/>
        </w:rPr>
        <w:t xml:space="preserve">ntre </w:t>
      </w:r>
      <w:r w:rsidR="00E56832">
        <w:rPr>
          <w:sz w:val="24"/>
          <w:szCs w:val="24"/>
        </w:rPr>
        <w:t>as principais vantagens d</w:t>
      </w:r>
      <w:r w:rsidR="00FC1F5A">
        <w:rPr>
          <w:sz w:val="24"/>
          <w:szCs w:val="24"/>
        </w:rPr>
        <w:t>o u</w:t>
      </w:r>
      <w:r w:rsidR="00E56832">
        <w:rPr>
          <w:sz w:val="24"/>
          <w:szCs w:val="24"/>
        </w:rPr>
        <w:t xml:space="preserve">so de dados </w:t>
      </w:r>
      <w:r w:rsidR="00E56832">
        <w:rPr>
          <w:sz w:val="24"/>
          <w:szCs w:val="24"/>
        </w:rPr>
        <w:lastRenderedPageBreak/>
        <w:t>em painel,</w:t>
      </w:r>
      <w:r w:rsidR="002112A3">
        <w:rPr>
          <w:sz w:val="24"/>
          <w:szCs w:val="24"/>
        </w:rPr>
        <w:t xml:space="preserve"> </w:t>
      </w:r>
      <w:proofErr w:type="spellStart"/>
      <w:r w:rsidR="00E56832">
        <w:rPr>
          <w:sz w:val="24"/>
          <w:szCs w:val="24"/>
        </w:rPr>
        <w:t>Gujarati</w:t>
      </w:r>
      <w:proofErr w:type="spellEnd"/>
      <w:r w:rsidR="00E56832">
        <w:rPr>
          <w:sz w:val="24"/>
          <w:szCs w:val="24"/>
        </w:rPr>
        <w:t xml:space="preserve"> (2006)</w:t>
      </w:r>
      <w:r w:rsidR="00FC1F5A">
        <w:rPr>
          <w:sz w:val="24"/>
          <w:szCs w:val="24"/>
        </w:rPr>
        <w:t xml:space="preserve"> </w:t>
      </w:r>
      <w:r>
        <w:rPr>
          <w:sz w:val="24"/>
          <w:szCs w:val="24"/>
        </w:rPr>
        <w:t xml:space="preserve">enumera que o método </w:t>
      </w:r>
      <w:r w:rsidR="00E56832">
        <w:rPr>
          <w:sz w:val="24"/>
          <w:szCs w:val="24"/>
        </w:rPr>
        <w:t xml:space="preserve">considera explicitamente a </w:t>
      </w:r>
      <w:r w:rsidR="00E56832" w:rsidRPr="00F67CB5">
        <w:rPr>
          <w:sz w:val="24"/>
          <w:szCs w:val="24"/>
        </w:rPr>
        <w:t xml:space="preserve">heterogeneidade entre as unidades estudadas; proporciona dados mais informativos, com mais graus de liberdade e maior eficiência; </w:t>
      </w:r>
      <w:r>
        <w:rPr>
          <w:sz w:val="24"/>
          <w:szCs w:val="24"/>
        </w:rPr>
        <w:t>e</w:t>
      </w:r>
      <w:r w:rsidR="00E56832" w:rsidRPr="00F67CB5">
        <w:rPr>
          <w:sz w:val="24"/>
          <w:szCs w:val="24"/>
        </w:rPr>
        <w:t xml:space="preserve"> minimiza o viés decorrente da agregação de unidades em grandes </w:t>
      </w:r>
      <w:proofErr w:type="gramStart"/>
      <w:r w:rsidR="00E56832" w:rsidRPr="00F67CB5">
        <w:rPr>
          <w:sz w:val="24"/>
          <w:szCs w:val="24"/>
        </w:rPr>
        <w:t>conjuntos</w:t>
      </w:r>
      <w:proofErr w:type="gramEnd"/>
      <w:r w:rsidR="00E56832" w:rsidRPr="009366A6">
        <w:rPr>
          <w:sz w:val="24"/>
          <w:szCs w:val="24"/>
        </w:rPr>
        <w:t xml:space="preserve"> </w:t>
      </w:r>
    </w:p>
    <w:p w:rsidR="00B77266" w:rsidRDefault="00FC1F5A" w:rsidP="00726852">
      <w:pPr>
        <w:ind w:firstLine="708"/>
        <w:jc w:val="both"/>
        <w:rPr>
          <w:sz w:val="24"/>
          <w:szCs w:val="24"/>
        </w:rPr>
      </w:pPr>
      <w:r>
        <w:rPr>
          <w:sz w:val="24"/>
          <w:szCs w:val="24"/>
        </w:rPr>
        <w:t xml:space="preserve">Dito isso, </w:t>
      </w:r>
      <w:r w:rsidR="00E56832" w:rsidRPr="009366A6">
        <w:rPr>
          <w:sz w:val="24"/>
          <w:szCs w:val="24"/>
        </w:rPr>
        <w:t xml:space="preserve">duas abordagens </w:t>
      </w:r>
      <w:r w:rsidR="00E56832">
        <w:rPr>
          <w:sz w:val="24"/>
          <w:szCs w:val="24"/>
        </w:rPr>
        <w:t>foram testadas</w:t>
      </w:r>
      <w:r w:rsidR="00E56832" w:rsidRPr="009366A6">
        <w:rPr>
          <w:sz w:val="24"/>
          <w:szCs w:val="24"/>
        </w:rPr>
        <w:t xml:space="preserve">: </w:t>
      </w:r>
      <w:r w:rsidR="00E56832">
        <w:rPr>
          <w:sz w:val="24"/>
          <w:szCs w:val="24"/>
        </w:rPr>
        <w:t xml:space="preserve">o modelo </w:t>
      </w:r>
      <w:r w:rsidR="00E56832" w:rsidRPr="009366A6">
        <w:rPr>
          <w:sz w:val="24"/>
          <w:szCs w:val="24"/>
        </w:rPr>
        <w:t xml:space="preserve">efeito fixo e </w:t>
      </w:r>
      <w:r w:rsidR="00E56832">
        <w:rPr>
          <w:sz w:val="24"/>
          <w:szCs w:val="24"/>
        </w:rPr>
        <w:t xml:space="preserve">o modelo de </w:t>
      </w:r>
      <w:r w:rsidR="00E56832" w:rsidRPr="009366A6">
        <w:rPr>
          <w:sz w:val="24"/>
          <w:szCs w:val="24"/>
        </w:rPr>
        <w:t xml:space="preserve">efeito aleatório. </w:t>
      </w:r>
      <w:r>
        <w:rPr>
          <w:sz w:val="24"/>
          <w:szCs w:val="24"/>
        </w:rPr>
        <w:t xml:space="preserve">A proposta é </w:t>
      </w:r>
      <w:r w:rsidR="00E56832" w:rsidRPr="009366A6">
        <w:rPr>
          <w:sz w:val="24"/>
          <w:szCs w:val="24"/>
        </w:rPr>
        <w:t xml:space="preserve">separar os fatores não observados que afetam a variável dependente em dois tipos: os que são constantes (efeito fixo) e os que variam ao longo do tempo (efeito aleatório). O primeiro caso leva em consideração os efeitos específicos atrelados às unidades individuais, no caso os estados, principalmente, quando existe grande heterogeneidade na amostra. </w:t>
      </w:r>
      <w:r w:rsidR="00E56832">
        <w:rPr>
          <w:sz w:val="24"/>
          <w:szCs w:val="24"/>
        </w:rPr>
        <w:t>Nesse sentido, o</w:t>
      </w:r>
      <w:r w:rsidR="00E56832" w:rsidRPr="009366A6">
        <w:rPr>
          <w:sz w:val="24"/>
          <w:szCs w:val="24"/>
        </w:rPr>
        <w:t xml:space="preserve"> model</w:t>
      </w:r>
      <w:r w:rsidR="00E56832">
        <w:rPr>
          <w:sz w:val="24"/>
          <w:szCs w:val="24"/>
        </w:rPr>
        <w:t xml:space="preserve">o geral da regressão a estimar segue a </w:t>
      </w:r>
      <w:r w:rsidR="00E56832" w:rsidRPr="009366A6">
        <w:rPr>
          <w:sz w:val="24"/>
          <w:szCs w:val="24"/>
        </w:rPr>
        <w:t>seguinte expressão:</w:t>
      </w:r>
    </w:p>
    <w:p w:rsidR="00B77266" w:rsidRDefault="00E56832" w:rsidP="00726852">
      <w:pPr>
        <w:autoSpaceDE w:val="0"/>
        <w:autoSpaceDN w:val="0"/>
        <w:adjustRightInd w:val="0"/>
        <w:jc w:val="both"/>
        <w:rPr>
          <w:sz w:val="24"/>
          <w:szCs w:val="24"/>
        </w:rPr>
      </w:pPr>
      <w:r w:rsidRPr="009366A6">
        <w:rPr>
          <w:sz w:val="24"/>
          <w:szCs w:val="24"/>
          <w:lang w:val="fr-FR"/>
        </w:rPr>
        <w:tab/>
      </w:r>
      <w:r w:rsidRPr="009366A6">
        <w:rPr>
          <w:position w:val="-12"/>
          <w:sz w:val="24"/>
          <w:szCs w:val="24"/>
          <w:lang w:val="fr-FR"/>
        </w:rPr>
        <w:object w:dxaOrig="1440" w:dyaOrig="360">
          <v:shape id="_x0000_i1049" type="#_x0000_t75" style="width:1in;height:18.35pt" o:ole="">
            <v:imagedata r:id="rId56" o:title=""/>
          </v:shape>
          <o:OLEObject Type="Embed" ProgID="Equation.3" ShapeID="_x0000_i1049" DrawAspect="Content" ObjectID="_1444458728" r:id="rId57"/>
        </w:object>
      </w:r>
      <w:r w:rsidRPr="009366A6">
        <w:rPr>
          <w:sz w:val="24"/>
          <w:szCs w:val="24"/>
        </w:rPr>
        <w:t xml:space="preserve">                                                                                                           </w:t>
      </w:r>
      <w:r>
        <w:rPr>
          <w:sz w:val="24"/>
          <w:szCs w:val="24"/>
        </w:rPr>
        <w:t xml:space="preserve">   </w:t>
      </w:r>
      <w:r w:rsidR="00FD622B">
        <w:rPr>
          <w:sz w:val="24"/>
          <w:szCs w:val="24"/>
        </w:rPr>
        <w:t xml:space="preserve">                   (8</w:t>
      </w:r>
      <w:r w:rsidRPr="009366A6">
        <w:rPr>
          <w:sz w:val="24"/>
          <w:szCs w:val="24"/>
        </w:rPr>
        <w:t>)</w:t>
      </w:r>
    </w:p>
    <w:p w:rsidR="00B77266" w:rsidRDefault="00E56832" w:rsidP="00726852">
      <w:pPr>
        <w:autoSpaceDE w:val="0"/>
        <w:autoSpaceDN w:val="0"/>
        <w:adjustRightInd w:val="0"/>
        <w:jc w:val="both"/>
        <w:rPr>
          <w:iCs/>
          <w:sz w:val="24"/>
          <w:szCs w:val="24"/>
        </w:rPr>
      </w:pPr>
      <w:proofErr w:type="gramStart"/>
      <w:r w:rsidRPr="009366A6">
        <w:rPr>
          <w:sz w:val="24"/>
          <w:szCs w:val="24"/>
        </w:rPr>
        <w:t>com</w:t>
      </w:r>
      <w:proofErr w:type="gramEnd"/>
      <w:r w:rsidRPr="009366A6">
        <w:rPr>
          <w:sz w:val="24"/>
          <w:szCs w:val="24"/>
        </w:rPr>
        <w:t xml:space="preserve"> </w:t>
      </w:r>
      <w:r w:rsidRPr="009366A6">
        <w:rPr>
          <w:position w:val="-12"/>
          <w:sz w:val="24"/>
          <w:szCs w:val="24"/>
          <w:lang w:val="fr-FR"/>
        </w:rPr>
        <w:object w:dxaOrig="1240" w:dyaOrig="360">
          <v:shape id="_x0000_i1050" type="#_x0000_t75" style="width:63.15pt;height:18.35pt" o:ole="">
            <v:imagedata r:id="rId58" o:title=""/>
          </v:shape>
          <o:OLEObject Type="Embed" ProgID="Equation.3" ShapeID="_x0000_i1050" DrawAspect="Content" ObjectID="_1444458729" r:id="rId59"/>
        </w:object>
      </w:r>
      <w:r>
        <w:rPr>
          <w:sz w:val="24"/>
          <w:szCs w:val="24"/>
        </w:rPr>
        <w:t xml:space="preserve">e com i = 1,…, N e t = 1,…,T, </w:t>
      </w:r>
      <w:r w:rsidRPr="009366A6">
        <w:rPr>
          <w:sz w:val="24"/>
          <w:szCs w:val="24"/>
        </w:rPr>
        <w:t xml:space="preserve">em que </w:t>
      </w:r>
      <w:r w:rsidRPr="009366A6">
        <w:rPr>
          <w:position w:val="-12"/>
          <w:sz w:val="24"/>
          <w:szCs w:val="24"/>
          <w:lang w:val="fr-FR"/>
        </w:rPr>
        <w:object w:dxaOrig="279" w:dyaOrig="360">
          <v:shape id="_x0000_i1051" type="#_x0000_t75" style="width:14.25pt;height:18.35pt" o:ole="">
            <v:imagedata r:id="rId60" o:title=""/>
          </v:shape>
          <o:OLEObject Type="Embed" ProgID="Equation.3" ShapeID="_x0000_i1051" DrawAspect="Content" ObjectID="_1444458730" r:id="rId61"/>
        </w:object>
      </w:r>
      <w:r w:rsidRPr="009366A6">
        <w:rPr>
          <w:sz w:val="24"/>
          <w:szCs w:val="24"/>
        </w:rPr>
        <w:t xml:space="preserve">representa a variável dependente do estado i no ano t; </w:t>
      </w:r>
      <w:r w:rsidRPr="009366A6">
        <w:rPr>
          <w:position w:val="-12"/>
          <w:sz w:val="24"/>
          <w:szCs w:val="24"/>
          <w:lang w:val="fr-FR"/>
        </w:rPr>
        <w:object w:dxaOrig="360" w:dyaOrig="360">
          <v:shape id="_x0000_i1052" type="#_x0000_t75" style="width:18.35pt;height:18.35pt" o:ole="">
            <v:imagedata r:id="rId62" o:title=""/>
          </v:shape>
          <o:OLEObject Type="Embed" ProgID="Equation.3" ShapeID="_x0000_i1052" DrawAspect="Content" ObjectID="_1444458731" r:id="rId63"/>
        </w:object>
      </w:r>
      <w:r w:rsidRPr="009366A6">
        <w:rPr>
          <w:sz w:val="24"/>
          <w:szCs w:val="24"/>
        </w:rPr>
        <w:t xml:space="preserve"> representa as variáveis explicativas de Y do estado i no ano t; </w:t>
      </w:r>
      <w:r w:rsidRPr="009366A6">
        <w:rPr>
          <w:position w:val="-10"/>
          <w:sz w:val="24"/>
          <w:szCs w:val="24"/>
          <w:lang w:val="fr-FR"/>
        </w:rPr>
        <w:object w:dxaOrig="240" w:dyaOrig="320">
          <v:shape id="_x0000_i1053" type="#_x0000_t75" style="width:12.25pt;height:15.6pt" o:ole="">
            <v:imagedata r:id="rId64" o:title=""/>
          </v:shape>
          <o:OLEObject Type="Embed" ProgID="Equation.3" ShapeID="_x0000_i1053" DrawAspect="Content" ObjectID="_1444458732" r:id="rId65"/>
        </w:object>
      </w:r>
      <w:r w:rsidRPr="009366A6">
        <w:rPr>
          <w:sz w:val="24"/>
          <w:szCs w:val="24"/>
        </w:rPr>
        <w:t xml:space="preserve"> corresponde aos parâmetros da regressão a estimar; </w:t>
      </w:r>
      <w:r w:rsidRPr="009366A6">
        <w:rPr>
          <w:position w:val="-12"/>
          <w:sz w:val="24"/>
          <w:szCs w:val="24"/>
        </w:rPr>
        <w:object w:dxaOrig="279" w:dyaOrig="360">
          <v:shape id="_x0000_i1054" type="#_x0000_t75" style="width:14.25pt;height:18.35pt" o:ole="">
            <v:imagedata r:id="rId66" o:title=""/>
          </v:shape>
          <o:OLEObject Type="Embed" ProgID="Equation.3" ShapeID="_x0000_i1054" DrawAspect="Content" ObjectID="_1444458733" r:id="rId67"/>
        </w:object>
      </w:r>
      <w:r w:rsidRPr="009366A6">
        <w:rPr>
          <w:sz w:val="24"/>
          <w:szCs w:val="24"/>
        </w:rPr>
        <w:t xml:space="preserve"> corresponde aos fatores específicos dos estados, de forma que</w:t>
      </w:r>
      <w:r w:rsidRPr="009366A6">
        <w:rPr>
          <w:position w:val="-12"/>
          <w:sz w:val="24"/>
          <w:szCs w:val="24"/>
        </w:rPr>
        <w:object w:dxaOrig="1219" w:dyaOrig="380">
          <v:shape id="_x0000_i1055" type="#_x0000_t75" style="width:60.45pt;height:19pt" o:ole="">
            <v:imagedata r:id="rId68" o:title=""/>
          </v:shape>
          <o:OLEObject Type="Embed" ProgID="Equation.3" ShapeID="_x0000_i1055" DrawAspect="Content" ObjectID="_1444458734" r:id="rId69"/>
        </w:object>
      </w:r>
      <w:r w:rsidRPr="009366A6">
        <w:rPr>
          <w:sz w:val="24"/>
          <w:szCs w:val="24"/>
        </w:rPr>
        <w:t xml:space="preserve">, que não são diretamente observáveis pelos determinantes de Y e </w:t>
      </w:r>
      <w:r w:rsidRPr="009366A6">
        <w:rPr>
          <w:position w:val="-12"/>
          <w:sz w:val="24"/>
          <w:szCs w:val="24"/>
        </w:rPr>
        <w:object w:dxaOrig="279" w:dyaOrig="360">
          <v:shape id="_x0000_i1056" type="#_x0000_t75" style="width:14.25pt;height:18.35pt" o:ole="">
            <v:imagedata r:id="rId70" o:title=""/>
          </v:shape>
          <o:OLEObject Type="Embed" ProgID="Equation.3" ShapeID="_x0000_i1056" DrawAspect="Content" ObjectID="_1444458735" r:id="rId71"/>
        </w:object>
      </w:r>
      <w:r w:rsidRPr="009366A6">
        <w:rPr>
          <w:sz w:val="24"/>
          <w:szCs w:val="24"/>
          <w:vertAlign w:val="subscript"/>
        </w:rPr>
        <w:t xml:space="preserve"> </w:t>
      </w:r>
      <w:r w:rsidRPr="009366A6">
        <w:rPr>
          <w:sz w:val="24"/>
          <w:szCs w:val="24"/>
        </w:rPr>
        <w:t xml:space="preserve">é o termo da perturbação aleatória do estado </w:t>
      </w:r>
      <w:r w:rsidRPr="009366A6">
        <w:rPr>
          <w:i/>
          <w:iCs/>
          <w:sz w:val="24"/>
          <w:szCs w:val="24"/>
        </w:rPr>
        <w:t xml:space="preserve">i </w:t>
      </w:r>
      <w:r w:rsidRPr="009366A6">
        <w:rPr>
          <w:sz w:val="24"/>
          <w:szCs w:val="24"/>
        </w:rPr>
        <w:t>no ano t</w:t>
      </w:r>
      <w:r w:rsidRPr="009366A6">
        <w:rPr>
          <w:i/>
          <w:iCs/>
          <w:sz w:val="24"/>
          <w:szCs w:val="24"/>
        </w:rPr>
        <w:t xml:space="preserve"> </w:t>
      </w:r>
      <w:r w:rsidRPr="009366A6">
        <w:rPr>
          <w:iCs/>
          <w:sz w:val="24"/>
          <w:szCs w:val="24"/>
        </w:rPr>
        <w:t xml:space="preserve">tal que </w:t>
      </w:r>
      <w:r w:rsidRPr="009366A6">
        <w:rPr>
          <w:iCs/>
          <w:position w:val="-12"/>
          <w:sz w:val="24"/>
          <w:szCs w:val="24"/>
        </w:rPr>
        <w:object w:dxaOrig="1219" w:dyaOrig="380">
          <v:shape id="_x0000_i1057" type="#_x0000_t75" style="width:60.45pt;height:19pt" o:ole="">
            <v:imagedata r:id="rId72" o:title=""/>
          </v:shape>
          <o:OLEObject Type="Embed" ProgID="Equation.3" ShapeID="_x0000_i1057" DrawAspect="Content" ObjectID="_1444458736" r:id="rId73"/>
        </w:object>
      </w:r>
      <w:r w:rsidRPr="009366A6">
        <w:rPr>
          <w:sz w:val="24"/>
          <w:szCs w:val="24"/>
        </w:rPr>
        <w:t>. Temos ainda que</w:t>
      </w:r>
      <w:r w:rsidRPr="009366A6">
        <w:rPr>
          <w:position w:val="-12"/>
          <w:sz w:val="24"/>
          <w:szCs w:val="24"/>
        </w:rPr>
        <w:object w:dxaOrig="1280" w:dyaOrig="360">
          <v:shape id="_x0000_i1058" type="#_x0000_t75" style="width:63.85pt;height:18.35pt" o:ole="">
            <v:imagedata r:id="rId74" o:title=""/>
          </v:shape>
          <o:OLEObject Type="Embed" ProgID="Equation.3" ShapeID="_x0000_i1058" DrawAspect="Content" ObjectID="_1444458737" r:id="rId75"/>
        </w:object>
      </w:r>
      <w:r w:rsidRPr="009366A6">
        <w:rPr>
          <w:sz w:val="24"/>
          <w:szCs w:val="24"/>
        </w:rPr>
        <w:t xml:space="preserve"> e </w:t>
      </w:r>
      <w:r w:rsidRPr="004F6A1D">
        <w:rPr>
          <w:position w:val="-10"/>
          <w:sz w:val="24"/>
          <w:szCs w:val="24"/>
        </w:rPr>
        <w:object w:dxaOrig="1219" w:dyaOrig="320">
          <v:shape id="_x0000_i1059" type="#_x0000_t75" style="width:60.45pt;height:15.6pt" o:ole="">
            <v:imagedata r:id="rId76" o:title=""/>
          </v:shape>
          <o:OLEObject Type="Embed" ProgID="Equation.3" ShapeID="_x0000_i1059" DrawAspect="Content" ObjectID="_1444458738" r:id="rId77"/>
        </w:object>
      </w:r>
      <w:r w:rsidRPr="009366A6">
        <w:rPr>
          <w:sz w:val="24"/>
          <w:szCs w:val="24"/>
        </w:rPr>
        <w:t xml:space="preserve">. </w:t>
      </w:r>
    </w:p>
    <w:p w:rsidR="00B77266" w:rsidRDefault="00E56832" w:rsidP="00726852">
      <w:pPr>
        <w:autoSpaceDE w:val="0"/>
        <w:autoSpaceDN w:val="0"/>
        <w:adjustRightInd w:val="0"/>
        <w:ind w:firstLine="708"/>
        <w:jc w:val="both"/>
        <w:rPr>
          <w:sz w:val="24"/>
          <w:szCs w:val="24"/>
        </w:rPr>
      </w:pPr>
      <w:r w:rsidRPr="009366A6">
        <w:rPr>
          <w:sz w:val="24"/>
          <w:szCs w:val="24"/>
        </w:rPr>
        <w:t xml:space="preserve">Se </w:t>
      </w:r>
      <w:r w:rsidRPr="009366A6">
        <w:rPr>
          <w:position w:val="-12"/>
          <w:sz w:val="24"/>
          <w:szCs w:val="24"/>
        </w:rPr>
        <w:object w:dxaOrig="279" w:dyaOrig="360">
          <v:shape id="_x0000_i1060" type="#_x0000_t75" style="width:14.25pt;height:18.35pt" o:ole="">
            <v:imagedata r:id="rId66" o:title=""/>
          </v:shape>
          <o:OLEObject Type="Embed" ProgID="Equation.3" ShapeID="_x0000_i1060" DrawAspect="Content" ObjectID="_1444458739" r:id="rId78"/>
        </w:object>
      </w:r>
      <w:r w:rsidRPr="009366A6">
        <w:rPr>
          <w:sz w:val="24"/>
          <w:szCs w:val="24"/>
        </w:rPr>
        <w:t xml:space="preserve">for constante, obtém-se o modelo com efeito fixo. A variável </w:t>
      </w:r>
      <w:r w:rsidRPr="009366A6">
        <w:rPr>
          <w:position w:val="-12"/>
          <w:sz w:val="24"/>
          <w:szCs w:val="24"/>
        </w:rPr>
        <w:object w:dxaOrig="279" w:dyaOrig="360">
          <v:shape id="_x0000_i1061" type="#_x0000_t75" style="width:14.25pt;height:18.35pt" o:ole="">
            <v:imagedata r:id="rId66" o:title=""/>
          </v:shape>
          <o:OLEObject Type="Embed" ProgID="Equation.3" ShapeID="_x0000_i1061" DrawAspect="Content" ObjectID="_1444458740" r:id="rId79"/>
        </w:object>
      </w:r>
      <w:r w:rsidRPr="009366A6">
        <w:rPr>
          <w:sz w:val="24"/>
          <w:szCs w:val="24"/>
        </w:rPr>
        <w:t>capta todos os fatores não observados constantes no tempo e que afetam Y. Por outro lado, se</w:t>
      </w:r>
      <w:r w:rsidRPr="009366A6">
        <w:rPr>
          <w:position w:val="-12"/>
          <w:sz w:val="24"/>
          <w:szCs w:val="24"/>
        </w:rPr>
        <w:object w:dxaOrig="279" w:dyaOrig="360">
          <v:shape id="_x0000_i1062" type="#_x0000_t75" style="width:14.25pt;height:18.35pt" o:ole="">
            <v:imagedata r:id="rId66" o:title=""/>
          </v:shape>
          <o:OLEObject Type="Embed" ProgID="Equation.3" ShapeID="_x0000_i1062" DrawAspect="Content" ObjectID="_1444458741" r:id="rId80"/>
        </w:object>
      </w:r>
      <w:r w:rsidRPr="009366A6">
        <w:rPr>
          <w:sz w:val="24"/>
          <w:szCs w:val="24"/>
        </w:rPr>
        <w:t xml:space="preserve">for variável, obtém-se o modelo com efeito aleatório. </w:t>
      </w:r>
      <w:r w:rsidR="0001094B">
        <w:rPr>
          <w:sz w:val="24"/>
          <w:szCs w:val="24"/>
        </w:rPr>
        <w:t xml:space="preserve">Essencialmente, </w:t>
      </w:r>
      <w:r w:rsidRPr="009366A6">
        <w:rPr>
          <w:sz w:val="24"/>
          <w:szCs w:val="24"/>
        </w:rPr>
        <w:t xml:space="preserve">o que diferencia o modelo de efeitos aleatórios do de efeitos fixos seria, </w:t>
      </w:r>
      <w:r>
        <w:rPr>
          <w:sz w:val="24"/>
          <w:szCs w:val="24"/>
        </w:rPr>
        <w:t>essencialmente</w:t>
      </w:r>
      <w:r w:rsidRPr="009366A6">
        <w:rPr>
          <w:sz w:val="24"/>
          <w:szCs w:val="24"/>
        </w:rPr>
        <w:t xml:space="preserve">, a hipótese de não correlação entre o efeito não observado </w:t>
      </w:r>
      <w:r w:rsidRPr="009366A6">
        <w:rPr>
          <w:position w:val="-12"/>
          <w:sz w:val="24"/>
          <w:szCs w:val="24"/>
        </w:rPr>
        <w:object w:dxaOrig="279" w:dyaOrig="360">
          <v:shape id="_x0000_i1063" type="#_x0000_t75" style="width:14.25pt;height:18.35pt" o:ole="">
            <v:imagedata r:id="rId66" o:title=""/>
          </v:shape>
          <o:OLEObject Type="Embed" ProgID="Equation.3" ShapeID="_x0000_i1063" DrawAspect="Content" ObjectID="_1444458742" r:id="rId81"/>
        </w:object>
      </w:r>
      <w:r w:rsidRPr="009366A6">
        <w:rPr>
          <w:sz w:val="24"/>
          <w:szCs w:val="24"/>
        </w:rPr>
        <w:t>e as variáveis explicativas</w:t>
      </w:r>
      <w:r w:rsidR="0067497B">
        <w:rPr>
          <w:sz w:val="24"/>
          <w:szCs w:val="24"/>
        </w:rPr>
        <w:t xml:space="preserve">. </w:t>
      </w:r>
      <w:r w:rsidRPr="009366A6">
        <w:rPr>
          <w:sz w:val="24"/>
          <w:szCs w:val="24"/>
        </w:rPr>
        <w:t xml:space="preserve">A existência de correlação entre o efeito individual e os </w:t>
      </w:r>
      <w:proofErr w:type="spellStart"/>
      <w:r w:rsidRPr="009366A6">
        <w:rPr>
          <w:sz w:val="24"/>
          <w:szCs w:val="24"/>
        </w:rPr>
        <w:t>regressores</w:t>
      </w:r>
      <w:proofErr w:type="spellEnd"/>
      <w:r w:rsidRPr="009366A6">
        <w:rPr>
          <w:sz w:val="24"/>
          <w:szCs w:val="24"/>
        </w:rPr>
        <w:t xml:space="preserve"> pode ser det</w:t>
      </w:r>
      <w:r w:rsidR="00FD622B">
        <w:rPr>
          <w:sz w:val="24"/>
          <w:szCs w:val="24"/>
        </w:rPr>
        <w:t>ectada por meio da aplicação do</w:t>
      </w:r>
      <w:r w:rsidRPr="009366A6">
        <w:rPr>
          <w:sz w:val="24"/>
          <w:szCs w:val="24"/>
        </w:rPr>
        <w:t xml:space="preserve"> teste de </w:t>
      </w:r>
      <w:proofErr w:type="spellStart"/>
      <w:r w:rsidRPr="009366A6">
        <w:rPr>
          <w:sz w:val="24"/>
          <w:szCs w:val="24"/>
        </w:rPr>
        <w:t>Breusch-Pagan</w:t>
      </w:r>
      <w:proofErr w:type="spellEnd"/>
      <w:r w:rsidRPr="009366A6">
        <w:rPr>
          <w:sz w:val="24"/>
          <w:szCs w:val="24"/>
        </w:rPr>
        <w:t xml:space="preserve"> (GREENE, 2002)</w:t>
      </w:r>
      <w:r w:rsidR="00FD622B">
        <w:rPr>
          <w:sz w:val="24"/>
          <w:szCs w:val="24"/>
        </w:rPr>
        <w:t xml:space="preserve">, que </w:t>
      </w:r>
      <w:r>
        <w:rPr>
          <w:sz w:val="24"/>
          <w:szCs w:val="24"/>
        </w:rPr>
        <w:t xml:space="preserve">identifica se o modelo de efeito aleatório é melhor que o modelo </w:t>
      </w:r>
      <w:proofErr w:type="spellStart"/>
      <w:r w:rsidR="0067497B">
        <w:rPr>
          <w:sz w:val="24"/>
          <w:szCs w:val="24"/>
        </w:rPr>
        <w:t>p</w:t>
      </w:r>
      <w:r>
        <w:rPr>
          <w:sz w:val="24"/>
          <w:szCs w:val="24"/>
        </w:rPr>
        <w:t>ooling</w:t>
      </w:r>
      <w:proofErr w:type="spellEnd"/>
      <w:r>
        <w:rPr>
          <w:sz w:val="24"/>
          <w:szCs w:val="24"/>
        </w:rPr>
        <w:t xml:space="preserve">. Já o teste de especificação de </w:t>
      </w:r>
      <w:proofErr w:type="spellStart"/>
      <w:r w:rsidRPr="009366A6">
        <w:rPr>
          <w:sz w:val="24"/>
          <w:szCs w:val="24"/>
        </w:rPr>
        <w:t>Hausman</w:t>
      </w:r>
      <w:proofErr w:type="spellEnd"/>
      <w:r w:rsidRPr="009366A6">
        <w:rPr>
          <w:sz w:val="24"/>
          <w:szCs w:val="24"/>
        </w:rPr>
        <w:t xml:space="preserve"> (1978)</w:t>
      </w:r>
      <w:r w:rsidR="0067497B">
        <w:rPr>
          <w:sz w:val="24"/>
          <w:szCs w:val="24"/>
        </w:rPr>
        <w:t xml:space="preserve"> </w:t>
      </w:r>
      <w:r w:rsidR="00FD622B">
        <w:rPr>
          <w:sz w:val="24"/>
          <w:szCs w:val="24"/>
        </w:rPr>
        <w:t xml:space="preserve">segue a </w:t>
      </w:r>
      <w:r w:rsidRPr="009366A6">
        <w:rPr>
          <w:sz w:val="24"/>
          <w:szCs w:val="24"/>
        </w:rPr>
        <w:t xml:space="preserve">hipótese nula de que não há correlação entre </w:t>
      </w:r>
      <w:r w:rsidRPr="009366A6">
        <w:rPr>
          <w:position w:val="-12"/>
          <w:sz w:val="24"/>
          <w:szCs w:val="24"/>
        </w:rPr>
        <w:object w:dxaOrig="279" w:dyaOrig="360">
          <v:shape id="_x0000_i1064" type="#_x0000_t75" style="width:14.25pt;height:18.35pt" o:ole="">
            <v:imagedata r:id="rId66" o:title=""/>
          </v:shape>
          <o:OLEObject Type="Embed" ProgID="Equation.3" ShapeID="_x0000_i1064" DrawAspect="Content" ObjectID="_1444458743" r:id="rId82"/>
        </w:object>
      </w:r>
      <w:r w:rsidRPr="009366A6">
        <w:rPr>
          <w:sz w:val="24"/>
          <w:szCs w:val="24"/>
        </w:rPr>
        <w:t xml:space="preserve">e </w:t>
      </w:r>
      <w:r w:rsidRPr="009366A6">
        <w:rPr>
          <w:position w:val="-12"/>
          <w:sz w:val="24"/>
          <w:szCs w:val="24"/>
          <w:lang w:val="fr-FR"/>
        </w:rPr>
        <w:object w:dxaOrig="360" w:dyaOrig="360">
          <v:shape id="_x0000_i1065" type="#_x0000_t75" style="width:18.35pt;height:18.35pt" o:ole="">
            <v:imagedata r:id="rId62" o:title=""/>
          </v:shape>
          <o:OLEObject Type="Embed" ProgID="Equation.3" ShapeID="_x0000_i1065" DrawAspect="Content" ObjectID="_1444458744" r:id="rId83"/>
        </w:object>
      </w:r>
      <w:r>
        <w:rPr>
          <w:sz w:val="24"/>
          <w:szCs w:val="24"/>
        </w:rPr>
        <w:t xml:space="preserve">, seguindo </w:t>
      </w:r>
      <w:r w:rsidR="00FD622B">
        <w:rPr>
          <w:sz w:val="24"/>
          <w:szCs w:val="24"/>
        </w:rPr>
        <w:t>a</w:t>
      </w:r>
      <w:r>
        <w:rPr>
          <w:sz w:val="24"/>
          <w:szCs w:val="24"/>
        </w:rPr>
        <w:t xml:space="preserve"> estatística de teste </w:t>
      </w:r>
      <w:proofErr w:type="spellStart"/>
      <w:r>
        <w:rPr>
          <w:sz w:val="24"/>
          <w:szCs w:val="24"/>
        </w:rPr>
        <w:t>Qui</w:t>
      </w:r>
      <w:proofErr w:type="spellEnd"/>
      <w:r>
        <w:rPr>
          <w:sz w:val="24"/>
          <w:szCs w:val="24"/>
        </w:rPr>
        <w:t xml:space="preserve">- Quadrado. </w:t>
      </w:r>
      <w:r w:rsidRPr="009366A6">
        <w:rPr>
          <w:sz w:val="24"/>
          <w:szCs w:val="24"/>
        </w:rPr>
        <w:t>No caso de haver correlação</w:t>
      </w:r>
      <w:r w:rsidR="0001094B">
        <w:rPr>
          <w:sz w:val="24"/>
          <w:szCs w:val="24"/>
        </w:rPr>
        <w:t xml:space="preserve">, </w:t>
      </w:r>
      <w:r w:rsidRPr="009366A6">
        <w:rPr>
          <w:sz w:val="24"/>
          <w:szCs w:val="24"/>
        </w:rPr>
        <w:t>a estimação deve ser feita a partir do estimador de efeito fixo</w:t>
      </w:r>
      <w:r w:rsidR="0001094B">
        <w:rPr>
          <w:sz w:val="24"/>
          <w:szCs w:val="24"/>
        </w:rPr>
        <w:t>. C</w:t>
      </w:r>
      <w:r w:rsidRPr="009366A6">
        <w:rPr>
          <w:sz w:val="24"/>
          <w:szCs w:val="24"/>
        </w:rPr>
        <w:t xml:space="preserve">aso contrário, o estimador de efeito aleatório é o mais apropriado. </w:t>
      </w:r>
    </w:p>
    <w:p w:rsidR="00B77266" w:rsidRDefault="00EC6EE0" w:rsidP="00726852">
      <w:pPr>
        <w:ind w:firstLine="708"/>
        <w:jc w:val="both"/>
        <w:rPr>
          <w:sz w:val="24"/>
          <w:szCs w:val="24"/>
        </w:rPr>
      </w:pPr>
      <w:r>
        <w:rPr>
          <w:sz w:val="24"/>
          <w:szCs w:val="24"/>
        </w:rPr>
        <w:t>Para atestar a inexistência de a</w:t>
      </w:r>
      <w:r w:rsidR="00E56832" w:rsidRPr="009366A6">
        <w:rPr>
          <w:sz w:val="24"/>
          <w:szCs w:val="24"/>
        </w:rPr>
        <w:t xml:space="preserve">utocorrelação serial dos erros idiossincráticos, </w:t>
      </w:r>
      <w:r>
        <w:rPr>
          <w:sz w:val="24"/>
          <w:szCs w:val="24"/>
        </w:rPr>
        <w:t xml:space="preserve">faz-se o </w:t>
      </w:r>
      <w:r w:rsidR="00E56832" w:rsidRPr="009366A6">
        <w:rPr>
          <w:sz w:val="24"/>
          <w:szCs w:val="24"/>
        </w:rPr>
        <w:t xml:space="preserve">proposto </w:t>
      </w:r>
      <w:r w:rsidR="0067497B">
        <w:rPr>
          <w:sz w:val="24"/>
          <w:szCs w:val="24"/>
        </w:rPr>
        <w:t>em</w:t>
      </w:r>
      <w:r w:rsidR="002112A3">
        <w:rPr>
          <w:sz w:val="24"/>
          <w:szCs w:val="24"/>
        </w:rPr>
        <w:t xml:space="preserve"> </w:t>
      </w:r>
      <w:proofErr w:type="spellStart"/>
      <w:r w:rsidR="00E56832" w:rsidRPr="009366A6">
        <w:rPr>
          <w:sz w:val="24"/>
          <w:szCs w:val="24"/>
        </w:rPr>
        <w:t>Wooldridge</w:t>
      </w:r>
      <w:proofErr w:type="spellEnd"/>
      <w:r w:rsidR="00E56832" w:rsidRPr="009366A6">
        <w:rPr>
          <w:sz w:val="24"/>
          <w:szCs w:val="24"/>
        </w:rPr>
        <w:t xml:space="preserve"> (2002)</w:t>
      </w:r>
      <w:r w:rsidR="0001094B">
        <w:rPr>
          <w:sz w:val="24"/>
          <w:szCs w:val="24"/>
        </w:rPr>
        <w:t xml:space="preserve">, cuja </w:t>
      </w:r>
      <w:r w:rsidR="00E56832">
        <w:rPr>
          <w:sz w:val="24"/>
          <w:szCs w:val="24"/>
        </w:rPr>
        <w:t xml:space="preserve">hipótese nula é de ausência de correlação entre os termos de erro, </w:t>
      </w:r>
      <w:r w:rsidR="00E56832" w:rsidRPr="00696EAE">
        <w:rPr>
          <w:position w:val="-12"/>
          <w:sz w:val="24"/>
          <w:szCs w:val="24"/>
        </w:rPr>
        <w:object w:dxaOrig="1320" w:dyaOrig="360">
          <v:shape id="_x0000_i1066" type="#_x0000_t75" style="width:65.9pt;height:19pt" o:ole="">
            <v:imagedata r:id="rId84" o:title=""/>
          </v:shape>
          <o:OLEObject Type="Embed" ProgID="Equation.3" ShapeID="_x0000_i1066" DrawAspect="Content" ObjectID="_1444458745" r:id="rId85"/>
        </w:object>
      </w:r>
      <w:r>
        <w:rPr>
          <w:sz w:val="24"/>
          <w:szCs w:val="24"/>
        </w:rPr>
        <w:t xml:space="preserve"> para todo s≠t, a partir de uma </w:t>
      </w:r>
      <w:r w:rsidR="00E56832">
        <w:rPr>
          <w:sz w:val="24"/>
          <w:szCs w:val="24"/>
        </w:rPr>
        <w:t xml:space="preserve">distribuição F. Seguindo o </w:t>
      </w:r>
      <w:proofErr w:type="spellStart"/>
      <w:r w:rsidR="00E56832" w:rsidRPr="00EC6EE0">
        <w:rPr>
          <w:i/>
          <w:sz w:val="24"/>
          <w:szCs w:val="24"/>
        </w:rPr>
        <w:t>The</w:t>
      </w:r>
      <w:proofErr w:type="spellEnd"/>
      <w:r w:rsidR="00E56832" w:rsidRPr="00EC6EE0">
        <w:rPr>
          <w:i/>
          <w:sz w:val="24"/>
          <w:szCs w:val="24"/>
        </w:rPr>
        <w:t xml:space="preserve"> </w:t>
      </w:r>
      <w:proofErr w:type="spellStart"/>
      <w:r w:rsidR="00E56832" w:rsidRPr="00EC6EE0">
        <w:rPr>
          <w:i/>
          <w:sz w:val="24"/>
          <w:szCs w:val="24"/>
        </w:rPr>
        <w:t>Stata</w:t>
      </w:r>
      <w:proofErr w:type="spellEnd"/>
      <w:r w:rsidR="00E56832" w:rsidRPr="00EC6EE0">
        <w:rPr>
          <w:i/>
          <w:sz w:val="24"/>
          <w:szCs w:val="24"/>
        </w:rPr>
        <w:t xml:space="preserve"> </w:t>
      </w:r>
      <w:proofErr w:type="spellStart"/>
      <w:r w:rsidR="00E56832" w:rsidRPr="00EC6EE0">
        <w:rPr>
          <w:i/>
          <w:sz w:val="24"/>
          <w:szCs w:val="24"/>
        </w:rPr>
        <w:t>Journal</w:t>
      </w:r>
      <w:proofErr w:type="spellEnd"/>
      <w:r w:rsidR="00E56832">
        <w:rPr>
          <w:sz w:val="24"/>
          <w:szCs w:val="24"/>
        </w:rPr>
        <w:t xml:space="preserve"> (2003</w:t>
      </w:r>
      <w:proofErr w:type="gramStart"/>
      <w:r w:rsidR="00E56832">
        <w:rPr>
          <w:sz w:val="24"/>
          <w:szCs w:val="24"/>
        </w:rPr>
        <w:t>)</w:t>
      </w:r>
      <w:proofErr w:type="gramEnd"/>
      <w:r w:rsidR="00A05AA0">
        <w:rPr>
          <w:rStyle w:val="Refdenotaderodap"/>
          <w:sz w:val="24"/>
          <w:szCs w:val="24"/>
        </w:rPr>
        <w:footnoteReference w:id="6"/>
      </w:r>
      <w:r w:rsidR="00E56832">
        <w:rPr>
          <w:sz w:val="24"/>
          <w:szCs w:val="24"/>
        </w:rPr>
        <w:t xml:space="preserve">, o teste </w:t>
      </w:r>
      <w:r w:rsidR="0067497B">
        <w:rPr>
          <w:sz w:val="24"/>
          <w:szCs w:val="24"/>
        </w:rPr>
        <w:t xml:space="preserve">usa </w:t>
      </w:r>
      <w:r w:rsidR="00E56832">
        <w:rPr>
          <w:sz w:val="24"/>
          <w:szCs w:val="24"/>
        </w:rPr>
        <w:t xml:space="preserve">uma regressão em primeira diferença para obter os resíduos estimados, </w:t>
      </w:r>
      <w:r w:rsidR="00E56832" w:rsidRPr="00696EAE">
        <w:rPr>
          <w:position w:val="-12"/>
          <w:sz w:val="24"/>
          <w:szCs w:val="24"/>
        </w:rPr>
        <w:object w:dxaOrig="279" w:dyaOrig="360">
          <v:shape id="_x0000_i1067" type="#_x0000_t75" style="width:14.95pt;height:19pt" o:ole="">
            <v:imagedata r:id="rId86" o:title=""/>
          </v:shape>
          <o:OLEObject Type="Embed" ProgID="Equation.3" ShapeID="_x0000_i1067" DrawAspect="Content" ObjectID="_1444458746" r:id="rId87"/>
        </w:object>
      </w:r>
      <w:r w:rsidR="00E56832">
        <w:rPr>
          <w:sz w:val="24"/>
          <w:szCs w:val="24"/>
        </w:rPr>
        <w:t xml:space="preserve">. O próximo passo </w:t>
      </w:r>
      <w:r>
        <w:rPr>
          <w:sz w:val="24"/>
          <w:szCs w:val="24"/>
        </w:rPr>
        <w:t xml:space="preserve">é </w:t>
      </w:r>
      <w:r w:rsidR="00E56832">
        <w:rPr>
          <w:sz w:val="24"/>
          <w:szCs w:val="24"/>
        </w:rPr>
        <w:t>a estimação da regressão destes resíduos em função das variáveis explicativas e de defasagens (</w:t>
      </w:r>
      <w:proofErr w:type="spellStart"/>
      <w:r w:rsidR="00E56832">
        <w:rPr>
          <w:sz w:val="24"/>
          <w:szCs w:val="24"/>
        </w:rPr>
        <w:t>lags</w:t>
      </w:r>
      <w:proofErr w:type="spellEnd"/>
      <w:r w:rsidR="00E56832">
        <w:rPr>
          <w:sz w:val="24"/>
          <w:szCs w:val="24"/>
        </w:rPr>
        <w:t xml:space="preserve">) destes resíduos. Se os erros não são serialmente correlacionados, tem-se  </w:t>
      </w:r>
      <w:r w:rsidR="00E56832" w:rsidRPr="00696EAE">
        <w:rPr>
          <w:position w:val="-12"/>
          <w:sz w:val="24"/>
          <w:szCs w:val="24"/>
        </w:rPr>
        <w:object w:dxaOrig="2320" w:dyaOrig="360">
          <v:shape id="_x0000_i1068" type="#_x0000_t75" style="width:116.85pt;height:19pt" o:ole="">
            <v:imagedata r:id="rId88" o:title=""/>
          </v:shape>
          <o:OLEObject Type="Embed" ProgID="Equation.3" ShapeID="_x0000_i1068" DrawAspect="Content" ObjectID="_1444458747" r:id="rId89"/>
        </w:object>
      </w:r>
      <w:r w:rsidR="00E56832">
        <w:rPr>
          <w:sz w:val="24"/>
          <w:szCs w:val="24"/>
        </w:rPr>
        <w:t>.</w:t>
      </w:r>
    </w:p>
    <w:p w:rsidR="00B77266" w:rsidRDefault="00E56832" w:rsidP="00726852">
      <w:pPr>
        <w:autoSpaceDE w:val="0"/>
        <w:autoSpaceDN w:val="0"/>
        <w:adjustRightInd w:val="0"/>
        <w:ind w:firstLine="708"/>
        <w:jc w:val="both"/>
        <w:rPr>
          <w:sz w:val="24"/>
          <w:szCs w:val="24"/>
        </w:rPr>
      </w:pPr>
      <w:r w:rsidRPr="009366A6">
        <w:rPr>
          <w:sz w:val="24"/>
          <w:szCs w:val="24"/>
        </w:rPr>
        <w:t xml:space="preserve">Outro problema </w:t>
      </w:r>
      <w:r w:rsidR="0067497B">
        <w:rPr>
          <w:sz w:val="24"/>
          <w:szCs w:val="24"/>
        </w:rPr>
        <w:t>que compromete os estimadores obtidos é a</w:t>
      </w:r>
      <w:r w:rsidRPr="009366A6">
        <w:rPr>
          <w:sz w:val="24"/>
          <w:szCs w:val="24"/>
        </w:rPr>
        <w:t xml:space="preserve"> </w:t>
      </w:r>
      <w:proofErr w:type="spellStart"/>
      <w:r w:rsidRPr="009366A6">
        <w:rPr>
          <w:sz w:val="24"/>
          <w:szCs w:val="24"/>
        </w:rPr>
        <w:t>heterocedasticidade</w:t>
      </w:r>
      <w:proofErr w:type="spellEnd"/>
      <w:r w:rsidRPr="009366A6">
        <w:rPr>
          <w:sz w:val="24"/>
          <w:szCs w:val="24"/>
        </w:rPr>
        <w:t xml:space="preserve"> dos grupos nos painéis. </w:t>
      </w:r>
      <w:r w:rsidR="0067497B">
        <w:rPr>
          <w:sz w:val="24"/>
          <w:szCs w:val="24"/>
        </w:rPr>
        <w:t>Para tal</w:t>
      </w:r>
      <w:r w:rsidR="00EC6EE0">
        <w:rPr>
          <w:sz w:val="24"/>
          <w:szCs w:val="24"/>
        </w:rPr>
        <w:t xml:space="preserve">, atentou-se à realização do teste </w:t>
      </w:r>
      <w:r w:rsidRPr="009366A6">
        <w:rPr>
          <w:sz w:val="24"/>
          <w:szCs w:val="24"/>
        </w:rPr>
        <w:t>baseado na distribuição χ</w:t>
      </w:r>
      <w:proofErr w:type="gramStart"/>
      <w:r w:rsidRPr="009366A6">
        <w:rPr>
          <w:sz w:val="24"/>
          <w:szCs w:val="24"/>
          <w:vertAlign w:val="superscript"/>
        </w:rPr>
        <w:t>2</w:t>
      </w:r>
      <w:proofErr w:type="gramEnd"/>
      <w:r w:rsidRPr="009366A6">
        <w:rPr>
          <w:sz w:val="24"/>
          <w:szCs w:val="24"/>
        </w:rPr>
        <w:t xml:space="preserve"> (</w:t>
      </w:r>
      <w:r w:rsidR="006A3331" w:rsidRPr="009366A6">
        <w:rPr>
          <w:sz w:val="24"/>
          <w:szCs w:val="24"/>
        </w:rPr>
        <w:t>Quadrado</w:t>
      </w:r>
      <w:r w:rsidRPr="009366A6">
        <w:rPr>
          <w:sz w:val="24"/>
          <w:szCs w:val="24"/>
        </w:rPr>
        <w:t xml:space="preserve">) para dados de painéis </w:t>
      </w:r>
      <w:r w:rsidR="00EC6EE0">
        <w:rPr>
          <w:sz w:val="24"/>
          <w:szCs w:val="24"/>
        </w:rPr>
        <w:t>pr</w:t>
      </w:r>
      <w:r w:rsidRPr="009366A6">
        <w:rPr>
          <w:sz w:val="24"/>
          <w:szCs w:val="24"/>
        </w:rPr>
        <w:t>oposto por Greene (2002)</w:t>
      </w:r>
      <w:r w:rsidR="00EC6EE0">
        <w:rPr>
          <w:sz w:val="24"/>
          <w:szCs w:val="24"/>
        </w:rPr>
        <w:t xml:space="preserve">. Neste método, </w:t>
      </w:r>
      <w:proofErr w:type="gramStart"/>
      <w:r w:rsidRPr="009366A6">
        <w:rPr>
          <w:sz w:val="24"/>
          <w:szCs w:val="24"/>
        </w:rPr>
        <w:t>verifica</w:t>
      </w:r>
      <w:r w:rsidR="00EC6EE0">
        <w:rPr>
          <w:sz w:val="24"/>
          <w:szCs w:val="24"/>
        </w:rPr>
        <w:t>-se</w:t>
      </w:r>
      <w:proofErr w:type="gramEnd"/>
      <w:r w:rsidRPr="009366A6">
        <w:rPr>
          <w:sz w:val="24"/>
          <w:szCs w:val="24"/>
        </w:rPr>
        <w:t xml:space="preserve"> os grupos apresentam variâncias idênticas ou não entre os </w:t>
      </w:r>
      <w:r w:rsidRPr="00097E41">
        <w:rPr>
          <w:sz w:val="24"/>
          <w:szCs w:val="24"/>
        </w:rPr>
        <w:t>painéis (</w:t>
      </w:r>
      <w:proofErr w:type="spellStart"/>
      <w:r w:rsidRPr="00097E41">
        <w:rPr>
          <w:i/>
          <w:iCs/>
          <w:sz w:val="24"/>
          <w:szCs w:val="24"/>
        </w:rPr>
        <w:t>groupwise</w:t>
      </w:r>
      <w:proofErr w:type="spellEnd"/>
      <w:r w:rsidRPr="00097E41">
        <w:rPr>
          <w:i/>
          <w:iCs/>
          <w:sz w:val="24"/>
          <w:szCs w:val="24"/>
        </w:rPr>
        <w:t xml:space="preserve"> </w:t>
      </w:r>
      <w:proofErr w:type="spellStart"/>
      <w:r w:rsidRPr="00097E41">
        <w:rPr>
          <w:i/>
          <w:iCs/>
          <w:sz w:val="24"/>
          <w:szCs w:val="24"/>
        </w:rPr>
        <w:t>heterokesdasticity</w:t>
      </w:r>
      <w:proofErr w:type="spellEnd"/>
      <w:r w:rsidRPr="00097E41">
        <w:rPr>
          <w:i/>
          <w:iCs/>
          <w:sz w:val="24"/>
          <w:szCs w:val="24"/>
        </w:rPr>
        <w:t xml:space="preserve"> </w:t>
      </w:r>
      <w:proofErr w:type="spellStart"/>
      <w:r w:rsidRPr="00097E41">
        <w:rPr>
          <w:i/>
          <w:iCs/>
          <w:sz w:val="24"/>
          <w:szCs w:val="24"/>
        </w:rPr>
        <w:t>test</w:t>
      </w:r>
      <w:proofErr w:type="spellEnd"/>
      <w:r w:rsidRPr="00097E41">
        <w:rPr>
          <w:sz w:val="24"/>
          <w:szCs w:val="24"/>
        </w:rPr>
        <w:t xml:space="preserve">). </w:t>
      </w:r>
    </w:p>
    <w:p w:rsidR="00B77266" w:rsidRDefault="00E56832" w:rsidP="00726852">
      <w:pPr>
        <w:ind w:firstLine="851"/>
        <w:jc w:val="both"/>
        <w:rPr>
          <w:sz w:val="24"/>
          <w:szCs w:val="24"/>
        </w:rPr>
      </w:pPr>
      <w:r w:rsidRPr="00097E41">
        <w:rPr>
          <w:sz w:val="24"/>
          <w:szCs w:val="24"/>
        </w:rPr>
        <w:t xml:space="preserve"> </w:t>
      </w:r>
    </w:p>
    <w:p w:rsidR="00B77266" w:rsidRDefault="00E56832" w:rsidP="00726852">
      <w:pPr>
        <w:pStyle w:val="Ttulo3"/>
        <w:spacing w:before="0" w:after="0"/>
        <w:jc w:val="both"/>
        <w:rPr>
          <w:rFonts w:ascii="Times New Roman" w:hAnsi="Times New Roman" w:cs="Times New Roman"/>
          <w:sz w:val="24"/>
          <w:szCs w:val="24"/>
        </w:rPr>
      </w:pPr>
      <w:bookmarkStart w:id="0" w:name="_Toc243385250"/>
      <w:bookmarkStart w:id="1" w:name="_Toc243388703"/>
      <w:bookmarkStart w:id="2" w:name="_Toc243388967"/>
      <w:bookmarkStart w:id="3" w:name="_Toc243389472"/>
      <w:bookmarkStart w:id="4" w:name="_Toc244500054"/>
      <w:bookmarkStart w:id="5" w:name="_Toc244678028"/>
      <w:proofErr w:type="gramStart"/>
      <w:r w:rsidRPr="00097E41">
        <w:rPr>
          <w:rFonts w:ascii="Times New Roman" w:hAnsi="Times New Roman" w:cs="Times New Roman"/>
          <w:sz w:val="24"/>
          <w:szCs w:val="24"/>
        </w:rPr>
        <w:t>3.</w:t>
      </w:r>
      <w:r w:rsidR="00E937C9">
        <w:rPr>
          <w:rFonts w:ascii="Times New Roman" w:hAnsi="Times New Roman" w:cs="Times New Roman"/>
          <w:sz w:val="24"/>
          <w:szCs w:val="24"/>
        </w:rPr>
        <w:t>1</w:t>
      </w:r>
      <w:r w:rsidRPr="00097E41">
        <w:rPr>
          <w:rFonts w:ascii="Times New Roman" w:hAnsi="Times New Roman" w:cs="Times New Roman"/>
          <w:sz w:val="24"/>
          <w:szCs w:val="24"/>
        </w:rPr>
        <w:t xml:space="preserve"> Método</w:t>
      </w:r>
      <w:proofErr w:type="gramEnd"/>
      <w:r w:rsidRPr="00097E41">
        <w:rPr>
          <w:rFonts w:ascii="Times New Roman" w:hAnsi="Times New Roman" w:cs="Times New Roman"/>
          <w:sz w:val="24"/>
          <w:szCs w:val="24"/>
        </w:rPr>
        <w:t xml:space="preserve"> </w:t>
      </w:r>
      <w:bookmarkEnd w:id="0"/>
      <w:bookmarkEnd w:id="1"/>
      <w:bookmarkEnd w:id="2"/>
      <w:bookmarkEnd w:id="3"/>
      <w:bookmarkEnd w:id="4"/>
      <w:bookmarkEnd w:id="5"/>
      <w:r w:rsidRPr="00097E41">
        <w:rPr>
          <w:rFonts w:ascii="Times New Roman" w:hAnsi="Times New Roman" w:cs="Times New Roman"/>
          <w:sz w:val="24"/>
          <w:szCs w:val="24"/>
        </w:rPr>
        <w:t>Dos Mínimos Quadrados Generalizados com Variáveis Instrumentais</w:t>
      </w:r>
    </w:p>
    <w:p w:rsidR="00094F18" w:rsidRDefault="00E56832" w:rsidP="00F25E1F">
      <w:pPr>
        <w:jc w:val="both"/>
        <w:rPr>
          <w:sz w:val="24"/>
          <w:szCs w:val="24"/>
        </w:rPr>
      </w:pPr>
      <w:r w:rsidRPr="00097E41">
        <w:rPr>
          <w:sz w:val="24"/>
          <w:szCs w:val="24"/>
        </w:rPr>
        <w:tab/>
      </w:r>
      <w:r w:rsidR="0001094B">
        <w:rPr>
          <w:sz w:val="24"/>
          <w:szCs w:val="24"/>
        </w:rPr>
        <w:t xml:space="preserve">Diante da </w:t>
      </w:r>
      <w:proofErr w:type="spellStart"/>
      <w:r w:rsidRPr="00097E41">
        <w:rPr>
          <w:sz w:val="24"/>
          <w:szCs w:val="24"/>
        </w:rPr>
        <w:t>endogeneidade</w:t>
      </w:r>
      <w:proofErr w:type="spellEnd"/>
      <w:r w:rsidRPr="00097E41">
        <w:rPr>
          <w:sz w:val="24"/>
          <w:szCs w:val="24"/>
        </w:rPr>
        <w:t xml:space="preserve"> de algumas variáveis</w:t>
      </w:r>
      <w:r w:rsidR="002E130B">
        <w:rPr>
          <w:sz w:val="24"/>
          <w:szCs w:val="24"/>
        </w:rPr>
        <w:t xml:space="preserve">, cuja estimação pelo MQO tende a revelar estimadores não consistentes. Dessa forma, </w:t>
      </w:r>
      <w:r w:rsidRPr="00097E41">
        <w:rPr>
          <w:sz w:val="24"/>
          <w:szCs w:val="24"/>
        </w:rPr>
        <w:t xml:space="preserve">buscou-se identificar o melhor método </w:t>
      </w:r>
      <w:r w:rsidR="002E130B">
        <w:rPr>
          <w:sz w:val="24"/>
          <w:szCs w:val="24"/>
        </w:rPr>
        <w:t>para</w:t>
      </w:r>
      <w:proofErr w:type="gramStart"/>
      <w:r w:rsidR="002E130B">
        <w:rPr>
          <w:sz w:val="24"/>
          <w:szCs w:val="24"/>
        </w:rPr>
        <w:t xml:space="preserve"> </w:t>
      </w:r>
      <w:r>
        <w:rPr>
          <w:sz w:val="24"/>
          <w:szCs w:val="24"/>
        </w:rPr>
        <w:t xml:space="preserve"> </w:t>
      </w:r>
      <w:proofErr w:type="gramEnd"/>
      <w:r>
        <w:rPr>
          <w:sz w:val="24"/>
          <w:szCs w:val="24"/>
        </w:rPr>
        <w:t>eliminar o possível viés advindo da correlação supracitada</w:t>
      </w:r>
      <w:r w:rsidRPr="00097E41">
        <w:rPr>
          <w:sz w:val="24"/>
          <w:szCs w:val="24"/>
        </w:rPr>
        <w:t xml:space="preserve">. </w:t>
      </w:r>
      <w:r>
        <w:rPr>
          <w:sz w:val="24"/>
          <w:szCs w:val="24"/>
        </w:rPr>
        <w:t>Entre os modelos consta o Método dos Mínimos Quadrados de Dois Estágios com Variáveis Instrumentais, aplicado ao modelo de efeito fixo e ao modelo de efeito variável.</w:t>
      </w:r>
      <w:r w:rsidR="002E130B">
        <w:rPr>
          <w:sz w:val="24"/>
          <w:szCs w:val="24"/>
        </w:rPr>
        <w:t xml:space="preserve"> </w:t>
      </w:r>
      <w:r>
        <w:rPr>
          <w:sz w:val="24"/>
          <w:szCs w:val="24"/>
        </w:rPr>
        <w:t>Neste caso, os estimadores obtidos são consistentes e possuem distribuição assintótica normal, desde que os instrumentos usados sejam validados</w:t>
      </w:r>
      <w:r w:rsidR="00094F18">
        <w:rPr>
          <w:sz w:val="24"/>
          <w:szCs w:val="24"/>
        </w:rPr>
        <w:t>: sejam exógenos</w:t>
      </w:r>
      <w:r>
        <w:rPr>
          <w:sz w:val="24"/>
          <w:szCs w:val="24"/>
        </w:rPr>
        <w:t xml:space="preserve"> e correla</w:t>
      </w:r>
      <w:r w:rsidR="00094F18">
        <w:rPr>
          <w:sz w:val="24"/>
          <w:szCs w:val="24"/>
        </w:rPr>
        <w:t xml:space="preserve">cionados </w:t>
      </w:r>
      <w:r>
        <w:rPr>
          <w:sz w:val="24"/>
          <w:szCs w:val="24"/>
        </w:rPr>
        <w:t xml:space="preserve">com a </w:t>
      </w:r>
      <w:r>
        <w:rPr>
          <w:sz w:val="24"/>
          <w:szCs w:val="24"/>
        </w:rPr>
        <w:lastRenderedPageBreak/>
        <w:t xml:space="preserve">variável explicativa. Todavia, </w:t>
      </w:r>
      <w:r w:rsidR="000F3B90">
        <w:rPr>
          <w:sz w:val="24"/>
          <w:szCs w:val="24"/>
        </w:rPr>
        <w:t>este estudo seguiu o recomendado n</w:t>
      </w:r>
      <w:r>
        <w:rPr>
          <w:sz w:val="24"/>
          <w:szCs w:val="24"/>
        </w:rPr>
        <w:t xml:space="preserve">a literatura </w:t>
      </w:r>
      <w:r w:rsidR="000F3B90">
        <w:rPr>
          <w:sz w:val="24"/>
          <w:szCs w:val="24"/>
        </w:rPr>
        <w:t>que trata da e</w:t>
      </w:r>
      <w:r>
        <w:rPr>
          <w:sz w:val="24"/>
          <w:szCs w:val="24"/>
        </w:rPr>
        <w:t>stimação de equações</w:t>
      </w:r>
      <w:r w:rsidR="004443F4" w:rsidRPr="004443F4">
        <w:rPr>
          <w:sz w:val="24"/>
          <w:szCs w:val="24"/>
        </w:rPr>
        <w:t xml:space="preserve"> </w:t>
      </w:r>
      <w:r w:rsidR="004443F4">
        <w:rPr>
          <w:sz w:val="24"/>
          <w:szCs w:val="24"/>
        </w:rPr>
        <w:t>com variáveis instrumentais</w:t>
      </w:r>
      <w:r>
        <w:rPr>
          <w:sz w:val="24"/>
          <w:szCs w:val="24"/>
        </w:rPr>
        <w:t xml:space="preserve">, a partir de um curto recorte temporal, </w:t>
      </w:r>
      <w:r w:rsidR="000F3B90">
        <w:rPr>
          <w:sz w:val="24"/>
          <w:szCs w:val="24"/>
        </w:rPr>
        <w:t xml:space="preserve">qual seja: </w:t>
      </w:r>
      <w:r>
        <w:rPr>
          <w:sz w:val="24"/>
          <w:szCs w:val="24"/>
        </w:rPr>
        <w:t xml:space="preserve">o Método dos Momentos Generalizados (GMM) </w:t>
      </w:r>
      <w:r w:rsidRPr="007F031D">
        <w:rPr>
          <w:bCs/>
          <w:sz w:val="24"/>
          <w:szCs w:val="24"/>
        </w:rPr>
        <w:t xml:space="preserve">proposto por </w:t>
      </w:r>
      <w:proofErr w:type="spellStart"/>
      <w:r w:rsidRPr="007F031D">
        <w:rPr>
          <w:sz w:val="24"/>
          <w:szCs w:val="24"/>
        </w:rPr>
        <w:t>Hansen</w:t>
      </w:r>
      <w:proofErr w:type="spellEnd"/>
      <w:r w:rsidRPr="007F031D">
        <w:rPr>
          <w:sz w:val="24"/>
          <w:szCs w:val="24"/>
        </w:rPr>
        <w:t xml:space="preserve"> (1982)</w:t>
      </w:r>
      <w:r w:rsidR="004443F4">
        <w:rPr>
          <w:sz w:val="24"/>
          <w:szCs w:val="24"/>
        </w:rPr>
        <w:t xml:space="preserve">. </w:t>
      </w:r>
    </w:p>
    <w:p w:rsidR="00C3783F" w:rsidRDefault="00E56832">
      <w:pPr>
        <w:ind w:firstLine="708"/>
        <w:jc w:val="both"/>
        <w:rPr>
          <w:sz w:val="24"/>
          <w:szCs w:val="24"/>
        </w:rPr>
      </w:pPr>
      <w:r w:rsidRPr="007F031D">
        <w:rPr>
          <w:sz w:val="24"/>
          <w:szCs w:val="24"/>
        </w:rPr>
        <w:t xml:space="preserve">O estimador GMM pertence à classe conhecida de estimadores que minimizam a função-objetivo, sendo robusto, pois, assintoticamente, não requer a informação da distribuição exata das perturbações (QMS, 2004). A estimação GMM supõe que as perturbações nas equações não são relacionadas ao conjunto de variáveis instrumentais, ocorrendo seleção das estimativas dos parâmetros, de forma que as correlações entre os instrumentos e os erros sejam próximas de zero quanto possível. Entre as vantagens </w:t>
      </w:r>
      <w:r w:rsidR="00094F18">
        <w:rPr>
          <w:sz w:val="24"/>
          <w:szCs w:val="24"/>
        </w:rPr>
        <w:t>do método tem-se que:</w:t>
      </w:r>
      <w:r w:rsidRPr="007F031D">
        <w:rPr>
          <w:sz w:val="24"/>
          <w:szCs w:val="24"/>
        </w:rPr>
        <w:t xml:space="preserve"> a) não demanda suposição da distribuição, tal como a normalidade dos erros; b) permite </w:t>
      </w:r>
      <w:proofErr w:type="spellStart"/>
      <w:r w:rsidRPr="007F031D">
        <w:rPr>
          <w:sz w:val="24"/>
          <w:szCs w:val="24"/>
        </w:rPr>
        <w:t>heterocedasticidade</w:t>
      </w:r>
      <w:proofErr w:type="spellEnd"/>
      <w:r w:rsidRPr="007F031D">
        <w:rPr>
          <w:sz w:val="24"/>
          <w:szCs w:val="24"/>
        </w:rPr>
        <w:t xml:space="preserve"> de forma desconhecida; e c) calcula parâmetros, mesmo sob a condição de não solução analítica nas condições de primeira ordem. </w:t>
      </w:r>
      <w:r w:rsidR="00F25E1F">
        <w:rPr>
          <w:sz w:val="24"/>
          <w:szCs w:val="24"/>
        </w:rPr>
        <w:t xml:space="preserve">Cabe informar que, a partir do uso do GMM com variáveis instrumentais, </w:t>
      </w:r>
      <w:r>
        <w:rPr>
          <w:sz w:val="24"/>
          <w:szCs w:val="24"/>
        </w:rPr>
        <w:t>os estimadores são consistentes</w:t>
      </w:r>
      <w:r w:rsidR="000F3B90">
        <w:rPr>
          <w:sz w:val="24"/>
          <w:szCs w:val="24"/>
        </w:rPr>
        <w:t>,</w:t>
      </w:r>
      <w:r>
        <w:rPr>
          <w:sz w:val="24"/>
          <w:szCs w:val="24"/>
        </w:rPr>
        <w:t xml:space="preserve"> sob a suposição de </w:t>
      </w:r>
      <w:proofErr w:type="spellStart"/>
      <w:r>
        <w:rPr>
          <w:sz w:val="24"/>
          <w:szCs w:val="24"/>
        </w:rPr>
        <w:t>homocedasticidade</w:t>
      </w:r>
      <w:proofErr w:type="spellEnd"/>
      <w:r>
        <w:rPr>
          <w:sz w:val="24"/>
          <w:szCs w:val="24"/>
        </w:rPr>
        <w:t xml:space="preserve"> e não correlação serial dos erros. </w:t>
      </w:r>
      <w:r w:rsidR="002E3704">
        <w:rPr>
          <w:sz w:val="24"/>
          <w:szCs w:val="24"/>
        </w:rPr>
        <w:t>Feita a escolha por este instrumental</w:t>
      </w:r>
      <w:r>
        <w:rPr>
          <w:sz w:val="24"/>
          <w:szCs w:val="24"/>
        </w:rPr>
        <w:t>, é primordial testar a validade dos instrumentos, bem como a identificação das equações estimadas no sistema, cujas conclusões são descritas na seção de resultados.</w:t>
      </w:r>
    </w:p>
    <w:p w:rsidR="00B77266" w:rsidRDefault="00386F8B" w:rsidP="00386F8B">
      <w:pPr>
        <w:autoSpaceDE w:val="0"/>
        <w:autoSpaceDN w:val="0"/>
        <w:adjustRightInd w:val="0"/>
        <w:ind w:firstLine="708"/>
        <w:jc w:val="both"/>
        <w:rPr>
          <w:sz w:val="24"/>
          <w:szCs w:val="24"/>
        </w:rPr>
      </w:pPr>
      <w:r>
        <w:rPr>
          <w:sz w:val="24"/>
          <w:szCs w:val="24"/>
        </w:rPr>
        <w:t xml:space="preserve">No que se refere aos dados, </w:t>
      </w:r>
      <w:r w:rsidR="00E937C9">
        <w:rPr>
          <w:sz w:val="24"/>
          <w:szCs w:val="24"/>
        </w:rPr>
        <w:t xml:space="preserve">trabalhou-se com </w:t>
      </w:r>
      <w:r w:rsidR="00E56832">
        <w:rPr>
          <w:sz w:val="24"/>
          <w:szCs w:val="24"/>
        </w:rPr>
        <w:t>informações anuais referentes aos 27 estados brasileiros, no período de 1995-2008</w:t>
      </w:r>
      <w:r w:rsidR="00CD2762">
        <w:rPr>
          <w:rStyle w:val="Refdenotaderodap"/>
          <w:sz w:val="24"/>
          <w:szCs w:val="24"/>
        </w:rPr>
        <w:footnoteReference w:id="7"/>
      </w:r>
      <w:r w:rsidR="00E56832">
        <w:rPr>
          <w:sz w:val="24"/>
          <w:szCs w:val="24"/>
        </w:rPr>
        <w:t xml:space="preserve">. Abaixo, são </w:t>
      </w:r>
      <w:r w:rsidR="00CD2762">
        <w:rPr>
          <w:sz w:val="24"/>
          <w:szCs w:val="24"/>
        </w:rPr>
        <w:t>descritas</w:t>
      </w:r>
      <w:r w:rsidR="00E56832" w:rsidRPr="00AF1BB9">
        <w:rPr>
          <w:sz w:val="24"/>
          <w:szCs w:val="24"/>
        </w:rPr>
        <w:t xml:space="preserve"> </w:t>
      </w:r>
      <w:r w:rsidR="00553F21">
        <w:rPr>
          <w:sz w:val="24"/>
          <w:szCs w:val="24"/>
        </w:rPr>
        <w:t xml:space="preserve">as variáveis e </w:t>
      </w:r>
      <w:r w:rsidR="00E56832" w:rsidRPr="00AF1BB9">
        <w:rPr>
          <w:sz w:val="24"/>
          <w:szCs w:val="24"/>
        </w:rPr>
        <w:t xml:space="preserve">suas </w:t>
      </w:r>
      <w:r w:rsidR="00CD2762">
        <w:rPr>
          <w:sz w:val="24"/>
          <w:szCs w:val="24"/>
        </w:rPr>
        <w:t xml:space="preserve">respectivas </w:t>
      </w:r>
      <w:r w:rsidR="00553F21">
        <w:rPr>
          <w:sz w:val="24"/>
          <w:szCs w:val="24"/>
        </w:rPr>
        <w:t>fontes</w:t>
      </w:r>
      <w:r w:rsidR="00E56832" w:rsidRPr="00AF1BB9">
        <w:rPr>
          <w:sz w:val="24"/>
          <w:szCs w:val="24"/>
        </w:rPr>
        <w:t>:</w:t>
      </w:r>
    </w:p>
    <w:p w:rsidR="00B77266" w:rsidRPr="00386F8B" w:rsidRDefault="00E56832" w:rsidP="00726852">
      <w:pPr>
        <w:numPr>
          <w:ilvl w:val="0"/>
          <w:numId w:val="15"/>
        </w:numPr>
        <w:autoSpaceDE w:val="0"/>
        <w:autoSpaceDN w:val="0"/>
        <w:adjustRightInd w:val="0"/>
        <w:jc w:val="both"/>
        <w:rPr>
          <w:sz w:val="24"/>
          <w:szCs w:val="24"/>
        </w:rPr>
      </w:pPr>
      <w:r w:rsidRPr="00386F8B">
        <w:rPr>
          <w:sz w:val="24"/>
          <w:szCs w:val="24"/>
        </w:rPr>
        <w:t>Variáveis endógenas</w:t>
      </w:r>
      <w:r w:rsidR="00F56696" w:rsidRPr="00386F8B">
        <w:rPr>
          <w:sz w:val="24"/>
          <w:szCs w:val="24"/>
        </w:rPr>
        <w:t xml:space="preserve">: </w:t>
      </w:r>
    </w:p>
    <w:p w:rsidR="00B77266" w:rsidRPr="007915BD" w:rsidRDefault="00E56832" w:rsidP="00726852">
      <w:pPr>
        <w:numPr>
          <w:ilvl w:val="0"/>
          <w:numId w:val="13"/>
        </w:numPr>
        <w:tabs>
          <w:tab w:val="clear" w:pos="720"/>
        </w:tabs>
        <w:autoSpaceDE w:val="0"/>
        <w:autoSpaceDN w:val="0"/>
        <w:adjustRightInd w:val="0"/>
        <w:ind w:left="0" w:firstLine="0"/>
        <w:jc w:val="both"/>
        <w:rPr>
          <w:sz w:val="24"/>
          <w:szCs w:val="24"/>
        </w:rPr>
      </w:pPr>
      <w:r w:rsidRPr="007915BD">
        <w:rPr>
          <w:sz w:val="24"/>
          <w:szCs w:val="24"/>
        </w:rPr>
        <w:t>Produto Interno Bruto per capita (mil R$ a preços de 2008)</w:t>
      </w:r>
      <w:r w:rsidR="00CD2762">
        <w:rPr>
          <w:sz w:val="24"/>
          <w:szCs w:val="24"/>
        </w:rPr>
        <w:t xml:space="preserve">; </w:t>
      </w:r>
      <w:r w:rsidRPr="007915BD">
        <w:rPr>
          <w:sz w:val="24"/>
          <w:szCs w:val="24"/>
        </w:rPr>
        <w:t xml:space="preserve">Salário real - rendimento médio nominal do trabalho principal </w:t>
      </w:r>
      <w:r w:rsidR="00550668">
        <w:rPr>
          <w:sz w:val="24"/>
          <w:szCs w:val="24"/>
        </w:rPr>
        <w:t>(</w:t>
      </w:r>
      <w:r w:rsidRPr="007915BD">
        <w:rPr>
          <w:sz w:val="24"/>
          <w:szCs w:val="24"/>
        </w:rPr>
        <w:t>mão de obra ocupada na região metropolitana</w:t>
      </w:r>
      <w:r w:rsidR="00550668">
        <w:rPr>
          <w:sz w:val="24"/>
          <w:szCs w:val="24"/>
        </w:rPr>
        <w:t>)</w:t>
      </w:r>
      <w:r w:rsidRPr="007915BD">
        <w:rPr>
          <w:sz w:val="24"/>
          <w:szCs w:val="24"/>
        </w:rPr>
        <w:t xml:space="preserve"> deflacionado com base no Índice G</w:t>
      </w:r>
      <w:r w:rsidR="00CD2762">
        <w:rPr>
          <w:sz w:val="24"/>
          <w:szCs w:val="24"/>
        </w:rPr>
        <w:t>eral de Preços (IGP-DI) do IBGE;</w:t>
      </w:r>
      <w:r w:rsidRPr="007915BD">
        <w:rPr>
          <w:sz w:val="24"/>
          <w:szCs w:val="24"/>
        </w:rPr>
        <w:t xml:space="preserve"> Número </w:t>
      </w:r>
      <w:r w:rsidR="00CD2762">
        <w:rPr>
          <w:sz w:val="24"/>
          <w:szCs w:val="24"/>
        </w:rPr>
        <w:t xml:space="preserve">(milhões) </w:t>
      </w:r>
      <w:r w:rsidRPr="007915BD">
        <w:rPr>
          <w:sz w:val="24"/>
          <w:szCs w:val="24"/>
        </w:rPr>
        <w:t>de pess</w:t>
      </w:r>
      <w:r w:rsidR="00CD2762">
        <w:rPr>
          <w:sz w:val="24"/>
          <w:szCs w:val="24"/>
        </w:rPr>
        <w:t xml:space="preserve">oas abaixo da linha de pobreza; </w:t>
      </w:r>
      <w:r w:rsidR="007915BD" w:rsidRPr="007915BD">
        <w:rPr>
          <w:sz w:val="24"/>
          <w:szCs w:val="24"/>
        </w:rPr>
        <w:t>Educação – Anos médios de escolaridade da parcela da população com 25 anos ou mais; Saúde – taxa de mortalidade infantil (em %)</w:t>
      </w:r>
      <w:r w:rsidR="00CD2762">
        <w:rPr>
          <w:sz w:val="24"/>
          <w:szCs w:val="24"/>
        </w:rPr>
        <w:t>; Nível</w:t>
      </w:r>
      <w:r w:rsidR="007915BD" w:rsidRPr="007915BD">
        <w:rPr>
          <w:sz w:val="24"/>
          <w:szCs w:val="24"/>
        </w:rPr>
        <w:t xml:space="preserve"> de emprego – razão entre a população ocupada (PO) e a população economicamente ativa (PEA). </w:t>
      </w:r>
      <w:r w:rsidRPr="007915BD">
        <w:rPr>
          <w:sz w:val="24"/>
          <w:szCs w:val="24"/>
        </w:rPr>
        <w:t xml:space="preserve">Fonte: </w:t>
      </w:r>
      <w:proofErr w:type="spellStart"/>
      <w:r w:rsidRPr="007915BD">
        <w:rPr>
          <w:sz w:val="24"/>
          <w:szCs w:val="24"/>
        </w:rPr>
        <w:t>Ipeadata</w:t>
      </w:r>
      <w:proofErr w:type="spellEnd"/>
      <w:r w:rsidRPr="007915BD">
        <w:rPr>
          <w:sz w:val="24"/>
          <w:szCs w:val="24"/>
        </w:rPr>
        <w:t xml:space="preserve">. </w:t>
      </w:r>
    </w:p>
    <w:p w:rsidR="00B77266" w:rsidRDefault="00E56832" w:rsidP="00726852">
      <w:pPr>
        <w:numPr>
          <w:ilvl w:val="0"/>
          <w:numId w:val="13"/>
        </w:numPr>
        <w:tabs>
          <w:tab w:val="clear" w:pos="720"/>
        </w:tabs>
        <w:autoSpaceDE w:val="0"/>
        <w:autoSpaceDN w:val="0"/>
        <w:adjustRightInd w:val="0"/>
        <w:ind w:left="0" w:firstLine="0"/>
        <w:jc w:val="both"/>
        <w:rPr>
          <w:b/>
          <w:sz w:val="24"/>
          <w:szCs w:val="24"/>
        </w:rPr>
      </w:pPr>
      <w:r w:rsidRPr="00AF1BB9">
        <w:rPr>
          <w:sz w:val="24"/>
          <w:szCs w:val="24"/>
        </w:rPr>
        <w:t xml:space="preserve">Rodovias – total em quilômetros de rodovias </w:t>
      </w:r>
      <w:r w:rsidR="00CD2762">
        <w:rPr>
          <w:sz w:val="24"/>
          <w:szCs w:val="24"/>
        </w:rPr>
        <w:t xml:space="preserve">federais e </w:t>
      </w:r>
      <w:r w:rsidRPr="00AF1BB9">
        <w:rPr>
          <w:sz w:val="24"/>
          <w:szCs w:val="24"/>
        </w:rPr>
        <w:t>estaduais pavimentadas. Fonte: Anuário</w:t>
      </w:r>
      <w:r w:rsidR="00CD2762">
        <w:rPr>
          <w:sz w:val="24"/>
          <w:szCs w:val="24"/>
        </w:rPr>
        <w:t>s</w:t>
      </w:r>
      <w:r w:rsidRPr="00AF1BB9">
        <w:rPr>
          <w:sz w:val="24"/>
          <w:szCs w:val="24"/>
        </w:rPr>
        <w:t xml:space="preserve"> Estatístico</w:t>
      </w:r>
      <w:r w:rsidR="00CD2762">
        <w:rPr>
          <w:sz w:val="24"/>
          <w:szCs w:val="24"/>
        </w:rPr>
        <w:t>s</w:t>
      </w:r>
      <w:r w:rsidRPr="00AF1BB9">
        <w:rPr>
          <w:sz w:val="24"/>
          <w:szCs w:val="24"/>
        </w:rPr>
        <w:t xml:space="preserve"> dos Transportes Terrestres disponibilizado pela Agência Nacional de Transportes Terrestres (ANTT).</w:t>
      </w:r>
    </w:p>
    <w:p w:rsidR="00B77266" w:rsidRPr="00386F8B" w:rsidRDefault="00E56832" w:rsidP="00726852">
      <w:pPr>
        <w:numPr>
          <w:ilvl w:val="0"/>
          <w:numId w:val="15"/>
        </w:numPr>
        <w:autoSpaceDE w:val="0"/>
        <w:autoSpaceDN w:val="0"/>
        <w:adjustRightInd w:val="0"/>
        <w:jc w:val="both"/>
        <w:rPr>
          <w:sz w:val="24"/>
          <w:szCs w:val="24"/>
        </w:rPr>
      </w:pPr>
      <w:r w:rsidRPr="00386F8B">
        <w:rPr>
          <w:sz w:val="24"/>
          <w:szCs w:val="24"/>
        </w:rPr>
        <w:t>Variáveis exógenas</w:t>
      </w:r>
      <w:r w:rsidR="009A3C14">
        <w:rPr>
          <w:sz w:val="24"/>
          <w:szCs w:val="24"/>
        </w:rPr>
        <w:t>:</w:t>
      </w:r>
    </w:p>
    <w:p w:rsidR="00B77266" w:rsidRPr="00DC2886" w:rsidRDefault="00E56832" w:rsidP="00726852">
      <w:pPr>
        <w:numPr>
          <w:ilvl w:val="0"/>
          <w:numId w:val="12"/>
        </w:numPr>
        <w:tabs>
          <w:tab w:val="left" w:pos="0"/>
        </w:tabs>
        <w:autoSpaceDE w:val="0"/>
        <w:autoSpaceDN w:val="0"/>
        <w:adjustRightInd w:val="0"/>
        <w:ind w:left="0" w:firstLine="0"/>
        <w:jc w:val="both"/>
        <w:rPr>
          <w:sz w:val="24"/>
          <w:szCs w:val="24"/>
        </w:rPr>
      </w:pPr>
      <w:r w:rsidRPr="00DC2886">
        <w:rPr>
          <w:sz w:val="24"/>
          <w:szCs w:val="24"/>
        </w:rPr>
        <w:t xml:space="preserve">Índice de concentração de </w:t>
      </w:r>
      <w:proofErr w:type="spellStart"/>
      <w:r w:rsidRPr="00DC2886">
        <w:rPr>
          <w:sz w:val="24"/>
          <w:szCs w:val="24"/>
        </w:rPr>
        <w:t>Gini</w:t>
      </w:r>
      <w:proofErr w:type="spellEnd"/>
      <w:r w:rsidRPr="00DC2886">
        <w:rPr>
          <w:sz w:val="24"/>
          <w:szCs w:val="24"/>
        </w:rPr>
        <w:t xml:space="preserve">. </w:t>
      </w:r>
      <w:r w:rsidR="007915BD" w:rsidRPr="00DC2886">
        <w:rPr>
          <w:sz w:val="24"/>
          <w:szCs w:val="24"/>
        </w:rPr>
        <w:t xml:space="preserve">Taxa de câmbio efetiva </w:t>
      </w:r>
      <w:proofErr w:type="gramStart"/>
      <w:r w:rsidR="007915BD" w:rsidRPr="00DC2886">
        <w:rPr>
          <w:sz w:val="24"/>
          <w:szCs w:val="24"/>
        </w:rPr>
        <w:t>real - INPC - exportações</w:t>
      </w:r>
      <w:proofErr w:type="gramEnd"/>
      <w:r w:rsidR="007915BD" w:rsidRPr="00DC2886">
        <w:rPr>
          <w:sz w:val="24"/>
          <w:szCs w:val="24"/>
        </w:rPr>
        <w:t xml:space="preserve"> de manufaturados em número índice</w:t>
      </w:r>
      <w:r w:rsidR="00DC2886" w:rsidRPr="00DC2886">
        <w:rPr>
          <w:sz w:val="24"/>
          <w:szCs w:val="24"/>
        </w:rPr>
        <w:t xml:space="preserve">; </w:t>
      </w:r>
      <w:r w:rsidRPr="00DC2886">
        <w:rPr>
          <w:sz w:val="24"/>
          <w:szCs w:val="24"/>
        </w:rPr>
        <w:t xml:space="preserve">Produtividade do emprego – razão entre o valor adicionado e a população ocupada, </w:t>
      </w:r>
      <w:r w:rsidR="007915BD" w:rsidRPr="00DC2886">
        <w:rPr>
          <w:sz w:val="24"/>
          <w:szCs w:val="24"/>
        </w:rPr>
        <w:t xml:space="preserve">seguindo o </w:t>
      </w:r>
      <w:proofErr w:type="spellStart"/>
      <w:r w:rsidRPr="00DC2886">
        <w:rPr>
          <w:sz w:val="24"/>
          <w:szCs w:val="24"/>
        </w:rPr>
        <w:t>Ipeadata</w:t>
      </w:r>
      <w:proofErr w:type="spellEnd"/>
      <w:r w:rsidRPr="00DC2886">
        <w:rPr>
          <w:sz w:val="24"/>
          <w:szCs w:val="24"/>
        </w:rPr>
        <w:t xml:space="preserve"> (201</w:t>
      </w:r>
      <w:r w:rsidR="00C04715">
        <w:rPr>
          <w:sz w:val="24"/>
          <w:szCs w:val="24"/>
        </w:rPr>
        <w:t>3</w:t>
      </w:r>
      <w:r w:rsidR="002112A3" w:rsidRPr="00DC2886">
        <w:rPr>
          <w:sz w:val="24"/>
          <w:szCs w:val="24"/>
        </w:rPr>
        <w:t xml:space="preserve">) </w:t>
      </w:r>
      <w:r>
        <w:rPr>
          <w:rStyle w:val="Refdenotaderodap"/>
          <w:sz w:val="24"/>
          <w:szCs w:val="24"/>
        </w:rPr>
        <w:footnoteReference w:id="8"/>
      </w:r>
      <w:r w:rsidR="007915BD" w:rsidRPr="00DC2886">
        <w:rPr>
          <w:sz w:val="24"/>
          <w:szCs w:val="24"/>
        </w:rPr>
        <w:t>;</w:t>
      </w:r>
    </w:p>
    <w:p w:rsidR="00B77266" w:rsidRDefault="00E56832" w:rsidP="00726852">
      <w:pPr>
        <w:numPr>
          <w:ilvl w:val="0"/>
          <w:numId w:val="12"/>
        </w:numPr>
        <w:tabs>
          <w:tab w:val="left" w:pos="0"/>
        </w:tabs>
        <w:autoSpaceDE w:val="0"/>
        <w:autoSpaceDN w:val="0"/>
        <w:adjustRightInd w:val="0"/>
        <w:ind w:left="0" w:firstLine="0"/>
        <w:jc w:val="both"/>
        <w:rPr>
          <w:sz w:val="24"/>
          <w:szCs w:val="24"/>
        </w:rPr>
      </w:pPr>
      <w:r w:rsidRPr="00AF1BB9">
        <w:rPr>
          <w:sz w:val="24"/>
          <w:szCs w:val="24"/>
        </w:rPr>
        <w:t>Crescimento populacional – taxa média geométrica de crescimento da população. Fonte</w:t>
      </w:r>
      <w:r w:rsidRPr="00AF1BB9">
        <w:rPr>
          <w:b/>
          <w:bCs/>
          <w:color w:val="000000"/>
          <w:sz w:val="24"/>
          <w:szCs w:val="24"/>
        </w:rPr>
        <w:t xml:space="preserve">: </w:t>
      </w:r>
      <w:r w:rsidRPr="00AF1BB9">
        <w:rPr>
          <w:color w:val="000000"/>
          <w:sz w:val="24"/>
          <w:szCs w:val="24"/>
        </w:rPr>
        <w:t>IBGE</w:t>
      </w:r>
      <w:r w:rsidR="007915BD">
        <w:rPr>
          <w:color w:val="000000"/>
          <w:sz w:val="24"/>
          <w:szCs w:val="24"/>
        </w:rPr>
        <w:t>;</w:t>
      </w:r>
    </w:p>
    <w:p w:rsidR="00B77266" w:rsidRDefault="00E56832" w:rsidP="00726852">
      <w:pPr>
        <w:numPr>
          <w:ilvl w:val="0"/>
          <w:numId w:val="12"/>
        </w:numPr>
        <w:tabs>
          <w:tab w:val="left" w:pos="0"/>
        </w:tabs>
        <w:autoSpaceDE w:val="0"/>
        <w:autoSpaceDN w:val="0"/>
        <w:adjustRightInd w:val="0"/>
        <w:ind w:left="0" w:firstLine="0"/>
        <w:jc w:val="both"/>
        <w:rPr>
          <w:sz w:val="24"/>
          <w:szCs w:val="24"/>
        </w:rPr>
      </w:pPr>
      <w:r w:rsidRPr="00AF1BB9">
        <w:rPr>
          <w:sz w:val="24"/>
          <w:szCs w:val="24"/>
        </w:rPr>
        <w:t xml:space="preserve">Gastos públicos estaduais </w:t>
      </w:r>
      <w:r>
        <w:rPr>
          <w:sz w:val="24"/>
          <w:szCs w:val="24"/>
        </w:rPr>
        <w:t xml:space="preserve">e federais </w:t>
      </w:r>
      <w:r w:rsidRPr="00AF1BB9">
        <w:rPr>
          <w:sz w:val="24"/>
          <w:szCs w:val="24"/>
        </w:rPr>
        <w:t xml:space="preserve">em educação e cultura, em saúde e saneamento </w:t>
      </w:r>
      <w:r>
        <w:rPr>
          <w:sz w:val="24"/>
          <w:szCs w:val="24"/>
        </w:rPr>
        <w:t xml:space="preserve">e </w:t>
      </w:r>
      <w:r w:rsidRPr="00AF1BB9">
        <w:rPr>
          <w:sz w:val="24"/>
          <w:szCs w:val="24"/>
        </w:rPr>
        <w:t>em transporte rodoviário</w:t>
      </w:r>
      <w:r>
        <w:rPr>
          <w:sz w:val="24"/>
          <w:szCs w:val="24"/>
        </w:rPr>
        <w:t xml:space="preserve"> </w:t>
      </w:r>
      <w:r w:rsidRPr="00AF1BB9">
        <w:rPr>
          <w:sz w:val="24"/>
          <w:szCs w:val="24"/>
        </w:rPr>
        <w:t>- Execuções Orçamentárias da União e dos Estados (valores em R$ atualizados com base no IGP-DI). Fonte: Sistema Integrado de Administração Financeira do Governo Federal (</w:t>
      </w:r>
      <w:proofErr w:type="spellStart"/>
      <w:r w:rsidRPr="00AF1BB9">
        <w:rPr>
          <w:sz w:val="24"/>
          <w:szCs w:val="24"/>
        </w:rPr>
        <w:t>Siafi</w:t>
      </w:r>
      <w:proofErr w:type="spellEnd"/>
      <w:r w:rsidRPr="00AF1BB9">
        <w:rPr>
          <w:sz w:val="24"/>
          <w:szCs w:val="24"/>
        </w:rPr>
        <w:t>) do Tesouro Nacional</w:t>
      </w:r>
      <w:r w:rsidRPr="00AF1BB9">
        <w:rPr>
          <w:sz w:val="24"/>
          <w:vertAlign w:val="superscript"/>
        </w:rPr>
        <w:footnoteReference w:id="9"/>
      </w:r>
      <w:r w:rsidRPr="00AF1BB9">
        <w:rPr>
          <w:sz w:val="24"/>
          <w:szCs w:val="24"/>
        </w:rPr>
        <w:t>.</w:t>
      </w:r>
    </w:p>
    <w:p w:rsidR="002A09D2" w:rsidRDefault="00E56832" w:rsidP="007A4BD7">
      <w:pPr>
        <w:tabs>
          <w:tab w:val="left" w:pos="0"/>
        </w:tabs>
        <w:autoSpaceDE w:val="0"/>
        <w:autoSpaceDN w:val="0"/>
        <w:adjustRightInd w:val="0"/>
        <w:jc w:val="both"/>
        <w:rPr>
          <w:sz w:val="24"/>
          <w:szCs w:val="24"/>
        </w:rPr>
      </w:pPr>
      <w:r>
        <w:rPr>
          <w:sz w:val="24"/>
          <w:szCs w:val="24"/>
        </w:rPr>
        <w:tab/>
      </w:r>
    </w:p>
    <w:p w:rsidR="008E32B7" w:rsidRPr="00A05AA0" w:rsidRDefault="00057E3A" w:rsidP="00A05AA0">
      <w:pPr>
        <w:pStyle w:val="PargrafodaLista"/>
        <w:numPr>
          <w:ilvl w:val="0"/>
          <w:numId w:val="1"/>
        </w:numPr>
        <w:rPr>
          <w:b/>
          <w:lang w:eastAsia="zh-CN"/>
        </w:rPr>
      </w:pPr>
      <w:r w:rsidRPr="00057E3A">
        <w:rPr>
          <w:b/>
          <w:lang w:eastAsia="zh-CN"/>
        </w:rPr>
        <w:t>ANÁLISE E DISCUSSÃO DOS RESULTADOS</w:t>
      </w:r>
    </w:p>
    <w:p w:rsidR="00B3163D" w:rsidRDefault="00E040F7" w:rsidP="00B3163D">
      <w:pPr>
        <w:ind w:firstLine="709"/>
        <w:jc w:val="both"/>
        <w:rPr>
          <w:sz w:val="24"/>
          <w:szCs w:val="24"/>
          <w:lang w:eastAsia="zh-CN"/>
        </w:rPr>
      </w:pPr>
      <w:r w:rsidRPr="00EB6D8C">
        <w:rPr>
          <w:sz w:val="24"/>
          <w:szCs w:val="24"/>
          <w:lang w:eastAsia="zh-CN"/>
        </w:rPr>
        <w:t>Nesta seção</w:t>
      </w:r>
      <w:r>
        <w:rPr>
          <w:sz w:val="24"/>
          <w:szCs w:val="24"/>
          <w:lang w:eastAsia="zh-CN"/>
        </w:rPr>
        <w:t>,</w:t>
      </w:r>
      <w:r w:rsidRPr="00EB6D8C">
        <w:rPr>
          <w:sz w:val="24"/>
          <w:szCs w:val="24"/>
          <w:lang w:eastAsia="zh-CN"/>
        </w:rPr>
        <w:t xml:space="preserve"> são apresentados os r</w:t>
      </w:r>
      <w:r>
        <w:rPr>
          <w:sz w:val="24"/>
          <w:szCs w:val="24"/>
          <w:lang w:eastAsia="zh-CN"/>
        </w:rPr>
        <w:t xml:space="preserve">esultados </w:t>
      </w:r>
      <w:r w:rsidR="003568B0">
        <w:rPr>
          <w:sz w:val="24"/>
          <w:szCs w:val="24"/>
          <w:lang w:eastAsia="zh-CN"/>
        </w:rPr>
        <w:t>d</w:t>
      </w:r>
      <w:r w:rsidR="005C6B18">
        <w:rPr>
          <w:sz w:val="24"/>
          <w:szCs w:val="24"/>
          <w:lang w:eastAsia="zh-CN"/>
        </w:rPr>
        <w:t>o sistema de equações proposto, a partir do Método dos Momentos Generalizados (</w:t>
      </w:r>
      <w:proofErr w:type="spellStart"/>
      <w:r w:rsidR="005C6B18" w:rsidRPr="00ED4725">
        <w:rPr>
          <w:i/>
          <w:sz w:val="24"/>
          <w:szCs w:val="24"/>
          <w:lang w:eastAsia="zh-CN"/>
        </w:rPr>
        <w:t>Generalize</w:t>
      </w:r>
      <w:r w:rsidR="005C6B18">
        <w:rPr>
          <w:i/>
          <w:sz w:val="24"/>
          <w:szCs w:val="24"/>
          <w:lang w:eastAsia="zh-CN"/>
        </w:rPr>
        <w:t>d</w:t>
      </w:r>
      <w:proofErr w:type="spellEnd"/>
      <w:r w:rsidR="005C6B18" w:rsidRPr="00ED4725">
        <w:rPr>
          <w:i/>
          <w:sz w:val="24"/>
          <w:szCs w:val="24"/>
          <w:lang w:eastAsia="zh-CN"/>
        </w:rPr>
        <w:t xml:space="preserve"> </w:t>
      </w:r>
      <w:proofErr w:type="spellStart"/>
      <w:r w:rsidR="005C6B18" w:rsidRPr="00ED4725">
        <w:rPr>
          <w:i/>
          <w:sz w:val="24"/>
          <w:szCs w:val="24"/>
          <w:lang w:eastAsia="zh-CN"/>
        </w:rPr>
        <w:t>Moment</w:t>
      </w:r>
      <w:r w:rsidR="005C6B18">
        <w:rPr>
          <w:i/>
          <w:sz w:val="24"/>
          <w:szCs w:val="24"/>
          <w:lang w:eastAsia="zh-CN"/>
        </w:rPr>
        <w:t>s</w:t>
      </w:r>
      <w:proofErr w:type="spellEnd"/>
      <w:r w:rsidR="005C6B18" w:rsidRPr="00ED4725">
        <w:rPr>
          <w:i/>
          <w:sz w:val="24"/>
          <w:szCs w:val="24"/>
          <w:lang w:eastAsia="zh-CN"/>
        </w:rPr>
        <w:t xml:space="preserve"> </w:t>
      </w:r>
      <w:proofErr w:type="spellStart"/>
      <w:r w:rsidR="005C6B18" w:rsidRPr="00ED4725">
        <w:rPr>
          <w:i/>
          <w:sz w:val="24"/>
          <w:szCs w:val="24"/>
          <w:lang w:eastAsia="zh-CN"/>
        </w:rPr>
        <w:t>Method</w:t>
      </w:r>
      <w:proofErr w:type="spellEnd"/>
      <w:r w:rsidR="005C6B18">
        <w:rPr>
          <w:sz w:val="24"/>
          <w:szCs w:val="24"/>
          <w:lang w:eastAsia="zh-CN"/>
        </w:rPr>
        <w:t>, GMM). Foram testadas as especificações pelo Método dos Mínimos Quadrados de Dois Estágios</w:t>
      </w:r>
      <w:r w:rsidR="006A3331">
        <w:rPr>
          <w:sz w:val="24"/>
          <w:szCs w:val="24"/>
          <w:lang w:eastAsia="zh-CN"/>
        </w:rPr>
        <w:t>. T</w:t>
      </w:r>
      <w:r w:rsidR="005C6B18">
        <w:rPr>
          <w:sz w:val="24"/>
          <w:szCs w:val="24"/>
          <w:lang w:eastAsia="zh-CN"/>
        </w:rPr>
        <w:t>odavia</w:t>
      </w:r>
      <w:r w:rsidR="006A3331">
        <w:rPr>
          <w:sz w:val="24"/>
          <w:szCs w:val="24"/>
          <w:lang w:eastAsia="zh-CN"/>
        </w:rPr>
        <w:t>,</w:t>
      </w:r>
      <w:r w:rsidR="005C6B18">
        <w:rPr>
          <w:sz w:val="24"/>
          <w:szCs w:val="24"/>
          <w:lang w:eastAsia="zh-CN"/>
        </w:rPr>
        <w:t xml:space="preserve"> o</w:t>
      </w:r>
      <w:r w:rsidR="005C6B18">
        <w:rPr>
          <w:sz w:val="24"/>
          <w:szCs w:val="24"/>
        </w:rPr>
        <w:t xml:space="preserve"> </w:t>
      </w:r>
      <w:r w:rsidR="005C6B18" w:rsidRPr="00EB6D8C">
        <w:rPr>
          <w:sz w:val="24"/>
          <w:szCs w:val="24"/>
        </w:rPr>
        <w:t xml:space="preserve">sistema obtido por GMM </w:t>
      </w:r>
      <w:r w:rsidR="005C6B18">
        <w:rPr>
          <w:sz w:val="24"/>
          <w:szCs w:val="24"/>
        </w:rPr>
        <w:t xml:space="preserve">apresentou-se com melhor ajuste seja no que se refere à significância estatística dos parâmetros, seja do ponto de vista das </w:t>
      </w:r>
      <w:r w:rsidR="005C6B18" w:rsidRPr="00EB6D8C">
        <w:rPr>
          <w:sz w:val="24"/>
          <w:szCs w:val="24"/>
        </w:rPr>
        <w:t xml:space="preserve">relações teóricas previstas </w:t>
      </w:r>
      <w:r w:rsidR="005C6B18">
        <w:rPr>
          <w:sz w:val="24"/>
          <w:szCs w:val="24"/>
        </w:rPr>
        <w:t xml:space="preserve">ou mesmo na validade das variáveis instrumentais usadas e na qualidade do ajustamento do modelo. </w:t>
      </w:r>
      <w:r w:rsidR="003568B0">
        <w:rPr>
          <w:sz w:val="24"/>
          <w:szCs w:val="24"/>
          <w:lang w:eastAsia="zh-CN"/>
        </w:rPr>
        <w:t xml:space="preserve">É importante </w:t>
      </w:r>
      <w:r w:rsidR="005C6B18">
        <w:rPr>
          <w:sz w:val="24"/>
          <w:szCs w:val="24"/>
          <w:lang w:eastAsia="zh-CN"/>
        </w:rPr>
        <w:t xml:space="preserve">mencionar que, quando identificados problemas de variância não constante dos erros e autocorrelação serial nos painéis obtidos, por meio dos testes de </w:t>
      </w:r>
      <w:proofErr w:type="spellStart"/>
      <w:r w:rsidR="005C6B18">
        <w:rPr>
          <w:sz w:val="24"/>
          <w:szCs w:val="24"/>
          <w:lang w:eastAsia="zh-CN"/>
        </w:rPr>
        <w:t>Wooldridge</w:t>
      </w:r>
      <w:proofErr w:type="spellEnd"/>
      <w:r w:rsidR="005C6B18">
        <w:rPr>
          <w:sz w:val="24"/>
          <w:szCs w:val="24"/>
          <w:lang w:eastAsia="zh-CN"/>
        </w:rPr>
        <w:t xml:space="preserve"> e de Wald modificado, procedeu-se à correção destas violações, a partir de vetores de </w:t>
      </w:r>
      <w:r w:rsidR="005C6B18">
        <w:rPr>
          <w:sz w:val="24"/>
          <w:szCs w:val="24"/>
          <w:lang w:eastAsia="zh-CN"/>
        </w:rPr>
        <w:lastRenderedPageBreak/>
        <w:t>correção de erro adequados ao GMM.</w:t>
      </w:r>
      <w:r w:rsidR="005C6B18">
        <w:rPr>
          <w:sz w:val="24"/>
          <w:szCs w:val="24"/>
        </w:rPr>
        <w:t xml:space="preserve"> </w:t>
      </w:r>
      <w:r w:rsidR="003568B0">
        <w:rPr>
          <w:sz w:val="24"/>
          <w:szCs w:val="24"/>
          <w:lang w:eastAsia="zh-CN"/>
        </w:rPr>
        <w:t>No que concerne à</w:t>
      </w:r>
      <w:r w:rsidR="005C6B18">
        <w:rPr>
          <w:sz w:val="24"/>
          <w:szCs w:val="24"/>
          <w:lang w:eastAsia="zh-CN"/>
        </w:rPr>
        <w:t xml:space="preserve"> escolha </w:t>
      </w:r>
      <w:r w:rsidR="003568B0">
        <w:rPr>
          <w:sz w:val="24"/>
          <w:szCs w:val="24"/>
          <w:lang w:eastAsia="zh-CN"/>
        </w:rPr>
        <w:t xml:space="preserve">do </w:t>
      </w:r>
      <w:r w:rsidR="005C6B18">
        <w:rPr>
          <w:sz w:val="24"/>
          <w:szCs w:val="24"/>
          <w:lang w:eastAsia="zh-CN"/>
        </w:rPr>
        <w:t xml:space="preserve">modelo de efeito fixo ou de efeito variável, </w:t>
      </w:r>
      <w:r w:rsidR="003568B0">
        <w:rPr>
          <w:sz w:val="24"/>
          <w:szCs w:val="24"/>
          <w:lang w:eastAsia="zh-CN"/>
        </w:rPr>
        <w:t>n</w:t>
      </w:r>
      <w:r w:rsidR="005C6B18">
        <w:rPr>
          <w:sz w:val="24"/>
          <w:szCs w:val="24"/>
          <w:lang w:eastAsia="zh-CN"/>
        </w:rPr>
        <w:t xml:space="preserve">a aplicação do teste de </w:t>
      </w:r>
      <w:proofErr w:type="spellStart"/>
      <w:r w:rsidR="005C6B18">
        <w:rPr>
          <w:sz w:val="24"/>
          <w:szCs w:val="24"/>
          <w:lang w:eastAsia="zh-CN"/>
        </w:rPr>
        <w:t>Hausman</w:t>
      </w:r>
      <w:proofErr w:type="spellEnd"/>
      <w:r w:rsidR="005C6B18">
        <w:rPr>
          <w:sz w:val="24"/>
          <w:szCs w:val="24"/>
          <w:lang w:eastAsia="zh-CN"/>
        </w:rPr>
        <w:t xml:space="preserve">, com exceção de duas equações, cujos resultados foram inconclusivos, todas as demais apontam a forma de efeito fixo como mais eficiente. </w:t>
      </w:r>
      <w:r w:rsidR="00982679">
        <w:rPr>
          <w:sz w:val="24"/>
          <w:szCs w:val="24"/>
          <w:lang w:eastAsia="zh-CN"/>
        </w:rPr>
        <w:t>A seguir, na</w:t>
      </w:r>
      <w:r w:rsidR="005C6B18">
        <w:rPr>
          <w:sz w:val="24"/>
          <w:szCs w:val="24"/>
        </w:rPr>
        <w:t xml:space="preserve"> Tabela </w:t>
      </w:r>
      <w:r w:rsidR="003A6DA3">
        <w:rPr>
          <w:sz w:val="24"/>
          <w:szCs w:val="24"/>
        </w:rPr>
        <w:t>2</w:t>
      </w:r>
      <w:r w:rsidR="005C6B18">
        <w:rPr>
          <w:sz w:val="24"/>
          <w:szCs w:val="24"/>
        </w:rPr>
        <w:t xml:space="preserve">, </w:t>
      </w:r>
      <w:r w:rsidR="005C6B18" w:rsidRPr="00EB6D8C">
        <w:rPr>
          <w:sz w:val="24"/>
          <w:szCs w:val="24"/>
        </w:rPr>
        <w:t>são apresentados os resultados do sistema estimado por GMM</w:t>
      </w:r>
      <w:r w:rsidR="005C6B18">
        <w:rPr>
          <w:sz w:val="24"/>
          <w:szCs w:val="24"/>
          <w:lang w:eastAsia="zh-CN"/>
        </w:rPr>
        <w:t xml:space="preserve">. </w:t>
      </w:r>
    </w:p>
    <w:p w:rsidR="00B3163D" w:rsidRDefault="00B3163D" w:rsidP="00B3163D">
      <w:pPr>
        <w:ind w:firstLine="709"/>
        <w:jc w:val="both"/>
        <w:rPr>
          <w:sz w:val="24"/>
          <w:szCs w:val="24"/>
          <w:lang w:eastAsia="zh-CN"/>
        </w:rPr>
      </w:pPr>
      <w:r>
        <w:rPr>
          <w:sz w:val="24"/>
          <w:szCs w:val="24"/>
          <w:lang w:eastAsia="zh-CN"/>
        </w:rPr>
        <w:t>Primeiramente, é importante atentar para o fato de que os coeficientes de ajustamento para cada equação são relativamente próximos entre si, mostrando que as variáveis explicativas incluídas na equação tem peso explicativo semelhante nas mudanças das variáveis dependentes, seja entre ou intraestados. Os maiores níveis de ajustamento se devem às equações que atestam que os gastos públicos estaduais são efetivos quanto ao aumento do estoque de capital humano (saúde e educação) e de melhoria da infraestrutura rodoviária.</w:t>
      </w:r>
    </w:p>
    <w:p w:rsidR="00B3163D" w:rsidRDefault="00B3163D" w:rsidP="00B3163D">
      <w:pPr>
        <w:autoSpaceDE w:val="0"/>
        <w:autoSpaceDN w:val="0"/>
        <w:adjustRightInd w:val="0"/>
        <w:ind w:firstLine="709"/>
        <w:jc w:val="both"/>
        <w:rPr>
          <w:sz w:val="24"/>
          <w:szCs w:val="24"/>
          <w:lang w:eastAsia="zh-CN"/>
        </w:rPr>
      </w:pPr>
      <w:r>
        <w:rPr>
          <w:sz w:val="24"/>
          <w:szCs w:val="24"/>
          <w:lang w:eastAsia="zh-CN"/>
        </w:rPr>
        <w:t xml:space="preserve">No que se refere às especificidades de cada regressão, as primeiras três equações tem por objetivo fazer inferências sobre a eficácia dos gastos públicos analisados. Os resultados revelam que as despesas dos governos federal e estadual nos estados brasileiros em educação, saúde e em transporte rodoviário permitem melhorias no nível de escolaridade, redução da taxa de mortalidade infantil e avanços na infraestrutura rodoviária estadual, respectivamente.  </w:t>
      </w:r>
    </w:p>
    <w:p w:rsidR="00B3163D" w:rsidRDefault="00B3163D" w:rsidP="00B3163D">
      <w:pPr>
        <w:autoSpaceDE w:val="0"/>
        <w:autoSpaceDN w:val="0"/>
        <w:adjustRightInd w:val="0"/>
        <w:ind w:firstLine="709"/>
        <w:jc w:val="both"/>
        <w:rPr>
          <w:sz w:val="24"/>
          <w:szCs w:val="24"/>
          <w:lang w:eastAsia="zh-CN"/>
        </w:rPr>
      </w:pPr>
      <w:r>
        <w:rPr>
          <w:sz w:val="24"/>
          <w:szCs w:val="24"/>
          <w:lang w:eastAsia="zh-CN"/>
        </w:rPr>
        <w:t xml:space="preserve">A primeira equação mostra que os gastos estaduais em educação e cultura conseguem explicar 59% das variações do número de anos de estudo da população, na análise intraestadual. Percebe-se ainda que os efeitos dos dispêndios do governo não se esgotam em um período, pois os gastos correntes e os gastos públicos com duas defasagens mostram-se estatisticamente significativos com relação direta com os acréscimos na escolaridade em cada estado brasileiro. Apesar do baixo valor dos coeficientes de elasticidades, dada </w:t>
      </w:r>
      <w:proofErr w:type="gramStart"/>
      <w:r>
        <w:rPr>
          <w:sz w:val="24"/>
          <w:szCs w:val="24"/>
          <w:lang w:eastAsia="zh-CN"/>
        </w:rPr>
        <w:t>a</w:t>
      </w:r>
      <w:proofErr w:type="gramEnd"/>
      <w:r>
        <w:rPr>
          <w:sz w:val="24"/>
          <w:szCs w:val="24"/>
          <w:lang w:eastAsia="zh-CN"/>
        </w:rPr>
        <w:t xml:space="preserve"> forma funcional duplo </w:t>
      </w:r>
      <w:proofErr w:type="spellStart"/>
      <w:r>
        <w:rPr>
          <w:sz w:val="24"/>
          <w:szCs w:val="24"/>
          <w:lang w:eastAsia="zh-CN"/>
        </w:rPr>
        <w:t>log</w:t>
      </w:r>
      <w:proofErr w:type="spellEnd"/>
      <w:r>
        <w:rPr>
          <w:sz w:val="24"/>
          <w:szCs w:val="24"/>
          <w:lang w:eastAsia="zh-CN"/>
        </w:rPr>
        <w:t>, os efeitos não se reduzem com o passar do período em que os recursos financeiros foram canalizados para a educação. Especificamente, em média, espera-se que o aumento de 10% do volume financeiro direcionado para a educação promova aumento de 0,58% na escolaridade média estadual.</w:t>
      </w:r>
    </w:p>
    <w:p w:rsidR="00B3163D" w:rsidRDefault="00B3163D" w:rsidP="00B3163D">
      <w:pPr>
        <w:autoSpaceDE w:val="0"/>
        <w:autoSpaceDN w:val="0"/>
        <w:adjustRightInd w:val="0"/>
        <w:ind w:firstLine="709"/>
        <w:jc w:val="both"/>
        <w:rPr>
          <w:sz w:val="24"/>
          <w:szCs w:val="24"/>
        </w:rPr>
      </w:pPr>
      <w:r>
        <w:rPr>
          <w:sz w:val="24"/>
          <w:szCs w:val="24"/>
        </w:rPr>
        <w:t>Avaliando a</w:t>
      </w:r>
      <w:r w:rsidRPr="00BB6E85">
        <w:rPr>
          <w:sz w:val="24"/>
          <w:szCs w:val="24"/>
        </w:rPr>
        <w:t xml:space="preserve"> evolução da educação do brasileiro</w:t>
      </w:r>
      <w:r>
        <w:rPr>
          <w:sz w:val="24"/>
          <w:szCs w:val="24"/>
        </w:rPr>
        <w:t xml:space="preserve">, tem-se que </w:t>
      </w:r>
      <w:r w:rsidRPr="00BB6E85">
        <w:rPr>
          <w:sz w:val="24"/>
          <w:szCs w:val="24"/>
        </w:rPr>
        <w:t xml:space="preserve">a taxa de frequência escolar ao ensino fundamental </w:t>
      </w:r>
      <w:r>
        <w:rPr>
          <w:sz w:val="24"/>
          <w:szCs w:val="24"/>
        </w:rPr>
        <w:t>de</w:t>
      </w:r>
      <w:r w:rsidRPr="00BB6E85">
        <w:rPr>
          <w:sz w:val="24"/>
          <w:szCs w:val="24"/>
        </w:rPr>
        <w:t xml:space="preserve"> 2008 era de 97,9% (PNAD, 2008), o que mostra </w:t>
      </w:r>
      <w:r>
        <w:rPr>
          <w:sz w:val="24"/>
          <w:szCs w:val="24"/>
        </w:rPr>
        <w:t>avanço</w:t>
      </w:r>
      <w:r w:rsidRPr="00BB6E85">
        <w:rPr>
          <w:sz w:val="24"/>
          <w:szCs w:val="24"/>
        </w:rPr>
        <w:t xml:space="preserve"> na comparação com 1998</w:t>
      </w:r>
      <w:r>
        <w:rPr>
          <w:sz w:val="24"/>
          <w:szCs w:val="24"/>
        </w:rPr>
        <w:t xml:space="preserve"> (</w:t>
      </w:r>
      <w:r w:rsidRPr="00BB6E85">
        <w:rPr>
          <w:sz w:val="24"/>
          <w:szCs w:val="24"/>
        </w:rPr>
        <w:t>94,7%</w:t>
      </w:r>
      <w:r>
        <w:rPr>
          <w:sz w:val="24"/>
          <w:szCs w:val="24"/>
        </w:rPr>
        <w:t xml:space="preserve">), embora a </w:t>
      </w:r>
      <w:r w:rsidRPr="00BB6E85">
        <w:rPr>
          <w:sz w:val="24"/>
          <w:szCs w:val="24"/>
        </w:rPr>
        <w:t xml:space="preserve">taxa de conclusão </w:t>
      </w:r>
      <w:r>
        <w:rPr>
          <w:sz w:val="24"/>
          <w:szCs w:val="24"/>
        </w:rPr>
        <w:t>seja</w:t>
      </w:r>
      <w:r w:rsidRPr="00BB6E85">
        <w:rPr>
          <w:sz w:val="24"/>
          <w:szCs w:val="24"/>
        </w:rPr>
        <w:t xml:space="preserve"> bem inferior e pouco acima dos 40%.</w:t>
      </w:r>
      <w:r>
        <w:rPr>
          <w:sz w:val="24"/>
          <w:szCs w:val="24"/>
        </w:rPr>
        <w:t xml:space="preserve"> Vale</w:t>
      </w:r>
      <w:r w:rsidRPr="00BB6E85">
        <w:rPr>
          <w:sz w:val="24"/>
          <w:szCs w:val="24"/>
        </w:rPr>
        <w:t xml:space="preserve"> lembrar que</w:t>
      </w:r>
      <w:r>
        <w:rPr>
          <w:sz w:val="24"/>
          <w:szCs w:val="24"/>
        </w:rPr>
        <w:t>,</w:t>
      </w:r>
      <w:r w:rsidRPr="00BB6E85">
        <w:rPr>
          <w:sz w:val="24"/>
          <w:szCs w:val="24"/>
        </w:rPr>
        <w:t xml:space="preserve"> </w:t>
      </w:r>
      <w:r>
        <w:rPr>
          <w:sz w:val="24"/>
          <w:szCs w:val="24"/>
        </w:rPr>
        <w:t>durante os anos 2000</w:t>
      </w:r>
      <w:r w:rsidRPr="00BB6E85">
        <w:rPr>
          <w:sz w:val="24"/>
          <w:szCs w:val="24"/>
        </w:rPr>
        <w:t>, muito desse quadro se deve às condicionalidades dos programas de transferência de renda</w:t>
      </w:r>
      <w:r>
        <w:rPr>
          <w:sz w:val="24"/>
          <w:szCs w:val="24"/>
        </w:rPr>
        <w:t>, Entretanto, segundo</w:t>
      </w:r>
      <w:r w:rsidRPr="00BB6E85">
        <w:rPr>
          <w:sz w:val="24"/>
          <w:szCs w:val="24"/>
        </w:rPr>
        <w:t xml:space="preserve"> </w:t>
      </w:r>
      <w:r w:rsidRPr="00BB6E85">
        <w:rPr>
          <w:color w:val="000000"/>
          <w:sz w:val="24"/>
          <w:szCs w:val="24"/>
        </w:rPr>
        <w:t>Rigotto e Souza (2005)</w:t>
      </w:r>
      <w:r>
        <w:rPr>
          <w:color w:val="000000"/>
          <w:sz w:val="24"/>
          <w:szCs w:val="24"/>
        </w:rPr>
        <w:t>,</w:t>
      </w:r>
      <w:r w:rsidRPr="00BB6E85">
        <w:rPr>
          <w:color w:val="000000"/>
          <w:sz w:val="24"/>
          <w:szCs w:val="24"/>
        </w:rPr>
        <w:t xml:space="preserve"> </w:t>
      </w:r>
      <w:r w:rsidRPr="00BB6E85">
        <w:rPr>
          <w:sz w:val="24"/>
          <w:szCs w:val="24"/>
        </w:rPr>
        <w:t>dos concluintes do ensino básico, apenas</w:t>
      </w:r>
      <w:r w:rsidRPr="00EB6D8C">
        <w:rPr>
          <w:sz w:val="24"/>
          <w:szCs w:val="24"/>
        </w:rPr>
        <w:t xml:space="preserve"> 72,2% seguem para o ensino médio, enquanto o restante fica à margem do mercado de trabalho, </w:t>
      </w:r>
      <w:r>
        <w:rPr>
          <w:sz w:val="24"/>
          <w:szCs w:val="24"/>
        </w:rPr>
        <w:t>com</w:t>
      </w:r>
      <w:r w:rsidRPr="00EB6D8C">
        <w:rPr>
          <w:sz w:val="24"/>
          <w:szCs w:val="24"/>
        </w:rPr>
        <w:t xml:space="preserve"> baixa instrução e preparo insuficiente para o mercado de trabalho</w:t>
      </w:r>
      <w:r>
        <w:rPr>
          <w:sz w:val="24"/>
          <w:szCs w:val="24"/>
        </w:rPr>
        <w:t>.</w:t>
      </w:r>
      <w:r w:rsidRPr="008E32B7">
        <w:rPr>
          <w:sz w:val="24"/>
          <w:szCs w:val="24"/>
        </w:rPr>
        <w:t xml:space="preserve"> </w:t>
      </w:r>
      <w:r w:rsidRPr="00EB6D8C">
        <w:rPr>
          <w:sz w:val="24"/>
          <w:szCs w:val="24"/>
        </w:rPr>
        <w:t xml:space="preserve">Os autores alertam ainda </w:t>
      </w:r>
      <w:r>
        <w:rPr>
          <w:sz w:val="24"/>
          <w:szCs w:val="24"/>
        </w:rPr>
        <w:t xml:space="preserve">para a </w:t>
      </w:r>
      <w:r w:rsidRPr="00EB6D8C">
        <w:rPr>
          <w:sz w:val="24"/>
          <w:szCs w:val="24"/>
        </w:rPr>
        <w:t xml:space="preserve">importante questão da distorção entre idade e ano escolar, </w:t>
      </w:r>
      <w:r>
        <w:rPr>
          <w:sz w:val="24"/>
          <w:szCs w:val="24"/>
        </w:rPr>
        <w:t xml:space="preserve">um obstáculo ao </w:t>
      </w:r>
      <w:r w:rsidRPr="00EB6D8C">
        <w:rPr>
          <w:sz w:val="24"/>
          <w:szCs w:val="24"/>
        </w:rPr>
        <w:t xml:space="preserve">ensino secundário em virtude do atraso na conclusão do ensino fundamental. </w:t>
      </w:r>
    </w:p>
    <w:p w:rsidR="00B3163D" w:rsidRDefault="00B3163D" w:rsidP="00B3163D">
      <w:pPr>
        <w:ind w:firstLine="709"/>
        <w:jc w:val="both"/>
        <w:rPr>
          <w:sz w:val="24"/>
          <w:szCs w:val="24"/>
        </w:rPr>
      </w:pPr>
      <w:r>
        <w:rPr>
          <w:sz w:val="24"/>
          <w:szCs w:val="24"/>
        </w:rPr>
        <w:t>Nesse cenário, uma forma de identificar a efi</w:t>
      </w:r>
      <w:r w:rsidRPr="00C3508B">
        <w:rPr>
          <w:sz w:val="24"/>
          <w:szCs w:val="24"/>
        </w:rPr>
        <w:t>cácia do sistema</w:t>
      </w:r>
      <w:r>
        <w:rPr>
          <w:sz w:val="24"/>
          <w:szCs w:val="24"/>
        </w:rPr>
        <w:t xml:space="preserve"> educacional nacional e de vislumbrar a c</w:t>
      </w:r>
      <w:r w:rsidRPr="00C3508B">
        <w:rPr>
          <w:sz w:val="24"/>
          <w:szCs w:val="24"/>
        </w:rPr>
        <w:t xml:space="preserve">apacidade </w:t>
      </w:r>
      <w:r>
        <w:rPr>
          <w:sz w:val="24"/>
          <w:szCs w:val="24"/>
        </w:rPr>
        <w:t>da</w:t>
      </w:r>
      <w:r w:rsidRPr="00C3508B">
        <w:rPr>
          <w:sz w:val="24"/>
          <w:szCs w:val="24"/>
        </w:rPr>
        <w:t xml:space="preserve"> sociedade </w:t>
      </w:r>
      <w:r>
        <w:rPr>
          <w:sz w:val="24"/>
          <w:szCs w:val="24"/>
        </w:rPr>
        <w:t>de</w:t>
      </w:r>
      <w:r w:rsidRPr="00C3508B">
        <w:rPr>
          <w:sz w:val="24"/>
          <w:szCs w:val="24"/>
        </w:rPr>
        <w:t xml:space="preserve"> combater a</w:t>
      </w:r>
      <w:r>
        <w:rPr>
          <w:sz w:val="24"/>
          <w:szCs w:val="24"/>
        </w:rPr>
        <w:t xml:space="preserve"> </w:t>
      </w:r>
      <w:r w:rsidRPr="00C3508B">
        <w:rPr>
          <w:sz w:val="24"/>
          <w:szCs w:val="24"/>
        </w:rPr>
        <w:t>pobreza e melhorar a coesão social</w:t>
      </w:r>
      <w:r>
        <w:rPr>
          <w:sz w:val="24"/>
          <w:szCs w:val="24"/>
        </w:rPr>
        <w:t xml:space="preserve"> é avaliar a representatividade da </w:t>
      </w:r>
      <w:r w:rsidRPr="00C3508B">
        <w:rPr>
          <w:sz w:val="24"/>
          <w:szCs w:val="24"/>
        </w:rPr>
        <w:t>população jovem de 18 a 24 anos de idade</w:t>
      </w:r>
      <w:r>
        <w:rPr>
          <w:sz w:val="24"/>
          <w:szCs w:val="24"/>
        </w:rPr>
        <w:t xml:space="preserve"> que tem 11 anos de estudo.</w:t>
      </w:r>
      <w:r w:rsidRPr="00691022">
        <w:rPr>
          <w:sz w:val="24"/>
          <w:szCs w:val="24"/>
        </w:rPr>
        <w:t xml:space="preserve"> </w:t>
      </w:r>
      <w:r w:rsidRPr="00C3508B">
        <w:rPr>
          <w:sz w:val="24"/>
          <w:szCs w:val="24"/>
        </w:rPr>
        <w:t xml:space="preserve">No Brasil, </w:t>
      </w:r>
      <w:r>
        <w:rPr>
          <w:sz w:val="24"/>
          <w:szCs w:val="24"/>
        </w:rPr>
        <w:t xml:space="preserve">segundo </w:t>
      </w:r>
      <w:r w:rsidRPr="00C3508B">
        <w:rPr>
          <w:sz w:val="24"/>
          <w:szCs w:val="24"/>
        </w:rPr>
        <w:t>dados da PNAD</w:t>
      </w:r>
      <w:r>
        <w:rPr>
          <w:sz w:val="24"/>
          <w:szCs w:val="24"/>
        </w:rPr>
        <w:t xml:space="preserve"> de 2008, </w:t>
      </w:r>
      <w:r w:rsidRPr="00C3508B">
        <w:rPr>
          <w:sz w:val="24"/>
          <w:szCs w:val="24"/>
        </w:rPr>
        <w:t>o percentual de joven</w:t>
      </w:r>
      <w:r>
        <w:rPr>
          <w:sz w:val="24"/>
          <w:szCs w:val="24"/>
        </w:rPr>
        <w:t xml:space="preserve">s que possuem essa escolaridade </w:t>
      </w:r>
      <w:r w:rsidRPr="00C3508B">
        <w:rPr>
          <w:sz w:val="24"/>
          <w:szCs w:val="24"/>
        </w:rPr>
        <w:t xml:space="preserve">ainda </w:t>
      </w:r>
      <w:r>
        <w:rPr>
          <w:sz w:val="24"/>
          <w:szCs w:val="24"/>
        </w:rPr>
        <w:t>é</w:t>
      </w:r>
      <w:r w:rsidRPr="00C3508B">
        <w:rPr>
          <w:sz w:val="24"/>
          <w:szCs w:val="24"/>
        </w:rPr>
        <w:t xml:space="preserve"> extremamente baixo</w:t>
      </w:r>
      <w:r>
        <w:rPr>
          <w:sz w:val="24"/>
          <w:szCs w:val="24"/>
        </w:rPr>
        <w:t xml:space="preserve"> (</w:t>
      </w:r>
      <w:r w:rsidRPr="00C3508B">
        <w:rPr>
          <w:sz w:val="24"/>
          <w:szCs w:val="24"/>
        </w:rPr>
        <w:t>36,8%</w:t>
      </w:r>
      <w:r>
        <w:rPr>
          <w:sz w:val="24"/>
          <w:szCs w:val="24"/>
        </w:rPr>
        <w:t>), embora este percentual tenha dobrado com relação a</w:t>
      </w:r>
      <w:r w:rsidRPr="00C3508B">
        <w:rPr>
          <w:sz w:val="24"/>
          <w:szCs w:val="24"/>
        </w:rPr>
        <w:t xml:space="preserve"> 1998</w:t>
      </w:r>
      <w:r>
        <w:rPr>
          <w:sz w:val="24"/>
          <w:szCs w:val="24"/>
        </w:rPr>
        <w:t xml:space="preserve"> </w:t>
      </w:r>
      <w:r w:rsidRPr="00C3508B">
        <w:rPr>
          <w:sz w:val="24"/>
          <w:szCs w:val="24"/>
        </w:rPr>
        <w:t>(18,1%).</w:t>
      </w:r>
      <w:r>
        <w:rPr>
          <w:sz w:val="24"/>
          <w:szCs w:val="24"/>
        </w:rPr>
        <w:t xml:space="preserve"> No comparativo </w:t>
      </w:r>
      <w:proofErr w:type="spellStart"/>
      <w:r>
        <w:rPr>
          <w:sz w:val="24"/>
          <w:szCs w:val="24"/>
        </w:rPr>
        <w:t>interregional</w:t>
      </w:r>
      <w:proofErr w:type="spellEnd"/>
      <w:r>
        <w:rPr>
          <w:sz w:val="24"/>
          <w:szCs w:val="24"/>
        </w:rPr>
        <w:t xml:space="preserve">, as </w:t>
      </w:r>
      <w:r w:rsidRPr="00C3508B">
        <w:rPr>
          <w:sz w:val="24"/>
          <w:szCs w:val="24"/>
        </w:rPr>
        <w:t>desigualdades regionais são marcantes</w:t>
      </w:r>
      <w:r>
        <w:rPr>
          <w:sz w:val="24"/>
          <w:szCs w:val="24"/>
        </w:rPr>
        <w:t xml:space="preserve">, visto que, no </w:t>
      </w:r>
      <w:r w:rsidRPr="00C3508B">
        <w:rPr>
          <w:sz w:val="24"/>
          <w:szCs w:val="24"/>
        </w:rPr>
        <w:t xml:space="preserve">Sudeste, a </w:t>
      </w:r>
      <w:r>
        <w:rPr>
          <w:sz w:val="24"/>
          <w:szCs w:val="24"/>
        </w:rPr>
        <w:t xml:space="preserve">faixa etária de 18 a 24 anos com 11 anos de estudo, em 2008, era de </w:t>
      </w:r>
      <w:r w:rsidRPr="00C3508B">
        <w:rPr>
          <w:sz w:val="24"/>
          <w:szCs w:val="24"/>
        </w:rPr>
        <w:t>43,8%</w:t>
      </w:r>
      <w:r>
        <w:rPr>
          <w:sz w:val="24"/>
          <w:szCs w:val="24"/>
        </w:rPr>
        <w:t>, enquanto no</w:t>
      </w:r>
      <w:r w:rsidRPr="00C3508B">
        <w:rPr>
          <w:sz w:val="24"/>
          <w:szCs w:val="24"/>
        </w:rPr>
        <w:t xml:space="preserve"> Nordeste,</w:t>
      </w:r>
      <w:r>
        <w:rPr>
          <w:sz w:val="24"/>
          <w:szCs w:val="24"/>
        </w:rPr>
        <w:t xml:space="preserve"> apenas </w:t>
      </w:r>
      <w:r w:rsidRPr="00C3508B">
        <w:rPr>
          <w:sz w:val="24"/>
          <w:szCs w:val="24"/>
        </w:rPr>
        <w:t>29,2%</w:t>
      </w:r>
      <w:r>
        <w:rPr>
          <w:sz w:val="24"/>
          <w:szCs w:val="24"/>
        </w:rPr>
        <w:t xml:space="preserve"> dos jovens nesta faixa etária possui tal nível de instrução.</w:t>
      </w:r>
    </w:p>
    <w:p w:rsidR="00B3163D" w:rsidRDefault="00B3163D" w:rsidP="00B3163D">
      <w:pPr>
        <w:autoSpaceDE w:val="0"/>
        <w:autoSpaceDN w:val="0"/>
        <w:adjustRightInd w:val="0"/>
        <w:ind w:firstLine="709"/>
        <w:jc w:val="both"/>
        <w:rPr>
          <w:sz w:val="24"/>
          <w:szCs w:val="24"/>
        </w:rPr>
      </w:pPr>
      <w:r>
        <w:rPr>
          <w:sz w:val="24"/>
          <w:szCs w:val="24"/>
        </w:rPr>
        <w:t xml:space="preserve">Na essência, as melhorias no quadro educacional brasileiro são na sua maioria </w:t>
      </w:r>
      <w:r w:rsidRPr="00EB6D8C">
        <w:rPr>
          <w:sz w:val="24"/>
          <w:szCs w:val="24"/>
        </w:rPr>
        <w:t>quantitativ</w:t>
      </w:r>
      <w:r>
        <w:rPr>
          <w:sz w:val="24"/>
          <w:szCs w:val="24"/>
        </w:rPr>
        <w:t>as</w:t>
      </w:r>
      <w:r w:rsidRPr="00EB6D8C">
        <w:rPr>
          <w:sz w:val="24"/>
          <w:szCs w:val="24"/>
        </w:rPr>
        <w:t xml:space="preserve">. </w:t>
      </w:r>
      <w:r>
        <w:rPr>
          <w:sz w:val="24"/>
          <w:szCs w:val="24"/>
        </w:rPr>
        <w:t xml:space="preserve">Segundo dados do </w:t>
      </w:r>
      <w:proofErr w:type="spellStart"/>
      <w:r>
        <w:rPr>
          <w:sz w:val="24"/>
          <w:szCs w:val="24"/>
        </w:rPr>
        <w:t>Ipeadata</w:t>
      </w:r>
      <w:proofErr w:type="spellEnd"/>
      <w:r>
        <w:rPr>
          <w:sz w:val="24"/>
          <w:szCs w:val="24"/>
        </w:rPr>
        <w:t xml:space="preserve"> (2013), 2,21% da população brasileira de 15 a 24 anos de idade não sabe ao menos escrever um simples bilhete, sendo que, em treze estados brasileiros, este percentual é maior. Os destaques são Maranhão e Alagoas, cuja parcela dessa faixa etária de analfabetos é de 5,95% e 8,37%, respectivamente. Na outra ponta, aparece o Distrito Federal (0,63%) e o Amapá, com apenas 0,23%. Atenta-se ainda para o analfabeto funcional, cuja representatividade em 2008 atinge os 21% da população brasileira com 15 anos ou mais. Estes indivíduos não conseguem interpretar um texto, sendo que no meio rural esta percentagem sobe para 41,8%. Conforme esperado, os estados do Norte e Nordeste destacam-se, cujos percentuais de analfabetos funcionais são de 24,2% e 31,6%, respectivamente, no mesmo ano. </w:t>
      </w:r>
    </w:p>
    <w:p w:rsidR="00B3163D" w:rsidRPr="00EB6D8C" w:rsidRDefault="00B3163D" w:rsidP="008E32B7">
      <w:pPr>
        <w:ind w:firstLine="709"/>
        <w:jc w:val="both"/>
        <w:rPr>
          <w:sz w:val="24"/>
          <w:szCs w:val="24"/>
          <w:lang w:eastAsia="zh-CN"/>
        </w:rPr>
        <w:sectPr w:rsidR="00B3163D" w:rsidRPr="00EB6D8C" w:rsidSect="00B3163D">
          <w:footerReference w:type="default" r:id="rId90"/>
          <w:pgSz w:w="11906" w:h="16838" w:code="9"/>
          <w:pgMar w:top="1134" w:right="851" w:bottom="1134" w:left="851" w:header="709" w:footer="709" w:gutter="0"/>
          <w:pgNumType w:start="1"/>
          <w:cols w:space="720"/>
          <w:docGrid w:linePitch="299"/>
        </w:sectPr>
      </w:pPr>
    </w:p>
    <w:p w:rsidR="00B77266" w:rsidRDefault="00B77266" w:rsidP="00726852">
      <w:pPr>
        <w:autoSpaceDE w:val="0"/>
        <w:autoSpaceDN w:val="0"/>
        <w:adjustRightInd w:val="0"/>
        <w:ind w:hanging="1260"/>
        <w:jc w:val="both"/>
        <w:rPr>
          <w:sz w:val="24"/>
          <w:szCs w:val="24"/>
        </w:rPr>
      </w:pPr>
    </w:p>
    <w:p w:rsidR="00B77266" w:rsidRDefault="00E040F7" w:rsidP="00726852">
      <w:pPr>
        <w:autoSpaceDE w:val="0"/>
        <w:autoSpaceDN w:val="0"/>
        <w:adjustRightInd w:val="0"/>
        <w:ind w:left="1134" w:hanging="1134"/>
        <w:jc w:val="both"/>
        <w:rPr>
          <w:sz w:val="24"/>
          <w:szCs w:val="24"/>
        </w:rPr>
      </w:pPr>
      <w:r w:rsidRPr="00EB6D8C">
        <w:rPr>
          <w:sz w:val="24"/>
          <w:szCs w:val="24"/>
        </w:rPr>
        <w:t xml:space="preserve">Tabela </w:t>
      </w:r>
      <w:r w:rsidR="003A6DA3">
        <w:rPr>
          <w:sz w:val="24"/>
          <w:szCs w:val="24"/>
        </w:rPr>
        <w:t>2</w:t>
      </w:r>
      <w:r w:rsidRPr="00EB6D8C">
        <w:rPr>
          <w:sz w:val="24"/>
          <w:szCs w:val="24"/>
        </w:rPr>
        <w:t xml:space="preserve"> – Efeitos dos gastos públicos em infraestrutura física e </w:t>
      </w:r>
      <w:r>
        <w:rPr>
          <w:sz w:val="24"/>
          <w:szCs w:val="24"/>
        </w:rPr>
        <w:t xml:space="preserve">em </w:t>
      </w:r>
      <w:r w:rsidR="00571C06">
        <w:rPr>
          <w:sz w:val="24"/>
          <w:szCs w:val="24"/>
        </w:rPr>
        <w:t>capital humano sobre a renda per capita</w:t>
      </w:r>
      <w:r>
        <w:rPr>
          <w:sz w:val="24"/>
          <w:szCs w:val="24"/>
        </w:rPr>
        <w:t xml:space="preserve"> e a pobreza, estados brasileiros, 1995</w:t>
      </w:r>
      <w:r w:rsidRPr="00EB6D8C">
        <w:rPr>
          <w:sz w:val="24"/>
          <w:szCs w:val="24"/>
        </w:rPr>
        <w:t>-</w:t>
      </w:r>
      <w:proofErr w:type="gramStart"/>
      <w:r w:rsidRPr="00EB6D8C">
        <w:rPr>
          <w:sz w:val="24"/>
          <w:szCs w:val="24"/>
        </w:rPr>
        <w:t>200</w:t>
      </w:r>
      <w:r>
        <w:rPr>
          <w:sz w:val="24"/>
          <w:szCs w:val="24"/>
        </w:rPr>
        <w:t>8</w:t>
      </w:r>
      <w:proofErr w:type="gramEnd"/>
    </w:p>
    <w:tbl>
      <w:tblPr>
        <w:tblpPr w:leftFromText="141" w:rightFromText="141" w:vertAnchor="text" w:tblpXSpec="center" w:tblpY="1"/>
        <w:tblOverlap w:val="never"/>
        <w:tblW w:w="5000" w:type="pct"/>
        <w:tblBorders>
          <w:top w:val="single" w:sz="4" w:space="0" w:color="auto"/>
          <w:bottom w:val="single" w:sz="4" w:space="0" w:color="auto"/>
          <w:insideH w:val="single" w:sz="4" w:space="0" w:color="auto"/>
          <w:insideV w:val="single" w:sz="4" w:space="0" w:color="auto"/>
        </w:tblBorders>
        <w:tblLook w:val="01E0"/>
      </w:tblPr>
      <w:tblGrid>
        <w:gridCol w:w="8330"/>
        <w:gridCol w:w="2150"/>
        <w:gridCol w:w="2153"/>
        <w:gridCol w:w="2153"/>
      </w:tblGrid>
      <w:tr w:rsidR="00E040F7" w:rsidRPr="00C66ABA" w:rsidTr="00E96886">
        <w:trPr>
          <w:trHeight w:hRule="exact" w:val="340"/>
        </w:trPr>
        <w:tc>
          <w:tcPr>
            <w:tcW w:w="2817" w:type="pct"/>
            <w:vAlign w:val="center"/>
            <w:hideMark/>
          </w:tcPr>
          <w:p w:rsidR="00B77266" w:rsidRPr="00C66ABA" w:rsidRDefault="00E040F7" w:rsidP="00726852">
            <w:pPr>
              <w:autoSpaceDE w:val="0"/>
              <w:autoSpaceDN w:val="0"/>
              <w:adjustRightInd w:val="0"/>
              <w:jc w:val="center"/>
              <w:rPr>
                <w:sz w:val="22"/>
                <w:szCs w:val="22"/>
              </w:rPr>
            </w:pPr>
            <w:r w:rsidRPr="00C66ABA">
              <w:rPr>
                <w:sz w:val="22"/>
                <w:szCs w:val="22"/>
              </w:rPr>
              <w:t>Sistema de Equações Simultâneas</w:t>
            </w:r>
          </w:p>
        </w:tc>
        <w:tc>
          <w:tcPr>
            <w:tcW w:w="727" w:type="pct"/>
          </w:tcPr>
          <w:p w:rsidR="00B77266" w:rsidRPr="00C66ABA" w:rsidRDefault="00E040F7" w:rsidP="00726852">
            <w:pPr>
              <w:autoSpaceDE w:val="0"/>
              <w:autoSpaceDN w:val="0"/>
              <w:adjustRightInd w:val="0"/>
              <w:jc w:val="center"/>
              <w:rPr>
                <w:sz w:val="22"/>
                <w:szCs w:val="22"/>
              </w:rPr>
            </w:pPr>
            <w:r w:rsidRPr="00C66ABA">
              <w:rPr>
                <w:sz w:val="22"/>
                <w:szCs w:val="22"/>
              </w:rPr>
              <w:t>R</w:t>
            </w:r>
            <w:r w:rsidRPr="00C66ABA">
              <w:rPr>
                <w:sz w:val="22"/>
                <w:szCs w:val="22"/>
                <w:vertAlign w:val="superscript"/>
              </w:rPr>
              <w:t xml:space="preserve">2 </w:t>
            </w:r>
            <w:proofErr w:type="spellStart"/>
            <w:r w:rsidRPr="00C66ABA">
              <w:rPr>
                <w:i/>
                <w:sz w:val="22"/>
                <w:szCs w:val="22"/>
              </w:rPr>
              <w:t>Within</w:t>
            </w:r>
            <w:proofErr w:type="spellEnd"/>
          </w:p>
        </w:tc>
        <w:tc>
          <w:tcPr>
            <w:tcW w:w="728" w:type="pct"/>
          </w:tcPr>
          <w:p w:rsidR="00B77266" w:rsidRPr="00C66ABA" w:rsidRDefault="00E040F7" w:rsidP="00726852">
            <w:pPr>
              <w:autoSpaceDE w:val="0"/>
              <w:autoSpaceDN w:val="0"/>
              <w:adjustRightInd w:val="0"/>
              <w:jc w:val="center"/>
              <w:rPr>
                <w:sz w:val="22"/>
                <w:szCs w:val="22"/>
              </w:rPr>
            </w:pPr>
            <w:r w:rsidRPr="00C66ABA">
              <w:rPr>
                <w:sz w:val="22"/>
                <w:szCs w:val="22"/>
              </w:rPr>
              <w:t>R</w:t>
            </w:r>
            <w:r w:rsidRPr="00C66ABA">
              <w:rPr>
                <w:sz w:val="22"/>
                <w:szCs w:val="22"/>
                <w:vertAlign w:val="superscript"/>
              </w:rPr>
              <w:t xml:space="preserve">2 </w:t>
            </w:r>
            <w:proofErr w:type="spellStart"/>
            <w:r w:rsidRPr="00C66ABA">
              <w:rPr>
                <w:i/>
                <w:sz w:val="22"/>
                <w:szCs w:val="22"/>
              </w:rPr>
              <w:t>Between</w:t>
            </w:r>
            <w:proofErr w:type="spellEnd"/>
          </w:p>
        </w:tc>
        <w:tc>
          <w:tcPr>
            <w:tcW w:w="728" w:type="pct"/>
          </w:tcPr>
          <w:p w:rsidR="00B77266" w:rsidRPr="00C66ABA" w:rsidRDefault="00E040F7" w:rsidP="00726852">
            <w:pPr>
              <w:autoSpaceDE w:val="0"/>
              <w:autoSpaceDN w:val="0"/>
              <w:adjustRightInd w:val="0"/>
              <w:jc w:val="center"/>
              <w:rPr>
                <w:sz w:val="22"/>
                <w:szCs w:val="22"/>
              </w:rPr>
            </w:pPr>
            <w:r w:rsidRPr="00C66ABA">
              <w:rPr>
                <w:sz w:val="22"/>
                <w:szCs w:val="22"/>
              </w:rPr>
              <w:t>R</w:t>
            </w:r>
            <w:r w:rsidRPr="00C66ABA">
              <w:rPr>
                <w:sz w:val="22"/>
                <w:szCs w:val="22"/>
                <w:vertAlign w:val="superscript"/>
              </w:rPr>
              <w:t xml:space="preserve">2 </w:t>
            </w:r>
            <w:r w:rsidRPr="00C66ABA">
              <w:rPr>
                <w:i/>
                <w:sz w:val="22"/>
                <w:szCs w:val="22"/>
              </w:rPr>
              <w:t>Overall</w:t>
            </w:r>
          </w:p>
        </w:tc>
      </w:tr>
      <w:tr w:rsidR="00E040F7" w:rsidRPr="00C66ABA" w:rsidTr="00E96886">
        <w:tc>
          <w:tcPr>
            <w:tcW w:w="2817" w:type="pct"/>
            <w:vAlign w:val="center"/>
            <w:hideMark/>
          </w:tcPr>
          <w:p w:rsidR="00B77266" w:rsidRPr="00C66ABA" w:rsidRDefault="002A28A6" w:rsidP="00726852">
            <w:pPr>
              <w:autoSpaceDE w:val="0"/>
              <w:autoSpaceDN w:val="0"/>
              <w:adjustRightInd w:val="0"/>
              <w:rPr>
                <w:sz w:val="22"/>
                <w:szCs w:val="22"/>
                <w:lang w:val="en-US"/>
              </w:rPr>
            </w:pPr>
            <w:r w:rsidRPr="00FA799E">
              <w:rPr>
                <w:position w:val="-108"/>
                <w:sz w:val="22"/>
                <w:szCs w:val="22"/>
                <w:lang w:val="en-US"/>
              </w:rPr>
              <w:object w:dxaOrig="6440" w:dyaOrig="2360">
                <v:shape id="_x0000_i1069" type="#_x0000_t75" style="width:389.9pt;height:141.95pt" o:ole="">
                  <v:imagedata r:id="rId91" o:title=""/>
                </v:shape>
                <o:OLEObject Type="Embed" ProgID="Equation.3" ShapeID="_x0000_i1069" DrawAspect="Content" ObjectID="_1444458748" r:id="rId92"/>
              </w:object>
            </w:r>
          </w:p>
        </w:tc>
        <w:tc>
          <w:tcPr>
            <w:tcW w:w="727" w:type="pct"/>
          </w:tcPr>
          <w:p w:rsidR="00B77266" w:rsidRPr="00C66ABA" w:rsidRDefault="00E040F7" w:rsidP="00726852">
            <w:pPr>
              <w:autoSpaceDE w:val="0"/>
              <w:autoSpaceDN w:val="0"/>
              <w:adjustRightInd w:val="0"/>
              <w:jc w:val="center"/>
              <w:rPr>
                <w:sz w:val="22"/>
                <w:szCs w:val="22"/>
                <w:lang w:val="en-US"/>
              </w:rPr>
            </w:pPr>
            <w:r w:rsidRPr="00C66ABA">
              <w:rPr>
                <w:position w:val="-108"/>
                <w:sz w:val="22"/>
                <w:szCs w:val="22"/>
                <w:lang w:val="en-US"/>
              </w:rPr>
              <w:object w:dxaOrig="680" w:dyaOrig="2280">
                <v:shape id="_x0000_i1070" type="#_x0000_t75" style="width:41.45pt;height:137.2pt" o:ole="">
                  <v:imagedata r:id="rId93" o:title=""/>
                </v:shape>
                <o:OLEObject Type="Embed" ProgID="Equation.3" ShapeID="_x0000_i1070" DrawAspect="Content" ObjectID="_1444458749" r:id="rId94"/>
              </w:object>
            </w:r>
          </w:p>
        </w:tc>
        <w:tc>
          <w:tcPr>
            <w:tcW w:w="728" w:type="pct"/>
          </w:tcPr>
          <w:p w:rsidR="00B77266" w:rsidRPr="00C66ABA" w:rsidRDefault="00E040F7" w:rsidP="00726852">
            <w:pPr>
              <w:autoSpaceDE w:val="0"/>
              <w:autoSpaceDN w:val="0"/>
              <w:adjustRightInd w:val="0"/>
              <w:jc w:val="center"/>
              <w:rPr>
                <w:sz w:val="22"/>
                <w:szCs w:val="22"/>
                <w:lang w:val="en-US"/>
              </w:rPr>
            </w:pPr>
            <w:r w:rsidRPr="00C66ABA">
              <w:rPr>
                <w:position w:val="-108"/>
                <w:sz w:val="22"/>
                <w:szCs w:val="22"/>
                <w:lang w:val="en-US"/>
              </w:rPr>
              <w:object w:dxaOrig="680" w:dyaOrig="2280">
                <v:shape id="_x0000_i1071" type="#_x0000_t75" style="width:41.45pt;height:137.2pt" o:ole="">
                  <v:imagedata r:id="rId95" o:title=""/>
                </v:shape>
                <o:OLEObject Type="Embed" ProgID="Equation.3" ShapeID="_x0000_i1071" DrawAspect="Content" ObjectID="_1444458750" r:id="rId96"/>
              </w:object>
            </w:r>
          </w:p>
        </w:tc>
        <w:tc>
          <w:tcPr>
            <w:tcW w:w="728" w:type="pct"/>
          </w:tcPr>
          <w:p w:rsidR="00B77266" w:rsidRPr="00C66ABA" w:rsidRDefault="00E040F7" w:rsidP="00726852">
            <w:pPr>
              <w:autoSpaceDE w:val="0"/>
              <w:autoSpaceDN w:val="0"/>
              <w:adjustRightInd w:val="0"/>
              <w:jc w:val="center"/>
              <w:rPr>
                <w:sz w:val="22"/>
                <w:szCs w:val="22"/>
                <w:lang w:val="en-US"/>
              </w:rPr>
            </w:pPr>
            <w:r w:rsidRPr="00C66ABA">
              <w:rPr>
                <w:position w:val="-108"/>
                <w:sz w:val="22"/>
                <w:szCs w:val="22"/>
                <w:lang w:val="en-US"/>
              </w:rPr>
              <w:object w:dxaOrig="680" w:dyaOrig="2280">
                <v:shape id="_x0000_i1072" type="#_x0000_t75" style="width:41.45pt;height:137.2pt" o:ole="">
                  <v:imagedata r:id="rId97" o:title=""/>
                </v:shape>
                <o:OLEObject Type="Embed" ProgID="Equation.3" ShapeID="_x0000_i1072" DrawAspect="Content" ObjectID="_1444458751" r:id="rId98"/>
              </w:object>
            </w:r>
          </w:p>
        </w:tc>
      </w:tr>
    </w:tbl>
    <w:p w:rsidR="00B77266" w:rsidRPr="00067D61" w:rsidRDefault="00E040F7" w:rsidP="00726852">
      <w:pPr>
        <w:jc w:val="both"/>
        <w:rPr>
          <w:sz w:val="22"/>
          <w:szCs w:val="22"/>
        </w:rPr>
      </w:pPr>
      <w:r w:rsidRPr="00067D61">
        <w:rPr>
          <w:sz w:val="22"/>
          <w:szCs w:val="22"/>
        </w:rPr>
        <w:t>Fonte: Resultados da pesquisa.</w:t>
      </w:r>
    </w:p>
    <w:p w:rsidR="00B77266" w:rsidRPr="00067D61" w:rsidRDefault="00E040F7" w:rsidP="00726852">
      <w:pPr>
        <w:jc w:val="both"/>
        <w:rPr>
          <w:sz w:val="22"/>
          <w:szCs w:val="22"/>
        </w:rPr>
      </w:pPr>
      <w:r w:rsidRPr="00067D61">
        <w:rPr>
          <w:sz w:val="22"/>
          <w:szCs w:val="22"/>
        </w:rPr>
        <w:t xml:space="preserve">Notas: Forma Funcional </w:t>
      </w:r>
      <w:proofErr w:type="spellStart"/>
      <w:r w:rsidRPr="00067D61">
        <w:rPr>
          <w:sz w:val="22"/>
          <w:szCs w:val="22"/>
        </w:rPr>
        <w:t>duplo-log</w:t>
      </w:r>
      <w:proofErr w:type="spellEnd"/>
      <w:r w:rsidRPr="00067D61">
        <w:rPr>
          <w:sz w:val="22"/>
          <w:szCs w:val="22"/>
        </w:rPr>
        <w:t xml:space="preserve">. </w:t>
      </w:r>
    </w:p>
    <w:p w:rsidR="00B77266" w:rsidRPr="00067D61" w:rsidRDefault="00E040F7" w:rsidP="00726852">
      <w:pPr>
        <w:jc w:val="both"/>
        <w:rPr>
          <w:sz w:val="22"/>
          <w:szCs w:val="22"/>
        </w:rPr>
      </w:pPr>
      <w:r w:rsidRPr="00067D61">
        <w:rPr>
          <w:sz w:val="22"/>
          <w:szCs w:val="22"/>
        </w:rPr>
        <w:tab/>
        <w:t>Regressões sem o termo constante</w:t>
      </w:r>
      <w:r w:rsidR="001A5E31" w:rsidRPr="00067D61">
        <w:rPr>
          <w:sz w:val="22"/>
          <w:szCs w:val="22"/>
        </w:rPr>
        <w:t>, pois</w:t>
      </w:r>
      <w:r w:rsidRPr="00067D61">
        <w:rPr>
          <w:sz w:val="22"/>
          <w:szCs w:val="22"/>
        </w:rPr>
        <w:t xml:space="preserve"> o método parte dos desvios em torno da média.</w:t>
      </w:r>
    </w:p>
    <w:p w:rsidR="00B77266" w:rsidRPr="00067D61" w:rsidRDefault="00E040F7" w:rsidP="00726852">
      <w:pPr>
        <w:jc w:val="both"/>
        <w:rPr>
          <w:sz w:val="22"/>
          <w:szCs w:val="22"/>
        </w:rPr>
      </w:pPr>
      <w:r w:rsidRPr="00067D61">
        <w:rPr>
          <w:sz w:val="22"/>
          <w:szCs w:val="22"/>
        </w:rPr>
        <w:t xml:space="preserve">           - </w:t>
      </w:r>
      <w:proofErr w:type="spellStart"/>
      <w:r w:rsidRPr="00067D61">
        <w:rPr>
          <w:sz w:val="22"/>
          <w:szCs w:val="22"/>
        </w:rPr>
        <w:t>ns</w:t>
      </w:r>
      <w:proofErr w:type="spellEnd"/>
      <w:r w:rsidRPr="00067D61">
        <w:rPr>
          <w:sz w:val="22"/>
          <w:szCs w:val="22"/>
        </w:rPr>
        <w:t xml:space="preserve"> – não significativo, ***significativo a 1%, **significativo a 5% e *, significativo a 10%.     </w:t>
      </w:r>
    </w:p>
    <w:p w:rsidR="00B77266" w:rsidRPr="00067D61" w:rsidRDefault="00E040F7" w:rsidP="00726852">
      <w:pPr>
        <w:jc w:val="both"/>
        <w:rPr>
          <w:sz w:val="22"/>
          <w:szCs w:val="22"/>
        </w:rPr>
      </w:pPr>
      <w:r w:rsidRPr="00067D61">
        <w:rPr>
          <w:sz w:val="22"/>
          <w:szCs w:val="22"/>
        </w:rPr>
        <w:t xml:space="preserve">         </w:t>
      </w:r>
      <w:r w:rsidRPr="00067D61">
        <w:rPr>
          <w:b/>
          <w:sz w:val="22"/>
          <w:szCs w:val="22"/>
        </w:rPr>
        <w:t>Variáveis endógenas</w:t>
      </w:r>
      <w:r w:rsidRPr="00067D61">
        <w:rPr>
          <w:sz w:val="22"/>
          <w:szCs w:val="22"/>
        </w:rPr>
        <w:t xml:space="preserve">: </w:t>
      </w:r>
      <w:r w:rsidRPr="00067D61">
        <w:rPr>
          <w:position w:val="-4"/>
          <w:sz w:val="22"/>
          <w:szCs w:val="22"/>
        </w:rPr>
        <w:object w:dxaOrig="400" w:dyaOrig="220">
          <v:shape id="_x0000_i1073" type="#_x0000_t75" style="width:20.4pt;height:11.55pt" o:ole="">
            <v:imagedata r:id="rId99" o:title=""/>
          </v:shape>
          <o:OLEObject Type="Embed" ProgID="Equation.3" ShapeID="_x0000_i1073" DrawAspect="Content" ObjectID="_1444458752" r:id="rId100"/>
        </w:object>
      </w:r>
      <w:r w:rsidRPr="00067D61">
        <w:rPr>
          <w:sz w:val="22"/>
          <w:szCs w:val="22"/>
        </w:rPr>
        <w:t xml:space="preserve"> - Produto Interno Bruto per capita, </w:t>
      </w:r>
      <w:r w:rsidRPr="00067D61">
        <w:rPr>
          <w:position w:val="-6"/>
          <w:sz w:val="22"/>
          <w:szCs w:val="22"/>
        </w:rPr>
        <w:object w:dxaOrig="340" w:dyaOrig="260">
          <v:shape id="_x0000_i1074" type="#_x0000_t75" style="width:17pt;height:13.6pt" o:ole="">
            <v:imagedata r:id="rId101" o:title=""/>
          </v:shape>
          <o:OLEObject Type="Embed" ProgID="Equation.3" ShapeID="_x0000_i1074" DrawAspect="Content" ObjectID="_1444458753" r:id="rId102"/>
        </w:object>
      </w:r>
      <w:r w:rsidRPr="00067D61">
        <w:rPr>
          <w:sz w:val="22"/>
          <w:szCs w:val="22"/>
        </w:rPr>
        <w:t xml:space="preserve"> - Salário real, </w:t>
      </w:r>
      <w:r w:rsidRPr="00067D61">
        <w:rPr>
          <w:position w:val="-10"/>
          <w:sz w:val="22"/>
          <w:szCs w:val="22"/>
        </w:rPr>
        <w:object w:dxaOrig="460" w:dyaOrig="280">
          <v:shape id="_x0000_i1075" type="#_x0000_t75" style="width:23.1pt;height:14.25pt" o:ole="">
            <v:imagedata r:id="rId103" o:title=""/>
          </v:shape>
          <o:OLEObject Type="Embed" ProgID="Equation.3" ShapeID="_x0000_i1075" DrawAspect="Content" ObjectID="_1444458754" r:id="rId104"/>
        </w:object>
      </w:r>
      <w:r w:rsidRPr="00067D61">
        <w:rPr>
          <w:sz w:val="22"/>
          <w:szCs w:val="22"/>
        </w:rPr>
        <w:t xml:space="preserve"> - razão entre população ocupada e a PEA, </w:t>
      </w:r>
      <w:r w:rsidRPr="00067D61">
        <w:rPr>
          <w:position w:val="-6"/>
          <w:sz w:val="22"/>
          <w:szCs w:val="22"/>
        </w:rPr>
        <w:object w:dxaOrig="400" w:dyaOrig="260">
          <v:shape id="_x0000_i1076" type="#_x0000_t75" style="width:20.4pt;height:13.6pt" o:ole="">
            <v:imagedata r:id="rId105" o:title=""/>
          </v:shape>
          <o:OLEObject Type="Embed" ProgID="Equation.3" ShapeID="_x0000_i1076" DrawAspect="Content" ObjectID="_1444458755" r:id="rId106"/>
        </w:object>
      </w:r>
      <w:r w:rsidRPr="00067D61">
        <w:rPr>
          <w:sz w:val="22"/>
          <w:szCs w:val="22"/>
        </w:rPr>
        <w:t xml:space="preserve"> - número de pessoas pobres, </w:t>
      </w:r>
      <w:r w:rsidRPr="00067D61">
        <w:rPr>
          <w:position w:val="-6"/>
          <w:sz w:val="22"/>
          <w:szCs w:val="22"/>
        </w:rPr>
        <w:object w:dxaOrig="499" w:dyaOrig="260">
          <v:shape id="_x0000_i1077" type="#_x0000_t75" style="width:24.45pt;height:13.6pt" o:ole="">
            <v:imagedata r:id="rId107" o:title=""/>
          </v:shape>
          <o:OLEObject Type="Embed" ProgID="Equation.3" ShapeID="_x0000_i1077" DrawAspect="Content" ObjectID="_1444458756" r:id="rId108"/>
        </w:object>
      </w:r>
      <w:r w:rsidRPr="00067D61">
        <w:rPr>
          <w:sz w:val="22"/>
          <w:szCs w:val="22"/>
        </w:rPr>
        <w:t xml:space="preserve">- média dos anos de estudo, </w:t>
      </w:r>
      <w:r w:rsidRPr="00067D61">
        <w:rPr>
          <w:position w:val="-6"/>
          <w:sz w:val="22"/>
          <w:szCs w:val="22"/>
        </w:rPr>
        <w:object w:dxaOrig="419" w:dyaOrig="260">
          <v:shape id="_x0000_i1078" type="#_x0000_t75" style="width:21.05pt;height:13.6pt" o:ole="">
            <v:imagedata r:id="rId109" o:title=""/>
          </v:shape>
          <o:OLEObject Type="Embed" ProgID="Equation.3" ShapeID="_x0000_i1078" DrawAspect="Content" ObjectID="_1444458757" r:id="rId110"/>
        </w:object>
      </w:r>
      <w:r w:rsidRPr="00067D61">
        <w:rPr>
          <w:sz w:val="22"/>
          <w:szCs w:val="22"/>
        </w:rPr>
        <w:t xml:space="preserve">- total em quilômetros de rodovias federais e estaduais pavimentadas, </w:t>
      </w:r>
      <w:r w:rsidRPr="00067D61">
        <w:rPr>
          <w:position w:val="-6"/>
          <w:sz w:val="22"/>
          <w:szCs w:val="22"/>
        </w:rPr>
        <w:object w:dxaOrig="380" w:dyaOrig="240">
          <v:shape id="_x0000_i1079" type="#_x0000_t75" style="width:19pt;height:12.25pt" o:ole="">
            <v:imagedata r:id="rId111" o:title=""/>
          </v:shape>
          <o:OLEObject Type="Embed" ProgID="Equation.3" ShapeID="_x0000_i1079" DrawAspect="Content" ObjectID="_1444458758" r:id="rId112"/>
        </w:object>
      </w:r>
      <w:r w:rsidRPr="00067D61">
        <w:rPr>
          <w:sz w:val="22"/>
          <w:szCs w:val="22"/>
        </w:rPr>
        <w:t xml:space="preserve"> - taxa de mortalidade infantil.</w:t>
      </w:r>
    </w:p>
    <w:p w:rsidR="00B77266" w:rsidRPr="00067D61" w:rsidRDefault="00E040F7" w:rsidP="00726852">
      <w:pPr>
        <w:jc w:val="both"/>
        <w:rPr>
          <w:sz w:val="22"/>
          <w:szCs w:val="22"/>
        </w:rPr>
      </w:pPr>
      <w:r w:rsidRPr="00067D61">
        <w:rPr>
          <w:sz w:val="22"/>
          <w:szCs w:val="22"/>
        </w:rPr>
        <w:t xml:space="preserve">         </w:t>
      </w:r>
      <w:r w:rsidRPr="00067D61">
        <w:rPr>
          <w:b/>
          <w:sz w:val="22"/>
          <w:szCs w:val="22"/>
        </w:rPr>
        <w:t>Variáveis exógenas</w:t>
      </w:r>
      <w:r w:rsidRPr="00067D61">
        <w:rPr>
          <w:sz w:val="22"/>
          <w:szCs w:val="22"/>
        </w:rPr>
        <w:t xml:space="preserve">: </w:t>
      </w:r>
      <w:r w:rsidRPr="00067D61">
        <w:rPr>
          <w:position w:val="-10"/>
          <w:sz w:val="22"/>
          <w:szCs w:val="22"/>
        </w:rPr>
        <w:object w:dxaOrig="400" w:dyaOrig="240">
          <v:shape id="_x0000_i1080" type="#_x0000_t75" style="width:20.4pt;height:12.25pt" o:ole="">
            <v:imagedata r:id="rId113" o:title=""/>
          </v:shape>
          <o:OLEObject Type="Embed" ProgID="Equation.3" ShapeID="_x0000_i1080" DrawAspect="Content" ObjectID="_1444458759" r:id="rId114"/>
        </w:object>
      </w:r>
      <w:r w:rsidRPr="00067D61">
        <w:rPr>
          <w:sz w:val="22"/>
          <w:szCs w:val="22"/>
        </w:rPr>
        <w:t xml:space="preserve"> - crescimento populacional, </w:t>
      </w:r>
      <w:r w:rsidRPr="00067D61">
        <w:rPr>
          <w:position w:val="-6"/>
          <w:sz w:val="22"/>
          <w:szCs w:val="22"/>
        </w:rPr>
        <w:object w:dxaOrig="639" w:dyaOrig="260">
          <v:shape id="_x0000_i1081" type="#_x0000_t75" style="width:31.25pt;height:13.6pt" o:ole="">
            <v:imagedata r:id="rId115" o:title=""/>
          </v:shape>
          <o:OLEObject Type="Embed" ProgID="Equation.3" ShapeID="_x0000_i1081" DrawAspect="Content" ObjectID="_1444458760" r:id="rId116"/>
        </w:object>
      </w:r>
      <w:r w:rsidRPr="00067D61">
        <w:rPr>
          <w:sz w:val="22"/>
          <w:szCs w:val="22"/>
        </w:rPr>
        <w:t xml:space="preserve"> - despesas públicas com educação e cultura, </w:t>
      </w:r>
      <w:r w:rsidRPr="00067D61">
        <w:rPr>
          <w:position w:val="-6"/>
          <w:sz w:val="22"/>
          <w:szCs w:val="22"/>
        </w:rPr>
        <w:object w:dxaOrig="560" w:dyaOrig="260">
          <v:shape id="_x0000_i1082" type="#_x0000_t75" style="width:27.85pt;height:13.6pt" o:ole="">
            <v:imagedata r:id="rId117" o:title=""/>
          </v:shape>
          <o:OLEObject Type="Embed" ProgID="Equation.3" ShapeID="_x0000_i1082" DrawAspect="Content" ObjectID="_1444458761" r:id="rId118"/>
        </w:object>
      </w:r>
      <w:r w:rsidRPr="00067D61">
        <w:rPr>
          <w:sz w:val="22"/>
          <w:szCs w:val="22"/>
        </w:rPr>
        <w:t xml:space="preserve"> - despesas públicas com transporte rodoviário, </w:t>
      </w:r>
      <w:r w:rsidRPr="00067D61">
        <w:rPr>
          <w:position w:val="-6"/>
          <w:sz w:val="22"/>
          <w:szCs w:val="22"/>
        </w:rPr>
        <w:object w:dxaOrig="540" w:dyaOrig="260">
          <v:shape id="_x0000_i1083" type="#_x0000_t75" style="width:27.15pt;height:13.6pt" o:ole="">
            <v:imagedata r:id="rId119" o:title=""/>
          </v:shape>
          <o:OLEObject Type="Embed" ProgID="Equation.3" ShapeID="_x0000_i1083" DrawAspect="Content" ObjectID="_1444458762" r:id="rId120"/>
        </w:object>
      </w:r>
      <w:r w:rsidRPr="00067D61">
        <w:rPr>
          <w:sz w:val="22"/>
          <w:szCs w:val="22"/>
        </w:rPr>
        <w:t xml:space="preserve"> - despesas públicas com saúde e saneamento, </w:t>
      </w:r>
      <w:r w:rsidRPr="00067D61">
        <w:rPr>
          <w:position w:val="-6"/>
          <w:sz w:val="22"/>
          <w:szCs w:val="22"/>
        </w:rPr>
        <w:object w:dxaOrig="520" w:dyaOrig="220">
          <v:shape id="_x0000_i1084" type="#_x0000_t75" style="width:26.5pt;height:11.55pt" o:ole="">
            <v:imagedata r:id="rId121" o:title=""/>
          </v:shape>
          <o:OLEObject Type="Embed" ProgID="Equation.3" ShapeID="_x0000_i1084" DrawAspect="Content" ObjectID="_1444458763" r:id="rId122"/>
        </w:object>
      </w:r>
      <w:r w:rsidRPr="00067D61">
        <w:rPr>
          <w:sz w:val="22"/>
          <w:szCs w:val="22"/>
        </w:rPr>
        <w:t xml:space="preserve"> - índice de </w:t>
      </w:r>
      <w:proofErr w:type="spellStart"/>
      <w:r w:rsidRPr="00067D61">
        <w:rPr>
          <w:sz w:val="22"/>
          <w:szCs w:val="22"/>
        </w:rPr>
        <w:t>Gini</w:t>
      </w:r>
      <w:proofErr w:type="spellEnd"/>
      <w:r w:rsidRPr="00067D61">
        <w:rPr>
          <w:sz w:val="22"/>
          <w:szCs w:val="22"/>
        </w:rPr>
        <w:t xml:space="preserve"> de desigualdade de renda,  </w:t>
      </w:r>
      <w:r w:rsidRPr="00067D61">
        <w:rPr>
          <w:position w:val="-6"/>
          <w:sz w:val="22"/>
          <w:szCs w:val="22"/>
        </w:rPr>
        <w:object w:dxaOrig="440" w:dyaOrig="200">
          <v:shape id="_x0000_i1085" type="#_x0000_t75" style="width:21.75pt;height:8.85pt" o:ole="">
            <v:imagedata r:id="rId123" o:title=""/>
          </v:shape>
          <o:OLEObject Type="Embed" ProgID="Equation.3" ShapeID="_x0000_i1085" DrawAspect="Content" ObjectID="_1444458764" r:id="rId124"/>
        </w:object>
      </w:r>
      <w:r w:rsidRPr="00067D61">
        <w:rPr>
          <w:sz w:val="22"/>
          <w:szCs w:val="22"/>
        </w:rPr>
        <w:t xml:space="preserve">- taxa de câmbio efetiva real e </w:t>
      </w:r>
      <w:r w:rsidRPr="00067D61">
        <w:rPr>
          <w:position w:val="-10"/>
          <w:sz w:val="22"/>
          <w:szCs w:val="22"/>
        </w:rPr>
        <w:object w:dxaOrig="580" w:dyaOrig="300">
          <v:shape id="_x0000_i1086" type="#_x0000_t75" style="width:28.55pt;height:14.25pt" o:ole="">
            <v:imagedata r:id="rId125" o:title=""/>
          </v:shape>
          <o:OLEObject Type="Embed" ProgID="Equation.3" ShapeID="_x0000_i1086" DrawAspect="Content" ObjectID="_1444458765" r:id="rId126"/>
        </w:object>
      </w:r>
      <w:r w:rsidRPr="00067D61">
        <w:rPr>
          <w:sz w:val="22"/>
          <w:szCs w:val="22"/>
        </w:rPr>
        <w:t>, produtividade do emprego.</w:t>
      </w:r>
    </w:p>
    <w:p w:rsidR="00B77266" w:rsidRPr="00067D61" w:rsidRDefault="00B77266" w:rsidP="00726852">
      <w:pPr>
        <w:jc w:val="both"/>
        <w:rPr>
          <w:sz w:val="22"/>
          <w:szCs w:val="22"/>
        </w:rPr>
      </w:pPr>
    </w:p>
    <w:p w:rsidR="00E040F7" w:rsidRPr="001C65B4" w:rsidRDefault="00E040F7" w:rsidP="00726852">
      <w:pPr>
        <w:jc w:val="both"/>
        <w:sectPr w:rsidR="00E040F7" w:rsidRPr="001C65B4" w:rsidSect="00B3163D">
          <w:pgSz w:w="16838" w:h="11906" w:orient="landscape"/>
          <w:pgMar w:top="1134" w:right="1134" w:bottom="2268" w:left="1134" w:header="709" w:footer="709" w:gutter="0"/>
          <w:cols w:space="720"/>
        </w:sectPr>
      </w:pPr>
    </w:p>
    <w:p w:rsidR="00B77266" w:rsidRDefault="00E040F7" w:rsidP="00726852">
      <w:pPr>
        <w:autoSpaceDE w:val="0"/>
        <w:autoSpaceDN w:val="0"/>
        <w:adjustRightInd w:val="0"/>
        <w:ind w:firstLine="709"/>
        <w:jc w:val="both"/>
        <w:rPr>
          <w:sz w:val="24"/>
          <w:szCs w:val="24"/>
        </w:rPr>
      </w:pPr>
      <w:r w:rsidRPr="00EB6D8C">
        <w:rPr>
          <w:sz w:val="24"/>
          <w:szCs w:val="24"/>
        </w:rPr>
        <w:lastRenderedPageBreak/>
        <w:t>Emerge daí outro entrave na busca do aumento do estoque de capital humano, tendo em vista a superioridade da qualidade do ensino superior público em relação ao privado, em razão do processo de seleção mais cri</w:t>
      </w:r>
      <w:r w:rsidR="00BB3391">
        <w:rPr>
          <w:sz w:val="24"/>
          <w:szCs w:val="24"/>
        </w:rPr>
        <w:t xml:space="preserve">terioso, entre outros fatores. Entretanto, apesar dos traços negativos </w:t>
      </w:r>
      <w:r>
        <w:rPr>
          <w:sz w:val="24"/>
          <w:szCs w:val="24"/>
        </w:rPr>
        <w:t>do Norte e Nordeste, há um mérit</w:t>
      </w:r>
      <w:r w:rsidR="00BB3391">
        <w:rPr>
          <w:sz w:val="24"/>
          <w:szCs w:val="24"/>
        </w:rPr>
        <w:t>o a se destacar. No comparativo</w:t>
      </w:r>
      <w:r>
        <w:rPr>
          <w:sz w:val="24"/>
          <w:szCs w:val="24"/>
        </w:rPr>
        <w:t xml:space="preserve">, </w:t>
      </w:r>
      <w:proofErr w:type="gramStart"/>
      <w:r>
        <w:rPr>
          <w:sz w:val="24"/>
          <w:szCs w:val="24"/>
        </w:rPr>
        <w:t>são</w:t>
      </w:r>
      <w:proofErr w:type="gramEnd"/>
      <w:r>
        <w:rPr>
          <w:sz w:val="24"/>
          <w:szCs w:val="24"/>
        </w:rPr>
        <w:t xml:space="preserve"> as regiões com maior parcela da população frequentando o ensino superior público</w:t>
      </w:r>
      <w:r w:rsidR="00AA5A34">
        <w:rPr>
          <w:sz w:val="24"/>
          <w:szCs w:val="24"/>
        </w:rPr>
        <w:t>:</w:t>
      </w:r>
      <w:r>
        <w:rPr>
          <w:sz w:val="24"/>
          <w:szCs w:val="24"/>
        </w:rPr>
        <w:t xml:space="preserve"> 36,7 e 34,1%, respectivamente. Se consideradas as instituições privadas, este número sobe para 63,3% e 65,9%. No Norte, os destaques são o Amazonas e Roraima, enquanto no Nordeste, tem-se a Paraíba e o Piauí</w:t>
      </w:r>
      <w:r>
        <w:rPr>
          <w:rStyle w:val="Refdenotaderodap"/>
          <w:sz w:val="24"/>
          <w:szCs w:val="24"/>
        </w:rPr>
        <w:footnoteReference w:id="10"/>
      </w:r>
      <w:r>
        <w:rPr>
          <w:sz w:val="24"/>
          <w:szCs w:val="24"/>
        </w:rPr>
        <w:t xml:space="preserve">. </w:t>
      </w:r>
      <w:r w:rsidR="001E1EA2">
        <w:rPr>
          <w:sz w:val="24"/>
          <w:szCs w:val="24"/>
        </w:rPr>
        <w:t xml:space="preserve"> Embora </w:t>
      </w:r>
      <w:r>
        <w:rPr>
          <w:sz w:val="24"/>
          <w:szCs w:val="24"/>
        </w:rPr>
        <w:t xml:space="preserve">os </w:t>
      </w:r>
      <w:r w:rsidRPr="00EB6D8C">
        <w:rPr>
          <w:sz w:val="24"/>
          <w:szCs w:val="24"/>
        </w:rPr>
        <w:t>avanços quantitativos no sistema educacional</w:t>
      </w:r>
      <w:r w:rsidR="001E1EA2">
        <w:rPr>
          <w:sz w:val="24"/>
          <w:szCs w:val="24"/>
        </w:rPr>
        <w:t xml:space="preserve"> sejam uma realidade, </w:t>
      </w:r>
      <w:r w:rsidRPr="00EB6D8C">
        <w:rPr>
          <w:sz w:val="24"/>
          <w:szCs w:val="24"/>
        </w:rPr>
        <w:t xml:space="preserve">há ainda muito que se </w:t>
      </w:r>
      <w:r>
        <w:rPr>
          <w:sz w:val="24"/>
          <w:szCs w:val="24"/>
        </w:rPr>
        <w:t xml:space="preserve">planejar e executar </w:t>
      </w:r>
      <w:r w:rsidRPr="00EB6D8C">
        <w:rPr>
          <w:sz w:val="24"/>
          <w:szCs w:val="24"/>
        </w:rPr>
        <w:t>frente ao objet</w:t>
      </w:r>
      <w:r>
        <w:rPr>
          <w:sz w:val="24"/>
          <w:szCs w:val="24"/>
        </w:rPr>
        <w:t xml:space="preserve">ivo de elevar a qualidade do estoque de capital humano dos estados, consideradas suas particularidades, </w:t>
      </w:r>
      <w:r w:rsidR="001E1EA2">
        <w:rPr>
          <w:sz w:val="24"/>
          <w:szCs w:val="24"/>
        </w:rPr>
        <w:t xml:space="preserve">de forma a </w:t>
      </w:r>
      <w:r w:rsidRPr="00EB6D8C">
        <w:rPr>
          <w:sz w:val="24"/>
          <w:szCs w:val="24"/>
        </w:rPr>
        <w:t xml:space="preserve">reverter o cenário de pobreza </w:t>
      </w:r>
      <w:r>
        <w:rPr>
          <w:sz w:val="24"/>
          <w:szCs w:val="24"/>
        </w:rPr>
        <w:t>ainda preocupante</w:t>
      </w:r>
      <w:r w:rsidRPr="00EB6D8C">
        <w:rPr>
          <w:sz w:val="24"/>
          <w:szCs w:val="24"/>
        </w:rPr>
        <w:t xml:space="preserve">. </w:t>
      </w:r>
    </w:p>
    <w:p w:rsidR="00B77266" w:rsidRDefault="00E040F7" w:rsidP="00726852">
      <w:pPr>
        <w:ind w:firstLine="709"/>
        <w:jc w:val="both"/>
        <w:rPr>
          <w:sz w:val="24"/>
          <w:szCs w:val="24"/>
          <w:lang w:eastAsia="zh-CN"/>
        </w:rPr>
      </w:pPr>
      <w:r>
        <w:rPr>
          <w:sz w:val="24"/>
          <w:szCs w:val="24"/>
          <w:lang w:eastAsia="zh-CN"/>
        </w:rPr>
        <w:t xml:space="preserve">Na segunda equação do sistema, </w:t>
      </w:r>
      <w:r w:rsidR="00DE249F">
        <w:rPr>
          <w:sz w:val="24"/>
          <w:szCs w:val="24"/>
          <w:lang w:eastAsia="zh-CN"/>
        </w:rPr>
        <w:t>comprova</w:t>
      </w:r>
      <w:r>
        <w:rPr>
          <w:sz w:val="24"/>
          <w:szCs w:val="24"/>
          <w:lang w:eastAsia="zh-CN"/>
        </w:rPr>
        <w:t xml:space="preserve">-se que os gastos em saúde permitem avanços nas condições de saúde da população. A significância estatística dos coeficientes </w:t>
      </w:r>
      <w:r w:rsidR="00DE249F">
        <w:rPr>
          <w:sz w:val="24"/>
          <w:szCs w:val="24"/>
          <w:lang w:eastAsia="zh-CN"/>
        </w:rPr>
        <w:t xml:space="preserve">negativos </w:t>
      </w:r>
      <w:r>
        <w:rPr>
          <w:sz w:val="24"/>
          <w:szCs w:val="24"/>
          <w:lang w:eastAsia="zh-CN"/>
        </w:rPr>
        <w:t xml:space="preserve">que testam a relação entre gastos estaduais nesta categoria e as taxas de mortalidade estadual, segundo o recorte temporal do trabalho, corroboram isso. As despesas estaduais em saúde explicam 44,87% das </w:t>
      </w:r>
      <w:r w:rsidR="00AA5A34">
        <w:rPr>
          <w:sz w:val="24"/>
          <w:szCs w:val="24"/>
          <w:lang w:eastAsia="zh-CN"/>
        </w:rPr>
        <w:t xml:space="preserve">quedas </w:t>
      </w:r>
      <w:r>
        <w:rPr>
          <w:sz w:val="24"/>
          <w:szCs w:val="24"/>
          <w:lang w:eastAsia="zh-CN"/>
        </w:rPr>
        <w:t xml:space="preserve">na mortalidade infantil intraestadual, e 18,54% das alterações na variável de saúde </w:t>
      </w:r>
      <w:r w:rsidR="00193C85">
        <w:rPr>
          <w:sz w:val="24"/>
          <w:szCs w:val="24"/>
          <w:lang w:eastAsia="zh-CN"/>
        </w:rPr>
        <w:t>entre os</w:t>
      </w:r>
      <w:r>
        <w:rPr>
          <w:sz w:val="24"/>
          <w:szCs w:val="24"/>
          <w:lang w:eastAsia="zh-CN"/>
        </w:rPr>
        <w:t xml:space="preserve"> estados brasileiros. </w:t>
      </w:r>
      <w:r w:rsidR="00193C85">
        <w:rPr>
          <w:sz w:val="24"/>
          <w:szCs w:val="24"/>
          <w:lang w:eastAsia="zh-CN"/>
        </w:rPr>
        <w:t xml:space="preserve">Diante da significância estatística das </w:t>
      </w:r>
      <w:r>
        <w:rPr>
          <w:sz w:val="24"/>
          <w:szCs w:val="24"/>
          <w:lang w:eastAsia="zh-CN"/>
        </w:rPr>
        <w:t>defasagens destes gastos</w:t>
      </w:r>
      <w:r w:rsidR="00210C49">
        <w:rPr>
          <w:sz w:val="24"/>
          <w:szCs w:val="24"/>
          <w:lang w:eastAsia="zh-CN"/>
        </w:rPr>
        <w:t xml:space="preserve">, pode-se dizer que </w:t>
      </w:r>
      <w:r w:rsidR="00193C85">
        <w:rPr>
          <w:sz w:val="24"/>
          <w:szCs w:val="24"/>
          <w:lang w:eastAsia="zh-CN"/>
        </w:rPr>
        <w:t xml:space="preserve">os dispêndios públicos correntes e passados em </w:t>
      </w:r>
      <w:r>
        <w:rPr>
          <w:sz w:val="24"/>
          <w:szCs w:val="24"/>
          <w:lang w:eastAsia="zh-CN"/>
        </w:rPr>
        <w:t xml:space="preserve">saúde são capazes de promover redução </w:t>
      </w:r>
      <w:r w:rsidR="00AA5A34">
        <w:rPr>
          <w:sz w:val="24"/>
          <w:szCs w:val="24"/>
          <w:lang w:eastAsia="zh-CN"/>
        </w:rPr>
        <w:t>da</w:t>
      </w:r>
      <w:r>
        <w:rPr>
          <w:sz w:val="24"/>
          <w:szCs w:val="24"/>
          <w:lang w:eastAsia="zh-CN"/>
        </w:rPr>
        <w:t xml:space="preserve"> mortalidade. De maneira comparativa, os efeitos dos gastos estaduais em saúde são consideravelmente superiores aos gastos em educação, considerando-se </w:t>
      </w:r>
      <w:r w:rsidR="00AA5A34">
        <w:rPr>
          <w:sz w:val="24"/>
          <w:szCs w:val="24"/>
          <w:lang w:eastAsia="zh-CN"/>
        </w:rPr>
        <w:t>as</w:t>
      </w:r>
      <w:r>
        <w:rPr>
          <w:sz w:val="24"/>
          <w:szCs w:val="24"/>
          <w:lang w:eastAsia="zh-CN"/>
        </w:rPr>
        <w:t xml:space="preserve"> elasticidades. Denota-se que a possibilidade de aumento de 10% neste tipo de gasto público tende a reduzir a taxa de mortalidade em 2%, para os gastos correntes. Com a defasagem de um período, esse mesmo percentual de aumento do dispêndio em saúde reduziria em 1,17% a taxa de mortalidade nos estados. </w:t>
      </w:r>
    </w:p>
    <w:p w:rsidR="003D0130" w:rsidRDefault="003D0130" w:rsidP="003D0130">
      <w:pPr>
        <w:autoSpaceDE w:val="0"/>
        <w:autoSpaceDN w:val="0"/>
        <w:adjustRightInd w:val="0"/>
        <w:ind w:firstLine="709"/>
        <w:jc w:val="both"/>
        <w:rPr>
          <w:sz w:val="24"/>
          <w:szCs w:val="24"/>
        </w:rPr>
      </w:pPr>
      <w:r>
        <w:rPr>
          <w:sz w:val="24"/>
          <w:szCs w:val="24"/>
        </w:rPr>
        <w:t xml:space="preserve">É importante destacar que a </w:t>
      </w:r>
      <w:r w:rsidRPr="00E06992">
        <w:rPr>
          <w:sz w:val="24"/>
          <w:szCs w:val="24"/>
        </w:rPr>
        <w:t xml:space="preserve">redução dos níveis de </w:t>
      </w:r>
      <w:r>
        <w:rPr>
          <w:sz w:val="24"/>
          <w:szCs w:val="24"/>
        </w:rPr>
        <w:t xml:space="preserve">mortalidade lado a lado com a </w:t>
      </w:r>
      <w:r w:rsidRPr="00E06992">
        <w:rPr>
          <w:sz w:val="24"/>
          <w:szCs w:val="24"/>
        </w:rPr>
        <w:t>evolução da esperança de vida</w:t>
      </w:r>
      <w:r>
        <w:rPr>
          <w:sz w:val="24"/>
          <w:szCs w:val="24"/>
        </w:rPr>
        <w:t xml:space="preserve"> vem corroborar este indicativo de eficácia dos governos neste setor. O indicador de </w:t>
      </w:r>
      <w:r w:rsidRPr="00E06992">
        <w:rPr>
          <w:sz w:val="24"/>
          <w:szCs w:val="24"/>
        </w:rPr>
        <w:t>esperança média de vida ao nascer</w:t>
      </w:r>
      <w:r>
        <w:rPr>
          <w:sz w:val="24"/>
          <w:szCs w:val="24"/>
        </w:rPr>
        <w:t xml:space="preserve"> para o Brasil, </w:t>
      </w:r>
      <w:r w:rsidRPr="00E06992">
        <w:rPr>
          <w:sz w:val="24"/>
          <w:szCs w:val="24"/>
        </w:rPr>
        <w:t xml:space="preserve">em 2008, </w:t>
      </w:r>
      <w:r>
        <w:rPr>
          <w:sz w:val="24"/>
          <w:szCs w:val="24"/>
        </w:rPr>
        <w:t>estava em 73</w:t>
      </w:r>
      <w:r w:rsidRPr="00E06992">
        <w:rPr>
          <w:sz w:val="24"/>
          <w:szCs w:val="24"/>
        </w:rPr>
        <w:t xml:space="preserve"> anos</w:t>
      </w:r>
      <w:r>
        <w:rPr>
          <w:sz w:val="24"/>
          <w:szCs w:val="24"/>
        </w:rPr>
        <w:t xml:space="preserve">, resultado do aumento da </w:t>
      </w:r>
      <w:r w:rsidRPr="00E06992">
        <w:rPr>
          <w:sz w:val="24"/>
          <w:szCs w:val="24"/>
        </w:rPr>
        <w:t>vida média ao nascer, entre 1998 e 2008,</w:t>
      </w:r>
      <w:r>
        <w:rPr>
          <w:sz w:val="24"/>
          <w:szCs w:val="24"/>
        </w:rPr>
        <w:t xml:space="preserve"> em torno de</w:t>
      </w:r>
      <w:r w:rsidRPr="00E06992">
        <w:rPr>
          <w:sz w:val="24"/>
          <w:szCs w:val="24"/>
        </w:rPr>
        <w:t xml:space="preserve"> 3,3 anos</w:t>
      </w:r>
      <w:r>
        <w:rPr>
          <w:sz w:val="24"/>
          <w:szCs w:val="24"/>
        </w:rPr>
        <w:t xml:space="preserve">. Na análise </w:t>
      </w:r>
      <w:r w:rsidR="004160E3">
        <w:rPr>
          <w:sz w:val="24"/>
          <w:szCs w:val="24"/>
        </w:rPr>
        <w:t>entre estados</w:t>
      </w:r>
      <w:r>
        <w:rPr>
          <w:sz w:val="24"/>
          <w:szCs w:val="24"/>
        </w:rPr>
        <w:t>, a divergência entre os v</w:t>
      </w:r>
      <w:r w:rsidR="004160E3">
        <w:rPr>
          <w:sz w:val="24"/>
          <w:szCs w:val="24"/>
        </w:rPr>
        <w:t>alores da esperança</w:t>
      </w:r>
      <w:r w:rsidRPr="00E06992">
        <w:rPr>
          <w:sz w:val="24"/>
          <w:szCs w:val="24"/>
        </w:rPr>
        <w:t xml:space="preserve"> de vida entre Distrito Federal e Alagoas, em</w:t>
      </w:r>
      <w:r>
        <w:rPr>
          <w:sz w:val="24"/>
          <w:szCs w:val="24"/>
        </w:rPr>
        <w:t xml:space="preserve"> </w:t>
      </w:r>
      <w:r w:rsidRPr="00E06992">
        <w:rPr>
          <w:sz w:val="24"/>
          <w:szCs w:val="24"/>
        </w:rPr>
        <w:t>1998, era de 9,7 anos</w:t>
      </w:r>
      <w:r>
        <w:rPr>
          <w:sz w:val="24"/>
          <w:szCs w:val="24"/>
        </w:rPr>
        <w:t xml:space="preserve">. Uma década depois, esta discrepância cai para </w:t>
      </w:r>
      <w:r w:rsidR="00D76D36">
        <w:rPr>
          <w:sz w:val="24"/>
          <w:szCs w:val="24"/>
        </w:rPr>
        <w:t xml:space="preserve">8,4 anos. </w:t>
      </w:r>
      <w:r>
        <w:rPr>
          <w:sz w:val="24"/>
          <w:szCs w:val="24"/>
        </w:rPr>
        <w:t xml:space="preserve">Já a taxa </w:t>
      </w:r>
      <w:r w:rsidRPr="00E06992">
        <w:rPr>
          <w:sz w:val="24"/>
          <w:szCs w:val="24"/>
        </w:rPr>
        <w:t>bruta de mortalidade</w:t>
      </w:r>
      <w:r>
        <w:rPr>
          <w:sz w:val="24"/>
          <w:szCs w:val="24"/>
        </w:rPr>
        <w:t xml:space="preserve"> </w:t>
      </w:r>
      <w:r w:rsidRPr="00E06992">
        <w:rPr>
          <w:sz w:val="24"/>
          <w:szCs w:val="24"/>
        </w:rPr>
        <w:t xml:space="preserve">caiu de 6,53 </w:t>
      </w:r>
      <w:r>
        <w:rPr>
          <w:sz w:val="24"/>
          <w:szCs w:val="24"/>
        </w:rPr>
        <w:t xml:space="preserve">% para </w:t>
      </w:r>
      <w:r w:rsidRPr="00E06992">
        <w:rPr>
          <w:sz w:val="24"/>
          <w:szCs w:val="24"/>
        </w:rPr>
        <w:t>6,22 ‰</w:t>
      </w:r>
      <w:r>
        <w:rPr>
          <w:sz w:val="24"/>
          <w:szCs w:val="24"/>
        </w:rPr>
        <w:t xml:space="preserve"> no mesmo período</w:t>
      </w:r>
      <w:r w:rsidRPr="00E06992">
        <w:rPr>
          <w:sz w:val="24"/>
          <w:szCs w:val="24"/>
        </w:rPr>
        <w:t xml:space="preserve">. </w:t>
      </w:r>
      <w:r w:rsidR="00D76D36">
        <w:rPr>
          <w:sz w:val="24"/>
          <w:szCs w:val="24"/>
        </w:rPr>
        <w:t xml:space="preserve">Pode-se inferir, pois, que as melhorias </w:t>
      </w:r>
      <w:r>
        <w:rPr>
          <w:sz w:val="24"/>
          <w:szCs w:val="24"/>
        </w:rPr>
        <w:t>no estado de ha</w:t>
      </w:r>
      <w:r w:rsidRPr="00E06992">
        <w:rPr>
          <w:sz w:val="24"/>
          <w:szCs w:val="24"/>
        </w:rPr>
        <w:t xml:space="preserve">bitação, </w:t>
      </w:r>
      <w:r>
        <w:rPr>
          <w:sz w:val="24"/>
          <w:szCs w:val="24"/>
        </w:rPr>
        <w:t>em termos de saneamento básico adequado e maior c</w:t>
      </w:r>
      <w:r w:rsidRPr="00E06992">
        <w:rPr>
          <w:sz w:val="24"/>
          <w:szCs w:val="24"/>
        </w:rPr>
        <w:t>obertura</w:t>
      </w:r>
      <w:r>
        <w:rPr>
          <w:sz w:val="24"/>
          <w:szCs w:val="24"/>
        </w:rPr>
        <w:t xml:space="preserve"> dos serviços de saúde</w:t>
      </w:r>
      <w:r w:rsidR="00D76D36">
        <w:rPr>
          <w:sz w:val="24"/>
          <w:szCs w:val="24"/>
        </w:rPr>
        <w:t>,</w:t>
      </w:r>
      <w:r>
        <w:rPr>
          <w:sz w:val="24"/>
          <w:szCs w:val="24"/>
        </w:rPr>
        <w:t xml:space="preserve"> </w:t>
      </w:r>
      <w:r w:rsidR="000E67B9">
        <w:rPr>
          <w:sz w:val="24"/>
          <w:szCs w:val="24"/>
        </w:rPr>
        <w:t>têm</w:t>
      </w:r>
      <w:r w:rsidR="00D76D36">
        <w:rPr>
          <w:sz w:val="24"/>
          <w:szCs w:val="24"/>
        </w:rPr>
        <w:t xml:space="preserve"> atuado</w:t>
      </w:r>
      <w:r>
        <w:rPr>
          <w:sz w:val="24"/>
          <w:szCs w:val="24"/>
        </w:rPr>
        <w:t xml:space="preserve"> certamente para </w:t>
      </w:r>
      <w:r w:rsidRPr="00E06992">
        <w:rPr>
          <w:sz w:val="24"/>
          <w:szCs w:val="24"/>
        </w:rPr>
        <w:t>reduzir a mort</w:t>
      </w:r>
      <w:r>
        <w:rPr>
          <w:sz w:val="24"/>
          <w:szCs w:val="24"/>
        </w:rPr>
        <w:t>alidade</w:t>
      </w:r>
      <w:r w:rsidRPr="00E06992">
        <w:rPr>
          <w:sz w:val="24"/>
          <w:szCs w:val="24"/>
        </w:rPr>
        <w:t xml:space="preserve"> infanti</w:t>
      </w:r>
      <w:r>
        <w:rPr>
          <w:sz w:val="24"/>
          <w:szCs w:val="24"/>
        </w:rPr>
        <w:t>l.</w:t>
      </w:r>
    </w:p>
    <w:p w:rsidR="00B77266" w:rsidRDefault="000E67B9" w:rsidP="00726852">
      <w:pPr>
        <w:autoSpaceDE w:val="0"/>
        <w:autoSpaceDN w:val="0"/>
        <w:adjustRightInd w:val="0"/>
        <w:ind w:firstLine="709"/>
        <w:jc w:val="both"/>
        <w:rPr>
          <w:sz w:val="24"/>
          <w:szCs w:val="24"/>
        </w:rPr>
      </w:pPr>
      <w:r>
        <w:rPr>
          <w:sz w:val="24"/>
          <w:szCs w:val="24"/>
        </w:rPr>
        <w:t>A verdade é que p</w:t>
      </w:r>
      <w:r w:rsidR="00E040F7">
        <w:rPr>
          <w:sz w:val="24"/>
          <w:szCs w:val="24"/>
        </w:rPr>
        <w:t>oder afirmar que as despesas estaduais</w:t>
      </w:r>
      <w:r w:rsidR="00E040F7" w:rsidRPr="00EB6D8C">
        <w:rPr>
          <w:sz w:val="24"/>
          <w:szCs w:val="24"/>
        </w:rPr>
        <w:t xml:space="preserve"> em saúde e saneamento</w:t>
      </w:r>
      <w:r w:rsidR="00E040F7">
        <w:rPr>
          <w:sz w:val="24"/>
          <w:szCs w:val="24"/>
        </w:rPr>
        <w:t xml:space="preserve"> são efetivas quanto à </w:t>
      </w:r>
      <w:r w:rsidR="00E040F7" w:rsidRPr="00EB6D8C">
        <w:rPr>
          <w:sz w:val="24"/>
          <w:szCs w:val="24"/>
        </w:rPr>
        <w:t>redução da taxa de mortalidade infantil no Brasil</w:t>
      </w:r>
      <w:r w:rsidR="00E040F7">
        <w:rPr>
          <w:sz w:val="24"/>
          <w:szCs w:val="24"/>
        </w:rPr>
        <w:t xml:space="preserve"> é u</w:t>
      </w:r>
      <w:r w:rsidR="00E040F7" w:rsidRPr="00EB6D8C">
        <w:rPr>
          <w:sz w:val="24"/>
          <w:szCs w:val="24"/>
        </w:rPr>
        <w:t xml:space="preserve">m resultado muito </w:t>
      </w:r>
      <w:r>
        <w:rPr>
          <w:sz w:val="24"/>
          <w:szCs w:val="24"/>
        </w:rPr>
        <w:t>positiv</w:t>
      </w:r>
      <w:r w:rsidR="00AA5A34">
        <w:rPr>
          <w:sz w:val="24"/>
          <w:szCs w:val="24"/>
        </w:rPr>
        <w:t>o</w:t>
      </w:r>
      <w:r>
        <w:rPr>
          <w:sz w:val="24"/>
          <w:szCs w:val="24"/>
        </w:rPr>
        <w:t xml:space="preserve">. </w:t>
      </w:r>
      <w:r w:rsidR="00AA5A34">
        <w:rPr>
          <w:sz w:val="24"/>
          <w:szCs w:val="24"/>
        </w:rPr>
        <w:t>Todavia, e</w:t>
      </w:r>
      <w:r>
        <w:rPr>
          <w:sz w:val="24"/>
          <w:szCs w:val="24"/>
        </w:rPr>
        <w:t xml:space="preserve">mbora a </w:t>
      </w:r>
      <w:r w:rsidR="00E040F7" w:rsidRPr="00EB6D8C">
        <w:rPr>
          <w:sz w:val="24"/>
          <w:szCs w:val="24"/>
        </w:rPr>
        <w:t>taxa d</w:t>
      </w:r>
      <w:r>
        <w:rPr>
          <w:sz w:val="24"/>
          <w:szCs w:val="24"/>
        </w:rPr>
        <w:t>e mortalidade infantil revele</w:t>
      </w:r>
      <w:r w:rsidR="00E040F7" w:rsidRPr="00EB6D8C">
        <w:rPr>
          <w:sz w:val="24"/>
          <w:szCs w:val="24"/>
        </w:rPr>
        <w:t xml:space="preserve"> tendência decrescente</w:t>
      </w:r>
      <w:r w:rsidR="00210C49">
        <w:rPr>
          <w:sz w:val="24"/>
          <w:szCs w:val="24"/>
        </w:rPr>
        <w:t>, ainda é</w:t>
      </w:r>
      <w:r w:rsidR="00E040F7">
        <w:rPr>
          <w:sz w:val="24"/>
          <w:szCs w:val="24"/>
        </w:rPr>
        <w:t xml:space="preserve"> elevada em relação às nações vizinhas</w:t>
      </w:r>
      <w:r>
        <w:rPr>
          <w:sz w:val="24"/>
          <w:szCs w:val="24"/>
        </w:rPr>
        <w:t xml:space="preserve">. O </w:t>
      </w:r>
      <w:r w:rsidR="00210C49">
        <w:rPr>
          <w:sz w:val="24"/>
          <w:szCs w:val="24"/>
        </w:rPr>
        <w:t>cotidiano do brasileiro ainda é marcado por d</w:t>
      </w:r>
      <w:r w:rsidR="00E040F7">
        <w:rPr>
          <w:sz w:val="24"/>
          <w:szCs w:val="24"/>
        </w:rPr>
        <w:t xml:space="preserve">ificuldades </w:t>
      </w:r>
      <w:r w:rsidR="00210C49">
        <w:rPr>
          <w:sz w:val="24"/>
          <w:szCs w:val="24"/>
        </w:rPr>
        <w:t>de</w:t>
      </w:r>
      <w:r w:rsidR="00E040F7">
        <w:rPr>
          <w:sz w:val="24"/>
          <w:szCs w:val="24"/>
        </w:rPr>
        <w:t xml:space="preserve"> acesso a condições dignas de tratamento de saúde, entre outras políticas correlatas. </w:t>
      </w:r>
      <w:r w:rsidR="008D294D">
        <w:rPr>
          <w:sz w:val="24"/>
          <w:szCs w:val="24"/>
        </w:rPr>
        <w:t xml:space="preserve">Nessa discussão, é essencial atentar à </w:t>
      </w:r>
      <w:r w:rsidR="00E040F7">
        <w:rPr>
          <w:sz w:val="24"/>
          <w:szCs w:val="24"/>
        </w:rPr>
        <w:t xml:space="preserve">complementaridade </w:t>
      </w:r>
      <w:r w:rsidR="008D294D">
        <w:rPr>
          <w:sz w:val="24"/>
          <w:szCs w:val="24"/>
        </w:rPr>
        <w:t xml:space="preserve">entre saúde e educação. </w:t>
      </w:r>
      <w:r w:rsidR="00E040F7">
        <w:rPr>
          <w:sz w:val="24"/>
          <w:szCs w:val="24"/>
        </w:rPr>
        <w:t xml:space="preserve">Anos adicionais de estudo da </w:t>
      </w:r>
      <w:r w:rsidR="00E040F7" w:rsidRPr="00EB6D8C">
        <w:rPr>
          <w:sz w:val="24"/>
          <w:szCs w:val="24"/>
        </w:rPr>
        <w:t>população feminina</w:t>
      </w:r>
      <w:r>
        <w:rPr>
          <w:sz w:val="24"/>
          <w:szCs w:val="24"/>
        </w:rPr>
        <w:t xml:space="preserve">, os quais </w:t>
      </w:r>
      <w:r w:rsidR="00E040F7">
        <w:rPr>
          <w:sz w:val="24"/>
          <w:szCs w:val="24"/>
        </w:rPr>
        <w:t>se refletem nos demais membros da família</w:t>
      </w:r>
      <w:r w:rsidR="00E040F7" w:rsidRPr="00EB6D8C">
        <w:rPr>
          <w:sz w:val="24"/>
          <w:szCs w:val="24"/>
        </w:rPr>
        <w:t xml:space="preserve">, </w:t>
      </w:r>
      <w:r w:rsidR="00E040F7">
        <w:rPr>
          <w:sz w:val="24"/>
          <w:szCs w:val="24"/>
        </w:rPr>
        <w:t>somados</w:t>
      </w:r>
      <w:r w:rsidR="008D294D">
        <w:rPr>
          <w:sz w:val="24"/>
          <w:szCs w:val="24"/>
        </w:rPr>
        <w:t xml:space="preserve"> à</w:t>
      </w:r>
      <w:r w:rsidR="00E040F7" w:rsidRPr="00EB6D8C">
        <w:rPr>
          <w:sz w:val="24"/>
          <w:szCs w:val="24"/>
        </w:rPr>
        <w:t xml:space="preserve"> elevação da parcela populacional co</w:t>
      </w:r>
      <w:r w:rsidR="008D294D">
        <w:rPr>
          <w:sz w:val="24"/>
          <w:szCs w:val="24"/>
        </w:rPr>
        <w:t>m saneamento básico adequado e ao maior</w:t>
      </w:r>
      <w:r w:rsidR="00E040F7" w:rsidRPr="00EB6D8C">
        <w:rPr>
          <w:sz w:val="24"/>
          <w:szCs w:val="24"/>
        </w:rPr>
        <w:t xml:space="preserve"> acesso </w:t>
      </w:r>
      <w:r w:rsidR="008D294D">
        <w:rPr>
          <w:sz w:val="24"/>
          <w:szCs w:val="24"/>
        </w:rPr>
        <w:t>a</w:t>
      </w:r>
      <w:r w:rsidR="00E040F7">
        <w:rPr>
          <w:sz w:val="24"/>
          <w:szCs w:val="24"/>
        </w:rPr>
        <w:t xml:space="preserve"> serviços de saúde</w:t>
      </w:r>
      <w:r>
        <w:rPr>
          <w:sz w:val="24"/>
          <w:szCs w:val="24"/>
        </w:rPr>
        <w:t>,</w:t>
      </w:r>
      <w:r w:rsidR="00E040F7">
        <w:rPr>
          <w:sz w:val="24"/>
          <w:szCs w:val="24"/>
        </w:rPr>
        <w:t xml:space="preserve"> contribuem</w:t>
      </w:r>
      <w:r w:rsidR="00E040F7" w:rsidRPr="00EB6D8C">
        <w:rPr>
          <w:sz w:val="24"/>
          <w:szCs w:val="24"/>
        </w:rPr>
        <w:t xml:space="preserve"> para </w:t>
      </w:r>
      <w:r w:rsidR="00E040F7">
        <w:rPr>
          <w:sz w:val="24"/>
          <w:szCs w:val="24"/>
        </w:rPr>
        <w:t>o</w:t>
      </w:r>
      <w:r w:rsidR="00E040F7" w:rsidRPr="00EB6D8C">
        <w:rPr>
          <w:sz w:val="24"/>
          <w:szCs w:val="24"/>
        </w:rPr>
        <w:t xml:space="preserve"> arrefecimento da taxa de mortalidade infantil no país</w:t>
      </w:r>
      <w:r w:rsidR="008D294D">
        <w:rPr>
          <w:sz w:val="24"/>
          <w:szCs w:val="24"/>
        </w:rPr>
        <w:t>. C</w:t>
      </w:r>
      <w:r w:rsidR="00E040F7" w:rsidRPr="00EB6D8C">
        <w:rPr>
          <w:sz w:val="24"/>
          <w:szCs w:val="24"/>
        </w:rPr>
        <w:t xml:space="preserve">ontudo, há espaço para </w:t>
      </w:r>
      <w:r w:rsidR="002951A1">
        <w:rPr>
          <w:sz w:val="24"/>
          <w:szCs w:val="24"/>
        </w:rPr>
        <w:t>progressos</w:t>
      </w:r>
      <w:r w:rsidR="00E040F7" w:rsidRPr="00EB6D8C">
        <w:rPr>
          <w:sz w:val="24"/>
          <w:szCs w:val="24"/>
        </w:rPr>
        <w:t xml:space="preserve"> ainda maiores </w:t>
      </w:r>
      <w:r>
        <w:rPr>
          <w:sz w:val="24"/>
          <w:szCs w:val="24"/>
        </w:rPr>
        <w:t xml:space="preserve">na área da saúde, </w:t>
      </w:r>
      <w:r w:rsidR="00E040F7" w:rsidRPr="00EB6D8C">
        <w:rPr>
          <w:sz w:val="24"/>
          <w:szCs w:val="24"/>
        </w:rPr>
        <w:t xml:space="preserve">buscando, sobretudo, o aumento da expectativa </w:t>
      </w:r>
      <w:r w:rsidR="002951A1">
        <w:rPr>
          <w:sz w:val="24"/>
          <w:szCs w:val="24"/>
        </w:rPr>
        <w:t xml:space="preserve">e da qualidade </w:t>
      </w:r>
      <w:r w:rsidR="00E040F7" w:rsidRPr="00EB6D8C">
        <w:rPr>
          <w:sz w:val="24"/>
          <w:szCs w:val="24"/>
        </w:rPr>
        <w:t>de</w:t>
      </w:r>
      <w:r w:rsidR="00E040F7">
        <w:rPr>
          <w:sz w:val="24"/>
          <w:szCs w:val="24"/>
        </w:rPr>
        <w:t xml:space="preserve"> vida do brasileiro.</w:t>
      </w:r>
    </w:p>
    <w:p w:rsidR="00B77266" w:rsidRDefault="00AF15E7" w:rsidP="00726852">
      <w:pPr>
        <w:ind w:firstLine="709"/>
        <w:jc w:val="both"/>
        <w:rPr>
          <w:sz w:val="24"/>
          <w:szCs w:val="24"/>
          <w:lang w:eastAsia="zh-CN"/>
        </w:rPr>
      </w:pPr>
      <w:r>
        <w:rPr>
          <w:sz w:val="24"/>
          <w:szCs w:val="24"/>
          <w:lang w:eastAsia="zh-CN"/>
        </w:rPr>
        <w:t xml:space="preserve">Na discussão do </w:t>
      </w:r>
      <w:r w:rsidR="00E040F7">
        <w:rPr>
          <w:sz w:val="24"/>
          <w:szCs w:val="24"/>
          <w:lang w:eastAsia="zh-CN"/>
        </w:rPr>
        <w:t xml:space="preserve">impacto das despesas </w:t>
      </w:r>
      <w:r w:rsidR="00D41790">
        <w:rPr>
          <w:sz w:val="24"/>
          <w:szCs w:val="24"/>
          <w:lang w:eastAsia="zh-CN"/>
        </w:rPr>
        <w:t>em</w:t>
      </w:r>
      <w:r w:rsidR="00E040F7">
        <w:rPr>
          <w:sz w:val="24"/>
          <w:szCs w:val="24"/>
          <w:lang w:eastAsia="zh-CN"/>
        </w:rPr>
        <w:t xml:space="preserve"> transporte rodoviário sobre a infraestrutura rodoviária, considera</w:t>
      </w:r>
      <w:r w:rsidR="00D41790">
        <w:rPr>
          <w:sz w:val="24"/>
          <w:szCs w:val="24"/>
          <w:lang w:eastAsia="zh-CN"/>
        </w:rPr>
        <w:t>-se</w:t>
      </w:r>
      <w:r w:rsidR="00E040F7">
        <w:rPr>
          <w:sz w:val="24"/>
          <w:szCs w:val="24"/>
          <w:lang w:eastAsia="zh-CN"/>
        </w:rPr>
        <w:t xml:space="preserve"> a terceira equação do sistema, que </w:t>
      </w:r>
      <w:r w:rsidR="00D41790">
        <w:rPr>
          <w:sz w:val="24"/>
          <w:szCs w:val="24"/>
          <w:lang w:eastAsia="zh-CN"/>
        </w:rPr>
        <w:t xml:space="preserve">investiga a relação entre gastos dos governos federais e estaduais </w:t>
      </w:r>
      <w:r w:rsidR="00E040F7">
        <w:rPr>
          <w:sz w:val="24"/>
          <w:szCs w:val="24"/>
          <w:lang w:eastAsia="zh-CN"/>
        </w:rPr>
        <w:t>em rodovias considerando</w:t>
      </w:r>
      <w:r w:rsidR="00AA5A34">
        <w:rPr>
          <w:sz w:val="24"/>
          <w:szCs w:val="24"/>
          <w:lang w:eastAsia="zh-CN"/>
        </w:rPr>
        <w:t>-se</w:t>
      </w:r>
      <w:r w:rsidR="00E040F7">
        <w:rPr>
          <w:sz w:val="24"/>
          <w:szCs w:val="24"/>
          <w:lang w:eastAsia="zh-CN"/>
        </w:rPr>
        <w:t xml:space="preserve"> uma, duas e quatro defasagens. De posse dos valores dos coeficientes das elasticidades, percebe-se que, assim como nas despesas em educação, os efeitos são maiores para os gastos com maior defasagem. Em média, no cenário de acréscimo de 10% neste tipo de despesa pública, a possibilidade é de </w:t>
      </w:r>
      <w:r w:rsidR="00D41790">
        <w:rPr>
          <w:sz w:val="24"/>
          <w:szCs w:val="24"/>
          <w:lang w:eastAsia="zh-CN"/>
        </w:rPr>
        <w:t>apenas</w:t>
      </w:r>
      <w:r w:rsidR="00E040F7">
        <w:rPr>
          <w:sz w:val="24"/>
          <w:szCs w:val="24"/>
          <w:lang w:eastAsia="zh-CN"/>
        </w:rPr>
        <w:t xml:space="preserve"> 0,4% de aumento da quilometragem de rodovias estaduais </w:t>
      </w:r>
      <w:r w:rsidR="00E040F7">
        <w:rPr>
          <w:sz w:val="24"/>
          <w:szCs w:val="24"/>
          <w:lang w:eastAsia="zh-CN"/>
        </w:rPr>
        <w:lastRenderedPageBreak/>
        <w:t xml:space="preserve">pavimentadas. Tal resultado condiz com a realidade brasileira de grande gargalo em termos de logística, principalmente, embasado nas condições precárias de estradas por todo o país. Tal entrave econômico tem levado à crescente concessão de rodovias para empresas privadas como forma de suprir as deficiências do setor de transporte ligadas à baixa </w:t>
      </w:r>
      <w:r w:rsidR="00E040F7" w:rsidRPr="00BB6E85">
        <w:rPr>
          <w:sz w:val="24"/>
          <w:szCs w:val="24"/>
          <w:lang w:eastAsia="zh-CN"/>
        </w:rPr>
        <w:t>eficácia dos gastos públicos</w:t>
      </w:r>
      <w:r w:rsidR="005238EC">
        <w:rPr>
          <w:sz w:val="24"/>
          <w:szCs w:val="24"/>
          <w:lang w:eastAsia="zh-CN"/>
        </w:rPr>
        <w:t xml:space="preserve"> neste capital fixo</w:t>
      </w:r>
      <w:r w:rsidR="00E040F7" w:rsidRPr="00BB6E85">
        <w:rPr>
          <w:sz w:val="24"/>
          <w:szCs w:val="24"/>
          <w:lang w:eastAsia="zh-CN"/>
        </w:rPr>
        <w:t xml:space="preserve">. </w:t>
      </w:r>
    </w:p>
    <w:p w:rsidR="00B77266" w:rsidRDefault="00E040F7" w:rsidP="00726852">
      <w:pPr>
        <w:autoSpaceDE w:val="0"/>
        <w:autoSpaceDN w:val="0"/>
        <w:adjustRightInd w:val="0"/>
        <w:ind w:firstLine="709"/>
        <w:jc w:val="both"/>
        <w:rPr>
          <w:sz w:val="24"/>
          <w:szCs w:val="24"/>
        </w:rPr>
      </w:pPr>
      <w:r>
        <w:rPr>
          <w:sz w:val="24"/>
          <w:szCs w:val="24"/>
        </w:rPr>
        <w:t>Segundo informações da Confederação Nacional do Transporte (CNT, 2012</w:t>
      </w:r>
      <w:proofErr w:type="gramStart"/>
      <w:r>
        <w:rPr>
          <w:sz w:val="24"/>
          <w:szCs w:val="24"/>
        </w:rPr>
        <w:t>)</w:t>
      </w:r>
      <w:proofErr w:type="gramEnd"/>
      <w:r w:rsidR="00A05AA0">
        <w:rPr>
          <w:rStyle w:val="Refdenotaderodap"/>
          <w:sz w:val="24"/>
          <w:szCs w:val="24"/>
        </w:rPr>
        <w:footnoteReference w:id="11"/>
      </w:r>
      <w:r>
        <w:rPr>
          <w:sz w:val="24"/>
          <w:szCs w:val="24"/>
        </w:rPr>
        <w:t xml:space="preserve">, as rodovias são o principal </w:t>
      </w:r>
      <w:r w:rsidRPr="00265226">
        <w:rPr>
          <w:sz w:val="24"/>
          <w:szCs w:val="24"/>
        </w:rPr>
        <w:t>meio de transporte</w:t>
      </w:r>
      <w:r>
        <w:rPr>
          <w:sz w:val="24"/>
          <w:szCs w:val="24"/>
        </w:rPr>
        <w:t xml:space="preserve"> do brasileiro, sendo responsáve</w:t>
      </w:r>
      <w:r w:rsidR="005238EC">
        <w:rPr>
          <w:sz w:val="24"/>
          <w:szCs w:val="24"/>
        </w:rPr>
        <w:t>is</w:t>
      </w:r>
      <w:r>
        <w:rPr>
          <w:sz w:val="24"/>
          <w:szCs w:val="24"/>
        </w:rPr>
        <w:t xml:space="preserve"> por 61,8</w:t>
      </w:r>
      <w:r w:rsidRPr="00265226">
        <w:rPr>
          <w:sz w:val="24"/>
          <w:szCs w:val="24"/>
        </w:rPr>
        <w:t>% de toda a carga movimentada</w:t>
      </w:r>
      <w:r>
        <w:rPr>
          <w:sz w:val="24"/>
          <w:szCs w:val="24"/>
        </w:rPr>
        <w:t xml:space="preserve"> e de 96,2% da locomoção de passageiros</w:t>
      </w:r>
      <w:r w:rsidRPr="00265226">
        <w:rPr>
          <w:sz w:val="24"/>
          <w:szCs w:val="24"/>
        </w:rPr>
        <w:t xml:space="preserve"> pelo país</w:t>
      </w:r>
      <w:r>
        <w:rPr>
          <w:sz w:val="24"/>
          <w:szCs w:val="24"/>
        </w:rPr>
        <w:t xml:space="preserve">. A pesquisa avalia 95.707 quilômetros de rodovias ao longo do território brasileiro, sendo 80.315 quilômetros de responsabilidade da máquina pública, </w:t>
      </w:r>
      <w:r w:rsidR="00D41790">
        <w:rPr>
          <w:sz w:val="24"/>
          <w:szCs w:val="24"/>
        </w:rPr>
        <w:t xml:space="preserve">e </w:t>
      </w:r>
      <w:r>
        <w:rPr>
          <w:sz w:val="24"/>
          <w:szCs w:val="24"/>
        </w:rPr>
        <w:t xml:space="preserve">informa que 54% das rodovias pavimentadas nacionais estão com pavimentos em condições satisfatórias, mas 46% ainda estão em estado deficiente. Se o critério é a sinalização, os números </w:t>
      </w:r>
      <w:r w:rsidR="00DB2417">
        <w:rPr>
          <w:sz w:val="24"/>
          <w:szCs w:val="24"/>
        </w:rPr>
        <w:t xml:space="preserve">mudam para </w:t>
      </w:r>
      <w:r>
        <w:rPr>
          <w:sz w:val="24"/>
          <w:szCs w:val="24"/>
        </w:rPr>
        <w:t xml:space="preserve">33,7% e 66,3%, respectivamente. </w:t>
      </w:r>
    </w:p>
    <w:p w:rsidR="00691022" w:rsidRDefault="00E040F7" w:rsidP="00C66ABA">
      <w:pPr>
        <w:autoSpaceDE w:val="0"/>
        <w:autoSpaceDN w:val="0"/>
        <w:adjustRightInd w:val="0"/>
        <w:ind w:firstLine="709"/>
        <w:jc w:val="both"/>
        <w:rPr>
          <w:sz w:val="24"/>
          <w:szCs w:val="24"/>
        </w:rPr>
      </w:pPr>
      <w:r>
        <w:rPr>
          <w:sz w:val="24"/>
          <w:szCs w:val="24"/>
        </w:rPr>
        <w:t xml:space="preserve">Na classificação </w:t>
      </w:r>
      <w:r w:rsidR="00C66ABA">
        <w:rPr>
          <w:sz w:val="24"/>
          <w:szCs w:val="24"/>
        </w:rPr>
        <w:t xml:space="preserve">do </w:t>
      </w:r>
      <w:r>
        <w:rPr>
          <w:sz w:val="24"/>
          <w:szCs w:val="24"/>
        </w:rPr>
        <w:t>estado das rodovias, no ranking por percentual das rodovias em ótimo estado de conservação, ocupam os primeiros lugares São Paulo (49,9%), Rio de Janeiro (20,6%) e Paraná (18%). Já o primeiro posto no ranking a partir da maior parcela das estradas em péssimo estado</w:t>
      </w:r>
      <w:r w:rsidR="005238EC">
        <w:rPr>
          <w:sz w:val="24"/>
          <w:szCs w:val="24"/>
        </w:rPr>
        <w:t xml:space="preserve"> cabe ao</w:t>
      </w:r>
      <w:r>
        <w:rPr>
          <w:sz w:val="24"/>
          <w:szCs w:val="24"/>
        </w:rPr>
        <w:t xml:space="preserve"> Acre (38%), </w:t>
      </w:r>
      <w:r w:rsidR="005238EC">
        <w:rPr>
          <w:sz w:val="24"/>
          <w:szCs w:val="24"/>
        </w:rPr>
        <w:t xml:space="preserve">seguido de </w:t>
      </w:r>
      <w:r>
        <w:rPr>
          <w:sz w:val="24"/>
          <w:szCs w:val="24"/>
        </w:rPr>
        <w:t>Roraima (25</w:t>
      </w:r>
      <w:r w:rsidR="005238EC">
        <w:rPr>
          <w:sz w:val="24"/>
          <w:szCs w:val="24"/>
        </w:rPr>
        <w:t>,</w:t>
      </w:r>
      <w:r>
        <w:rPr>
          <w:sz w:val="24"/>
          <w:szCs w:val="24"/>
        </w:rPr>
        <w:t xml:space="preserve">3%) e </w:t>
      </w:r>
      <w:r w:rsidR="005238EC">
        <w:rPr>
          <w:sz w:val="24"/>
          <w:szCs w:val="24"/>
        </w:rPr>
        <w:t>d</w:t>
      </w:r>
      <w:r>
        <w:rPr>
          <w:sz w:val="24"/>
          <w:szCs w:val="24"/>
        </w:rPr>
        <w:t xml:space="preserve">o Espírito Santo (22,9%). </w:t>
      </w:r>
      <w:r w:rsidR="005238EC">
        <w:rPr>
          <w:sz w:val="24"/>
          <w:szCs w:val="24"/>
        </w:rPr>
        <w:t xml:space="preserve">De maneira adversa, conforme apontado pela </w:t>
      </w:r>
      <w:r>
        <w:rPr>
          <w:sz w:val="24"/>
          <w:szCs w:val="24"/>
        </w:rPr>
        <w:t xml:space="preserve">CNT (2012), as despesas operacionais dos veículos </w:t>
      </w:r>
      <w:r w:rsidR="005238EC">
        <w:rPr>
          <w:sz w:val="24"/>
          <w:szCs w:val="24"/>
        </w:rPr>
        <w:t xml:space="preserve">tendem a se </w:t>
      </w:r>
      <w:r>
        <w:rPr>
          <w:sz w:val="24"/>
          <w:szCs w:val="24"/>
        </w:rPr>
        <w:t>eleva</w:t>
      </w:r>
      <w:r w:rsidR="005238EC">
        <w:rPr>
          <w:sz w:val="24"/>
          <w:szCs w:val="24"/>
        </w:rPr>
        <w:t>r</w:t>
      </w:r>
      <w:r>
        <w:rPr>
          <w:sz w:val="24"/>
          <w:szCs w:val="24"/>
        </w:rPr>
        <w:t xml:space="preserve"> em 23%</w:t>
      </w:r>
      <w:r w:rsidR="00DB2417">
        <w:rPr>
          <w:sz w:val="24"/>
          <w:szCs w:val="24"/>
        </w:rPr>
        <w:t>,</w:t>
      </w:r>
      <w:r>
        <w:rPr>
          <w:sz w:val="24"/>
          <w:szCs w:val="24"/>
        </w:rPr>
        <w:t xml:space="preserve"> devido às condições </w:t>
      </w:r>
      <w:r w:rsidR="00DB2417">
        <w:rPr>
          <w:sz w:val="24"/>
          <w:szCs w:val="24"/>
        </w:rPr>
        <w:t>ruins das estradas brasileiras, além da redução da competitividade dos produtos brasileiros com o maior custo de transporte</w:t>
      </w:r>
      <w:r>
        <w:rPr>
          <w:sz w:val="24"/>
          <w:szCs w:val="24"/>
        </w:rPr>
        <w:t xml:space="preserve">. </w:t>
      </w:r>
      <w:proofErr w:type="gramStart"/>
      <w:r w:rsidR="00C66ABA">
        <w:rPr>
          <w:sz w:val="24"/>
          <w:szCs w:val="24"/>
        </w:rPr>
        <w:t>A</w:t>
      </w:r>
      <w:r w:rsidR="005238EC">
        <w:rPr>
          <w:sz w:val="24"/>
          <w:szCs w:val="24"/>
        </w:rPr>
        <w:t>ponta-se</w:t>
      </w:r>
      <w:proofErr w:type="gramEnd"/>
      <w:r w:rsidR="00C66ABA">
        <w:rPr>
          <w:sz w:val="24"/>
          <w:szCs w:val="24"/>
        </w:rPr>
        <w:t xml:space="preserve"> também</w:t>
      </w:r>
      <w:r w:rsidR="00DB2417">
        <w:rPr>
          <w:sz w:val="24"/>
          <w:szCs w:val="24"/>
        </w:rPr>
        <w:t xml:space="preserve"> </w:t>
      </w:r>
      <w:r>
        <w:rPr>
          <w:sz w:val="24"/>
          <w:szCs w:val="24"/>
        </w:rPr>
        <w:t>o</w:t>
      </w:r>
      <w:r w:rsidR="00DB2417">
        <w:rPr>
          <w:sz w:val="24"/>
          <w:szCs w:val="24"/>
        </w:rPr>
        <w:t xml:space="preserve">s </w:t>
      </w:r>
      <w:r>
        <w:rPr>
          <w:sz w:val="24"/>
          <w:szCs w:val="24"/>
        </w:rPr>
        <w:t>gastos com indenizações de v</w:t>
      </w:r>
      <w:r w:rsidR="00DB2417">
        <w:rPr>
          <w:sz w:val="24"/>
          <w:szCs w:val="24"/>
        </w:rPr>
        <w:t>í</w:t>
      </w:r>
      <w:r>
        <w:rPr>
          <w:sz w:val="24"/>
          <w:szCs w:val="24"/>
        </w:rPr>
        <w:t xml:space="preserve">timas </w:t>
      </w:r>
      <w:r w:rsidR="00DB2417">
        <w:rPr>
          <w:sz w:val="24"/>
          <w:szCs w:val="24"/>
        </w:rPr>
        <w:t>de</w:t>
      </w:r>
      <w:r>
        <w:rPr>
          <w:sz w:val="24"/>
          <w:szCs w:val="24"/>
        </w:rPr>
        <w:t xml:space="preserve"> acidentes com veículos e o impacto sobre o meio ambiente ligado ao maior gasto com combustível </w:t>
      </w:r>
      <w:r w:rsidR="00DB2417">
        <w:rPr>
          <w:sz w:val="24"/>
          <w:szCs w:val="24"/>
        </w:rPr>
        <w:t>em</w:t>
      </w:r>
      <w:r>
        <w:rPr>
          <w:sz w:val="24"/>
          <w:szCs w:val="24"/>
        </w:rPr>
        <w:t xml:space="preserve"> estradas </w:t>
      </w:r>
      <w:r w:rsidR="00DB2417">
        <w:rPr>
          <w:sz w:val="24"/>
          <w:szCs w:val="24"/>
        </w:rPr>
        <w:t>de</w:t>
      </w:r>
      <w:r>
        <w:rPr>
          <w:sz w:val="24"/>
          <w:szCs w:val="24"/>
        </w:rPr>
        <w:t xml:space="preserve"> estado insatisfatório. Sobretudo, vê-se que a atuação do Governo em suas várias esferas </w:t>
      </w:r>
      <w:r w:rsidRPr="00EB6D8C">
        <w:rPr>
          <w:sz w:val="24"/>
          <w:szCs w:val="24"/>
        </w:rPr>
        <w:t xml:space="preserve">é essencial para dinamizar </w:t>
      </w:r>
      <w:r>
        <w:rPr>
          <w:sz w:val="24"/>
          <w:szCs w:val="24"/>
        </w:rPr>
        <w:t>o</w:t>
      </w:r>
      <w:r w:rsidRPr="00EB6D8C">
        <w:rPr>
          <w:sz w:val="24"/>
          <w:szCs w:val="24"/>
        </w:rPr>
        <w:t xml:space="preserve"> setor e permitir que a economia supere os obstáculos impostos por uma infraestrutura de transportes de baixa produtividade e qualidade incipiente</w:t>
      </w:r>
      <w:r>
        <w:rPr>
          <w:sz w:val="24"/>
          <w:szCs w:val="24"/>
        </w:rPr>
        <w:t>.</w:t>
      </w:r>
      <w:r w:rsidR="00C66ABA">
        <w:rPr>
          <w:sz w:val="24"/>
          <w:szCs w:val="24"/>
        </w:rPr>
        <w:t xml:space="preserve"> </w:t>
      </w:r>
      <w:r w:rsidR="00FF1091">
        <w:rPr>
          <w:sz w:val="24"/>
          <w:szCs w:val="24"/>
        </w:rPr>
        <w:t>Confirmada a eficácia dos gastos governamentais quanto aos avanços nas suas áreas de foco, a quarta equação do sistema investiga</w:t>
      </w:r>
      <w:r w:rsidRPr="00EB6D8C">
        <w:rPr>
          <w:sz w:val="24"/>
          <w:szCs w:val="24"/>
        </w:rPr>
        <w:t xml:space="preserve"> os efeitos </w:t>
      </w:r>
      <w:r w:rsidR="00FF1091">
        <w:rPr>
          <w:sz w:val="24"/>
          <w:szCs w:val="24"/>
        </w:rPr>
        <w:t xml:space="preserve">destes tipos de despesas </w:t>
      </w:r>
      <w:r w:rsidRPr="00EB6D8C">
        <w:rPr>
          <w:sz w:val="24"/>
          <w:szCs w:val="24"/>
        </w:rPr>
        <w:t xml:space="preserve">sobre o estoque de emprego da economia, parcela da PEA que está efetivamente ocupada (Tabela </w:t>
      </w:r>
      <w:r w:rsidR="003A6DA3">
        <w:rPr>
          <w:sz w:val="24"/>
          <w:szCs w:val="24"/>
        </w:rPr>
        <w:t>3</w:t>
      </w:r>
      <w:r w:rsidRPr="00EB6D8C">
        <w:rPr>
          <w:sz w:val="24"/>
          <w:szCs w:val="24"/>
        </w:rPr>
        <w:t xml:space="preserve">). </w:t>
      </w:r>
    </w:p>
    <w:p w:rsidR="00B77266" w:rsidRDefault="00E040F7" w:rsidP="00726852">
      <w:pPr>
        <w:ind w:left="1134" w:hanging="1134"/>
        <w:jc w:val="both"/>
        <w:outlineLvl w:val="0"/>
        <w:rPr>
          <w:sz w:val="24"/>
          <w:szCs w:val="24"/>
        </w:rPr>
      </w:pPr>
      <w:r w:rsidRPr="00EB6D8C">
        <w:rPr>
          <w:sz w:val="24"/>
          <w:szCs w:val="24"/>
        </w:rPr>
        <w:t xml:space="preserve">Tabela </w:t>
      </w:r>
      <w:r w:rsidR="003A6DA3">
        <w:rPr>
          <w:sz w:val="24"/>
          <w:szCs w:val="24"/>
        </w:rPr>
        <w:t>3</w:t>
      </w:r>
      <w:r w:rsidRPr="00EB6D8C">
        <w:rPr>
          <w:sz w:val="24"/>
          <w:szCs w:val="24"/>
        </w:rPr>
        <w:t xml:space="preserve"> – Efeito dos gastos públicos em infraestrutura física e em capital humano sobre </w:t>
      </w:r>
      <w:r>
        <w:rPr>
          <w:sz w:val="24"/>
          <w:szCs w:val="24"/>
        </w:rPr>
        <w:t>o emprego, estado</w:t>
      </w:r>
      <w:r w:rsidR="00B61C2C">
        <w:rPr>
          <w:sz w:val="24"/>
          <w:szCs w:val="24"/>
        </w:rPr>
        <w:t>s</w:t>
      </w:r>
      <w:r>
        <w:rPr>
          <w:sz w:val="24"/>
          <w:szCs w:val="24"/>
        </w:rPr>
        <w:t xml:space="preserve"> brasileiros, 1995-</w:t>
      </w:r>
      <w:proofErr w:type="gramStart"/>
      <w:r>
        <w:rPr>
          <w:sz w:val="24"/>
          <w:szCs w:val="24"/>
        </w:rPr>
        <w:t>2008</w:t>
      </w:r>
      <w:proofErr w:type="gramEnd"/>
      <w:r w:rsidRPr="00EB6D8C">
        <w:rPr>
          <w:sz w:val="24"/>
          <w:szCs w:val="24"/>
        </w:rPr>
        <w:t xml:space="preserve"> </w:t>
      </w:r>
    </w:p>
    <w:tbl>
      <w:tblPr>
        <w:tblpPr w:leftFromText="141" w:rightFromText="141" w:vertAnchor="text" w:tblpXSpec="center" w:tblpY="1"/>
        <w:tblOverlap w:val="never"/>
        <w:tblW w:w="5035"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7716"/>
        <w:gridCol w:w="2700"/>
      </w:tblGrid>
      <w:tr w:rsidR="00E040F7" w:rsidRPr="00E13E09" w:rsidTr="00E13E09">
        <w:trPr>
          <w:trHeight w:hRule="exact" w:val="255"/>
        </w:trPr>
        <w:tc>
          <w:tcPr>
            <w:tcW w:w="3704" w:type="pct"/>
            <w:vAlign w:val="center"/>
            <w:hideMark/>
          </w:tcPr>
          <w:p w:rsidR="00B77266" w:rsidRPr="00E13E09" w:rsidRDefault="003F4892" w:rsidP="00E13E09">
            <w:pPr>
              <w:ind w:left="-68"/>
              <w:jc w:val="center"/>
              <w:rPr>
                <w:bCs/>
                <w:sz w:val="20"/>
              </w:rPr>
            </w:pPr>
            <w:r w:rsidRPr="00E13E09">
              <w:rPr>
                <w:bCs/>
                <w:sz w:val="20"/>
              </w:rPr>
              <w:t>Variáveis explicativas</w:t>
            </w:r>
          </w:p>
        </w:tc>
        <w:tc>
          <w:tcPr>
            <w:tcW w:w="1296" w:type="pct"/>
            <w:vAlign w:val="center"/>
            <w:hideMark/>
          </w:tcPr>
          <w:p w:rsidR="00B77266" w:rsidRPr="00E13E09" w:rsidRDefault="003F4892" w:rsidP="00E13E09">
            <w:pPr>
              <w:ind w:left="-68"/>
              <w:jc w:val="center"/>
              <w:rPr>
                <w:bCs/>
                <w:sz w:val="20"/>
              </w:rPr>
            </w:pPr>
            <w:r w:rsidRPr="00E13E09">
              <w:rPr>
                <w:bCs/>
                <w:sz w:val="20"/>
              </w:rPr>
              <w:t>Nível de emprego</w:t>
            </w:r>
          </w:p>
        </w:tc>
      </w:tr>
      <w:tr w:rsidR="00E040F7" w:rsidRPr="00E13E09" w:rsidTr="00E13E09">
        <w:trPr>
          <w:trHeight w:hRule="exact" w:val="255"/>
        </w:trPr>
        <w:tc>
          <w:tcPr>
            <w:tcW w:w="3704" w:type="pct"/>
            <w:vMerge w:val="restart"/>
            <w:noWrap/>
            <w:vAlign w:val="center"/>
            <w:hideMark/>
          </w:tcPr>
          <w:p w:rsidR="00B77266" w:rsidRPr="00E13E09" w:rsidRDefault="003F4892" w:rsidP="00E13E09">
            <w:pPr>
              <w:ind w:left="-68"/>
              <w:jc w:val="both"/>
              <w:rPr>
                <w:sz w:val="20"/>
              </w:rPr>
            </w:pPr>
            <w:r w:rsidRPr="00E13E09">
              <w:rPr>
                <w:sz w:val="20"/>
              </w:rPr>
              <w:t>Gastos públicos em educação e cultura</w:t>
            </w:r>
          </w:p>
        </w:tc>
        <w:tc>
          <w:tcPr>
            <w:tcW w:w="1296" w:type="pct"/>
            <w:vAlign w:val="center"/>
            <w:hideMark/>
          </w:tcPr>
          <w:p w:rsidR="00B77266" w:rsidRPr="00E13E09" w:rsidRDefault="003F4892" w:rsidP="00E13E09">
            <w:pPr>
              <w:ind w:left="-68"/>
              <w:jc w:val="center"/>
              <w:rPr>
                <w:b/>
                <w:bCs/>
                <w:sz w:val="20"/>
              </w:rPr>
            </w:pPr>
            <w:r w:rsidRPr="00E13E09">
              <w:rPr>
                <w:b/>
                <w:sz w:val="20"/>
              </w:rPr>
              <w:t>0,01087*</w:t>
            </w:r>
          </w:p>
        </w:tc>
      </w:tr>
      <w:tr w:rsidR="00E040F7" w:rsidRPr="00E13E09" w:rsidTr="00E13E09">
        <w:trPr>
          <w:trHeight w:hRule="exact" w:val="255"/>
        </w:trPr>
        <w:tc>
          <w:tcPr>
            <w:tcW w:w="3704" w:type="pct"/>
            <w:vMerge/>
            <w:vAlign w:val="center"/>
            <w:hideMark/>
          </w:tcPr>
          <w:p w:rsidR="00B77266" w:rsidRPr="00E13E09" w:rsidRDefault="00B77266" w:rsidP="00E13E09">
            <w:pPr>
              <w:ind w:left="-68"/>
              <w:rPr>
                <w:sz w:val="20"/>
              </w:rPr>
            </w:pPr>
          </w:p>
        </w:tc>
        <w:tc>
          <w:tcPr>
            <w:tcW w:w="1296" w:type="pct"/>
            <w:vAlign w:val="center"/>
            <w:hideMark/>
          </w:tcPr>
          <w:p w:rsidR="00B77266" w:rsidRPr="00E13E09" w:rsidRDefault="003F4892" w:rsidP="00E13E09">
            <w:pPr>
              <w:ind w:left="-68"/>
              <w:jc w:val="center"/>
              <w:rPr>
                <w:sz w:val="20"/>
              </w:rPr>
            </w:pPr>
            <w:r w:rsidRPr="00E13E09">
              <w:rPr>
                <w:sz w:val="20"/>
              </w:rPr>
              <w:t xml:space="preserve">(0,0064) </w:t>
            </w:r>
          </w:p>
        </w:tc>
      </w:tr>
      <w:tr w:rsidR="00E040F7" w:rsidRPr="00E13E09" w:rsidTr="00E13E09">
        <w:trPr>
          <w:trHeight w:hRule="exact" w:val="255"/>
        </w:trPr>
        <w:tc>
          <w:tcPr>
            <w:tcW w:w="3704" w:type="pct"/>
            <w:vMerge w:val="restart"/>
            <w:noWrap/>
            <w:vAlign w:val="center"/>
            <w:hideMark/>
          </w:tcPr>
          <w:p w:rsidR="00B77266" w:rsidRPr="00E13E09" w:rsidRDefault="003F4892" w:rsidP="00E13E09">
            <w:pPr>
              <w:ind w:left="-68"/>
              <w:jc w:val="both"/>
              <w:rPr>
                <w:sz w:val="20"/>
              </w:rPr>
            </w:pPr>
            <w:r w:rsidRPr="00E13E09">
              <w:rPr>
                <w:sz w:val="20"/>
              </w:rPr>
              <w:t>Gastos públicos em saúde e saneamento (-1)</w:t>
            </w:r>
          </w:p>
        </w:tc>
        <w:tc>
          <w:tcPr>
            <w:tcW w:w="1296" w:type="pct"/>
            <w:vAlign w:val="center"/>
            <w:hideMark/>
          </w:tcPr>
          <w:p w:rsidR="00B77266" w:rsidRPr="00E13E09" w:rsidRDefault="003F4892" w:rsidP="00E13E09">
            <w:pPr>
              <w:ind w:left="-68"/>
              <w:jc w:val="center"/>
              <w:rPr>
                <w:b/>
                <w:sz w:val="20"/>
              </w:rPr>
            </w:pPr>
            <w:r w:rsidRPr="00E13E09">
              <w:rPr>
                <w:b/>
                <w:sz w:val="20"/>
              </w:rPr>
              <w:t>0,00698**</w:t>
            </w:r>
          </w:p>
        </w:tc>
      </w:tr>
      <w:tr w:rsidR="00E040F7" w:rsidRPr="00E13E09" w:rsidTr="00E13E09">
        <w:trPr>
          <w:trHeight w:hRule="exact" w:val="255"/>
        </w:trPr>
        <w:tc>
          <w:tcPr>
            <w:tcW w:w="3704" w:type="pct"/>
            <w:vMerge/>
            <w:vAlign w:val="center"/>
            <w:hideMark/>
          </w:tcPr>
          <w:p w:rsidR="00B77266" w:rsidRPr="00E13E09" w:rsidRDefault="00B77266" w:rsidP="00E13E09">
            <w:pPr>
              <w:ind w:left="-68"/>
              <w:rPr>
                <w:sz w:val="20"/>
              </w:rPr>
            </w:pPr>
          </w:p>
        </w:tc>
        <w:tc>
          <w:tcPr>
            <w:tcW w:w="1296" w:type="pct"/>
            <w:vAlign w:val="center"/>
            <w:hideMark/>
          </w:tcPr>
          <w:p w:rsidR="00B77266" w:rsidRPr="00E13E09" w:rsidRDefault="003F4892" w:rsidP="00E13E09">
            <w:pPr>
              <w:ind w:left="-68"/>
              <w:jc w:val="center"/>
              <w:rPr>
                <w:sz w:val="20"/>
              </w:rPr>
            </w:pPr>
            <w:r w:rsidRPr="00E13E09">
              <w:rPr>
                <w:sz w:val="20"/>
              </w:rPr>
              <w:t>(0,0036)</w:t>
            </w:r>
          </w:p>
        </w:tc>
      </w:tr>
      <w:tr w:rsidR="00E040F7" w:rsidRPr="00E13E09" w:rsidTr="00E13E09">
        <w:trPr>
          <w:trHeight w:hRule="exact" w:val="255"/>
        </w:trPr>
        <w:tc>
          <w:tcPr>
            <w:tcW w:w="3704" w:type="pct"/>
            <w:vMerge w:val="restart"/>
            <w:vAlign w:val="center"/>
            <w:hideMark/>
          </w:tcPr>
          <w:p w:rsidR="00B77266" w:rsidRPr="00E13E09" w:rsidRDefault="003F4892" w:rsidP="00E13E09">
            <w:pPr>
              <w:ind w:left="-68"/>
              <w:jc w:val="both"/>
              <w:rPr>
                <w:sz w:val="20"/>
              </w:rPr>
            </w:pPr>
            <w:r w:rsidRPr="00E13E09">
              <w:rPr>
                <w:sz w:val="20"/>
              </w:rPr>
              <w:t>Gastos públicos em transporte rodoviário (-1)</w:t>
            </w:r>
          </w:p>
        </w:tc>
        <w:tc>
          <w:tcPr>
            <w:tcW w:w="1296" w:type="pct"/>
            <w:vAlign w:val="center"/>
            <w:hideMark/>
          </w:tcPr>
          <w:p w:rsidR="00B77266" w:rsidRPr="00E13E09" w:rsidRDefault="003F4892" w:rsidP="00E13E09">
            <w:pPr>
              <w:ind w:left="-68"/>
              <w:jc w:val="center"/>
              <w:rPr>
                <w:b/>
                <w:sz w:val="20"/>
              </w:rPr>
            </w:pPr>
            <w:r w:rsidRPr="00E13E09">
              <w:rPr>
                <w:b/>
                <w:sz w:val="20"/>
              </w:rPr>
              <w:t>0,0039**</w:t>
            </w:r>
          </w:p>
        </w:tc>
      </w:tr>
      <w:tr w:rsidR="00E040F7" w:rsidRPr="00E13E09" w:rsidTr="00E13E09">
        <w:trPr>
          <w:trHeight w:hRule="exact" w:val="255"/>
        </w:trPr>
        <w:tc>
          <w:tcPr>
            <w:tcW w:w="3704" w:type="pct"/>
            <w:vMerge/>
            <w:vAlign w:val="center"/>
            <w:hideMark/>
          </w:tcPr>
          <w:p w:rsidR="00B77266" w:rsidRPr="00E13E09" w:rsidRDefault="00B77266" w:rsidP="00E13E09">
            <w:pPr>
              <w:ind w:left="-68"/>
              <w:rPr>
                <w:sz w:val="20"/>
              </w:rPr>
            </w:pPr>
          </w:p>
        </w:tc>
        <w:tc>
          <w:tcPr>
            <w:tcW w:w="1296" w:type="pct"/>
            <w:vAlign w:val="center"/>
            <w:hideMark/>
          </w:tcPr>
          <w:p w:rsidR="00B77266" w:rsidRPr="00E13E09" w:rsidRDefault="003F4892" w:rsidP="00E13E09">
            <w:pPr>
              <w:ind w:left="-68"/>
              <w:jc w:val="center"/>
              <w:rPr>
                <w:sz w:val="20"/>
              </w:rPr>
            </w:pPr>
            <w:r w:rsidRPr="00E13E09">
              <w:rPr>
                <w:sz w:val="20"/>
              </w:rPr>
              <w:t xml:space="preserve">(0,0036) </w:t>
            </w:r>
          </w:p>
        </w:tc>
      </w:tr>
      <w:tr w:rsidR="00E040F7" w:rsidRPr="00E13E09" w:rsidTr="00E13E09">
        <w:trPr>
          <w:trHeight w:hRule="exact" w:val="255"/>
        </w:trPr>
        <w:tc>
          <w:tcPr>
            <w:tcW w:w="3704" w:type="pct"/>
            <w:vMerge w:val="restart"/>
            <w:noWrap/>
            <w:vAlign w:val="center"/>
            <w:hideMark/>
          </w:tcPr>
          <w:p w:rsidR="00B77266" w:rsidRPr="00E13E09" w:rsidRDefault="003F4892" w:rsidP="00E13E09">
            <w:pPr>
              <w:ind w:left="-68"/>
              <w:jc w:val="both"/>
              <w:rPr>
                <w:sz w:val="20"/>
              </w:rPr>
            </w:pPr>
            <w:r w:rsidRPr="00E13E09">
              <w:rPr>
                <w:sz w:val="20"/>
              </w:rPr>
              <w:t xml:space="preserve">Salário real </w:t>
            </w:r>
          </w:p>
        </w:tc>
        <w:tc>
          <w:tcPr>
            <w:tcW w:w="1296" w:type="pct"/>
            <w:vAlign w:val="center"/>
            <w:hideMark/>
          </w:tcPr>
          <w:p w:rsidR="00B77266" w:rsidRPr="00E13E09" w:rsidRDefault="003F4892" w:rsidP="00E13E09">
            <w:pPr>
              <w:ind w:left="-68"/>
              <w:jc w:val="center"/>
              <w:rPr>
                <w:b/>
                <w:sz w:val="20"/>
              </w:rPr>
            </w:pPr>
            <w:r w:rsidRPr="00E13E09">
              <w:rPr>
                <w:b/>
                <w:sz w:val="20"/>
              </w:rPr>
              <w:t>-0,0091***</w:t>
            </w:r>
          </w:p>
        </w:tc>
      </w:tr>
      <w:tr w:rsidR="00E040F7" w:rsidRPr="00E13E09" w:rsidTr="00E13E09">
        <w:trPr>
          <w:trHeight w:hRule="exact" w:val="255"/>
        </w:trPr>
        <w:tc>
          <w:tcPr>
            <w:tcW w:w="3704" w:type="pct"/>
            <w:vMerge/>
            <w:vAlign w:val="center"/>
            <w:hideMark/>
          </w:tcPr>
          <w:p w:rsidR="00B77266" w:rsidRPr="00E13E09" w:rsidRDefault="00B77266" w:rsidP="00E13E09">
            <w:pPr>
              <w:ind w:left="-68"/>
              <w:rPr>
                <w:sz w:val="20"/>
              </w:rPr>
            </w:pPr>
          </w:p>
        </w:tc>
        <w:tc>
          <w:tcPr>
            <w:tcW w:w="1296" w:type="pct"/>
            <w:vAlign w:val="center"/>
            <w:hideMark/>
          </w:tcPr>
          <w:p w:rsidR="00B77266" w:rsidRPr="00E13E09" w:rsidRDefault="003F4892" w:rsidP="00E13E09">
            <w:pPr>
              <w:ind w:left="-68"/>
              <w:jc w:val="center"/>
              <w:rPr>
                <w:sz w:val="20"/>
              </w:rPr>
            </w:pPr>
            <w:r w:rsidRPr="00E13E09">
              <w:rPr>
                <w:sz w:val="20"/>
              </w:rPr>
              <w:t>(0,0026)</w:t>
            </w:r>
          </w:p>
        </w:tc>
      </w:tr>
      <w:tr w:rsidR="00E040F7" w:rsidRPr="00E13E09" w:rsidTr="00E13E09">
        <w:trPr>
          <w:trHeight w:hRule="exact" w:val="255"/>
        </w:trPr>
        <w:tc>
          <w:tcPr>
            <w:tcW w:w="3704" w:type="pct"/>
            <w:vAlign w:val="center"/>
            <w:hideMark/>
          </w:tcPr>
          <w:p w:rsidR="00B77266" w:rsidRPr="00E13E09" w:rsidRDefault="003F4892" w:rsidP="00E13E09">
            <w:pPr>
              <w:ind w:left="-68"/>
              <w:jc w:val="both"/>
              <w:rPr>
                <w:sz w:val="20"/>
              </w:rPr>
            </w:pPr>
            <w:r w:rsidRPr="00E13E09">
              <w:rPr>
                <w:sz w:val="20"/>
              </w:rPr>
              <w:t>Coeficiente de ajustamento</w:t>
            </w:r>
          </w:p>
        </w:tc>
        <w:tc>
          <w:tcPr>
            <w:tcW w:w="1296" w:type="pct"/>
            <w:vAlign w:val="center"/>
            <w:hideMark/>
          </w:tcPr>
          <w:p w:rsidR="00B77266" w:rsidRPr="00E13E09" w:rsidRDefault="003F4892" w:rsidP="00E13E09">
            <w:pPr>
              <w:ind w:left="-68"/>
              <w:jc w:val="center"/>
              <w:rPr>
                <w:sz w:val="20"/>
              </w:rPr>
            </w:pPr>
            <w:r w:rsidRPr="00E13E09">
              <w:rPr>
                <w:sz w:val="20"/>
              </w:rPr>
              <w:t>0,1272</w:t>
            </w:r>
          </w:p>
        </w:tc>
      </w:tr>
      <w:tr w:rsidR="00E040F7" w:rsidRPr="00E13E09" w:rsidTr="00E13E09">
        <w:trPr>
          <w:trHeight w:hRule="exact" w:val="255"/>
        </w:trPr>
        <w:tc>
          <w:tcPr>
            <w:tcW w:w="3704" w:type="pct"/>
            <w:vAlign w:val="center"/>
            <w:hideMark/>
          </w:tcPr>
          <w:p w:rsidR="00B77266" w:rsidRPr="00E13E09" w:rsidRDefault="003F4892" w:rsidP="00E13E09">
            <w:pPr>
              <w:ind w:left="-68"/>
              <w:jc w:val="both"/>
              <w:rPr>
                <w:sz w:val="20"/>
              </w:rPr>
            </w:pPr>
            <w:r w:rsidRPr="00E13E09">
              <w:rPr>
                <w:sz w:val="20"/>
              </w:rPr>
              <w:t>Teste de subidentificação LM = 58,13</w:t>
            </w:r>
          </w:p>
        </w:tc>
        <w:tc>
          <w:tcPr>
            <w:tcW w:w="1296" w:type="pct"/>
            <w:vAlign w:val="center"/>
            <w:hideMark/>
          </w:tcPr>
          <w:p w:rsidR="00B77266" w:rsidRPr="00E13E09" w:rsidRDefault="003F4892" w:rsidP="00E13E09">
            <w:pPr>
              <w:ind w:left="-68"/>
              <w:jc w:val="center"/>
              <w:rPr>
                <w:sz w:val="20"/>
              </w:rPr>
            </w:pPr>
            <w:r w:rsidRPr="00E13E09">
              <w:rPr>
                <w:sz w:val="20"/>
              </w:rPr>
              <w:t>P = 0,0000</w:t>
            </w:r>
          </w:p>
        </w:tc>
      </w:tr>
      <w:tr w:rsidR="00E040F7" w:rsidRPr="00E13E09" w:rsidTr="00E13E09">
        <w:trPr>
          <w:trHeight w:hRule="exact" w:val="255"/>
        </w:trPr>
        <w:tc>
          <w:tcPr>
            <w:tcW w:w="3704" w:type="pct"/>
            <w:vAlign w:val="center"/>
            <w:hideMark/>
          </w:tcPr>
          <w:p w:rsidR="00B77266" w:rsidRPr="00E13E09" w:rsidRDefault="003F4892" w:rsidP="00E13E09">
            <w:pPr>
              <w:ind w:left="-68"/>
              <w:jc w:val="both"/>
              <w:rPr>
                <w:sz w:val="20"/>
                <w:lang w:val="it-IT"/>
              </w:rPr>
            </w:pPr>
            <w:r w:rsidRPr="00E13E09">
              <w:rPr>
                <w:sz w:val="20"/>
              </w:rPr>
              <w:t>Teste de Wald de fraca identificação F= 72,99</w:t>
            </w:r>
          </w:p>
        </w:tc>
        <w:tc>
          <w:tcPr>
            <w:tcW w:w="1296" w:type="pct"/>
            <w:vAlign w:val="center"/>
            <w:hideMark/>
          </w:tcPr>
          <w:p w:rsidR="00B77266" w:rsidRPr="00E13E09" w:rsidRDefault="003F4892" w:rsidP="00E13E09">
            <w:pPr>
              <w:ind w:left="-68"/>
              <w:jc w:val="center"/>
              <w:rPr>
                <w:sz w:val="20"/>
                <w:lang w:val="it-IT"/>
              </w:rPr>
            </w:pPr>
            <w:r w:rsidRPr="00E13E09">
              <w:rPr>
                <w:sz w:val="20"/>
                <w:lang w:val="it-IT"/>
              </w:rPr>
              <w:t>P = 0,0000</w:t>
            </w:r>
          </w:p>
        </w:tc>
      </w:tr>
      <w:tr w:rsidR="00E040F7" w:rsidRPr="00E13E09" w:rsidTr="00E13E09">
        <w:trPr>
          <w:trHeight w:hRule="exact" w:val="255"/>
        </w:trPr>
        <w:tc>
          <w:tcPr>
            <w:tcW w:w="3704" w:type="pct"/>
            <w:vAlign w:val="center"/>
            <w:hideMark/>
          </w:tcPr>
          <w:p w:rsidR="00B77266" w:rsidRPr="00E13E09" w:rsidRDefault="00B96105" w:rsidP="00E13E09">
            <w:pPr>
              <w:ind w:left="-68"/>
              <w:jc w:val="both"/>
              <w:rPr>
                <w:sz w:val="20"/>
              </w:rPr>
            </w:pPr>
            <w:r w:rsidRPr="00E13E09">
              <w:rPr>
                <w:sz w:val="20"/>
              </w:rPr>
              <w:t xml:space="preserve">Teste de superidentificação </w:t>
            </w:r>
            <w:proofErr w:type="spellStart"/>
            <w:r w:rsidRPr="00E13E09">
              <w:rPr>
                <w:sz w:val="20"/>
              </w:rPr>
              <w:t>Sargan</w:t>
            </w:r>
            <w:proofErr w:type="spellEnd"/>
            <w:r>
              <w:rPr>
                <w:sz w:val="20"/>
              </w:rPr>
              <w:t xml:space="preserve">: </w:t>
            </w:r>
            <w:r w:rsidRPr="00E13E09">
              <w:rPr>
                <w:sz w:val="20"/>
              </w:rPr>
              <w:t>equação exatamente identificada</w:t>
            </w:r>
          </w:p>
        </w:tc>
        <w:tc>
          <w:tcPr>
            <w:tcW w:w="1296" w:type="pct"/>
            <w:vAlign w:val="center"/>
            <w:hideMark/>
          </w:tcPr>
          <w:p w:rsidR="00B77266" w:rsidRPr="00E13E09" w:rsidRDefault="00B77266" w:rsidP="00E13E09">
            <w:pPr>
              <w:ind w:left="-68"/>
              <w:rPr>
                <w:sz w:val="20"/>
                <w:lang w:val="it-IT"/>
              </w:rPr>
            </w:pPr>
          </w:p>
        </w:tc>
      </w:tr>
      <w:tr w:rsidR="00E040F7" w:rsidRPr="00E13E09" w:rsidTr="00E13E09">
        <w:trPr>
          <w:trHeight w:hRule="exact" w:val="255"/>
        </w:trPr>
        <w:tc>
          <w:tcPr>
            <w:tcW w:w="3704" w:type="pct"/>
            <w:vAlign w:val="center"/>
            <w:hideMark/>
          </w:tcPr>
          <w:p w:rsidR="00B77266" w:rsidRPr="00E13E09" w:rsidRDefault="003F4892" w:rsidP="00E13E09">
            <w:pPr>
              <w:ind w:left="-68"/>
              <w:jc w:val="both"/>
              <w:rPr>
                <w:sz w:val="20"/>
                <w:lang w:val="it-IT"/>
              </w:rPr>
            </w:pPr>
            <w:r w:rsidRPr="00E13E09">
              <w:rPr>
                <w:sz w:val="20"/>
                <w:lang w:val="it-IT"/>
              </w:rPr>
              <w:t>Teste de Wooldrige de autocorrelação F = 15,76</w:t>
            </w:r>
          </w:p>
        </w:tc>
        <w:tc>
          <w:tcPr>
            <w:tcW w:w="1296" w:type="pct"/>
            <w:vAlign w:val="center"/>
            <w:hideMark/>
          </w:tcPr>
          <w:p w:rsidR="00B77266" w:rsidRPr="00E13E09" w:rsidRDefault="003F4892" w:rsidP="00E13E09">
            <w:pPr>
              <w:ind w:left="-68"/>
              <w:jc w:val="center"/>
              <w:rPr>
                <w:sz w:val="20"/>
                <w:lang w:val="it-IT"/>
              </w:rPr>
            </w:pPr>
            <w:r w:rsidRPr="00E13E09">
              <w:rPr>
                <w:sz w:val="20"/>
                <w:lang w:val="it-IT"/>
              </w:rPr>
              <w:t>P = 0,0000</w:t>
            </w:r>
          </w:p>
        </w:tc>
      </w:tr>
      <w:tr w:rsidR="00E040F7" w:rsidRPr="00E13E09" w:rsidTr="00E13E09">
        <w:trPr>
          <w:trHeight w:hRule="exact" w:val="255"/>
        </w:trPr>
        <w:tc>
          <w:tcPr>
            <w:tcW w:w="3704" w:type="pct"/>
            <w:vAlign w:val="center"/>
            <w:hideMark/>
          </w:tcPr>
          <w:p w:rsidR="00B77266" w:rsidRPr="00E13E09" w:rsidRDefault="003F4892" w:rsidP="00E13E09">
            <w:pPr>
              <w:ind w:left="-68"/>
              <w:jc w:val="both"/>
              <w:rPr>
                <w:sz w:val="20"/>
              </w:rPr>
            </w:pPr>
            <w:r w:rsidRPr="00E13E09">
              <w:rPr>
                <w:sz w:val="20"/>
              </w:rPr>
              <w:t xml:space="preserve">Teste modificado de Wald de </w:t>
            </w:r>
            <w:proofErr w:type="spellStart"/>
            <w:r w:rsidRPr="00E13E09">
              <w:rPr>
                <w:sz w:val="20"/>
              </w:rPr>
              <w:t>heterocedasticidade</w:t>
            </w:r>
            <w:proofErr w:type="spellEnd"/>
            <w:r w:rsidRPr="00E13E09">
              <w:rPr>
                <w:sz w:val="20"/>
              </w:rPr>
              <w:t xml:space="preserve"> chi2 = 102,21</w:t>
            </w:r>
          </w:p>
        </w:tc>
        <w:tc>
          <w:tcPr>
            <w:tcW w:w="1296" w:type="pct"/>
            <w:vAlign w:val="center"/>
            <w:hideMark/>
          </w:tcPr>
          <w:p w:rsidR="00B77266" w:rsidRPr="00E13E09" w:rsidRDefault="003F4892" w:rsidP="00E13E09">
            <w:pPr>
              <w:ind w:left="-68"/>
              <w:jc w:val="center"/>
              <w:rPr>
                <w:sz w:val="20"/>
              </w:rPr>
            </w:pPr>
            <w:r w:rsidRPr="00E13E09">
              <w:rPr>
                <w:sz w:val="20"/>
              </w:rPr>
              <w:t>P = 0,0000</w:t>
            </w:r>
          </w:p>
        </w:tc>
      </w:tr>
      <w:tr w:rsidR="00E040F7" w:rsidRPr="00E13E09" w:rsidTr="00E13E09">
        <w:trPr>
          <w:trHeight w:hRule="exact" w:val="255"/>
        </w:trPr>
        <w:tc>
          <w:tcPr>
            <w:tcW w:w="3704" w:type="pct"/>
            <w:vAlign w:val="center"/>
            <w:hideMark/>
          </w:tcPr>
          <w:p w:rsidR="00B77266" w:rsidRPr="00E13E09" w:rsidRDefault="003F4892" w:rsidP="00E13E09">
            <w:pPr>
              <w:ind w:left="-68"/>
              <w:jc w:val="both"/>
              <w:rPr>
                <w:sz w:val="20"/>
              </w:rPr>
            </w:pPr>
            <w:r w:rsidRPr="00E13E09">
              <w:rPr>
                <w:sz w:val="20"/>
              </w:rPr>
              <w:t xml:space="preserve">Teste de </w:t>
            </w:r>
            <w:proofErr w:type="spellStart"/>
            <w:r w:rsidRPr="00E13E09">
              <w:rPr>
                <w:sz w:val="20"/>
              </w:rPr>
              <w:t>Hausman</w:t>
            </w:r>
            <w:proofErr w:type="spellEnd"/>
            <w:r w:rsidRPr="00E13E09">
              <w:rPr>
                <w:sz w:val="20"/>
              </w:rPr>
              <w:t xml:space="preserve"> chi2 = 10,39</w:t>
            </w:r>
          </w:p>
        </w:tc>
        <w:tc>
          <w:tcPr>
            <w:tcW w:w="1296" w:type="pct"/>
            <w:vAlign w:val="center"/>
            <w:hideMark/>
          </w:tcPr>
          <w:p w:rsidR="00B77266" w:rsidRPr="00E13E09" w:rsidRDefault="003F4892" w:rsidP="00E13E09">
            <w:pPr>
              <w:ind w:left="-68"/>
              <w:jc w:val="center"/>
              <w:rPr>
                <w:sz w:val="20"/>
                <w:lang w:val="it-IT"/>
              </w:rPr>
            </w:pPr>
            <w:r w:rsidRPr="00E13E09">
              <w:rPr>
                <w:sz w:val="20"/>
                <w:lang w:val="it-IT"/>
              </w:rPr>
              <w:t>P = 0,0100</w:t>
            </w:r>
          </w:p>
        </w:tc>
      </w:tr>
    </w:tbl>
    <w:p w:rsidR="00B77266" w:rsidRDefault="00E040F7" w:rsidP="00573C41">
      <w:pPr>
        <w:jc w:val="both"/>
        <w:rPr>
          <w:sz w:val="20"/>
        </w:rPr>
      </w:pPr>
      <w:r w:rsidRPr="00EB6D8C">
        <w:rPr>
          <w:sz w:val="20"/>
        </w:rPr>
        <w:t>Fonte: Resultados da pesquisa.</w:t>
      </w:r>
    </w:p>
    <w:p w:rsidR="00B77266" w:rsidRDefault="00E040F7" w:rsidP="00573C41">
      <w:pPr>
        <w:jc w:val="both"/>
        <w:rPr>
          <w:sz w:val="20"/>
        </w:rPr>
      </w:pPr>
      <w:r w:rsidRPr="00EB6D8C">
        <w:rPr>
          <w:sz w:val="20"/>
        </w:rPr>
        <w:t xml:space="preserve">Nota: Forma Funcional </w:t>
      </w:r>
      <w:proofErr w:type="spellStart"/>
      <w:r w:rsidRPr="00EB6D8C">
        <w:rPr>
          <w:sz w:val="20"/>
        </w:rPr>
        <w:t>duplo-log</w:t>
      </w:r>
      <w:proofErr w:type="spellEnd"/>
      <w:r w:rsidRPr="00EB6D8C">
        <w:rPr>
          <w:sz w:val="20"/>
        </w:rPr>
        <w:t>. Valores entre parênteses: erro-padrão.</w:t>
      </w:r>
    </w:p>
    <w:p w:rsidR="00B77266" w:rsidRDefault="00E040F7" w:rsidP="00573C41">
      <w:pPr>
        <w:tabs>
          <w:tab w:val="left" w:pos="720"/>
          <w:tab w:val="left" w:pos="900"/>
        </w:tabs>
        <w:autoSpaceDE w:val="0"/>
        <w:autoSpaceDN w:val="0"/>
        <w:adjustRightInd w:val="0"/>
        <w:jc w:val="both"/>
        <w:rPr>
          <w:sz w:val="20"/>
        </w:rPr>
      </w:pPr>
      <w:r w:rsidRPr="00EB6D8C">
        <w:rPr>
          <w:sz w:val="20"/>
        </w:rPr>
        <w:t xml:space="preserve">         -</w:t>
      </w:r>
      <w:proofErr w:type="spellStart"/>
      <w:r w:rsidRPr="00EB6D8C">
        <w:rPr>
          <w:sz w:val="20"/>
        </w:rPr>
        <w:t>ns</w:t>
      </w:r>
      <w:proofErr w:type="spellEnd"/>
      <w:r w:rsidRPr="00EB6D8C">
        <w:rPr>
          <w:sz w:val="20"/>
        </w:rPr>
        <w:t xml:space="preserve"> – não significativo, ***significativo a 1%, **significativo a 5% e *, significativo a 10%.          </w:t>
      </w:r>
    </w:p>
    <w:p w:rsidR="00B77266" w:rsidRDefault="00E040F7" w:rsidP="00726852">
      <w:pPr>
        <w:tabs>
          <w:tab w:val="left" w:pos="720"/>
          <w:tab w:val="left" w:pos="900"/>
        </w:tabs>
        <w:autoSpaceDE w:val="0"/>
        <w:autoSpaceDN w:val="0"/>
        <w:adjustRightInd w:val="0"/>
        <w:jc w:val="both"/>
        <w:rPr>
          <w:sz w:val="20"/>
        </w:rPr>
      </w:pPr>
      <w:r>
        <w:rPr>
          <w:sz w:val="20"/>
        </w:rPr>
        <w:t xml:space="preserve">         Instrumentos: </w:t>
      </w:r>
      <w:proofErr w:type="spellStart"/>
      <w:proofErr w:type="gramStart"/>
      <w:r>
        <w:rPr>
          <w:sz w:val="20"/>
        </w:rPr>
        <w:t>ln</w:t>
      </w:r>
      <w:proofErr w:type="spellEnd"/>
      <w:r>
        <w:rPr>
          <w:sz w:val="20"/>
        </w:rPr>
        <w:t>(</w:t>
      </w:r>
      <w:proofErr w:type="spellStart"/>
      <w:proofErr w:type="gramEnd"/>
      <w:r>
        <w:rPr>
          <w:sz w:val="20"/>
        </w:rPr>
        <w:t>cam</w:t>
      </w:r>
      <w:proofErr w:type="spellEnd"/>
      <w:r>
        <w:rPr>
          <w:sz w:val="20"/>
        </w:rPr>
        <w:t>(-3)).</w:t>
      </w:r>
    </w:p>
    <w:p w:rsidR="00C66ABA" w:rsidRDefault="00C66ABA" w:rsidP="00C66ABA">
      <w:pPr>
        <w:autoSpaceDE w:val="0"/>
        <w:autoSpaceDN w:val="0"/>
        <w:adjustRightInd w:val="0"/>
        <w:ind w:firstLine="709"/>
        <w:jc w:val="both"/>
        <w:rPr>
          <w:sz w:val="24"/>
          <w:szCs w:val="24"/>
        </w:rPr>
      </w:pPr>
      <w:r>
        <w:rPr>
          <w:sz w:val="24"/>
          <w:szCs w:val="24"/>
        </w:rPr>
        <w:lastRenderedPageBreak/>
        <w:t xml:space="preserve">A regressão estimada possui </w:t>
      </w:r>
      <w:r w:rsidRPr="00EB6D8C">
        <w:rPr>
          <w:sz w:val="24"/>
          <w:szCs w:val="24"/>
        </w:rPr>
        <w:t xml:space="preserve">um coeficiente negativo e estatisticamente significativo para a variável de salários reais, o que é coerente com a teoria que rege a demanda de trabalho </w:t>
      </w:r>
      <w:r>
        <w:rPr>
          <w:sz w:val="24"/>
          <w:szCs w:val="24"/>
        </w:rPr>
        <w:t>na</w:t>
      </w:r>
      <w:r w:rsidRPr="00EB6D8C">
        <w:rPr>
          <w:sz w:val="24"/>
          <w:szCs w:val="24"/>
        </w:rPr>
        <w:t xml:space="preserve"> economia. Por outro lado, os gastos em saúde e em energia têm efeitos positivos diretos sobre a razão entre a população ocupada e a PEA (variável de emprego). </w:t>
      </w:r>
      <w:r>
        <w:rPr>
          <w:sz w:val="24"/>
          <w:szCs w:val="24"/>
        </w:rPr>
        <w:t>Cabe</w:t>
      </w:r>
      <w:r w:rsidRPr="00EB6D8C">
        <w:rPr>
          <w:sz w:val="24"/>
          <w:szCs w:val="24"/>
        </w:rPr>
        <w:t xml:space="preserve"> destacar que os efeitos diretos positivos dos dispêndios com saúde </w:t>
      </w:r>
      <w:r>
        <w:rPr>
          <w:sz w:val="24"/>
          <w:szCs w:val="24"/>
        </w:rPr>
        <w:t xml:space="preserve">e dos gastos em rodovias são defasados em </w:t>
      </w:r>
      <w:r w:rsidRPr="00EB6D8C">
        <w:rPr>
          <w:sz w:val="24"/>
          <w:szCs w:val="24"/>
        </w:rPr>
        <w:t xml:space="preserve">um ano. </w:t>
      </w:r>
    </w:p>
    <w:p w:rsidR="00C66ABA" w:rsidRDefault="00C66ABA" w:rsidP="00C66ABA">
      <w:pPr>
        <w:autoSpaceDE w:val="0"/>
        <w:autoSpaceDN w:val="0"/>
        <w:adjustRightInd w:val="0"/>
        <w:ind w:firstLine="709"/>
        <w:jc w:val="both"/>
        <w:rPr>
          <w:sz w:val="24"/>
          <w:szCs w:val="24"/>
        </w:rPr>
      </w:pPr>
      <w:r>
        <w:rPr>
          <w:sz w:val="24"/>
          <w:szCs w:val="24"/>
        </w:rPr>
        <w:t xml:space="preserve">Na análise comparativa, a </w:t>
      </w:r>
      <w:r w:rsidRPr="00EB6D8C">
        <w:rPr>
          <w:sz w:val="24"/>
          <w:szCs w:val="24"/>
        </w:rPr>
        <w:t xml:space="preserve">elasticidade emprego dos gastos públicos em </w:t>
      </w:r>
      <w:r>
        <w:rPr>
          <w:sz w:val="24"/>
          <w:szCs w:val="24"/>
        </w:rPr>
        <w:t xml:space="preserve">educação é </w:t>
      </w:r>
      <w:proofErr w:type="gramStart"/>
      <w:r>
        <w:rPr>
          <w:sz w:val="24"/>
          <w:szCs w:val="24"/>
        </w:rPr>
        <w:t>superior às elasticidades dos dispêndios em saúde e em transporte rodoviário, valores</w:t>
      </w:r>
      <w:proofErr w:type="gramEnd"/>
      <w:r>
        <w:rPr>
          <w:sz w:val="24"/>
          <w:szCs w:val="24"/>
        </w:rPr>
        <w:t xml:space="preserve"> relativamente baixos e e</w:t>
      </w:r>
      <w:r w:rsidRPr="00EB6D8C">
        <w:rPr>
          <w:sz w:val="24"/>
          <w:szCs w:val="24"/>
        </w:rPr>
        <w:t>m torno de 0,0</w:t>
      </w:r>
      <w:r>
        <w:rPr>
          <w:sz w:val="24"/>
          <w:szCs w:val="24"/>
        </w:rPr>
        <w:t>07% e 0,009%, respectivamente. Observa-se que, presumindo-se a</w:t>
      </w:r>
      <w:r w:rsidRPr="00EB6D8C">
        <w:rPr>
          <w:sz w:val="24"/>
          <w:szCs w:val="24"/>
        </w:rPr>
        <w:t xml:space="preserve"> ampliação de 1%</w:t>
      </w:r>
      <w:r>
        <w:rPr>
          <w:sz w:val="24"/>
          <w:szCs w:val="24"/>
        </w:rPr>
        <w:t xml:space="preserve"> nos gastos dos governos voltados à educação, a estimativa é de ampliação em 0,011</w:t>
      </w:r>
      <w:r w:rsidRPr="00EB6D8C">
        <w:rPr>
          <w:sz w:val="24"/>
          <w:szCs w:val="24"/>
        </w:rPr>
        <w:t xml:space="preserve">% na parcela da PEA de pessoas ocupadas. </w:t>
      </w:r>
    </w:p>
    <w:p w:rsidR="00B77266" w:rsidRDefault="00E040F7" w:rsidP="00726852">
      <w:pPr>
        <w:autoSpaceDE w:val="0"/>
        <w:autoSpaceDN w:val="0"/>
        <w:adjustRightInd w:val="0"/>
        <w:ind w:firstLine="709"/>
        <w:jc w:val="both"/>
        <w:rPr>
          <w:sz w:val="24"/>
          <w:szCs w:val="24"/>
        </w:rPr>
      </w:pPr>
      <w:r w:rsidRPr="00EB6D8C">
        <w:rPr>
          <w:sz w:val="24"/>
          <w:szCs w:val="24"/>
        </w:rPr>
        <w:t xml:space="preserve">No que se refere à relação positiva entre os gastos com saúde e o emprego, </w:t>
      </w:r>
      <w:r>
        <w:rPr>
          <w:sz w:val="24"/>
          <w:szCs w:val="24"/>
        </w:rPr>
        <w:t xml:space="preserve">pode-se citar uma </w:t>
      </w:r>
      <w:proofErr w:type="spellStart"/>
      <w:r>
        <w:rPr>
          <w:sz w:val="24"/>
          <w:szCs w:val="24"/>
        </w:rPr>
        <w:t>externalidade</w:t>
      </w:r>
      <w:proofErr w:type="spellEnd"/>
      <w:r>
        <w:rPr>
          <w:sz w:val="24"/>
          <w:szCs w:val="24"/>
        </w:rPr>
        <w:t xml:space="preserve"> positiva </w:t>
      </w:r>
      <w:r w:rsidR="00A64A59">
        <w:rPr>
          <w:sz w:val="24"/>
          <w:szCs w:val="24"/>
        </w:rPr>
        <w:t xml:space="preserve">para </w:t>
      </w:r>
      <w:r>
        <w:rPr>
          <w:sz w:val="24"/>
          <w:szCs w:val="24"/>
        </w:rPr>
        <w:t>os trabalhadores que saem da condição de desempregados</w:t>
      </w:r>
      <w:r w:rsidR="00A64A59">
        <w:rPr>
          <w:sz w:val="24"/>
          <w:szCs w:val="24"/>
        </w:rPr>
        <w:t>. Há</w:t>
      </w:r>
      <w:r>
        <w:rPr>
          <w:sz w:val="24"/>
          <w:szCs w:val="24"/>
        </w:rPr>
        <w:t xml:space="preserve"> </w:t>
      </w:r>
      <w:r w:rsidR="005238EC">
        <w:rPr>
          <w:sz w:val="24"/>
          <w:szCs w:val="24"/>
        </w:rPr>
        <w:t xml:space="preserve">o </w:t>
      </w:r>
      <w:r>
        <w:rPr>
          <w:sz w:val="24"/>
          <w:szCs w:val="24"/>
        </w:rPr>
        <w:t>impacto sobre a renda familiar e a possibilidade de maior gasto das famílias com serviços de saúde. Dada a complementaridade entre saúde e educação, tem-se associação positiva do maior gasto com saúde e produtividade do trabalho, o que tende a causar um segundo efeito positivo sobre o rendimento destas famílias, contribuindo para retirar estas pessoas da condição de pobreza.</w:t>
      </w:r>
      <w:r w:rsidR="00C54F27">
        <w:rPr>
          <w:sz w:val="24"/>
          <w:szCs w:val="24"/>
        </w:rPr>
        <w:t xml:space="preserve"> Isto corresponde a dizer que recursos direcionados para </w:t>
      </w:r>
      <w:r w:rsidRPr="00EB6D8C">
        <w:rPr>
          <w:sz w:val="24"/>
          <w:szCs w:val="24"/>
        </w:rPr>
        <w:t xml:space="preserve">saúde reduzem o desemprego de forma direta e indireta. </w:t>
      </w:r>
      <w:r w:rsidR="005238EC">
        <w:rPr>
          <w:sz w:val="24"/>
          <w:szCs w:val="24"/>
        </w:rPr>
        <w:t xml:space="preserve">Um exemplo é a </w:t>
      </w:r>
      <w:r w:rsidR="005238EC" w:rsidRPr="00EB6D8C">
        <w:rPr>
          <w:sz w:val="24"/>
          <w:szCs w:val="24"/>
        </w:rPr>
        <w:t>geração direta e indireta de postos de trabalho</w:t>
      </w:r>
      <w:r w:rsidR="005238EC">
        <w:rPr>
          <w:sz w:val="24"/>
          <w:szCs w:val="24"/>
        </w:rPr>
        <w:t xml:space="preserve"> ligada à</w:t>
      </w:r>
      <w:r w:rsidRPr="00EB6D8C">
        <w:rPr>
          <w:sz w:val="24"/>
          <w:szCs w:val="24"/>
        </w:rPr>
        <w:t xml:space="preserve"> consolidação de programas de saúde</w:t>
      </w:r>
      <w:r w:rsidR="005238EC">
        <w:rPr>
          <w:sz w:val="24"/>
          <w:szCs w:val="24"/>
        </w:rPr>
        <w:t xml:space="preserve">, nos quais </w:t>
      </w:r>
      <w:r w:rsidRPr="00EB6D8C">
        <w:rPr>
          <w:sz w:val="24"/>
          <w:szCs w:val="24"/>
        </w:rPr>
        <w:t xml:space="preserve">muitos profissionais são exigidos no processo de criação, implantação e desenvolvimento. </w:t>
      </w:r>
      <w:r w:rsidR="005238EC">
        <w:rPr>
          <w:sz w:val="24"/>
          <w:szCs w:val="24"/>
        </w:rPr>
        <w:t xml:space="preserve">Não se pode deixar de mencionar também o </w:t>
      </w:r>
      <w:r>
        <w:rPr>
          <w:sz w:val="24"/>
          <w:szCs w:val="24"/>
        </w:rPr>
        <w:t xml:space="preserve">Programa Saúde da Família e as equipes de agentes comunitários. </w:t>
      </w:r>
      <w:r w:rsidR="00F1586E">
        <w:rPr>
          <w:sz w:val="24"/>
          <w:szCs w:val="24"/>
        </w:rPr>
        <w:t>Outra forma de geração indireta de</w:t>
      </w:r>
      <w:r>
        <w:rPr>
          <w:sz w:val="24"/>
          <w:szCs w:val="24"/>
        </w:rPr>
        <w:t xml:space="preserve"> demanda por mão de obra </w:t>
      </w:r>
      <w:r w:rsidR="00F1586E">
        <w:rPr>
          <w:sz w:val="24"/>
          <w:szCs w:val="24"/>
        </w:rPr>
        <w:t xml:space="preserve">está relacionada </w:t>
      </w:r>
      <w:r w:rsidR="005238EC">
        <w:rPr>
          <w:sz w:val="24"/>
          <w:szCs w:val="24"/>
        </w:rPr>
        <w:t>às</w:t>
      </w:r>
      <w:r>
        <w:rPr>
          <w:sz w:val="24"/>
          <w:szCs w:val="24"/>
        </w:rPr>
        <w:t xml:space="preserve"> atividades industriais e comerciais de produção de medicamentos e insumos hospitalares. </w:t>
      </w:r>
      <w:r w:rsidR="00F1586E">
        <w:rPr>
          <w:sz w:val="24"/>
          <w:szCs w:val="24"/>
        </w:rPr>
        <w:t>Além disso, s</w:t>
      </w:r>
      <w:r>
        <w:rPr>
          <w:sz w:val="24"/>
          <w:szCs w:val="24"/>
        </w:rPr>
        <w:t xml:space="preserve">egundo </w:t>
      </w:r>
      <w:proofErr w:type="spellStart"/>
      <w:r>
        <w:rPr>
          <w:sz w:val="24"/>
          <w:szCs w:val="24"/>
        </w:rPr>
        <w:t>Biasoto</w:t>
      </w:r>
      <w:proofErr w:type="spellEnd"/>
      <w:r>
        <w:rPr>
          <w:sz w:val="24"/>
          <w:szCs w:val="24"/>
        </w:rPr>
        <w:t xml:space="preserve"> Júnior (2007), diante do aumento do gasto público voltado à atenção básica – promoção e prevenção da saúde – pode-se reduzir a prevalência de especialidades médicas e ampliar a demanda no mercado de trabalho de </w:t>
      </w:r>
      <w:r w:rsidR="00AE2F59">
        <w:rPr>
          <w:sz w:val="24"/>
          <w:szCs w:val="24"/>
        </w:rPr>
        <w:t xml:space="preserve">outros tipos de </w:t>
      </w:r>
      <w:r>
        <w:rPr>
          <w:sz w:val="24"/>
          <w:szCs w:val="24"/>
        </w:rPr>
        <w:t>profissionais da saúde</w:t>
      </w:r>
      <w:r w:rsidRPr="00EB6D8C">
        <w:rPr>
          <w:sz w:val="24"/>
          <w:szCs w:val="24"/>
        </w:rPr>
        <w:t>.</w:t>
      </w:r>
    </w:p>
    <w:p w:rsidR="00B77266" w:rsidRDefault="00E040F7" w:rsidP="00726852">
      <w:pPr>
        <w:tabs>
          <w:tab w:val="left" w:pos="720"/>
          <w:tab w:val="left" w:pos="900"/>
        </w:tabs>
        <w:autoSpaceDE w:val="0"/>
        <w:autoSpaceDN w:val="0"/>
        <w:adjustRightInd w:val="0"/>
        <w:ind w:firstLine="709"/>
        <w:jc w:val="both"/>
        <w:rPr>
          <w:sz w:val="24"/>
          <w:szCs w:val="24"/>
        </w:rPr>
      </w:pPr>
      <w:r w:rsidRPr="00EB6D8C">
        <w:rPr>
          <w:sz w:val="24"/>
          <w:szCs w:val="24"/>
        </w:rPr>
        <w:tab/>
      </w:r>
      <w:r>
        <w:rPr>
          <w:sz w:val="24"/>
          <w:szCs w:val="24"/>
        </w:rPr>
        <w:t xml:space="preserve">Como forma de permitir que toda a população usufrua dos efeitos positivos do crescimento econômico, alerta-se para </w:t>
      </w:r>
      <w:r w:rsidR="00B96105">
        <w:rPr>
          <w:sz w:val="24"/>
          <w:szCs w:val="24"/>
        </w:rPr>
        <w:t xml:space="preserve">as </w:t>
      </w:r>
      <w:r>
        <w:rPr>
          <w:sz w:val="24"/>
          <w:szCs w:val="24"/>
        </w:rPr>
        <w:t xml:space="preserve">políticas públicas que suscitem </w:t>
      </w:r>
      <w:r w:rsidRPr="00EB6D8C">
        <w:rPr>
          <w:sz w:val="24"/>
          <w:szCs w:val="24"/>
        </w:rPr>
        <w:t>contratação de força de trabalho</w:t>
      </w:r>
      <w:r w:rsidR="00B96105">
        <w:rPr>
          <w:sz w:val="24"/>
          <w:szCs w:val="24"/>
        </w:rPr>
        <w:t xml:space="preserve">. Afinal esta mão de obra </w:t>
      </w:r>
      <w:r>
        <w:rPr>
          <w:sz w:val="24"/>
          <w:szCs w:val="24"/>
        </w:rPr>
        <w:t>terá sua capacidade de consumo elevada por meio da renda do trabalho</w:t>
      </w:r>
      <w:r w:rsidR="00AE2F59">
        <w:rPr>
          <w:sz w:val="24"/>
          <w:szCs w:val="24"/>
        </w:rPr>
        <w:t>,</w:t>
      </w:r>
      <w:r>
        <w:rPr>
          <w:sz w:val="24"/>
          <w:szCs w:val="24"/>
        </w:rPr>
        <w:t xml:space="preserve"> adquirindo </w:t>
      </w:r>
      <w:r w:rsidRPr="00EB6D8C">
        <w:rPr>
          <w:sz w:val="24"/>
          <w:szCs w:val="24"/>
        </w:rPr>
        <w:t xml:space="preserve">bens </w:t>
      </w:r>
      <w:r>
        <w:rPr>
          <w:sz w:val="24"/>
          <w:szCs w:val="24"/>
        </w:rPr>
        <w:t xml:space="preserve">e serviços, refletindo, por sua vez, o </w:t>
      </w:r>
      <w:r w:rsidRPr="00EB6D8C">
        <w:rPr>
          <w:sz w:val="24"/>
          <w:szCs w:val="24"/>
        </w:rPr>
        <w:t>efeito multiplicador</w:t>
      </w:r>
      <w:r>
        <w:rPr>
          <w:sz w:val="24"/>
          <w:szCs w:val="24"/>
        </w:rPr>
        <w:t xml:space="preserve"> dos dispêndios públicos</w:t>
      </w:r>
      <w:r w:rsidRPr="00EB6D8C">
        <w:rPr>
          <w:sz w:val="24"/>
          <w:szCs w:val="24"/>
        </w:rPr>
        <w:t xml:space="preserve">. </w:t>
      </w:r>
      <w:r>
        <w:rPr>
          <w:sz w:val="24"/>
          <w:szCs w:val="24"/>
        </w:rPr>
        <w:t xml:space="preserve">A proposta é </w:t>
      </w:r>
      <w:r w:rsidR="00DE614F">
        <w:rPr>
          <w:sz w:val="24"/>
          <w:szCs w:val="24"/>
        </w:rPr>
        <w:t>seguir</w:t>
      </w:r>
      <w:r>
        <w:rPr>
          <w:sz w:val="24"/>
          <w:szCs w:val="24"/>
        </w:rPr>
        <w:t xml:space="preserve"> esta máxima sem </w:t>
      </w:r>
      <w:r w:rsidR="00AE2F59">
        <w:rPr>
          <w:sz w:val="24"/>
          <w:szCs w:val="24"/>
        </w:rPr>
        <w:t>o</w:t>
      </w:r>
      <w:r>
        <w:rPr>
          <w:sz w:val="24"/>
          <w:szCs w:val="24"/>
        </w:rPr>
        <w:t xml:space="preserve"> agravamento</w:t>
      </w:r>
      <w:r w:rsidRPr="00EB6D8C">
        <w:rPr>
          <w:sz w:val="24"/>
          <w:szCs w:val="24"/>
        </w:rPr>
        <w:t xml:space="preserve"> da dívida pública, </w:t>
      </w:r>
      <w:r>
        <w:rPr>
          <w:sz w:val="24"/>
          <w:szCs w:val="24"/>
        </w:rPr>
        <w:t xml:space="preserve">de modo que os governos federal e estadual possam </w:t>
      </w:r>
      <w:r w:rsidRPr="00EB6D8C">
        <w:rPr>
          <w:sz w:val="24"/>
          <w:szCs w:val="24"/>
        </w:rPr>
        <w:t xml:space="preserve">mudar a composição de seus gastos, </w:t>
      </w:r>
      <w:r>
        <w:rPr>
          <w:sz w:val="24"/>
          <w:szCs w:val="24"/>
        </w:rPr>
        <w:t xml:space="preserve">com destaque à educação, tal como mostra o presente estudo. </w:t>
      </w:r>
      <w:r w:rsidR="00DE614F">
        <w:rPr>
          <w:sz w:val="24"/>
          <w:szCs w:val="24"/>
        </w:rPr>
        <w:t xml:space="preserve">Deve ser dada menos ênfase </w:t>
      </w:r>
      <w:r>
        <w:rPr>
          <w:sz w:val="24"/>
          <w:szCs w:val="24"/>
        </w:rPr>
        <w:t xml:space="preserve">às categorias </w:t>
      </w:r>
      <w:r w:rsidR="00DE614F">
        <w:rPr>
          <w:sz w:val="24"/>
          <w:szCs w:val="24"/>
        </w:rPr>
        <w:t xml:space="preserve">de gasto </w:t>
      </w:r>
      <w:r>
        <w:rPr>
          <w:sz w:val="24"/>
          <w:szCs w:val="24"/>
        </w:rPr>
        <w:t xml:space="preserve">que </w:t>
      </w:r>
      <w:r w:rsidRPr="00EB6D8C">
        <w:rPr>
          <w:sz w:val="24"/>
          <w:szCs w:val="24"/>
        </w:rPr>
        <w:t>não ger</w:t>
      </w:r>
      <w:r>
        <w:rPr>
          <w:sz w:val="24"/>
          <w:szCs w:val="24"/>
        </w:rPr>
        <w:t>am</w:t>
      </w:r>
      <w:r w:rsidRPr="00EB6D8C">
        <w:rPr>
          <w:sz w:val="24"/>
          <w:szCs w:val="24"/>
        </w:rPr>
        <w:t xml:space="preserve"> empregos, </w:t>
      </w:r>
      <w:r>
        <w:rPr>
          <w:sz w:val="24"/>
          <w:szCs w:val="24"/>
        </w:rPr>
        <w:t>e prioriza</w:t>
      </w:r>
      <w:r w:rsidR="00DE614F">
        <w:rPr>
          <w:sz w:val="24"/>
          <w:szCs w:val="24"/>
        </w:rPr>
        <w:t xml:space="preserve">r </w:t>
      </w:r>
      <w:r>
        <w:rPr>
          <w:sz w:val="24"/>
          <w:szCs w:val="24"/>
        </w:rPr>
        <w:t xml:space="preserve">a </w:t>
      </w:r>
      <w:r w:rsidRPr="00EB6D8C">
        <w:rPr>
          <w:sz w:val="24"/>
          <w:szCs w:val="24"/>
        </w:rPr>
        <w:t xml:space="preserve">infraestrutura física e social, que permitem a redução do desemprego na economia. </w:t>
      </w:r>
      <w:r>
        <w:rPr>
          <w:sz w:val="24"/>
          <w:szCs w:val="24"/>
        </w:rPr>
        <w:t xml:space="preserve">Ademais, a redução do desemprego pode vir acompanhada da possibilidade de redução de </w:t>
      </w:r>
      <w:r w:rsidRPr="00EB6D8C">
        <w:rPr>
          <w:sz w:val="24"/>
          <w:szCs w:val="24"/>
        </w:rPr>
        <w:t xml:space="preserve">alguns tipos específicos de gastos, </w:t>
      </w:r>
      <w:r>
        <w:rPr>
          <w:sz w:val="24"/>
          <w:szCs w:val="24"/>
        </w:rPr>
        <w:t>como</w:t>
      </w:r>
      <w:r w:rsidRPr="00EB6D8C">
        <w:rPr>
          <w:sz w:val="24"/>
          <w:szCs w:val="24"/>
        </w:rPr>
        <w:t xml:space="preserve"> o </w:t>
      </w:r>
      <w:r w:rsidRPr="00D92DC5">
        <w:rPr>
          <w:sz w:val="24"/>
          <w:szCs w:val="24"/>
        </w:rPr>
        <w:t xml:space="preserve">pagamento de seguro-desemprego. </w:t>
      </w:r>
    </w:p>
    <w:p w:rsidR="00B77266" w:rsidRDefault="00E040F7" w:rsidP="00726852">
      <w:pPr>
        <w:tabs>
          <w:tab w:val="left" w:pos="720"/>
          <w:tab w:val="left" w:pos="900"/>
        </w:tabs>
        <w:autoSpaceDE w:val="0"/>
        <w:autoSpaceDN w:val="0"/>
        <w:adjustRightInd w:val="0"/>
        <w:ind w:firstLine="709"/>
        <w:jc w:val="both"/>
        <w:rPr>
          <w:sz w:val="24"/>
          <w:szCs w:val="24"/>
        </w:rPr>
      </w:pPr>
      <w:r w:rsidRPr="00A74FE1">
        <w:rPr>
          <w:sz w:val="24"/>
          <w:szCs w:val="24"/>
        </w:rPr>
        <w:tab/>
        <w:t>Sobre a re</w:t>
      </w:r>
      <w:r>
        <w:rPr>
          <w:sz w:val="24"/>
          <w:szCs w:val="24"/>
        </w:rPr>
        <w:t>lação em gastos com infraestrutu</w:t>
      </w:r>
      <w:r w:rsidRPr="00A74FE1">
        <w:rPr>
          <w:sz w:val="24"/>
          <w:szCs w:val="24"/>
        </w:rPr>
        <w:t>ra e a geração de empregos, segue-se a abordagem Keynesiana</w:t>
      </w:r>
      <w:r w:rsidRPr="00A74FE1">
        <w:rPr>
          <w:position w:val="10"/>
          <w:sz w:val="24"/>
          <w:szCs w:val="24"/>
          <w:vertAlign w:val="superscript"/>
        </w:rPr>
        <w:t xml:space="preserve"> </w:t>
      </w:r>
      <w:r w:rsidRPr="00A74FE1">
        <w:rPr>
          <w:sz w:val="24"/>
          <w:szCs w:val="24"/>
        </w:rPr>
        <w:t xml:space="preserve">que destaca a importância do efeito multiplicador </w:t>
      </w:r>
      <w:r>
        <w:rPr>
          <w:sz w:val="24"/>
          <w:szCs w:val="24"/>
        </w:rPr>
        <w:t xml:space="preserve">e </w:t>
      </w:r>
      <w:r w:rsidRPr="00A74FE1">
        <w:rPr>
          <w:sz w:val="24"/>
          <w:szCs w:val="24"/>
        </w:rPr>
        <w:t xml:space="preserve">alerta para a questão </w:t>
      </w:r>
      <w:r>
        <w:rPr>
          <w:sz w:val="24"/>
          <w:szCs w:val="24"/>
        </w:rPr>
        <w:t xml:space="preserve">das obras em </w:t>
      </w:r>
      <w:r w:rsidRPr="00A74FE1">
        <w:rPr>
          <w:sz w:val="24"/>
          <w:szCs w:val="24"/>
        </w:rPr>
        <w:t>infraestrutura demandar</w:t>
      </w:r>
      <w:r>
        <w:rPr>
          <w:sz w:val="24"/>
          <w:szCs w:val="24"/>
        </w:rPr>
        <w:t>em</w:t>
      </w:r>
      <w:r w:rsidRPr="00A74FE1">
        <w:rPr>
          <w:sz w:val="24"/>
          <w:szCs w:val="24"/>
        </w:rPr>
        <w:t xml:space="preserve"> obras a serem executadas pelo setor privado, gerando empregos e produção de insumos. Sob esta perspectiva, de acordo com os resultados de Silva </w:t>
      </w:r>
      <w:proofErr w:type="spellStart"/>
      <w:proofErr w:type="gramStart"/>
      <w:r w:rsidRPr="00A74FE1">
        <w:rPr>
          <w:sz w:val="24"/>
          <w:szCs w:val="24"/>
        </w:rPr>
        <w:t>et</w:t>
      </w:r>
      <w:proofErr w:type="spellEnd"/>
      <w:proofErr w:type="gramEnd"/>
      <w:r w:rsidRPr="00A74FE1">
        <w:rPr>
          <w:sz w:val="24"/>
          <w:szCs w:val="24"/>
        </w:rPr>
        <w:t xml:space="preserve"> al. (2009), os estados brasileiros não conseguem manter um crescimento econômico sustentado, a menos que a tendência de gastos públicos em transportes seja revertida, aumentando o volume e melhorando a qualidade dos gastos no setor. </w:t>
      </w:r>
      <w:r w:rsidR="00B96105">
        <w:rPr>
          <w:sz w:val="24"/>
          <w:szCs w:val="24"/>
        </w:rPr>
        <w:t xml:space="preserve">A </w:t>
      </w:r>
      <w:r w:rsidRPr="00A74FE1">
        <w:rPr>
          <w:sz w:val="24"/>
          <w:szCs w:val="24"/>
        </w:rPr>
        <w:t>análise de dados em painel</w:t>
      </w:r>
      <w:r w:rsidR="00B96105">
        <w:rPr>
          <w:sz w:val="24"/>
          <w:szCs w:val="24"/>
        </w:rPr>
        <w:t xml:space="preserve"> aqui feita mostra</w:t>
      </w:r>
      <w:r w:rsidRPr="00A74FE1">
        <w:rPr>
          <w:sz w:val="24"/>
          <w:szCs w:val="24"/>
        </w:rPr>
        <w:t xml:space="preserve"> que o “</w:t>
      </w:r>
      <w:r w:rsidRPr="00A74FE1">
        <w:rPr>
          <w:i/>
          <w:iCs/>
          <w:sz w:val="24"/>
          <w:szCs w:val="24"/>
        </w:rPr>
        <w:t xml:space="preserve">espetáculo do crescimento” </w:t>
      </w:r>
      <w:r w:rsidR="00AE2F59">
        <w:rPr>
          <w:iCs/>
          <w:sz w:val="24"/>
          <w:szCs w:val="24"/>
        </w:rPr>
        <w:t>somente se</w:t>
      </w:r>
      <w:r w:rsidR="00B96105">
        <w:rPr>
          <w:iCs/>
          <w:sz w:val="24"/>
          <w:szCs w:val="24"/>
        </w:rPr>
        <w:t xml:space="preserve">rá </w:t>
      </w:r>
      <w:r w:rsidRPr="00D00318">
        <w:rPr>
          <w:iCs/>
          <w:sz w:val="24"/>
          <w:szCs w:val="24"/>
        </w:rPr>
        <w:t>realidade</w:t>
      </w:r>
      <w:r>
        <w:rPr>
          <w:sz w:val="24"/>
          <w:szCs w:val="24"/>
        </w:rPr>
        <w:t>,</w:t>
      </w:r>
      <w:r w:rsidRPr="00A74FE1">
        <w:rPr>
          <w:sz w:val="24"/>
          <w:szCs w:val="24"/>
        </w:rPr>
        <w:t xml:space="preserve"> mediante o </w:t>
      </w:r>
      <w:r>
        <w:rPr>
          <w:sz w:val="24"/>
          <w:szCs w:val="24"/>
        </w:rPr>
        <w:t xml:space="preserve">direcionamento de </w:t>
      </w:r>
      <w:r w:rsidRPr="00A74FE1">
        <w:rPr>
          <w:sz w:val="24"/>
          <w:szCs w:val="24"/>
        </w:rPr>
        <w:t xml:space="preserve">recursos necessários </w:t>
      </w:r>
      <w:r w:rsidR="00B96105">
        <w:rPr>
          <w:sz w:val="24"/>
          <w:szCs w:val="24"/>
        </w:rPr>
        <w:t>a</w:t>
      </w:r>
      <w:r w:rsidR="00B96105" w:rsidRPr="00A74FE1">
        <w:rPr>
          <w:sz w:val="24"/>
          <w:szCs w:val="24"/>
        </w:rPr>
        <w:t xml:space="preserve"> </w:t>
      </w:r>
      <w:r w:rsidRPr="00A74FE1">
        <w:rPr>
          <w:sz w:val="24"/>
          <w:szCs w:val="24"/>
        </w:rPr>
        <w:t xml:space="preserve">projetos de gastos em infraestrutura física </w:t>
      </w:r>
      <w:r w:rsidR="00B96105">
        <w:rPr>
          <w:sz w:val="24"/>
          <w:szCs w:val="24"/>
        </w:rPr>
        <w:t xml:space="preserve">que atenuem os </w:t>
      </w:r>
      <w:r w:rsidRPr="00A74FE1">
        <w:rPr>
          <w:sz w:val="24"/>
          <w:szCs w:val="24"/>
        </w:rPr>
        <w:t>gargalos</w:t>
      </w:r>
      <w:r>
        <w:rPr>
          <w:sz w:val="24"/>
          <w:szCs w:val="24"/>
        </w:rPr>
        <w:t xml:space="preserve"> </w:t>
      </w:r>
      <w:r w:rsidRPr="00A74FE1">
        <w:rPr>
          <w:sz w:val="24"/>
          <w:szCs w:val="24"/>
        </w:rPr>
        <w:t>compromete</w:t>
      </w:r>
      <w:r>
        <w:rPr>
          <w:sz w:val="24"/>
          <w:szCs w:val="24"/>
        </w:rPr>
        <w:t>dores do i</w:t>
      </w:r>
      <w:r w:rsidRPr="00A74FE1">
        <w:rPr>
          <w:sz w:val="24"/>
          <w:szCs w:val="24"/>
        </w:rPr>
        <w:t xml:space="preserve">nvestimento, </w:t>
      </w:r>
      <w:r>
        <w:rPr>
          <w:sz w:val="24"/>
          <w:szCs w:val="24"/>
        </w:rPr>
        <w:t>d</w:t>
      </w:r>
      <w:r w:rsidRPr="00A74FE1">
        <w:rPr>
          <w:sz w:val="24"/>
          <w:szCs w:val="24"/>
        </w:rPr>
        <w:t xml:space="preserve">a produtividade das empresas e </w:t>
      </w:r>
      <w:r>
        <w:rPr>
          <w:sz w:val="24"/>
          <w:szCs w:val="24"/>
        </w:rPr>
        <w:t>d</w:t>
      </w:r>
      <w:r w:rsidRPr="00A74FE1">
        <w:rPr>
          <w:sz w:val="24"/>
          <w:szCs w:val="24"/>
        </w:rPr>
        <w:t>o potencial de crescimento</w:t>
      </w:r>
      <w:r>
        <w:rPr>
          <w:sz w:val="24"/>
          <w:szCs w:val="24"/>
        </w:rPr>
        <w:t xml:space="preserve"> e criação de empregos n</w:t>
      </w:r>
      <w:r w:rsidRPr="00A74FE1">
        <w:rPr>
          <w:sz w:val="24"/>
          <w:szCs w:val="24"/>
        </w:rPr>
        <w:t>os estados</w:t>
      </w:r>
      <w:r>
        <w:rPr>
          <w:sz w:val="24"/>
          <w:szCs w:val="24"/>
        </w:rPr>
        <w:t xml:space="preserve"> brasileiros</w:t>
      </w:r>
      <w:r w:rsidRPr="00A74FE1">
        <w:rPr>
          <w:sz w:val="24"/>
          <w:szCs w:val="24"/>
        </w:rPr>
        <w:t>.</w:t>
      </w:r>
    </w:p>
    <w:p w:rsidR="00E36CEA" w:rsidRDefault="00E040F7" w:rsidP="00210B29">
      <w:pPr>
        <w:autoSpaceDE w:val="0"/>
        <w:autoSpaceDN w:val="0"/>
        <w:adjustRightInd w:val="0"/>
        <w:ind w:firstLine="709"/>
        <w:jc w:val="both"/>
        <w:rPr>
          <w:sz w:val="24"/>
          <w:szCs w:val="24"/>
        </w:rPr>
      </w:pPr>
      <w:r w:rsidRPr="00D92DC5">
        <w:rPr>
          <w:sz w:val="24"/>
          <w:szCs w:val="24"/>
        </w:rPr>
        <w:t xml:space="preserve">No entanto, </w:t>
      </w:r>
      <w:r w:rsidR="003F0DAD">
        <w:rPr>
          <w:sz w:val="24"/>
          <w:szCs w:val="24"/>
        </w:rPr>
        <w:t xml:space="preserve">é pertinente pontuar que </w:t>
      </w:r>
      <w:r w:rsidRPr="00D92DC5">
        <w:rPr>
          <w:sz w:val="24"/>
          <w:szCs w:val="24"/>
        </w:rPr>
        <w:t xml:space="preserve">um país de dimensões continentais, cuja faixa etária está em fase de amadurecimento e enfrenta dificuldades nas áreas de educação e formação profissional, tem à frente um grande desafio ligado </w:t>
      </w:r>
      <w:r w:rsidR="001406A0">
        <w:rPr>
          <w:sz w:val="24"/>
          <w:szCs w:val="24"/>
        </w:rPr>
        <w:t>a sua</w:t>
      </w:r>
      <w:r w:rsidRPr="00D92DC5">
        <w:rPr>
          <w:sz w:val="24"/>
          <w:szCs w:val="24"/>
        </w:rPr>
        <w:t xml:space="preserve"> capacidade </w:t>
      </w:r>
      <w:r>
        <w:rPr>
          <w:sz w:val="24"/>
          <w:szCs w:val="24"/>
        </w:rPr>
        <w:t xml:space="preserve">de </w:t>
      </w:r>
      <w:r w:rsidRPr="00D92DC5">
        <w:rPr>
          <w:sz w:val="24"/>
          <w:szCs w:val="24"/>
        </w:rPr>
        <w:t xml:space="preserve">continuar a gerar condições mínimas de absorção da força de trabalho. Segundo Cruz </w:t>
      </w:r>
      <w:proofErr w:type="spellStart"/>
      <w:proofErr w:type="gramStart"/>
      <w:r w:rsidRPr="00D92DC5">
        <w:rPr>
          <w:sz w:val="24"/>
          <w:szCs w:val="24"/>
        </w:rPr>
        <w:t>et</w:t>
      </w:r>
      <w:proofErr w:type="spellEnd"/>
      <w:proofErr w:type="gramEnd"/>
      <w:r w:rsidRPr="00D92DC5">
        <w:rPr>
          <w:sz w:val="24"/>
          <w:szCs w:val="24"/>
        </w:rPr>
        <w:t xml:space="preserve"> al. (201</w:t>
      </w:r>
      <w:r w:rsidR="008A2CE9">
        <w:rPr>
          <w:sz w:val="24"/>
          <w:szCs w:val="24"/>
        </w:rPr>
        <w:t>0</w:t>
      </w:r>
      <w:r w:rsidRPr="00D92DC5">
        <w:rPr>
          <w:sz w:val="24"/>
          <w:szCs w:val="24"/>
        </w:rPr>
        <w:t xml:space="preserve">), deve-se atentar aos obstáculos à </w:t>
      </w:r>
      <w:r w:rsidRPr="00D92DC5">
        <w:rPr>
          <w:rFonts w:eastAsia="Calibri"/>
          <w:sz w:val="24"/>
          <w:szCs w:val="24"/>
        </w:rPr>
        <w:t>eficácia dos gastos quanto ao propósito de elevar a parcela de pessoas efetivamente ocupadas</w:t>
      </w:r>
      <w:r w:rsidR="00E36CEA">
        <w:rPr>
          <w:rFonts w:eastAsia="Calibri"/>
          <w:sz w:val="24"/>
          <w:szCs w:val="24"/>
        </w:rPr>
        <w:t xml:space="preserve">, quais sejam: </w:t>
      </w:r>
      <w:r w:rsidRPr="00D92DC5">
        <w:rPr>
          <w:sz w:val="24"/>
          <w:szCs w:val="24"/>
        </w:rPr>
        <w:t xml:space="preserve">o </w:t>
      </w:r>
      <w:r w:rsidRPr="00D92DC5">
        <w:rPr>
          <w:rFonts w:eastAsia="Calibri"/>
          <w:sz w:val="24"/>
          <w:szCs w:val="24"/>
        </w:rPr>
        <w:t xml:space="preserve">baixo nível de </w:t>
      </w:r>
      <w:r w:rsidRPr="00D92DC5">
        <w:rPr>
          <w:rFonts w:eastAsia="Calibri"/>
          <w:sz w:val="24"/>
          <w:szCs w:val="24"/>
        </w:rPr>
        <w:lastRenderedPageBreak/>
        <w:t xml:space="preserve">instrução e qualificação profissional da PEA; </w:t>
      </w:r>
      <w:r w:rsidRPr="00D92DC5">
        <w:rPr>
          <w:sz w:val="24"/>
          <w:szCs w:val="24"/>
        </w:rPr>
        <w:t>o</w:t>
      </w:r>
      <w:r w:rsidRPr="00D92DC5">
        <w:rPr>
          <w:rFonts w:eastAsia="Calibri"/>
          <w:sz w:val="24"/>
          <w:szCs w:val="24"/>
        </w:rPr>
        <w:t xml:space="preserve"> volume ainda insuficiente de recursos direcionados para estas funções de gasto; e</w:t>
      </w:r>
      <w:r w:rsidRPr="00D92DC5">
        <w:rPr>
          <w:sz w:val="24"/>
          <w:szCs w:val="24"/>
        </w:rPr>
        <w:t xml:space="preserve"> o </w:t>
      </w:r>
      <w:r w:rsidRPr="00D92DC5">
        <w:rPr>
          <w:rFonts w:eastAsia="Calibri"/>
          <w:sz w:val="24"/>
          <w:szCs w:val="24"/>
        </w:rPr>
        <w:t xml:space="preserve">crescimento acelerado da PEA </w:t>
      </w:r>
      <w:r w:rsidR="00210B29">
        <w:rPr>
          <w:rFonts w:eastAsia="Calibri"/>
          <w:sz w:val="24"/>
          <w:szCs w:val="24"/>
        </w:rPr>
        <w:t xml:space="preserve">ainda </w:t>
      </w:r>
      <w:r w:rsidRPr="00D92DC5">
        <w:rPr>
          <w:rFonts w:eastAsia="Calibri"/>
          <w:sz w:val="24"/>
          <w:szCs w:val="24"/>
        </w:rPr>
        <w:t>superior ao número de postos de trabalho</w:t>
      </w:r>
      <w:r w:rsidRPr="00D92DC5">
        <w:rPr>
          <w:sz w:val="24"/>
          <w:szCs w:val="24"/>
        </w:rPr>
        <w:t xml:space="preserve">. </w:t>
      </w:r>
    </w:p>
    <w:p w:rsidR="00E36CEA" w:rsidRDefault="00E040F7" w:rsidP="00E36CEA">
      <w:pPr>
        <w:tabs>
          <w:tab w:val="left" w:pos="720"/>
          <w:tab w:val="left" w:pos="900"/>
        </w:tabs>
        <w:autoSpaceDE w:val="0"/>
        <w:autoSpaceDN w:val="0"/>
        <w:adjustRightInd w:val="0"/>
        <w:ind w:firstLine="720"/>
        <w:jc w:val="both"/>
        <w:rPr>
          <w:sz w:val="24"/>
          <w:szCs w:val="24"/>
        </w:rPr>
      </w:pPr>
      <w:r w:rsidRPr="00D92DC5">
        <w:rPr>
          <w:sz w:val="24"/>
          <w:szCs w:val="24"/>
        </w:rPr>
        <w:t>A seguir</w:t>
      </w:r>
      <w:r>
        <w:rPr>
          <w:sz w:val="24"/>
          <w:szCs w:val="24"/>
        </w:rPr>
        <w:t xml:space="preserve">, são apresentados os resultados que tratam da quinta equação do sistema que discute </w:t>
      </w:r>
      <w:r w:rsidR="00210B29">
        <w:rPr>
          <w:sz w:val="24"/>
          <w:szCs w:val="24"/>
        </w:rPr>
        <w:t>algumas variáveis chaves</w:t>
      </w:r>
      <w:r>
        <w:rPr>
          <w:sz w:val="24"/>
          <w:szCs w:val="24"/>
        </w:rPr>
        <w:t xml:space="preserve"> para explicar o comportamento dos salários da economia dos estados</w:t>
      </w:r>
      <w:r w:rsidR="00152C23">
        <w:rPr>
          <w:sz w:val="24"/>
          <w:szCs w:val="24"/>
        </w:rPr>
        <w:t xml:space="preserve"> (Tabela 4)</w:t>
      </w:r>
      <w:r>
        <w:rPr>
          <w:sz w:val="24"/>
          <w:szCs w:val="24"/>
        </w:rPr>
        <w:t>.</w:t>
      </w:r>
      <w:r w:rsidR="00E36CEA">
        <w:rPr>
          <w:sz w:val="24"/>
          <w:szCs w:val="24"/>
        </w:rPr>
        <w:t xml:space="preserve"> </w:t>
      </w:r>
      <w:r w:rsidR="00E36CEA" w:rsidRPr="00D92DC5">
        <w:rPr>
          <w:sz w:val="24"/>
          <w:szCs w:val="24"/>
        </w:rPr>
        <w:t>Nesta estimação, buscou-se identificar variáveis que explicam o comportamento dos</w:t>
      </w:r>
      <w:r w:rsidR="00E36CEA">
        <w:rPr>
          <w:sz w:val="24"/>
          <w:szCs w:val="24"/>
        </w:rPr>
        <w:t xml:space="preserve"> salários, além do nível de emprego: a taxa de câmbio, a produtividade do emprego e o crescimento populacional, definidas </w:t>
      </w:r>
      <w:r w:rsidR="00E36CEA" w:rsidRPr="00EB6D8C">
        <w:rPr>
          <w:sz w:val="24"/>
          <w:szCs w:val="24"/>
        </w:rPr>
        <w:t xml:space="preserve">como </w:t>
      </w:r>
      <w:proofErr w:type="spellStart"/>
      <w:r w:rsidR="00E36CEA" w:rsidRPr="00EB6D8C">
        <w:rPr>
          <w:sz w:val="24"/>
          <w:szCs w:val="24"/>
        </w:rPr>
        <w:t>interrelacionadas</w:t>
      </w:r>
      <w:proofErr w:type="spellEnd"/>
      <w:r w:rsidR="00E36CEA" w:rsidRPr="00EB6D8C">
        <w:rPr>
          <w:sz w:val="24"/>
          <w:szCs w:val="24"/>
        </w:rPr>
        <w:t>, numa economia aberta, em modelos macroeconômicos de mercado de trabalho na visão da concorrência monopolística.</w:t>
      </w:r>
      <w:r w:rsidR="00E36CEA">
        <w:rPr>
          <w:sz w:val="24"/>
          <w:szCs w:val="24"/>
        </w:rPr>
        <w:t xml:space="preserve"> A busca pela explicação do comportamento dos salários justifica-se na medida em que o salário é um</w:t>
      </w:r>
      <w:r w:rsidR="00E36CEA" w:rsidRPr="00EB6D8C">
        <w:rPr>
          <w:sz w:val="24"/>
          <w:szCs w:val="24"/>
        </w:rPr>
        <w:t xml:space="preserve"> dos mais importantes </w:t>
      </w:r>
      <w:r w:rsidR="00E36CEA">
        <w:rPr>
          <w:sz w:val="24"/>
          <w:szCs w:val="24"/>
        </w:rPr>
        <w:t>indicadores</w:t>
      </w:r>
      <w:r w:rsidR="00E36CEA" w:rsidRPr="00EB6D8C">
        <w:rPr>
          <w:sz w:val="24"/>
          <w:szCs w:val="24"/>
        </w:rPr>
        <w:t xml:space="preserve"> da economi</w:t>
      </w:r>
      <w:r w:rsidR="00E36CEA">
        <w:rPr>
          <w:sz w:val="24"/>
          <w:szCs w:val="24"/>
        </w:rPr>
        <w:t>a</w:t>
      </w:r>
      <w:r w:rsidR="00E36CEA" w:rsidRPr="00EB6D8C">
        <w:rPr>
          <w:sz w:val="24"/>
          <w:szCs w:val="24"/>
        </w:rPr>
        <w:t>, pois contribui, diretamente, para definir a distribuição da renda e o nível de emprego</w:t>
      </w:r>
      <w:r w:rsidR="00E36CEA">
        <w:rPr>
          <w:sz w:val="24"/>
          <w:szCs w:val="24"/>
        </w:rPr>
        <w:t>, refletindo condições de poder real de compra da população</w:t>
      </w:r>
      <w:r w:rsidR="005238EC">
        <w:rPr>
          <w:sz w:val="24"/>
          <w:szCs w:val="24"/>
        </w:rPr>
        <w:t xml:space="preserve"> com relação direta com a</w:t>
      </w:r>
      <w:r w:rsidR="00E36CEA">
        <w:rPr>
          <w:sz w:val="24"/>
          <w:szCs w:val="24"/>
        </w:rPr>
        <w:t xml:space="preserve"> pobreza</w:t>
      </w:r>
      <w:r w:rsidR="00E36CEA" w:rsidRPr="00EB6D8C">
        <w:rPr>
          <w:sz w:val="24"/>
          <w:szCs w:val="24"/>
        </w:rPr>
        <w:t xml:space="preserve">. </w:t>
      </w:r>
    </w:p>
    <w:p w:rsidR="00152C23" w:rsidRDefault="00152C23" w:rsidP="00B3163D">
      <w:pPr>
        <w:tabs>
          <w:tab w:val="left" w:pos="720"/>
          <w:tab w:val="left" w:pos="900"/>
        </w:tabs>
        <w:autoSpaceDE w:val="0"/>
        <w:autoSpaceDN w:val="0"/>
        <w:adjustRightInd w:val="0"/>
        <w:jc w:val="both"/>
        <w:rPr>
          <w:sz w:val="24"/>
          <w:szCs w:val="24"/>
        </w:rPr>
      </w:pPr>
    </w:p>
    <w:p w:rsidR="00152C23" w:rsidRDefault="00152C23" w:rsidP="00152C23">
      <w:pPr>
        <w:autoSpaceDE w:val="0"/>
        <w:autoSpaceDN w:val="0"/>
        <w:adjustRightInd w:val="0"/>
        <w:jc w:val="both"/>
        <w:rPr>
          <w:sz w:val="24"/>
          <w:szCs w:val="24"/>
        </w:rPr>
      </w:pPr>
      <w:r>
        <w:rPr>
          <w:sz w:val="24"/>
          <w:szCs w:val="24"/>
        </w:rPr>
        <w:t>Tabela 4</w:t>
      </w:r>
      <w:r w:rsidRPr="00EB6D8C">
        <w:rPr>
          <w:sz w:val="24"/>
          <w:szCs w:val="24"/>
        </w:rPr>
        <w:t xml:space="preserve"> – Equação sobre o comportamento do salário real nacional, </w:t>
      </w:r>
      <w:r>
        <w:rPr>
          <w:sz w:val="24"/>
          <w:szCs w:val="24"/>
        </w:rPr>
        <w:t>estados brasileiros, 1995-</w:t>
      </w:r>
      <w:proofErr w:type="gramStart"/>
      <w:r>
        <w:rPr>
          <w:sz w:val="24"/>
          <w:szCs w:val="24"/>
        </w:rPr>
        <w:t>2008</w:t>
      </w:r>
      <w:proofErr w:type="gramEnd"/>
      <w:r w:rsidRPr="00EB6D8C">
        <w:rPr>
          <w:sz w:val="24"/>
          <w:szCs w:val="24"/>
        </w:rPr>
        <w:t xml:space="preserve"> </w:t>
      </w:r>
    </w:p>
    <w:tbl>
      <w:tblPr>
        <w:tblpPr w:leftFromText="141" w:rightFromText="141" w:vertAnchor="text" w:tblpXSpec="center" w:tblpY="1"/>
        <w:tblOverlap w:val="never"/>
        <w:tblW w:w="5000" w:type="pct"/>
        <w:tblCellMar>
          <w:left w:w="70" w:type="dxa"/>
          <w:right w:w="70" w:type="dxa"/>
        </w:tblCellMar>
        <w:tblLook w:val="04A0"/>
      </w:tblPr>
      <w:tblGrid>
        <w:gridCol w:w="7547"/>
        <w:gridCol w:w="2797"/>
      </w:tblGrid>
      <w:tr w:rsidR="00152C23" w:rsidRPr="00E13E09" w:rsidTr="008E32B7">
        <w:trPr>
          <w:trHeight w:hRule="exact" w:val="255"/>
        </w:trPr>
        <w:tc>
          <w:tcPr>
            <w:tcW w:w="3648" w:type="pct"/>
            <w:tcBorders>
              <w:top w:val="single" w:sz="4" w:space="0" w:color="auto"/>
              <w:left w:val="nil"/>
              <w:bottom w:val="single" w:sz="4" w:space="0" w:color="auto"/>
              <w:right w:val="single" w:sz="4" w:space="0" w:color="auto"/>
            </w:tcBorders>
            <w:vAlign w:val="center"/>
            <w:hideMark/>
          </w:tcPr>
          <w:p w:rsidR="00152C23" w:rsidRPr="00E13E09" w:rsidRDefault="00152C23" w:rsidP="008E32B7">
            <w:pPr>
              <w:jc w:val="center"/>
              <w:rPr>
                <w:bCs/>
                <w:sz w:val="20"/>
              </w:rPr>
            </w:pPr>
            <w:r w:rsidRPr="00E13E09">
              <w:rPr>
                <w:b/>
                <w:bCs/>
                <w:sz w:val="20"/>
              </w:rPr>
              <w:t>Variáveis explicativas</w:t>
            </w:r>
          </w:p>
        </w:tc>
        <w:tc>
          <w:tcPr>
            <w:tcW w:w="1352" w:type="pct"/>
            <w:tcBorders>
              <w:top w:val="single" w:sz="4" w:space="0" w:color="auto"/>
              <w:left w:val="single" w:sz="4" w:space="0" w:color="auto"/>
              <w:bottom w:val="single" w:sz="4" w:space="0" w:color="auto"/>
              <w:right w:val="nil"/>
            </w:tcBorders>
            <w:vAlign w:val="center"/>
            <w:hideMark/>
          </w:tcPr>
          <w:p w:rsidR="00152C23" w:rsidRPr="00E13E09" w:rsidRDefault="00152C23" w:rsidP="008E32B7">
            <w:pPr>
              <w:jc w:val="center"/>
              <w:rPr>
                <w:bCs/>
                <w:sz w:val="20"/>
              </w:rPr>
            </w:pPr>
            <w:r w:rsidRPr="00E13E09">
              <w:rPr>
                <w:bCs/>
                <w:sz w:val="20"/>
              </w:rPr>
              <w:t xml:space="preserve">Salário real </w:t>
            </w:r>
          </w:p>
        </w:tc>
      </w:tr>
      <w:tr w:rsidR="00152C23" w:rsidRPr="00E13E09" w:rsidTr="008E32B7">
        <w:trPr>
          <w:trHeight w:hRule="exact" w:val="255"/>
        </w:trPr>
        <w:tc>
          <w:tcPr>
            <w:tcW w:w="3648" w:type="pct"/>
            <w:vMerge w:val="restart"/>
            <w:tcBorders>
              <w:top w:val="single" w:sz="4" w:space="0" w:color="auto"/>
              <w:left w:val="nil"/>
              <w:bottom w:val="single" w:sz="4" w:space="0" w:color="auto"/>
              <w:right w:val="single" w:sz="4" w:space="0" w:color="auto"/>
            </w:tcBorders>
            <w:noWrap/>
            <w:vAlign w:val="center"/>
            <w:hideMark/>
          </w:tcPr>
          <w:p w:rsidR="00152C23" w:rsidRPr="00E13E09" w:rsidRDefault="00152C23" w:rsidP="008E32B7">
            <w:pPr>
              <w:jc w:val="both"/>
              <w:rPr>
                <w:sz w:val="20"/>
              </w:rPr>
            </w:pPr>
            <w:r w:rsidRPr="00E13E09">
              <w:rPr>
                <w:sz w:val="20"/>
              </w:rPr>
              <w:t>Produtividade do emprego</w:t>
            </w:r>
          </w:p>
        </w:tc>
        <w:tc>
          <w:tcPr>
            <w:tcW w:w="1352" w:type="pct"/>
            <w:tcBorders>
              <w:top w:val="single" w:sz="4" w:space="0" w:color="auto"/>
              <w:left w:val="single" w:sz="4" w:space="0" w:color="auto"/>
              <w:bottom w:val="nil"/>
              <w:right w:val="nil"/>
            </w:tcBorders>
            <w:vAlign w:val="center"/>
            <w:hideMark/>
          </w:tcPr>
          <w:p w:rsidR="00152C23" w:rsidRPr="00E13E09" w:rsidRDefault="00152C23" w:rsidP="008E32B7">
            <w:pPr>
              <w:jc w:val="center"/>
              <w:rPr>
                <w:b/>
                <w:bCs/>
                <w:sz w:val="20"/>
              </w:rPr>
            </w:pPr>
            <w:r w:rsidRPr="00E13E09">
              <w:rPr>
                <w:b/>
                <w:sz w:val="20"/>
              </w:rPr>
              <w:t>0,069**</w:t>
            </w:r>
          </w:p>
        </w:tc>
      </w:tr>
      <w:tr w:rsidR="00152C23" w:rsidRPr="00E13E09" w:rsidTr="008E32B7">
        <w:trPr>
          <w:trHeight w:hRule="exact" w:val="255"/>
        </w:trPr>
        <w:tc>
          <w:tcPr>
            <w:tcW w:w="3648" w:type="pct"/>
            <w:vMerge/>
            <w:tcBorders>
              <w:top w:val="single" w:sz="4" w:space="0" w:color="auto"/>
              <w:left w:val="nil"/>
              <w:bottom w:val="single" w:sz="4" w:space="0" w:color="auto"/>
              <w:right w:val="single" w:sz="4" w:space="0" w:color="auto"/>
            </w:tcBorders>
            <w:vAlign w:val="center"/>
            <w:hideMark/>
          </w:tcPr>
          <w:p w:rsidR="00152C23" w:rsidRPr="00E13E09" w:rsidRDefault="00152C23" w:rsidP="008E32B7">
            <w:pPr>
              <w:rPr>
                <w:sz w:val="20"/>
              </w:rPr>
            </w:pPr>
          </w:p>
        </w:tc>
        <w:tc>
          <w:tcPr>
            <w:tcW w:w="1352" w:type="pct"/>
            <w:tcBorders>
              <w:top w:val="nil"/>
              <w:left w:val="single" w:sz="4" w:space="0" w:color="auto"/>
              <w:bottom w:val="single" w:sz="4" w:space="0" w:color="auto"/>
              <w:right w:val="nil"/>
            </w:tcBorders>
            <w:vAlign w:val="center"/>
            <w:hideMark/>
          </w:tcPr>
          <w:p w:rsidR="00152C23" w:rsidRPr="00E13E09" w:rsidRDefault="00152C23" w:rsidP="008E32B7">
            <w:pPr>
              <w:jc w:val="center"/>
              <w:rPr>
                <w:sz w:val="20"/>
              </w:rPr>
            </w:pPr>
            <w:r w:rsidRPr="00E13E09">
              <w:rPr>
                <w:sz w:val="20"/>
              </w:rPr>
              <w:t xml:space="preserve">(0.03249) </w:t>
            </w:r>
          </w:p>
        </w:tc>
      </w:tr>
      <w:tr w:rsidR="00152C23" w:rsidRPr="00E13E09" w:rsidTr="008E32B7">
        <w:trPr>
          <w:trHeight w:hRule="exact" w:val="255"/>
        </w:trPr>
        <w:tc>
          <w:tcPr>
            <w:tcW w:w="3648" w:type="pct"/>
            <w:vMerge w:val="restart"/>
            <w:tcBorders>
              <w:top w:val="single" w:sz="4" w:space="0" w:color="auto"/>
              <w:left w:val="nil"/>
              <w:bottom w:val="single" w:sz="4" w:space="0" w:color="auto"/>
              <w:right w:val="single" w:sz="4" w:space="0" w:color="auto"/>
            </w:tcBorders>
            <w:noWrap/>
            <w:vAlign w:val="center"/>
            <w:hideMark/>
          </w:tcPr>
          <w:p w:rsidR="00152C23" w:rsidRPr="00E13E09" w:rsidRDefault="00152C23" w:rsidP="008E32B7">
            <w:pPr>
              <w:jc w:val="both"/>
              <w:rPr>
                <w:sz w:val="20"/>
              </w:rPr>
            </w:pPr>
            <w:r w:rsidRPr="00E13E09">
              <w:rPr>
                <w:sz w:val="20"/>
              </w:rPr>
              <w:t>Emprego (-1)</w:t>
            </w:r>
          </w:p>
        </w:tc>
        <w:tc>
          <w:tcPr>
            <w:tcW w:w="1352" w:type="pct"/>
            <w:tcBorders>
              <w:top w:val="single" w:sz="4" w:space="0" w:color="auto"/>
              <w:left w:val="single" w:sz="4" w:space="0" w:color="auto"/>
              <w:bottom w:val="nil"/>
              <w:right w:val="nil"/>
            </w:tcBorders>
            <w:vAlign w:val="center"/>
            <w:hideMark/>
          </w:tcPr>
          <w:p w:rsidR="00152C23" w:rsidRPr="00E13E09" w:rsidRDefault="00152C23" w:rsidP="008E32B7">
            <w:pPr>
              <w:jc w:val="center"/>
              <w:rPr>
                <w:b/>
                <w:sz w:val="20"/>
              </w:rPr>
            </w:pPr>
            <w:r w:rsidRPr="00E13E09">
              <w:rPr>
                <w:b/>
                <w:sz w:val="20"/>
              </w:rPr>
              <w:t>-2,9776***</w:t>
            </w:r>
          </w:p>
        </w:tc>
      </w:tr>
      <w:tr w:rsidR="00152C23" w:rsidRPr="00E13E09" w:rsidTr="008E32B7">
        <w:trPr>
          <w:trHeight w:hRule="exact" w:val="255"/>
        </w:trPr>
        <w:tc>
          <w:tcPr>
            <w:tcW w:w="3648" w:type="pct"/>
            <w:vMerge/>
            <w:tcBorders>
              <w:top w:val="single" w:sz="4" w:space="0" w:color="auto"/>
              <w:left w:val="nil"/>
              <w:bottom w:val="single" w:sz="4" w:space="0" w:color="auto"/>
              <w:right w:val="single" w:sz="4" w:space="0" w:color="auto"/>
            </w:tcBorders>
            <w:vAlign w:val="center"/>
            <w:hideMark/>
          </w:tcPr>
          <w:p w:rsidR="00152C23" w:rsidRPr="00E13E09" w:rsidRDefault="00152C23" w:rsidP="008E32B7">
            <w:pPr>
              <w:rPr>
                <w:sz w:val="20"/>
              </w:rPr>
            </w:pPr>
          </w:p>
        </w:tc>
        <w:tc>
          <w:tcPr>
            <w:tcW w:w="1352" w:type="pct"/>
            <w:tcBorders>
              <w:top w:val="nil"/>
              <w:left w:val="single" w:sz="4" w:space="0" w:color="auto"/>
              <w:bottom w:val="single" w:sz="4" w:space="0" w:color="auto"/>
              <w:right w:val="nil"/>
            </w:tcBorders>
            <w:vAlign w:val="center"/>
            <w:hideMark/>
          </w:tcPr>
          <w:p w:rsidR="00152C23" w:rsidRPr="00E13E09" w:rsidRDefault="00152C23" w:rsidP="008E32B7">
            <w:pPr>
              <w:jc w:val="center"/>
              <w:rPr>
                <w:sz w:val="20"/>
              </w:rPr>
            </w:pPr>
            <w:r w:rsidRPr="00E13E09">
              <w:rPr>
                <w:sz w:val="20"/>
              </w:rPr>
              <w:t xml:space="preserve">(0,6948) </w:t>
            </w:r>
          </w:p>
        </w:tc>
      </w:tr>
      <w:tr w:rsidR="00152C23" w:rsidRPr="00E13E09" w:rsidTr="008E32B7">
        <w:trPr>
          <w:trHeight w:hRule="exact" w:val="255"/>
        </w:trPr>
        <w:tc>
          <w:tcPr>
            <w:tcW w:w="3648" w:type="pct"/>
            <w:vMerge w:val="restart"/>
            <w:tcBorders>
              <w:top w:val="single" w:sz="4" w:space="0" w:color="auto"/>
              <w:left w:val="nil"/>
              <w:bottom w:val="single" w:sz="4" w:space="0" w:color="auto"/>
              <w:right w:val="single" w:sz="4" w:space="0" w:color="auto"/>
            </w:tcBorders>
            <w:noWrap/>
            <w:vAlign w:val="center"/>
            <w:hideMark/>
          </w:tcPr>
          <w:p w:rsidR="00152C23" w:rsidRPr="00E13E09" w:rsidRDefault="00152C23" w:rsidP="008E32B7">
            <w:pPr>
              <w:jc w:val="both"/>
              <w:rPr>
                <w:sz w:val="20"/>
              </w:rPr>
            </w:pPr>
            <w:r w:rsidRPr="00E13E09">
              <w:rPr>
                <w:sz w:val="20"/>
              </w:rPr>
              <w:t>Crescimento populacional</w:t>
            </w:r>
          </w:p>
        </w:tc>
        <w:tc>
          <w:tcPr>
            <w:tcW w:w="1352" w:type="pct"/>
            <w:tcBorders>
              <w:top w:val="single" w:sz="4" w:space="0" w:color="auto"/>
              <w:left w:val="single" w:sz="4" w:space="0" w:color="auto"/>
              <w:bottom w:val="nil"/>
              <w:right w:val="nil"/>
            </w:tcBorders>
            <w:vAlign w:val="center"/>
            <w:hideMark/>
          </w:tcPr>
          <w:p w:rsidR="00152C23" w:rsidRPr="00E13E09" w:rsidRDefault="00152C23" w:rsidP="008E32B7">
            <w:pPr>
              <w:jc w:val="center"/>
              <w:rPr>
                <w:b/>
                <w:sz w:val="20"/>
              </w:rPr>
            </w:pPr>
            <w:r w:rsidRPr="00E13E09">
              <w:rPr>
                <w:b/>
                <w:sz w:val="20"/>
              </w:rPr>
              <w:t>9.4431***</w:t>
            </w:r>
          </w:p>
        </w:tc>
      </w:tr>
      <w:tr w:rsidR="00152C23" w:rsidRPr="00E13E09" w:rsidTr="008E32B7">
        <w:trPr>
          <w:trHeight w:hRule="exact" w:val="255"/>
        </w:trPr>
        <w:tc>
          <w:tcPr>
            <w:tcW w:w="3648" w:type="pct"/>
            <w:vMerge/>
            <w:tcBorders>
              <w:top w:val="single" w:sz="4" w:space="0" w:color="auto"/>
              <w:left w:val="nil"/>
              <w:bottom w:val="single" w:sz="4" w:space="0" w:color="auto"/>
              <w:right w:val="single" w:sz="4" w:space="0" w:color="auto"/>
            </w:tcBorders>
            <w:vAlign w:val="center"/>
            <w:hideMark/>
          </w:tcPr>
          <w:p w:rsidR="00152C23" w:rsidRPr="00E13E09" w:rsidRDefault="00152C23" w:rsidP="008E32B7">
            <w:pPr>
              <w:rPr>
                <w:sz w:val="20"/>
              </w:rPr>
            </w:pPr>
          </w:p>
        </w:tc>
        <w:tc>
          <w:tcPr>
            <w:tcW w:w="1352" w:type="pct"/>
            <w:tcBorders>
              <w:top w:val="nil"/>
              <w:left w:val="single" w:sz="4" w:space="0" w:color="auto"/>
              <w:bottom w:val="single" w:sz="4" w:space="0" w:color="auto"/>
              <w:right w:val="nil"/>
            </w:tcBorders>
            <w:vAlign w:val="center"/>
            <w:hideMark/>
          </w:tcPr>
          <w:p w:rsidR="00152C23" w:rsidRPr="00E13E09" w:rsidRDefault="00152C23" w:rsidP="008E32B7">
            <w:pPr>
              <w:jc w:val="center"/>
              <w:rPr>
                <w:sz w:val="20"/>
              </w:rPr>
            </w:pPr>
            <w:r w:rsidRPr="00E13E09">
              <w:rPr>
                <w:sz w:val="20"/>
              </w:rPr>
              <w:t xml:space="preserve">(2.3920) </w:t>
            </w:r>
          </w:p>
        </w:tc>
      </w:tr>
      <w:tr w:rsidR="00152C23" w:rsidRPr="00E13E09" w:rsidTr="008E32B7">
        <w:trPr>
          <w:trHeight w:hRule="exact" w:val="255"/>
        </w:trPr>
        <w:tc>
          <w:tcPr>
            <w:tcW w:w="3648" w:type="pct"/>
            <w:vMerge w:val="restart"/>
            <w:tcBorders>
              <w:top w:val="single" w:sz="4" w:space="0" w:color="auto"/>
              <w:left w:val="nil"/>
              <w:bottom w:val="single" w:sz="4" w:space="0" w:color="auto"/>
              <w:right w:val="single" w:sz="4" w:space="0" w:color="auto"/>
            </w:tcBorders>
            <w:noWrap/>
            <w:vAlign w:val="center"/>
          </w:tcPr>
          <w:p w:rsidR="00152C23" w:rsidRPr="00E13E09" w:rsidRDefault="00152C23" w:rsidP="008E32B7">
            <w:pPr>
              <w:jc w:val="both"/>
              <w:rPr>
                <w:sz w:val="20"/>
              </w:rPr>
            </w:pPr>
            <w:r w:rsidRPr="00E13E09">
              <w:rPr>
                <w:sz w:val="20"/>
              </w:rPr>
              <w:t>Taxa de câmbio real</w:t>
            </w:r>
          </w:p>
        </w:tc>
        <w:tc>
          <w:tcPr>
            <w:tcW w:w="1352" w:type="pct"/>
            <w:tcBorders>
              <w:top w:val="single" w:sz="4" w:space="0" w:color="auto"/>
              <w:left w:val="single" w:sz="4" w:space="0" w:color="auto"/>
              <w:bottom w:val="nil"/>
              <w:right w:val="nil"/>
            </w:tcBorders>
            <w:vAlign w:val="center"/>
            <w:hideMark/>
          </w:tcPr>
          <w:p w:rsidR="00152C23" w:rsidRPr="00E13E09" w:rsidRDefault="00152C23" w:rsidP="008E32B7">
            <w:pPr>
              <w:jc w:val="center"/>
              <w:rPr>
                <w:b/>
                <w:sz w:val="20"/>
              </w:rPr>
            </w:pPr>
            <w:r w:rsidRPr="00E13E09">
              <w:rPr>
                <w:b/>
                <w:sz w:val="20"/>
              </w:rPr>
              <w:t>0, 6397***</w:t>
            </w:r>
          </w:p>
        </w:tc>
      </w:tr>
      <w:tr w:rsidR="00152C23" w:rsidRPr="00E13E09" w:rsidTr="008E32B7">
        <w:trPr>
          <w:trHeight w:hRule="exact" w:val="255"/>
        </w:trPr>
        <w:tc>
          <w:tcPr>
            <w:tcW w:w="3648" w:type="pct"/>
            <w:vMerge/>
            <w:tcBorders>
              <w:top w:val="single" w:sz="4" w:space="0" w:color="auto"/>
              <w:left w:val="nil"/>
              <w:bottom w:val="single" w:sz="4" w:space="0" w:color="auto"/>
              <w:right w:val="single" w:sz="4" w:space="0" w:color="auto"/>
            </w:tcBorders>
            <w:vAlign w:val="center"/>
            <w:hideMark/>
          </w:tcPr>
          <w:p w:rsidR="00152C23" w:rsidRPr="00E13E09" w:rsidRDefault="00152C23" w:rsidP="008E32B7">
            <w:pPr>
              <w:rPr>
                <w:sz w:val="20"/>
              </w:rPr>
            </w:pPr>
          </w:p>
        </w:tc>
        <w:tc>
          <w:tcPr>
            <w:tcW w:w="1352" w:type="pct"/>
            <w:tcBorders>
              <w:top w:val="nil"/>
              <w:left w:val="single" w:sz="4" w:space="0" w:color="auto"/>
              <w:bottom w:val="single" w:sz="4" w:space="0" w:color="auto"/>
              <w:right w:val="nil"/>
            </w:tcBorders>
            <w:vAlign w:val="center"/>
            <w:hideMark/>
          </w:tcPr>
          <w:p w:rsidR="00152C23" w:rsidRPr="00E13E09" w:rsidRDefault="00152C23" w:rsidP="008E32B7">
            <w:pPr>
              <w:jc w:val="center"/>
              <w:rPr>
                <w:sz w:val="20"/>
              </w:rPr>
            </w:pPr>
            <w:r w:rsidRPr="00E13E09">
              <w:rPr>
                <w:sz w:val="20"/>
              </w:rPr>
              <w:t xml:space="preserve">(0,6714) </w:t>
            </w:r>
          </w:p>
        </w:tc>
      </w:tr>
      <w:tr w:rsidR="00152C23" w:rsidRPr="00E13E09" w:rsidTr="008E32B7">
        <w:trPr>
          <w:trHeight w:hRule="exact" w:val="255"/>
        </w:trPr>
        <w:tc>
          <w:tcPr>
            <w:tcW w:w="3648" w:type="pct"/>
            <w:tcBorders>
              <w:top w:val="single" w:sz="4" w:space="0" w:color="auto"/>
              <w:left w:val="nil"/>
              <w:bottom w:val="nil"/>
              <w:right w:val="single" w:sz="4" w:space="0" w:color="auto"/>
            </w:tcBorders>
            <w:vAlign w:val="center"/>
            <w:hideMark/>
          </w:tcPr>
          <w:p w:rsidR="00152C23" w:rsidRPr="00E13E09" w:rsidRDefault="00152C23" w:rsidP="008E32B7">
            <w:pPr>
              <w:jc w:val="both"/>
              <w:rPr>
                <w:sz w:val="20"/>
              </w:rPr>
            </w:pPr>
            <w:r w:rsidRPr="00E13E09">
              <w:rPr>
                <w:sz w:val="20"/>
              </w:rPr>
              <w:t>Coeficiente de ajustamento</w:t>
            </w:r>
          </w:p>
        </w:tc>
        <w:tc>
          <w:tcPr>
            <w:tcW w:w="1352" w:type="pct"/>
            <w:tcBorders>
              <w:top w:val="single" w:sz="4" w:space="0" w:color="auto"/>
              <w:left w:val="single" w:sz="4" w:space="0" w:color="auto"/>
              <w:bottom w:val="nil"/>
              <w:right w:val="nil"/>
            </w:tcBorders>
            <w:vAlign w:val="center"/>
            <w:hideMark/>
          </w:tcPr>
          <w:p w:rsidR="00152C23" w:rsidRPr="00E13E09" w:rsidRDefault="00152C23" w:rsidP="008E32B7">
            <w:pPr>
              <w:jc w:val="center"/>
              <w:rPr>
                <w:sz w:val="20"/>
              </w:rPr>
            </w:pPr>
            <w:r w:rsidRPr="00E13E09">
              <w:rPr>
                <w:sz w:val="20"/>
              </w:rPr>
              <w:t>0,2933</w:t>
            </w:r>
          </w:p>
        </w:tc>
      </w:tr>
      <w:tr w:rsidR="00152C23" w:rsidRPr="00E13E09" w:rsidTr="008E32B7">
        <w:trPr>
          <w:trHeight w:hRule="exact" w:val="255"/>
        </w:trPr>
        <w:tc>
          <w:tcPr>
            <w:tcW w:w="3648" w:type="pct"/>
            <w:tcBorders>
              <w:top w:val="nil"/>
              <w:left w:val="nil"/>
              <w:bottom w:val="nil"/>
              <w:right w:val="single" w:sz="4" w:space="0" w:color="auto"/>
            </w:tcBorders>
            <w:vAlign w:val="center"/>
            <w:hideMark/>
          </w:tcPr>
          <w:p w:rsidR="00152C23" w:rsidRPr="00E13E09" w:rsidRDefault="00152C23" w:rsidP="008E32B7">
            <w:pPr>
              <w:jc w:val="both"/>
              <w:rPr>
                <w:sz w:val="20"/>
              </w:rPr>
            </w:pPr>
            <w:r w:rsidRPr="00E13E09">
              <w:rPr>
                <w:sz w:val="20"/>
              </w:rPr>
              <w:t>Teste de subidentificação LM = 27,78</w:t>
            </w:r>
          </w:p>
        </w:tc>
        <w:tc>
          <w:tcPr>
            <w:tcW w:w="1352" w:type="pct"/>
            <w:tcBorders>
              <w:top w:val="nil"/>
              <w:left w:val="single" w:sz="4" w:space="0" w:color="auto"/>
              <w:bottom w:val="nil"/>
              <w:right w:val="nil"/>
            </w:tcBorders>
            <w:vAlign w:val="center"/>
            <w:hideMark/>
          </w:tcPr>
          <w:p w:rsidR="00152C23" w:rsidRPr="00E13E09" w:rsidRDefault="00152C23" w:rsidP="008E32B7">
            <w:pPr>
              <w:jc w:val="center"/>
              <w:rPr>
                <w:sz w:val="20"/>
              </w:rPr>
            </w:pPr>
            <w:r w:rsidRPr="00E13E09">
              <w:rPr>
                <w:sz w:val="20"/>
              </w:rPr>
              <w:t>P = 0,0000</w:t>
            </w:r>
          </w:p>
        </w:tc>
      </w:tr>
      <w:tr w:rsidR="00152C23" w:rsidRPr="00E13E09" w:rsidTr="008E32B7">
        <w:trPr>
          <w:trHeight w:hRule="exact" w:val="255"/>
        </w:trPr>
        <w:tc>
          <w:tcPr>
            <w:tcW w:w="3648" w:type="pct"/>
            <w:tcBorders>
              <w:top w:val="nil"/>
              <w:left w:val="nil"/>
              <w:bottom w:val="nil"/>
              <w:right w:val="single" w:sz="4" w:space="0" w:color="auto"/>
            </w:tcBorders>
            <w:vAlign w:val="center"/>
            <w:hideMark/>
          </w:tcPr>
          <w:p w:rsidR="00152C23" w:rsidRPr="00E13E09" w:rsidRDefault="00152C23" w:rsidP="008E32B7">
            <w:pPr>
              <w:jc w:val="both"/>
              <w:rPr>
                <w:sz w:val="20"/>
                <w:lang w:val="it-IT"/>
              </w:rPr>
            </w:pPr>
            <w:r w:rsidRPr="00E13E09">
              <w:rPr>
                <w:sz w:val="20"/>
              </w:rPr>
              <w:t>Teste de Wald de fraca identificação F= 10,19</w:t>
            </w:r>
          </w:p>
        </w:tc>
        <w:tc>
          <w:tcPr>
            <w:tcW w:w="1352" w:type="pct"/>
            <w:tcBorders>
              <w:top w:val="nil"/>
              <w:left w:val="single" w:sz="4" w:space="0" w:color="auto"/>
              <w:bottom w:val="nil"/>
              <w:right w:val="nil"/>
            </w:tcBorders>
            <w:vAlign w:val="center"/>
            <w:hideMark/>
          </w:tcPr>
          <w:p w:rsidR="00152C23" w:rsidRPr="00E13E09" w:rsidRDefault="00152C23" w:rsidP="008E32B7">
            <w:pPr>
              <w:jc w:val="center"/>
              <w:rPr>
                <w:sz w:val="20"/>
                <w:lang w:val="it-IT"/>
              </w:rPr>
            </w:pPr>
            <w:r w:rsidRPr="00E13E09">
              <w:rPr>
                <w:sz w:val="20"/>
                <w:lang w:val="it-IT"/>
              </w:rPr>
              <w:t>P = 0,1520</w:t>
            </w:r>
          </w:p>
        </w:tc>
      </w:tr>
      <w:tr w:rsidR="00152C23" w:rsidRPr="00E13E09" w:rsidTr="008E32B7">
        <w:trPr>
          <w:trHeight w:hRule="exact" w:val="255"/>
        </w:trPr>
        <w:tc>
          <w:tcPr>
            <w:tcW w:w="3648" w:type="pct"/>
            <w:tcBorders>
              <w:top w:val="nil"/>
              <w:left w:val="nil"/>
              <w:bottom w:val="nil"/>
              <w:right w:val="single" w:sz="4" w:space="0" w:color="auto"/>
            </w:tcBorders>
            <w:vAlign w:val="center"/>
            <w:hideMark/>
          </w:tcPr>
          <w:p w:rsidR="00152C23" w:rsidRPr="00E13E09" w:rsidRDefault="00152C23" w:rsidP="008E32B7">
            <w:pPr>
              <w:jc w:val="both"/>
              <w:rPr>
                <w:sz w:val="20"/>
              </w:rPr>
            </w:pPr>
            <w:r w:rsidRPr="00E13E09">
              <w:rPr>
                <w:sz w:val="20"/>
              </w:rPr>
              <w:t xml:space="preserve">Teste de superidentificação </w:t>
            </w:r>
            <w:proofErr w:type="spellStart"/>
            <w:r w:rsidRPr="00E13E09">
              <w:rPr>
                <w:sz w:val="20"/>
              </w:rPr>
              <w:t>Sargan</w:t>
            </w:r>
            <w:proofErr w:type="spellEnd"/>
            <w:r w:rsidRPr="00E13E09">
              <w:rPr>
                <w:sz w:val="20"/>
              </w:rPr>
              <w:t xml:space="preserve"> = 1.037</w:t>
            </w:r>
          </w:p>
        </w:tc>
        <w:tc>
          <w:tcPr>
            <w:tcW w:w="1352" w:type="pct"/>
            <w:tcBorders>
              <w:top w:val="nil"/>
              <w:left w:val="single" w:sz="4" w:space="0" w:color="auto"/>
              <w:bottom w:val="nil"/>
              <w:right w:val="nil"/>
            </w:tcBorders>
            <w:vAlign w:val="center"/>
            <w:hideMark/>
          </w:tcPr>
          <w:p w:rsidR="00152C23" w:rsidRPr="00E13E09" w:rsidRDefault="00152C23" w:rsidP="008E32B7">
            <w:pPr>
              <w:jc w:val="center"/>
              <w:rPr>
                <w:sz w:val="20"/>
                <w:lang w:val="it-IT"/>
              </w:rPr>
            </w:pPr>
            <w:r w:rsidRPr="00E13E09">
              <w:rPr>
                <w:sz w:val="20"/>
                <w:lang w:val="it-IT"/>
              </w:rPr>
              <w:t>P = 0,5956</w:t>
            </w:r>
          </w:p>
        </w:tc>
      </w:tr>
      <w:tr w:rsidR="00152C23" w:rsidRPr="00E13E09" w:rsidTr="008E32B7">
        <w:trPr>
          <w:trHeight w:hRule="exact" w:val="255"/>
        </w:trPr>
        <w:tc>
          <w:tcPr>
            <w:tcW w:w="3648" w:type="pct"/>
            <w:tcBorders>
              <w:top w:val="nil"/>
              <w:left w:val="nil"/>
              <w:bottom w:val="nil"/>
              <w:right w:val="single" w:sz="4" w:space="0" w:color="auto"/>
            </w:tcBorders>
            <w:vAlign w:val="center"/>
            <w:hideMark/>
          </w:tcPr>
          <w:p w:rsidR="00152C23" w:rsidRPr="00E13E09" w:rsidRDefault="00152C23" w:rsidP="008E32B7">
            <w:pPr>
              <w:jc w:val="both"/>
              <w:rPr>
                <w:sz w:val="20"/>
                <w:lang w:val="it-IT"/>
              </w:rPr>
            </w:pPr>
            <w:r w:rsidRPr="00E13E09">
              <w:rPr>
                <w:sz w:val="20"/>
                <w:lang w:val="it-IT"/>
              </w:rPr>
              <w:t>Teste de Wooldrige de autocorrelação F = 48,900</w:t>
            </w:r>
          </w:p>
        </w:tc>
        <w:tc>
          <w:tcPr>
            <w:tcW w:w="1352" w:type="pct"/>
            <w:tcBorders>
              <w:top w:val="nil"/>
              <w:left w:val="single" w:sz="4" w:space="0" w:color="auto"/>
              <w:bottom w:val="nil"/>
              <w:right w:val="nil"/>
            </w:tcBorders>
            <w:vAlign w:val="center"/>
            <w:hideMark/>
          </w:tcPr>
          <w:p w:rsidR="00152C23" w:rsidRPr="00E13E09" w:rsidRDefault="00152C23" w:rsidP="008E32B7">
            <w:pPr>
              <w:jc w:val="center"/>
              <w:rPr>
                <w:sz w:val="20"/>
                <w:lang w:val="it-IT"/>
              </w:rPr>
            </w:pPr>
            <w:r w:rsidRPr="00E13E09">
              <w:rPr>
                <w:sz w:val="20"/>
                <w:lang w:val="it-IT"/>
              </w:rPr>
              <w:t>P = 0,0000</w:t>
            </w:r>
          </w:p>
        </w:tc>
      </w:tr>
      <w:tr w:rsidR="00152C23" w:rsidRPr="00E13E09" w:rsidTr="008E32B7">
        <w:trPr>
          <w:trHeight w:hRule="exact" w:val="255"/>
        </w:trPr>
        <w:tc>
          <w:tcPr>
            <w:tcW w:w="3648" w:type="pct"/>
            <w:tcBorders>
              <w:top w:val="nil"/>
              <w:left w:val="nil"/>
              <w:bottom w:val="nil"/>
              <w:right w:val="single" w:sz="4" w:space="0" w:color="auto"/>
            </w:tcBorders>
            <w:vAlign w:val="center"/>
            <w:hideMark/>
          </w:tcPr>
          <w:p w:rsidR="00152C23" w:rsidRPr="00E13E09" w:rsidRDefault="00152C23" w:rsidP="008E32B7">
            <w:pPr>
              <w:jc w:val="both"/>
              <w:rPr>
                <w:sz w:val="20"/>
              </w:rPr>
            </w:pPr>
            <w:r w:rsidRPr="00E13E09">
              <w:rPr>
                <w:sz w:val="20"/>
              </w:rPr>
              <w:t xml:space="preserve">Teste modificado de Wald de </w:t>
            </w:r>
            <w:proofErr w:type="spellStart"/>
            <w:r w:rsidRPr="00E13E09">
              <w:rPr>
                <w:sz w:val="20"/>
              </w:rPr>
              <w:t>heterocedasticidade</w:t>
            </w:r>
            <w:proofErr w:type="spellEnd"/>
            <w:r w:rsidRPr="00E13E09">
              <w:rPr>
                <w:sz w:val="20"/>
              </w:rPr>
              <w:t xml:space="preserve"> chi2 = 785,59</w:t>
            </w:r>
          </w:p>
        </w:tc>
        <w:tc>
          <w:tcPr>
            <w:tcW w:w="1352" w:type="pct"/>
            <w:tcBorders>
              <w:top w:val="nil"/>
              <w:left w:val="single" w:sz="4" w:space="0" w:color="auto"/>
              <w:bottom w:val="nil"/>
              <w:right w:val="nil"/>
            </w:tcBorders>
            <w:vAlign w:val="center"/>
            <w:hideMark/>
          </w:tcPr>
          <w:p w:rsidR="00152C23" w:rsidRPr="00E13E09" w:rsidRDefault="00152C23" w:rsidP="008E32B7">
            <w:pPr>
              <w:jc w:val="center"/>
              <w:rPr>
                <w:sz w:val="20"/>
              </w:rPr>
            </w:pPr>
            <w:r w:rsidRPr="00E13E09">
              <w:rPr>
                <w:sz w:val="20"/>
              </w:rPr>
              <w:t>P = 0,0000</w:t>
            </w:r>
          </w:p>
        </w:tc>
      </w:tr>
      <w:tr w:rsidR="00152C23" w:rsidRPr="00E13E09" w:rsidTr="008E32B7">
        <w:trPr>
          <w:trHeight w:hRule="exact" w:val="255"/>
        </w:trPr>
        <w:tc>
          <w:tcPr>
            <w:tcW w:w="3648" w:type="pct"/>
            <w:tcBorders>
              <w:top w:val="nil"/>
              <w:left w:val="nil"/>
              <w:bottom w:val="single" w:sz="4" w:space="0" w:color="auto"/>
              <w:right w:val="single" w:sz="4" w:space="0" w:color="auto"/>
            </w:tcBorders>
            <w:vAlign w:val="center"/>
            <w:hideMark/>
          </w:tcPr>
          <w:p w:rsidR="00152C23" w:rsidRPr="00E13E09" w:rsidRDefault="00152C23" w:rsidP="008E32B7">
            <w:pPr>
              <w:jc w:val="both"/>
              <w:rPr>
                <w:sz w:val="20"/>
              </w:rPr>
            </w:pPr>
            <w:r w:rsidRPr="00E13E09">
              <w:rPr>
                <w:sz w:val="20"/>
              </w:rPr>
              <w:t xml:space="preserve">Teste de </w:t>
            </w:r>
            <w:proofErr w:type="spellStart"/>
            <w:r w:rsidRPr="00E13E09">
              <w:rPr>
                <w:sz w:val="20"/>
              </w:rPr>
              <w:t>Hausman</w:t>
            </w:r>
            <w:proofErr w:type="spellEnd"/>
            <w:r w:rsidRPr="00E13E09">
              <w:rPr>
                <w:sz w:val="20"/>
              </w:rPr>
              <w:t xml:space="preserve"> Qui2 = 62.78</w:t>
            </w:r>
          </w:p>
        </w:tc>
        <w:tc>
          <w:tcPr>
            <w:tcW w:w="1352" w:type="pct"/>
            <w:tcBorders>
              <w:top w:val="nil"/>
              <w:left w:val="single" w:sz="4" w:space="0" w:color="auto"/>
              <w:bottom w:val="single" w:sz="4" w:space="0" w:color="auto"/>
              <w:right w:val="nil"/>
            </w:tcBorders>
            <w:vAlign w:val="center"/>
            <w:hideMark/>
          </w:tcPr>
          <w:p w:rsidR="00152C23" w:rsidRPr="00E13E09" w:rsidRDefault="00152C23" w:rsidP="008E32B7">
            <w:pPr>
              <w:jc w:val="center"/>
              <w:rPr>
                <w:sz w:val="20"/>
              </w:rPr>
            </w:pPr>
            <w:r w:rsidRPr="00E13E09">
              <w:rPr>
                <w:sz w:val="20"/>
              </w:rPr>
              <w:t>P = 0,0000</w:t>
            </w:r>
          </w:p>
        </w:tc>
      </w:tr>
    </w:tbl>
    <w:p w:rsidR="00152C23" w:rsidRDefault="00152C23" w:rsidP="00152C23">
      <w:pPr>
        <w:rPr>
          <w:sz w:val="20"/>
        </w:rPr>
      </w:pPr>
      <w:r w:rsidRPr="00EB6D8C">
        <w:rPr>
          <w:sz w:val="20"/>
        </w:rPr>
        <w:t xml:space="preserve">Fonte: Resultados da pesquisa. </w:t>
      </w:r>
    </w:p>
    <w:p w:rsidR="00152C23" w:rsidRDefault="00152C23" w:rsidP="00152C23">
      <w:pPr>
        <w:rPr>
          <w:sz w:val="20"/>
        </w:rPr>
      </w:pPr>
      <w:r w:rsidRPr="00EB6D8C">
        <w:rPr>
          <w:sz w:val="20"/>
        </w:rPr>
        <w:t xml:space="preserve">Nota: Forma Funcional </w:t>
      </w:r>
      <w:proofErr w:type="spellStart"/>
      <w:r w:rsidRPr="00EB6D8C">
        <w:rPr>
          <w:sz w:val="20"/>
        </w:rPr>
        <w:t>duplo-log</w:t>
      </w:r>
      <w:proofErr w:type="spellEnd"/>
      <w:r w:rsidRPr="00EB6D8C">
        <w:rPr>
          <w:sz w:val="20"/>
        </w:rPr>
        <w:t>. Valores entre parênteses: erro-padrão.</w:t>
      </w:r>
    </w:p>
    <w:p w:rsidR="00152C23" w:rsidRDefault="00152C23" w:rsidP="00152C23">
      <w:pPr>
        <w:tabs>
          <w:tab w:val="left" w:pos="720"/>
          <w:tab w:val="left" w:pos="900"/>
        </w:tabs>
        <w:autoSpaceDE w:val="0"/>
        <w:autoSpaceDN w:val="0"/>
        <w:adjustRightInd w:val="0"/>
        <w:jc w:val="both"/>
        <w:rPr>
          <w:sz w:val="20"/>
        </w:rPr>
      </w:pPr>
      <w:r w:rsidRPr="00EB6D8C">
        <w:rPr>
          <w:sz w:val="20"/>
        </w:rPr>
        <w:t xml:space="preserve">        - </w:t>
      </w:r>
      <w:proofErr w:type="spellStart"/>
      <w:r w:rsidRPr="00EB6D8C">
        <w:rPr>
          <w:sz w:val="20"/>
        </w:rPr>
        <w:t>ns</w:t>
      </w:r>
      <w:proofErr w:type="spellEnd"/>
      <w:r w:rsidRPr="00EB6D8C">
        <w:rPr>
          <w:sz w:val="20"/>
        </w:rPr>
        <w:t xml:space="preserve"> – não significativo, ***significativo a 1%, **significativo a 5% e *, significativo a 10%.</w:t>
      </w:r>
    </w:p>
    <w:p w:rsidR="00152C23" w:rsidRDefault="00152C23" w:rsidP="00152C23">
      <w:pPr>
        <w:tabs>
          <w:tab w:val="left" w:pos="720"/>
          <w:tab w:val="left" w:pos="900"/>
        </w:tabs>
        <w:autoSpaceDE w:val="0"/>
        <w:autoSpaceDN w:val="0"/>
        <w:adjustRightInd w:val="0"/>
        <w:jc w:val="both"/>
        <w:rPr>
          <w:sz w:val="20"/>
        </w:rPr>
      </w:pPr>
      <w:r w:rsidRPr="00EB6D8C">
        <w:rPr>
          <w:sz w:val="20"/>
        </w:rPr>
        <w:t xml:space="preserve">         Instrumentos: </w:t>
      </w:r>
      <w:proofErr w:type="spellStart"/>
      <w:r w:rsidRPr="00EB6D8C">
        <w:rPr>
          <w:sz w:val="20"/>
        </w:rPr>
        <w:t>log</w:t>
      </w:r>
      <w:proofErr w:type="spellEnd"/>
      <w:r w:rsidRPr="00EB6D8C">
        <w:rPr>
          <w:sz w:val="20"/>
        </w:rPr>
        <w:t xml:space="preserve"> (</w:t>
      </w:r>
      <w:proofErr w:type="spellStart"/>
      <w:r w:rsidRPr="00EB6D8C">
        <w:rPr>
          <w:sz w:val="20"/>
        </w:rPr>
        <w:t>cam</w:t>
      </w:r>
      <w:proofErr w:type="spellEnd"/>
      <w:r w:rsidRPr="00EB6D8C">
        <w:rPr>
          <w:sz w:val="20"/>
        </w:rPr>
        <w:t xml:space="preserve">), </w:t>
      </w:r>
      <w:proofErr w:type="spellStart"/>
      <w:r w:rsidRPr="00EB6D8C">
        <w:rPr>
          <w:sz w:val="20"/>
        </w:rPr>
        <w:t>log</w:t>
      </w:r>
      <w:proofErr w:type="spellEnd"/>
      <w:r w:rsidRPr="00EB6D8C">
        <w:rPr>
          <w:sz w:val="20"/>
        </w:rPr>
        <w:t xml:space="preserve"> (sal (-1)), </w:t>
      </w:r>
      <w:proofErr w:type="spellStart"/>
      <w:r w:rsidRPr="00EB6D8C">
        <w:rPr>
          <w:sz w:val="20"/>
        </w:rPr>
        <w:t>log</w:t>
      </w:r>
      <w:proofErr w:type="spellEnd"/>
      <w:r w:rsidRPr="00EB6D8C">
        <w:rPr>
          <w:sz w:val="20"/>
        </w:rPr>
        <w:t xml:space="preserve"> (sal (-2)), </w:t>
      </w:r>
      <w:proofErr w:type="spellStart"/>
      <w:r w:rsidRPr="00EB6D8C">
        <w:rPr>
          <w:sz w:val="20"/>
        </w:rPr>
        <w:t>log</w:t>
      </w:r>
      <w:proofErr w:type="spellEnd"/>
      <w:r w:rsidRPr="00EB6D8C">
        <w:rPr>
          <w:sz w:val="20"/>
        </w:rPr>
        <w:t xml:space="preserve"> (</w:t>
      </w:r>
      <w:proofErr w:type="spellStart"/>
      <w:r w:rsidR="001406A0">
        <w:rPr>
          <w:sz w:val="20"/>
        </w:rPr>
        <w:t>g</w:t>
      </w:r>
      <w:r w:rsidRPr="00EB6D8C">
        <w:rPr>
          <w:sz w:val="20"/>
        </w:rPr>
        <w:t>sau</w:t>
      </w:r>
      <w:proofErr w:type="spellEnd"/>
      <w:r w:rsidRPr="00EB6D8C">
        <w:rPr>
          <w:sz w:val="20"/>
        </w:rPr>
        <w:t>).</w:t>
      </w:r>
    </w:p>
    <w:p w:rsidR="00285B17" w:rsidRDefault="00285B17" w:rsidP="00152C23">
      <w:pPr>
        <w:tabs>
          <w:tab w:val="left" w:pos="720"/>
          <w:tab w:val="left" w:pos="900"/>
        </w:tabs>
        <w:autoSpaceDE w:val="0"/>
        <w:autoSpaceDN w:val="0"/>
        <w:adjustRightInd w:val="0"/>
        <w:jc w:val="both"/>
        <w:rPr>
          <w:sz w:val="20"/>
        </w:rPr>
      </w:pPr>
    </w:p>
    <w:p w:rsidR="002D1B6A" w:rsidRDefault="002D1B6A" w:rsidP="002D1B6A">
      <w:pPr>
        <w:ind w:firstLine="720"/>
        <w:jc w:val="both"/>
        <w:rPr>
          <w:sz w:val="24"/>
          <w:szCs w:val="24"/>
        </w:rPr>
      </w:pPr>
      <w:r w:rsidRPr="00EB6D8C">
        <w:rPr>
          <w:sz w:val="24"/>
          <w:szCs w:val="24"/>
        </w:rPr>
        <w:t xml:space="preserve">O primeiro resultado importante diz respeito à relação </w:t>
      </w:r>
      <w:r>
        <w:rPr>
          <w:sz w:val="24"/>
          <w:szCs w:val="24"/>
        </w:rPr>
        <w:t xml:space="preserve">esperada </w:t>
      </w:r>
      <w:r w:rsidRPr="00EB6D8C">
        <w:rPr>
          <w:sz w:val="24"/>
          <w:szCs w:val="24"/>
        </w:rPr>
        <w:t>inversa entre crescimento da população e salário real</w:t>
      </w:r>
      <w:r>
        <w:rPr>
          <w:sz w:val="24"/>
          <w:szCs w:val="24"/>
        </w:rPr>
        <w:t xml:space="preserve">. </w:t>
      </w:r>
      <w:r w:rsidRPr="00EB6D8C">
        <w:rPr>
          <w:sz w:val="24"/>
          <w:szCs w:val="24"/>
        </w:rPr>
        <w:t xml:space="preserve">Para justificar </w:t>
      </w:r>
      <w:r>
        <w:rPr>
          <w:sz w:val="24"/>
          <w:szCs w:val="24"/>
        </w:rPr>
        <w:t>a</w:t>
      </w:r>
      <w:r w:rsidRPr="00EB6D8C">
        <w:rPr>
          <w:sz w:val="24"/>
          <w:szCs w:val="24"/>
        </w:rPr>
        <w:t xml:space="preserve"> relação</w:t>
      </w:r>
      <w:r>
        <w:rPr>
          <w:sz w:val="24"/>
          <w:szCs w:val="24"/>
        </w:rPr>
        <w:t xml:space="preserve"> positiva encontrada,</w:t>
      </w:r>
      <w:r w:rsidRPr="00EB6D8C">
        <w:rPr>
          <w:sz w:val="24"/>
          <w:szCs w:val="24"/>
        </w:rPr>
        <w:t xml:space="preserve"> é relevante uma análise sucinta da demografia do Brasil. O Brasil vem experimentando transformações na estrutura de sua população, marcadas, sobretudo, pelo processo de transição demográfica, resultado da redução das taxas de mortalidade e </w:t>
      </w:r>
      <w:r>
        <w:rPr>
          <w:sz w:val="24"/>
          <w:szCs w:val="24"/>
        </w:rPr>
        <w:t>aumento da esperança de vida</w:t>
      </w:r>
      <w:r w:rsidRPr="00EB6D8C">
        <w:rPr>
          <w:sz w:val="24"/>
          <w:szCs w:val="24"/>
        </w:rPr>
        <w:t xml:space="preserve">. </w:t>
      </w:r>
      <w:r>
        <w:rPr>
          <w:sz w:val="24"/>
          <w:szCs w:val="24"/>
        </w:rPr>
        <w:t xml:space="preserve">Segundo dados do IBGE (2013), a parcela da população de adolescentes caiu de 30% em 1998 para os 24,7% (2008). O contingente populacional de pessoas idosas (acima de 70 anos) vem aumentando. De acordo com dados de 2008, este grupo representa quase 10 milhões de pessoas no país. De maneira positiva, o envelhecimento populacional traz a perspectiva uma estoque de mão de obra com </w:t>
      </w:r>
      <w:r w:rsidRPr="0050734A">
        <w:rPr>
          <w:sz w:val="24"/>
          <w:szCs w:val="24"/>
        </w:rPr>
        <w:t>maior nível educacional e maiores experiências</w:t>
      </w:r>
      <w:r w:rsidRPr="00EB6D8C">
        <w:rPr>
          <w:sz w:val="24"/>
          <w:szCs w:val="24"/>
        </w:rPr>
        <w:t xml:space="preserve"> acumuladas que, </w:t>
      </w:r>
      <w:proofErr w:type="gramStart"/>
      <w:r w:rsidRPr="00EB6D8C">
        <w:rPr>
          <w:sz w:val="24"/>
          <w:szCs w:val="24"/>
        </w:rPr>
        <w:t>via de regra</w:t>
      </w:r>
      <w:proofErr w:type="gramEnd"/>
      <w:r w:rsidRPr="00EB6D8C">
        <w:rPr>
          <w:sz w:val="24"/>
          <w:szCs w:val="24"/>
        </w:rPr>
        <w:t>, se traduz em melhores índices de produtividade.</w:t>
      </w:r>
    </w:p>
    <w:p w:rsidR="00B77266" w:rsidRDefault="00E36CEA" w:rsidP="00726852">
      <w:pPr>
        <w:autoSpaceDE w:val="0"/>
        <w:autoSpaceDN w:val="0"/>
        <w:adjustRightInd w:val="0"/>
        <w:ind w:firstLine="720"/>
        <w:jc w:val="both"/>
        <w:rPr>
          <w:sz w:val="24"/>
          <w:szCs w:val="24"/>
        </w:rPr>
      </w:pPr>
      <w:r>
        <w:rPr>
          <w:sz w:val="24"/>
          <w:szCs w:val="24"/>
        </w:rPr>
        <w:t xml:space="preserve">Outro destaque é a </w:t>
      </w:r>
      <w:r w:rsidR="00E040F7" w:rsidRPr="0050734A">
        <w:rPr>
          <w:sz w:val="24"/>
          <w:szCs w:val="24"/>
        </w:rPr>
        <w:t>razão de dependência</w:t>
      </w:r>
      <w:r w:rsidR="00E040F7" w:rsidRPr="0050734A">
        <w:rPr>
          <w:rStyle w:val="Refdenotaderodap"/>
          <w:sz w:val="24"/>
          <w:szCs w:val="24"/>
        </w:rPr>
        <w:footnoteReference w:id="12"/>
      </w:r>
      <w:r w:rsidR="00E040F7" w:rsidRPr="0050734A">
        <w:rPr>
          <w:sz w:val="24"/>
          <w:szCs w:val="24"/>
        </w:rPr>
        <w:t>, indicador demográfico utilizado</w:t>
      </w:r>
      <w:r w:rsidR="00E040F7">
        <w:rPr>
          <w:sz w:val="24"/>
          <w:szCs w:val="24"/>
        </w:rPr>
        <w:t xml:space="preserve"> na</w:t>
      </w:r>
      <w:r w:rsidR="00E040F7" w:rsidRPr="0050734A">
        <w:rPr>
          <w:sz w:val="24"/>
          <w:szCs w:val="24"/>
        </w:rPr>
        <w:t xml:space="preserve"> análise socioeconômica, por exemplo, do mercado de trabalho</w:t>
      </w:r>
      <w:r w:rsidR="00E040F7">
        <w:rPr>
          <w:sz w:val="24"/>
          <w:szCs w:val="24"/>
        </w:rPr>
        <w:t>,</w:t>
      </w:r>
      <w:r>
        <w:rPr>
          <w:sz w:val="24"/>
          <w:szCs w:val="24"/>
        </w:rPr>
        <w:t xml:space="preserve"> cujo valor </w:t>
      </w:r>
      <w:r w:rsidR="00E040F7">
        <w:rPr>
          <w:sz w:val="24"/>
          <w:szCs w:val="24"/>
        </w:rPr>
        <w:t xml:space="preserve">tem mostrado comportamento decrescente ao longo dos anos. </w:t>
      </w:r>
      <w:r w:rsidR="00E040F7" w:rsidRPr="0050734A">
        <w:rPr>
          <w:sz w:val="24"/>
          <w:szCs w:val="24"/>
        </w:rPr>
        <w:t>Em 2007, a razão entre as populações de 0 a 14 anos e de 65 anos ou mais</w:t>
      </w:r>
      <w:r w:rsidR="000A5340">
        <w:rPr>
          <w:sz w:val="24"/>
          <w:szCs w:val="24"/>
        </w:rPr>
        <w:t xml:space="preserve"> (população inativa) </w:t>
      </w:r>
      <w:r w:rsidR="00E040F7" w:rsidRPr="0050734A">
        <w:rPr>
          <w:sz w:val="24"/>
          <w:szCs w:val="24"/>
        </w:rPr>
        <w:t>e o</w:t>
      </w:r>
      <w:r w:rsidR="00E040F7">
        <w:rPr>
          <w:sz w:val="24"/>
          <w:szCs w:val="24"/>
        </w:rPr>
        <w:t xml:space="preserve"> </w:t>
      </w:r>
      <w:r w:rsidR="00E040F7" w:rsidRPr="0050734A">
        <w:rPr>
          <w:sz w:val="24"/>
          <w:szCs w:val="24"/>
        </w:rPr>
        <w:t>segmento populacional com idades entre 15 a 64 anos de idade</w:t>
      </w:r>
      <w:r w:rsidR="000A5340">
        <w:rPr>
          <w:sz w:val="24"/>
          <w:szCs w:val="24"/>
        </w:rPr>
        <w:t xml:space="preserve"> (população ativa)</w:t>
      </w:r>
      <w:r w:rsidR="00E040F7" w:rsidRPr="0050734A">
        <w:rPr>
          <w:sz w:val="24"/>
          <w:szCs w:val="24"/>
        </w:rPr>
        <w:t xml:space="preserve"> era de 47,9%. </w:t>
      </w:r>
      <w:r w:rsidR="000A5340">
        <w:rPr>
          <w:sz w:val="24"/>
          <w:szCs w:val="24"/>
        </w:rPr>
        <w:t>Na análise do</w:t>
      </w:r>
      <w:r w:rsidR="00E040F7" w:rsidRPr="0050734A">
        <w:rPr>
          <w:sz w:val="24"/>
          <w:szCs w:val="24"/>
        </w:rPr>
        <w:t>s</w:t>
      </w:r>
      <w:r w:rsidR="00E040F7">
        <w:rPr>
          <w:sz w:val="24"/>
          <w:szCs w:val="24"/>
        </w:rPr>
        <w:t xml:space="preserve"> </w:t>
      </w:r>
      <w:r w:rsidR="00E040F7" w:rsidRPr="0050734A">
        <w:rPr>
          <w:sz w:val="24"/>
          <w:szCs w:val="24"/>
        </w:rPr>
        <w:t>estados,</w:t>
      </w:r>
      <w:r w:rsidR="00D309AF">
        <w:rPr>
          <w:sz w:val="24"/>
          <w:szCs w:val="24"/>
        </w:rPr>
        <w:t xml:space="preserve"> neste mesmo ano,</w:t>
      </w:r>
      <w:r w:rsidR="00E040F7" w:rsidRPr="0050734A">
        <w:rPr>
          <w:sz w:val="24"/>
          <w:szCs w:val="24"/>
        </w:rPr>
        <w:t xml:space="preserve"> a menor razão </w:t>
      </w:r>
      <w:r w:rsidR="00E040F7">
        <w:rPr>
          <w:sz w:val="24"/>
          <w:szCs w:val="24"/>
        </w:rPr>
        <w:t>refere-se à</w:t>
      </w:r>
      <w:r w:rsidR="00E040F7" w:rsidRPr="0050734A">
        <w:rPr>
          <w:sz w:val="24"/>
          <w:szCs w:val="24"/>
        </w:rPr>
        <w:t xml:space="preserve"> Santa Catarina, 41,4%, </w:t>
      </w:r>
      <w:r w:rsidR="00E040F7" w:rsidRPr="0050734A">
        <w:rPr>
          <w:sz w:val="24"/>
          <w:szCs w:val="24"/>
        </w:rPr>
        <w:lastRenderedPageBreak/>
        <w:t>enquanto,</w:t>
      </w:r>
      <w:r w:rsidR="00E040F7">
        <w:rPr>
          <w:sz w:val="24"/>
          <w:szCs w:val="24"/>
        </w:rPr>
        <w:t xml:space="preserve"> </w:t>
      </w:r>
      <w:r w:rsidR="00E040F7" w:rsidRPr="0050734A">
        <w:rPr>
          <w:sz w:val="24"/>
          <w:szCs w:val="24"/>
        </w:rPr>
        <w:t xml:space="preserve">no Maranhão, </w:t>
      </w:r>
      <w:r w:rsidR="00E040F7">
        <w:rPr>
          <w:sz w:val="24"/>
          <w:szCs w:val="24"/>
        </w:rPr>
        <w:t>consta</w:t>
      </w:r>
      <w:r w:rsidR="00E040F7" w:rsidRPr="0050734A">
        <w:rPr>
          <w:sz w:val="24"/>
          <w:szCs w:val="24"/>
        </w:rPr>
        <w:t xml:space="preserve"> o valor </w:t>
      </w:r>
      <w:r w:rsidR="00E040F7">
        <w:rPr>
          <w:sz w:val="24"/>
          <w:szCs w:val="24"/>
        </w:rPr>
        <w:t>máximo de</w:t>
      </w:r>
      <w:r w:rsidR="00E040F7" w:rsidRPr="0050734A">
        <w:rPr>
          <w:sz w:val="24"/>
          <w:szCs w:val="24"/>
        </w:rPr>
        <w:t xml:space="preserve"> 66,5%,</w:t>
      </w:r>
      <w:r w:rsidR="00E040F7">
        <w:rPr>
          <w:sz w:val="24"/>
          <w:szCs w:val="24"/>
        </w:rPr>
        <w:t xml:space="preserve"> uma vez mais indicando signifi</w:t>
      </w:r>
      <w:r w:rsidR="00E040F7" w:rsidRPr="0050734A">
        <w:rPr>
          <w:sz w:val="24"/>
          <w:szCs w:val="24"/>
        </w:rPr>
        <w:t>cativas</w:t>
      </w:r>
      <w:r w:rsidR="00E040F7">
        <w:rPr>
          <w:sz w:val="24"/>
          <w:szCs w:val="24"/>
        </w:rPr>
        <w:t xml:space="preserve"> </w:t>
      </w:r>
      <w:r w:rsidR="00E040F7" w:rsidRPr="0050734A">
        <w:rPr>
          <w:sz w:val="24"/>
          <w:szCs w:val="24"/>
        </w:rPr>
        <w:t>desigualdades territoriais</w:t>
      </w:r>
      <w:r w:rsidR="00E040F7">
        <w:rPr>
          <w:sz w:val="24"/>
          <w:szCs w:val="24"/>
        </w:rPr>
        <w:t xml:space="preserve">, </w:t>
      </w:r>
      <w:r w:rsidR="00E040F7" w:rsidRPr="0050734A">
        <w:rPr>
          <w:sz w:val="24"/>
          <w:szCs w:val="24"/>
        </w:rPr>
        <w:t>fruto de processos reprodutivos diferenciados</w:t>
      </w:r>
      <w:r w:rsidR="00E040F7">
        <w:rPr>
          <w:sz w:val="24"/>
          <w:szCs w:val="24"/>
        </w:rPr>
        <w:t xml:space="preserve">. </w:t>
      </w:r>
    </w:p>
    <w:p w:rsidR="00B77266" w:rsidRDefault="00E040F7" w:rsidP="00726852">
      <w:pPr>
        <w:autoSpaceDE w:val="0"/>
        <w:autoSpaceDN w:val="0"/>
        <w:adjustRightInd w:val="0"/>
        <w:ind w:firstLine="720"/>
        <w:jc w:val="both"/>
        <w:rPr>
          <w:sz w:val="24"/>
          <w:szCs w:val="24"/>
        </w:rPr>
      </w:pPr>
      <w:r>
        <w:rPr>
          <w:sz w:val="24"/>
          <w:szCs w:val="24"/>
        </w:rPr>
        <w:t xml:space="preserve">A redução da razão de dependência está diretamente ligada ao fenômeno de </w:t>
      </w:r>
      <w:r w:rsidRPr="00EB6D8C">
        <w:rPr>
          <w:sz w:val="24"/>
          <w:szCs w:val="24"/>
        </w:rPr>
        <w:t xml:space="preserve">“bônus demográfico” ou “janela de oportunidades”. </w:t>
      </w:r>
      <w:r>
        <w:rPr>
          <w:sz w:val="24"/>
          <w:szCs w:val="24"/>
        </w:rPr>
        <w:t xml:space="preserve">Segundo Alves (2008), </w:t>
      </w:r>
      <w:r w:rsidRPr="00434AA9">
        <w:rPr>
          <w:sz w:val="24"/>
          <w:szCs w:val="24"/>
        </w:rPr>
        <w:t xml:space="preserve">a </w:t>
      </w:r>
      <w:r w:rsidR="000A5340">
        <w:rPr>
          <w:sz w:val="24"/>
          <w:szCs w:val="24"/>
        </w:rPr>
        <w:t>j</w:t>
      </w:r>
      <w:r w:rsidRPr="00434AA9">
        <w:rPr>
          <w:sz w:val="24"/>
          <w:szCs w:val="24"/>
        </w:rPr>
        <w:t>anela ou</w:t>
      </w:r>
      <w:r>
        <w:rPr>
          <w:sz w:val="24"/>
          <w:szCs w:val="24"/>
        </w:rPr>
        <w:t xml:space="preserve"> </w:t>
      </w:r>
      <w:r w:rsidR="000A5340">
        <w:rPr>
          <w:sz w:val="24"/>
          <w:szCs w:val="24"/>
        </w:rPr>
        <w:t>b</w:t>
      </w:r>
      <w:r w:rsidRPr="00434AA9">
        <w:rPr>
          <w:sz w:val="24"/>
          <w:szCs w:val="24"/>
        </w:rPr>
        <w:t xml:space="preserve">ônus </w:t>
      </w:r>
      <w:r w:rsidR="000A5340">
        <w:rPr>
          <w:sz w:val="24"/>
          <w:szCs w:val="24"/>
        </w:rPr>
        <w:t>d</w:t>
      </w:r>
      <w:r w:rsidRPr="00434AA9">
        <w:rPr>
          <w:sz w:val="24"/>
          <w:szCs w:val="24"/>
        </w:rPr>
        <w:t xml:space="preserve">emográfico no Brasil começou em 1995 e irá até 2055, perfazendo </w:t>
      </w:r>
      <w:r>
        <w:rPr>
          <w:sz w:val="24"/>
          <w:szCs w:val="24"/>
        </w:rPr>
        <w:t>o</w:t>
      </w:r>
      <w:r w:rsidRPr="00434AA9">
        <w:rPr>
          <w:sz w:val="24"/>
          <w:szCs w:val="24"/>
        </w:rPr>
        <w:t xml:space="preserve"> período de </w:t>
      </w:r>
      <w:r>
        <w:rPr>
          <w:sz w:val="24"/>
          <w:szCs w:val="24"/>
        </w:rPr>
        <w:t xml:space="preserve">sessenta </w:t>
      </w:r>
      <w:r w:rsidRPr="00434AA9">
        <w:rPr>
          <w:sz w:val="24"/>
          <w:szCs w:val="24"/>
        </w:rPr>
        <w:t>anos. A maior diferença entre o percentual da P</w:t>
      </w:r>
      <w:r>
        <w:rPr>
          <w:sz w:val="24"/>
          <w:szCs w:val="24"/>
        </w:rPr>
        <w:t xml:space="preserve">opulação em </w:t>
      </w:r>
      <w:r w:rsidRPr="00434AA9">
        <w:rPr>
          <w:sz w:val="24"/>
          <w:szCs w:val="24"/>
        </w:rPr>
        <w:t>I</w:t>
      </w:r>
      <w:r>
        <w:rPr>
          <w:sz w:val="24"/>
          <w:szCs w:val="24"/>
        </w:rPr>
        <w:t xml:space="preserve">dade </w:t>
      </w:r>
      <w:r w:rsidRPr="00434AA9">
        <w:rPr>
          <w:sz w:val="24"/>
          <w:szCs w:val="24"/>
        </w:rPr>
        <w:t>A</w:t>
      </w:r>
      <w:r>
        <w:rPr>
          <w:sz w:val="24"/>
          <w:szCs w:val="24"/>
        </w:rPr>
        <w:t>tiva (PIA)</w:t>
      </w:r>
      <w:r w:rsidRPr="00434AA9">
        <w:rPr>
          <w:sz w:val="24"/>
          <w:szCs w:val="24"/>
        </w:rPr>
        <w:t xml:space="preserve"> e </w:t>
      </w:r>
      <w:r>
        <w:rPr>
          <w:sz w:val="24"/>
          <w:szCs w:val="24"/>
        </w:rPr>
        <w:t xml:space="preserve">da razão de dependência da população de 15 a 64 anos é </w:t>
      </w:r>
      <w:r w:rsidRPr="00434AA9">
        <w:rPr>
          <w:sz w:val="24"/>
          <w:szCs w:val="24"/>
        </w:rPr>
        <w:t>de 18,2%</w:t>
      </w:r>
      <w:r>
        <w:rPr>
          <w:sz w:val="24"/>
          <w:szCs w:val="24"/>
        </w:rPr>
        <w:t>,</w:t>
      </w:r>
      <w:r w:rsidRPr="00434AA9">
        <w:rPr>
          <w:sz w:val="24"/>
          <w:szCs w:val="24"/>
        </w:rPr>
        <w:t xml:space="preserve"> entre</w:t>
      </w:r>
      <w:r>
        <w:rPr>
          <w:sz w:val="24"/>
          <w:szCs w:val="24"/>
        </w:rPr>
        <w:t xml:space="preserve"> </w:t>
      </w:r>
      <w:r w:rsidRPr="00434AA9">
        <w:rPr>
          <w:sz w:val="24"/>
          <w:szCs w:val="24"/>
        </w:rPr>
        <w:t>2020 e 2025</w:t>
      </w:r>
      <w:r w:rsidR="00573C41">
        <w:rPr>
          <w:sz w:val="24"/>
          <w:szCs w:val="24"/>
        </w:rPr>
        <w:t xml:space="preserve">. Este pode ser </w:t>
      </w:r>
      <w:r w:rsidRPr="00434AA9">
        <w:rPr>
          <w:sz w:val="24"/>
          <w:szCs w:val="24"/>
        </w:rPr>
        <w:t xml:space="preserve">considerado o quinquênio de maior abertura da </w:t>
      </w:r>
      <w:r w:rsidR="000A5340" w:rsidRPr="00434AA9">
        <w:rPr>
          <w:sz w:val="24"/>
          <w:szCs w:val="24"/>
        </w:rPr>
        <w:t>janela de</w:t>
      </w:r>
      <w:r w:rsidR="000A5340">
        <w:rPr>
          <w:sz w:val="24"/>
          <w:szCs w:val="24"/>
        </w:rPr>
        <w:t xml:space="preserve"> </w:t>
      </w:r>
      <w:r w:rsidR="000A5340" w:rsidRPr="00434AA9">
        <w:rPr>
          <w:sz w:val="24"/>
          <w:szCs w:val="24"/>
        </w:rPr>
        <w:t xml:space="preserve">oportunidade </w:t>
      </w:r>
      <w:r w:rsidRPr="00434AA9">
        <w:rPr>
          <w:sz w:val="24"/>
          <w:szCs w:val="24"/>
        </w:rPr>
        <w:t>brasileira</w:t>
      </w:r>
      <w:r w:rsidR="000A5340">
        <w:rPr>
          <w:sz w:val="24"/>
          <w:szCs w:val="24"/>
        </w:rPr>
        <w:t>, cuja previsão de fechamento se dará</w:t>
      </w:r>
      <w:r w:rsidRPr="00434AA9">
        <w:rPr>
          <w:sz w:val="24"/>
          <w:szCs w:val="24"/>
        </w:rPr>
        <w:t xml:space="preserve"> a partir de</w:t>
      </w:r>
      <w:r>
        <w:rPr>
          <w:sz w:val="24"/>
          <w:szCs w:val="24"/>
        </w:rPr>
        <w:t xml:space="preserve"> </w:t>
      </w:r>
      <w:r w:rsidRPr="00434AA9">
        <w:rPr>
          <w:sz w:val="24"/>
          <w:szCs w:val="24"/>
        </w:rPr>
        <w:t xml:space="preserve">2025 até </w:t>
      </w:r>
      <w:r w:rsidR="000A5340">
        <w:rPr>
          <w:sz w:val="24"/>
          <w:szCs w:val="24"/>
        </w:rPr>
        <w:t>a perda de</w:t>
      </w:r>
      <w:r w:rsidRPr="00434AA9">
        <w:rPr>
          <w:sz w:val="24"/>
          <w:szCs w:val="24"/>
        </w:rPr>
        <w:t xml:space="preserve"> todas as vantagens a partir de 2055</w:t>
      </w:r>
      <w:r>
        <w:rPr>
          <w:sz w:val="24"/>
          <w:szCs w:val="24"/>
        </w:rPr>
        <w:t>.</w:t>
      </w:r>
    </w:p>
    <w:p w:rsidR="00C3783F" w:rsidRDefault="00E040F7">
      <w:pPr>
        <w:autoSpaceDE w:val="0"/>
        <w:autoSpaceDN w:val="0"/>
        <w:adjustRightInd w:val="0"/>
        <w:ind w:firstLine="708"/>
        <w:jc w:val="both"/>
        <w:rPr>
          <w:sz w:val="24"/>
          <w:szCs w:val="24"/>
        </w:rPr>
      </w:pPr>
      <w:r>
        <w:rPr>
          <w:sz w:val="24"/>
          <w:szCs w:val="24"/>
        </w:rPr>
        <w:t xml:space="preserve">Diante destas perspectivas, deve-se atuar de maneira preventiva para que este </w:t>
      </w:r>
      <w:r w:rsidRPr="00EB6D8C">
        <w:rPr>
          <w:sz w:val="24"/>
          <w:szCs w:val="24"/>
        </w:rPr>
        <w:t xml:space="preserve">bônus </w:t>
      </w:r>
      <w:r>
        <w:rPr>
          <w:sz w:val="24"/>
          <w:szCs w:val="24"/>
        </w:rPr>
        <w:t>não se torne</w:t>
      </w:r>
      <w:r w:rsidRPr="00EB6D8C">
        <w:rPr>
          <w:sz w:val="24"/>
          <w:szCs w:val="24"/>
        </w:rPr>
        <w:t xml:space="preserve"> ônus</w:t>
      </w:r>
      <w:r>
        <w:rPr>
          <w:sz w:val="24"/>
          <w:szCs w:val="24"/>
        </w:rPr>
        <w:t>. A relação positiva entre crescimento populacional e nível de salários nas unidades federativas mostra que isto não ocorreu no período analisado</w:t>
      </w:r>
      <w:r w:rsidR="008C5D3B">
        <w:rPr>
          <w:sz w:val="24"/>
          <w:szCs w:val="24"/>
        </w:rPr>
        <w:t>. A razão é que,</w:t>
      </w:r>
      <w:r>
        <w:rPr>
          <w:sz w:val="24"/>
          <w:szCs w:val="24"/>
        </w:rPr>
        <w:t xml:space="preserve"> mesmo com sistemas de produção </w:t>
      </w:r>
      <w:r w:rsidRPr="00EB6D8C">
        <w:rPr>
          <w:sz w:val="24"/>
          <w:szCs w:val="24"/>
        </w:rPr>
        <w:t>mais intensiv</w:t>
      </w:r>
      <w:r w:rsidR="00CB75C9">
        <w:rPr>
          <w:sz w:val="24"/>
          <w:szCs w:val="24"/>
        </w:rPr>
        <w:t>o</w:t>
      </w:r>
      <w:r w:rsidRPr="00EB6D8C">
        <w:rPr>
          <w:sz w:val="24"/>
          <w:szCs w:val="24"/>
        </w:rPr>
        <w:t>s em capital</w:t>
      </w:r>
      <w:r>
        <w:rPr>
          <w:sz w:val="24"/>
          <w:szCs w:val="24"/>
        </w:rPr>
        <w:t xml:space="preserve">, não tem ocorrido queda significativa no </w:t>
      </w:r>
      <w:r w:rsidRPr="00EB6D8C">
        <w:rPr>
          <w:iCs/>
          <w:sz w:val="24"/>
          <w:szCs w:val="24"/>
        </w:rPr>
        <w:t xml:space="preserve">nível geral de ocupação. Nesse contexto, </w:t>
      </w:r>
      <w:r>
        <w:rPr>
          <w:iCs/>
          <w:sz w:val="24"/>
          <w:szCs w:val="24"/>
        </w:rPr>
        <w:t>as macrodiretrizes das</w:t>
      </w:r>
      <w:r w:rsidRPr="00EB6D8C">
        <w:rPr>
          <w:iCs/>
          <w:sz w:val="24"/>
          <w:szCs w:val="24"/>
        </w:rPr>
        <w:t xml:space="preserve"> políticas públicas </w:t>
      </w:r>
      <w:r>
        <w:rPr>
          <w:iCs/>
          <w:sz w:val="24"/>
          <w:szCs w:val="24"/>
        </w:rPr>
        <w:t>devem estar atentas à</w:t>
      </w:r>
      <w:r w:rsidRPr="00EB6D8C">
        <w:rPr>
          <w:iCs/>
          <w:sz w:val="24"/>
          <w:szCs w:val="24"/>
        </w:rPr>
        <w:t xml:space="preserve"> “janela de oportunidades” proporcionada pela nova estrutura etária brasileira</w:t>
      </w:r>
      <w:r>
        <w:rPr>
          <w:iCs/>
          <w:sz w:val="24"/>
          <w:szCs w:val="24"/>
        </w:rPr>
        <w:t>.</w:t>
      </w:r>
      <w:r w:rsidR="00CB75C9">
        <w:rPr>
          <w:iCs/>
          <w:sz w:val="24"/>
          <w:szCs w:val="24"/>
        </w:rPr>
        <w:t xml:space="preserve"> </w:t>
      </w:r>
      <w:r>
        <w:rPr>
          <w:sz w:val="24"/>
          <w:szCs w:val="24"/>
        </w:rPr>
        <w:t xml:space="preserve">No entanto, analisando-se a </w:t>
      </w:r>
      <w:r w:rsidRPr="002661A0">
        <w:rPr>
          <w:sz w:val="24"/>
          <w:szCs w:val="24"/>
        </w:rPr>
        <w:t>área de educação, o planejamento para o aproveitamento do bônus demográfico</w:t>
      </w:r>
      <w:r>
        <w:rPr>
          <w:sz w:val="24"/>
          <w:szCs w:val="24"/>
        </w:rPr>
        <w:t xml:space="preserve"> está atrasado, dado o não aproveitamento de todo p</w:t>
      </w:r>
      <w:r w:rsidRPr="002661A0">
        <w:rPr>
          <w:sz w:val="24"/>
          <w:szCs w:val="24"/>
        </w:rPr>
        <w:t xml:space="preserve">otencial da população potencialmente produtiva </w:t>
      </w:r>
      <w:r>
        <w:rPr>
          <w:sz w:val="24"/>
          <w:szCs w:val="24"/>
        </w:rPr>
        <w:t xml:space="preserve">em razão de </w:t>
      </w:r>
      <w:r w:rsidRPr="002661A0">
        <w:rPr>
          <w:sz w:val="24"/>
          <w:szCs w:val="24"/>
        </w:rPr>
        <w:t xml:space="preserve">questões </w:t>
      </w:r>
      <w:r>
        <w:rPr>
          <w:sz w:val="24"/>
          <w:szCs w:val="24"/>
        </w:rPr>
        <w:t>ligadas à defasagem escolar desta faixa etária</w:t>
      </w:r>
      <w:r w:rsidRPr="002661A0">
        <w:rPr>
          <w:sz w:val="24"/>
          <w:szCs w:val="24"/>
        </w:rPr>
        <w:t xml:space="preserve">. </w:t>
      </w:r>
      <w:r>
        <w:rPr>
          <w:sz w:val="24"/>
          <w:szCs w:val="24"/>
        </w:rPr>
        <w:t xml:space="preserve">Os </w:t>
      </w:r>
      <w:proofErr w:type="spellStart"/>
      <w:r w:rsidRPr="00573C41">
        <w:rPr>
          <w:i/>
          <w:sz w:val="24"/>
          <w:szCs w:val="24"/>
        </w:rPr>
        <w:t>policymakers</w:t>
      </w:r>
      <w:proofErr w:type="spellEnd"/>
      <w:r>
        <w:rPr>
          <w:sz w:val="24"/>
          <w:szCs w:val="24"/>
        </w:rPr>
        <w:t xml:space="preserve"> </w:t>
      </w:r>
      <w:proofErr w:type="gramStart"/>
      <w:r>
        <w:rPr>
          <w:sz w:val="24"/>
          <w:szCs w:val="24"/>
        </w:rPr>
        <w:t>devem-se</w:t>
      </w:r>
      <w:proofErr w:type="gramEnd"/>
      <w:r>
        <w:rPr>
          <w:sz w:val="24"/>
          <w:szCs w:val="24"/>
        </w:rPr>
        <w:t xml:space="preserve"> se ater às políticas públicas educacionais e afins, de forma a permitir aos estados brasileiros desfrutarem das </w:t>
      </w:r>
      <w:r w:rsidRPr="002661A0">
        <w:rPr>
          <w:sz w:val="24"/>
          <w:szCs w:val="24"/>
        </w:rPr>
        <w:t>possibilidades de crescimento econômico</w:t>
      </w:r>
      <w:r>
        <w:rPr>
          <w:sz w:val="24"/>
          <w:szCs w:val="24"/>
        </w:rPr>
        <w:t xml:space="preserve"> relacionadas ao</w:t>
      </w:r>
      <w:r w:rsidRPr="002661A0">
        <w:rPr>
          <w:sz w:val="24"/>
          <w:szCs w:val="24"/>
        </w:rPr>
        <w:t xml:space="preserve"> bônus, via maior produtividade do mercado de trabalho, </w:t>
      </w:r>
      <w:r>
        <w:rPr>
          <w:sz w:val="24"/>
          <w:szCs w:val="24"/>
        </w:rPr>
        <w:t xml:space="preserve">sem que ocorra desperdício deste fenômeno </w:t>
      </w:r>
      <w:r w:rsidRPr="002661A0">
        <w:rPr>
          <w:sz w:val="24"/>
          <w:szCs w:val="24"/>
        </w:rPr>
        <w:t>por</w:t>
      </w:r>
      <w:r>
        <w:rPr>
          <w:sz w:val="24"/>
          <w:szCs w:val="24"/>
        </w:rPr>
        <w:t xml:space="preserve"> </w:t>
      </w:r>
      <w:r w:rsidRPr="002661A0">
        <w:rPr>
          <w:sz w:val="24"/>
          <w:szCs w:val="24"/>
        </w:rPr>
        <w:t>dificuldades educacionais</w:t>
      </w:r>
      <w:r>
        <w:rPr>
          <w:sz w:val="24"/>
          <w:szCs w:val="24"/>
        </w:rPr>
        <w:t>.</w:t>
      </w:r>
    </w:p>
    <w:p w:rsidR="00B77266" w:rsidRDefault="00E040F7" w:rsidP="00726852">
      <w:pPr>
        <w:autoSpaceDE w:val="0"/>
        <w:autoSpaceDN w:val="0"/>
        <w:adjustRightInd w:val="0"/>
        <w:ind w:firstLine="720"/>
        <w:jc w:val="both"/>
        <w:rPr>
          <w:sz w:val="24"/>
          <w:szCs w:val="24"/>
        </w:rPr>
      </w:pPr>
      <w:r>
        <w:rPr>
          <w:sz w:val="24"/>
          <w:szCs w:val="24"/>
        </w:rPr>
        <w:t xml:space="preserve">Outra variável da equação </w:t>
      </w:r>
      <w:proofErr w:type="gramStart"/>
      <w:r>
        <w:rPr>
          <w:sz w:val="24"/>
          <w:szCs w:val="24"/>
        </w:rPr>
        <w:t>5</w:t>
      </w:r>
      <w:proofErr w:type="gramEnd"/>
      <w:r>
        <w:rPr>
          <w:sz w:val="24"/>
          <w:szCs w:val="24"/>
        </w:rPr>
        <w:t xml:space="preserve"> com relação positiva com o </w:t>
      </w:r>
      <w:r w:rsidRPr="00EB6D8C">
        <w:rPr>
          <w:sz w:val="24"/>
          <w:szCs w:val="24"/>
        </w:rPr>
        <w:t xml:space="preserve">nível salarial </w:t>
      </w:r>
      <w:r w:rsidRPr="00F033A0">
        <w:rPr>
          <w:sz w:val="24"/>
          <w:szCs w:val="24"/>
        </w:rPr>
        <w:t xml:space="preserve">da economia é a produtividade do emprego, conforme previsto pela teoria. No que diz respeito aos anos noventa, deve-se destacar dois importantes aspectos. O primeiro seriam os ganhos de produtividade </w:t>
      </w:r>
      <w:r>
        <w:rPr>
          <w:sz w:val="24"/>
          <w:szCs w:val="24"/>
        </w:rPr>
        <w:t xml:space="preserve">que se deram de maneira </w:t>
      </w:r>
      <w:r w:rsidRPr="00F033A0">
        <w:rPr>
          <w:sz w:val="24"/>
          <w:szCs w:val="24"/>
        </w:rPr>
        <w:t xml:space="preserve">muito significativa nesse período. </w:t>
      </w:r>
      <w:r w:rsidR="00D0607E">
        <w:rPr>
          <w:sz w:val="24"/>
          <w:szCs w:val="24"/>
        </w:rPr>
        <w:t xml:space="preserve">O segundo aspecto é que tais </w:t>
      </w:r>
      <w:r w:rsidRPr="00F033A0">
        <w:rPr>
          <w:sz w:val="24"/>
          <w:szCs w:val="24"/>
        </w:rPr>
        <w:t>ganhos não foram repassados aos salários reais na mesma magnitude</w:t>
      </w:r>
      <w:r>
        <w:rPr>
          <w:sz w:val="24"/>
          <w:szCs w:val="24"/>
        </w:rPr>
        <w:t xml:space="preserve">, em função dos efeitos adversos sobre o emprego na indústria em função da terceirização. Daí, a justificativa para a </w:t>
      </w:r>
      <w:r w:rsidRPr="00EB6D8C">
        <w:rPr>
          <w:sz w:val="24"/>
          <w:szCs w:val="24"/>
        </w:rPr>
        <w:t xml:space="preserve">resposta positiva dos salários à produtividade. </w:t>
      </w:r>
    </w:p>
    <w:p w:rsidR="00B77266" w:rsidRDefault="00E040F7" w:rsidP="00726852">
      <w:pPr>
        <w:autoSpaceDE w:val="0"/>
        <w:autoSpaceDN w:val="0"/>
        <w:adjustRightInd w:val="0"/>
        <w:ind w:firstLine="720"/>
        <w:jc w:val="both"/>
        <w:rPr>
          <w:sz w:val="24"/>
          <w:szCs w:val="24"/>
        </w:rPr>
      </w:pPr>
      <w:r w:rsidRPr="003042DE">
        <w:rPr>
          <w:sz w:val="24"/>
          <w:szCs w:val="24"/>
        </w:rPr>
        <w:t xml:space="preserve">Tais resultados são corroborados pelo estudo de </w:t>
      </w:r>
      <w:proofErr w:type="spellStart"/>
      <w:r w:rsidRPr="003042DE">
        <w:rPr>
          <w:sz w:val="24"/>
          <w:szCs w:val="24"/>
        </w:rPr>
        <w:t>Romannato</w:t>
      </w:r>
      <w:proofErr w:type="spellEnd"/>
      <w:r w:rsidRPr="003042DE">
        <w:rPr>
          <w:sz w:val="24"/>
          <w:szCs w:val="24"/>
        </w:rPr>
        <w:t xml:space="preserve"> </w:t>
      </w:r>
      <w:proofErr w:type="spellStart"/>
      <w:proofErr w:type="gramStart"/>
      <w:r w:rsidRPr="003042DE">
        <w:rPr>
          <w:sz w:val="24"/>
          <w:szCs w:val="24"/>
        </w:rPr>
        <w:t>et</w:t>
      </w:r>
      <w:proofErr w:type="spellEnd"/>
      <w:proofErr w:type="gramEnd"/>
      <w:r w:rsidRPr="003042DE">
        <w:rPr>
          <w:sz w:val="24"/>
          <w:szCs w:val="24"/>
        </w:rPr>
        <w:t xml:space="preserve"> al. (2008), </w:t>
      </w:r>
      <w:r w:rsidR="00587D29">
        <w:rPr>
          <w:sz w:val="24"/>
          <w:szCs w:val="24"/>
        </w:rPr>
        <w:t xml:space="preserve">cujas conclusões empíricas estão </w:t>
      </w:r>
      <w:r w:rsidRPr="003042DE">
        <w:rPr>
          <w:sz w:val="24"/>
          <w:szCs w:val="24"/>
        </w:rPr>
        <w:t>embasad</w:t>
      </w:r>
      <w:r w:rsidR="00587D29">
        <w:rPr>
          <w:sz w:val="24"/>
          <w:szCs w:val="24"/>
        </w:rPr>
        <w:t>a</w:t>
      </w:r>
      <w:r w:rsidRPr="003042DE">
        <w:rPr>
          <w:sz w:val="24"/>
          <w:szCs w:val="24"/>
        </w:rPr>
        <w:t xml:space="preserve">s no modelo de concorrência monopolística </w:t>
      </w:r>
      <w:r w:rsidR="00587D29">
        <w:rPr>
          <w:sz w:val="24"/>
          <w:szCs w:val="24"/>
        </w:rPr>
        <w:t xml:space="preserve">e </w:t>
      </w:r>
      <w:r w:rsidRPr="003042DE">
        <w:rPr>
          <w:sz w:val="24"/>
          <w:szCs w:val="24"/>
        </w:rPr>
        <w:t xml:space="preserve">indicam que o salário real tem relação de longo prazo positiva com a produtividade e negativa com a taxa de câmbio real. Quando se observa o mercado de trabalho dos anos 2000, os resultados já não são tão satisfatórios. Em conformidade com </w:t>
      </w:r>
      <w:proofErr w:type="spellStart"/>
      <w:proofErr w:type="gramStart"/>
      <w:r w:rsidRPr="003042DE">
        <w:rPr>
          <w:sz w:val="24"/>
          <w:szCs w:val="24"/>
        </w:rPr>
        <w:t>Ipea</w:t>
      </w:r>
      <w:proofErr w:type="spellEnd"/>
      <w:proofErr w:type="gramEnd"/>
      <w:r w:rsidRPr="003042DE">
        <w:rPr>
          <w:sz w:val="24"/>
          <w:szCs w:val="24"/>
        </w:rPr>
        <w:t xml:space="preserve"> (2012), de maneira mais agregada, a economia brasileira demonstrou baixo dinamismo em termos de produtividade do trabalho, entre 2000 e 2009, dado o baixo crescimento médio anual da produtividade para o conjunto das atividades da economia de apenas 0,9%. </w:t>
      </w:r>
    </w:p>
    <w:p w:rsidR="00B77266" w:rsidRDefault="00E040F7" w:rsidP="00726852">
      <w:pPr>
        <w:autoSpaceDE w:val="0"/>
        <w:autoSpaceDN w:val="0"/>
        <w:adjustRightInd w:val="0"/>
        <w:ind w:firstLine="720"/>
        <w:jc w:val="both"/>
        <w:rPr>
          <w:color w:val="000000"/>
          <w:sz w:val="24"/>
          <w:szCs w:val="24"/>
        </w:rPr>
      </w:pPr>
      <w:r>
        <w:rPr>
          <w:color w:val="000000"/>
          <w:sz w:val="24"/>
          <w:szCs w:val="24"/>
        </w:rPr>
        <w:t>Outros estudos</w:t>
      </w:r>
      <w:r w:rsidR="00B13538">
        <w:rPr>
          <w:color w:val="000000"/>
          <w:sz w:val="24"/>
          <w:szCs w:val="24"/>
        </w:rPr>
        <w:t>,</w:t>
      </w:r>
      <w:r>
        <w:rPr>
          <w:color w:val="000000"/>
          <w:sz w:val="24"/>
          <w:szCs w:val="24"/>
        </w:rPr>
        <w:t xml:space="preserve"> a exemplo de </w:t>
      </w:r>
      <w:proofErr w:type="spellStart"/>
      <w:r>
        <w:rPr>
          <w:color w:val="000000"/>
          <w:sz w:val="24"/>
          <w:szCs w:val="24"/>
        </w:rPr>
        <w:t>Pereima</w:t>
      </w:r>
      <w:proofErr w:type="spellEnd"/>
      <w:r>
        <w:rPr>
          <w:color w:val="000000"/>
          <w:sz w:val="24"/>
          <w:szCs w:val="24"/>
        </w:rPr>
        <w:t xml:space="preserve"> e Nascimento (2012)</w:t>
      </w:r>
      <w:r w:rsidR="00B13538">
        <w:rPr>
          <w:color w:val="000000"/>
          <w:sz w:val="24"/>
          <w:szCs w:val="24"/>
        </w:rPr>
        <w:t>,</w:t>
      </w:r>
      <w:r>
        <w:rPr>
          <w:color w:val="000000"/>
          <w:sz w:val="24"/>
          <w:szCs w:val="24"/>
        </w:rPr>
        <w:t xml:space="preserve"> apontam transformações r</w:t>
      </w:r>
      <w:r w:rsidR="00B13538">
        <w:rPr>
          <w:color w:val="000000"/>
          <w:sz w:val="24"/>
          <w:szCs w:val="24"/>
        </w:rPr>
        <w:t xml:space="preserve">ecentes no </w:t>
      </w:r>
      <w:proofErr w:type="gramStart"/>
      <w:r w:rsidR="00B13538">
        <w:rPr>
          <w:color w:val="000000"/>
          <w:sz w:val="24"/>
          <w:szCs w:val="24"/>
        </w:rPr>
        <w:t xml:space="preserve">mercado de trabalho </w:t>
      </w:r>
      <w:r>
        <w:rPr>
          <w:color w:val="000000"/>
          <w:sz w:val="24"/>
          <w:szCs w:val="24"/>
        </w:rPr>
        <w:t xml:space="preserve">alinhadas aos resultados </w:t>
      </w:r>
      <w:r w:rsidR="00C019A6">
        <w:rPr>
          <w:color w:val="000000"/>
          <w:sz w:val="24"/>
          <w:szCs w:val="24"/>
        </w:rPr>
        <w:t>do presente estudo</w:t>
      </w:r>
      <w:proofErr w:type="gramEnd"/>
      <w:r>
        <w:rPr>
          <w:color w:val="000000"/>
          <w:sz w:val="24"/>
          <w:szCs w:val="24"/>
        </w:rPr>
        <w:t xml:space="preserve">. Segundo o </w:t>
      </w:r>
      <w:r w:rsidR="00B13538">
        <w:rPr>
          <w:color w:val="000000"/>
          <w:sz w:val="24"/>
          <w:szCs w:val="24"/>
        </w:rPr>
        <w:t>mesmo</w:t>
      </w:r>
      <w:r>
        <w:rPr>
          <w:color w:val="000000"/>
          <w:sz w:val="24"/>
          <w:szCs w:val="24"/>
        </w:rPr>
        <w:t xml:space="preserve">, </w:t>
      </w:r>
      <w:r w:rsidRPr="003042DE">
        <w:rPr>
          <w:color w:val="000000"/>
          <w:sz w:val="24"/>
          <w:szCs w:val="24"/>
        </w:rPr>
        <w:t xml:space="preserve">as taxas de crescimento populacional e da PIA estão diminuindo ao longo do tempo, </w:t>
      </w:r>
      <w:r>
        <w:rPr>
          <w:color w:val="000000"/>
          <w:sz w:val="24"/>
          <w:szCs w:val="24"/>
        </w:rPr>
        <w:t xml:space="preserve">ao passo que </w:t>
      </w:r>
      <w:r w:rsidRPr="003042DE">
        <w:rPr>
          <w:color w:val="000000"/>
          <w:sz w:val="24"/>
          <w:szCs w:val="24"/>
        </w:rPr>
        <w:t xml:space="preserve">o número de pessoal ocupado está aumentando e a taxa de desemprego diminuindo. </w:t>
      </w:r>
      <w:r>
        <w:rPr>
          <w:color w:val="000000"/>
          <w:sz w:val="24"/>
          <w:szCs w:val="24"/>
        </w:rPr>
        <w:t>De maneira positiva, nas duas última</w:t>
      </w:r>
      <w:r w:rsidRPr="003042DE">
        <w:rPr>
          <w:color w:val="000000"/>
          <w:sz w:val="24"/>
          <w:szCs w:val="24"/>
        </w:rPr>
        <w:t xml:space="preserve">s </w:t>
      </w:r>
      <w:r>
        <w:rPr>
          <w:color w:val="000000"/>
          <w:sz w:val="24"/>
          <w:szCs w:val="24"/>
        </w:rPr>
        <w:t xml:space="preserve">décadas, </w:t>
      </w:r>
      <w:r w:rsidRPr="003042DE">
        <w:rPr>
          <w:color w:val="000000"/>
          <w:sz w:val="24"/>
          <w:szCs w:val="24"/>
        </w:rPr>
        <w:t xml:space="preserve">o mercado de trabalho </w:t>
      </w:r>
      <w:r>
        <w:rPr>
          <w:color w:val="000000"/>
          <w:sz w:val="24"/>
          <w:szCs w:val="24"/>
        </w:rPr>
        <w:t>tem</w:t>
      </w:r>
      <w:r w:rsidRPr="003042DE">
        <w:rPr>
          <w:color w:val="000000"/>
          <w:sz w:val="24"/>
          <w:szCs w:val="24"/>
        </w:rPr>
        <w:t xml:space="preserve"> </w:t>
      </w:r>
      <w:r>
        <w:rPr>
          <w:color w:val="000000"/>
          <w:sz w:val="24"/>
          <w:szCs w:val="24"/>
        </w:rPr>
        <w:t>absorvido to</w:t>
      </w:r>
      <w:r w:rsidRPr="003042DE">
        <w:rPr>
          <w:color w:val="000000"/>
          <w:sz w:val="24"/>
          <w:szCs w:val="24"/>
        </w:rPr>
        <w:t>do o aumento da população em idade ativa</w:t>
      </w:r>
      <w:r>
        <w:rPr>
          <w:color w:val="000000"/>
          <w:sz w:val="24"/>
          <w:szCs w:val="24"/>
        </w:rPr>
        <w:t xml:space="preserve">, que cresceu </w:t>
      </w:r>
      <w:r w:rsidRPr="003042DE">
        <w:rPr>
          <w:color w:val="000000"/>
          <w:sz w:val="24"/>
          <w:szCs w:val="24"/>
        </w:rPr>
        <w:t>46,8%</w:t>
      </w:r>
      <w:r>
        <w:rPr>
          <w:color w:val="000000"/>
          <w:sz w:val="24"/>
          <w:szCs w:val="24"/>
        </w:rPr>
        <w:t xml:space="preserve"> nestes anos</w:t>
      </w:r>
      <w:r w:rsidRPr="003042DE">
        <w:rPr>
          <w:color w:val="000000"/>
          <w:sz w:val="24"/>
          <w:szCs w:val="24"/>
        </w:rPr>
        <w:t xml:space="preserve">. </w:t>
      </w:r>
      <w:r>
        <w:rPr>
          <w:color w:val="000000"/>
          <w:sz w:val="24"/>
          <w:szCs w:val="24"/>
        </w:rPr>
        <w:t xml:space="preserve">Ademais, dado o crescimento da </w:t>
      </w:r>
      <w:r w:rsidRPr="003042DE">
        <w:rPr>
          <w:color w:val="000000"/>
          <w:sz w:val="24"/>
          <w:szCs w:val="24"/>
        </w:rPr>
        <w:t>produtividade</w:t>
      </w:r>
      <w:r>
        <w:rPr>
          <w:color w:val="000000"/>
          <w:sz w:val="24"/>
          <w:szCs w:val="24"/>
        </w:rPr>
        <w:t xml:space="preserve"> ligado ao aumento do </w:t>
      </w:r>
      <w:r w:rsidRPr="003042DE">
        <w:rPr>
          <w:color w:val="000000"/>
          <w:sz w:val="24"/>
          <w:szCs w:val="24"/>
        </w:rPr>
        <w:t>PIB</w:t>
      </w:r>
      <w:r w:rsidR="002112A3" w:rsidRPr="003042DE">
        <w:rPr>
          <w:color w:val="000000"/>
          <w:sz w:val="24"/>
          <w:szCs w:val="24"/>
        </w:rPr>
        <w:t xml:space="preserve"> </w:t>
      </w:r>
      <w:r>
        <w:rPr>
          <w:color w:val="000000"/>
          <w:sz w:val="24"/>
          <w:szCs w:val="24"/>
        </w:rPr>
        <w:t xml:space="preserve">brasileiro, destaca-se que </w:t>
      </w:r>
      <w:r w:rsidRPr="003042DE">
        <w:rPr>
          <w:color w:val="000000"/>
          <w:sz w:val="24"/>
          <w:szCs w:val="24"/>
        </w:rPr>
        <w:t xml:space="preserve">o mercado de trabalho </w:t>
      </w:r>
      <w:r>
        <w:rPr>
          <w:color w:val="000000"/>
          <w:sz w:val="24"/>
          <w:szCs w:val="24"/>
        </w:rPr>
        <w:t xml:space="preserve">nacional tem obtido sucesso em </w:t>
      </w:r>
      <w:r w:rsidRPr="003042DE">
        <w:rPr>
          <w:color w:val="000000"/>
          <w:sz w:val="24"/>
          <w:szCs w:val="24"/>
        </w:rPr>
        <w:t>seus problemas históricos, d</w:t>
      </w:r>
      <w:r>
        <w:rPr>
          <w:color w:val="000000"/>
          <w:sz w:val="24"/>
          <w:szCs w:val="24"/>
        </w:rPr>
        <w:t>ando</w:t>
      </w:r>
      <w:r w:rsidRPr="003042DE">
        <w:rPr>
          <w:color w:val="000000"/>
          <w:sz w:val="24"/>
          <w:szCs w:val="24"/>
        </w:rPr>
        <w:t xml:space="preserve"> significativos passos na absorção de mão de obra</w:t>
      </w:r>
      <w:r>
        <w:rPr>
          <w:color w:val="000000"/>
          <w:sz w:val="24"/>
          <w:szCs w:val="24"/>
        </w:rPr>
        <w:t xml:space="preserve"> e do nível pleno de emprego</w:t>
      </w:r>
      <w:r w:rsidRPr="003042DE">
        <w:rPr>
          <w:color w:val="000000"/>
          <w:sz w:val="24"/>
          <w:szCs w:val="24"/>
        </w:rPr>
        <w:t>.</w:t>
      </w:r>
    </w:p>
    <w:p w:rsidR="00B13538" w:rsidRDefault="00B13538" w:rsidP="00B13538">
      <w:pPr>
        <w:autoSpaceDE w:val="0"/>
        <w:autoSpaceDN w:val="0"/>
        <w:adjustRightInd w:val="0"/>
        <w:ind w:firstLine="720"/>
        <w:jc w:val="both"/>
        <w:rPr>
          <w:sz w:val="24"/>
          <w:szCs w:val="24"/>
        </w:rPr>
      </w:pPr>
      <w:r w:rsidRPr="00EB6D8C">
        <w:rPr>
          <w:sz w:val="24"/>
          <w:szCs w:val="24"/>
        </w:rPr>
        <w:t xml:space="preserve">Por fim, destaca-se a relação negativa entre câmbio real e salários </w:t>
      </w:r>
      <w:proofErr w:type="gramStart"/>
      <w:r w:rsidRPr="00EB6D8C">
        <w:rPr>
          <w:sz w:val="24"/>
          <w:szCs w:val="24"/>
        </w:rPr>
        <w:t>reais</w:t>
      </w:r>
      <w:r>
        <w:rPr>
          <w:sz w:val="24"/>
          <w:szCs w:val="24"/>
        </w:rPr>
        <w:t xml:space="preserve"> respaldada</w:t>
      </w:r>
      <w:proofErr w:type="gramEnd"/>
      <w:r>
        <w:rPr>
          <w:sz w:val="24"/>
          <w:szCs w:val="24"/>
        </w:rPr>
        <w:t xml:space="preserve"> na visão das </w:t>
      </w:r>
      <w:r w:rsidRPr="00EB6D8C">
        <w:rPr>
          <w:sz w:val="24"/>
          <w:szCs w:val="24"/>
        </w:rPr>
        <w:t>apreciações do câmbio</w:t>
      </w:r>
      <w:r w:rsidR="002112A3" w:rsidRPr="00EB6D8C">
        <w:rPr>
          <w:sz w:val="24"/>
          <w:szCs w:val="24"/>
        </w:rPr>
        <w:t xml:space="preserve"> </w:t>
      </w:r>
      <w:r w:rsidRPr="00EB6D8C">
        <w:rPr>
          <w:sz w:val="24"/>
          <w:szCs w:val="24"/>
        </w:rPr>
        <w:t>associadas às elevações de salários, bem como desvalorizações cambiais</w:t>
      </w:r>
      <w:r w:rsidR="002112A3" w:rsidRPr="00EB6D8C">
        <w:rPr>
          <w:sz w:val="24"/>
          <w:szCs w:val="24"/>
        </w:rPr>
        <w:t xml:space="preserve"> </w:t>
      </w:r>
      <w:r w:rsidRPr="00EB6D8C">
        <w:rPr>
          <w:sz w:val="24"/>
          <w:szCs w:val="24"/>
        </w:rPr>
        <w:t xml:space="preserve">ligadas a perdas salariais. </w:t>
      </w:r>
      <w:r>
        <w:rPr>
          <w:sz w:val="24"/>
          <w:szCs w:val="24"/>
        </w:rPr>
        <w:t>No</w:t>
      </w:r>
      <w:r w:rsidRPr="00EB6D8C">
        <w:rPr>
          <w:sz w:val="24"/>
          <w:szCs w:val="24"/>
        </w:rPr>
        <w:t xml:space="preserve"> período</w:t>
      </w:r>
      <w:r>
        <w:rPr>
          <w:sz w:val="24"/>
          <w:szCs w:val="24"/>
        </w:rPr>
        <w:t xml:space="preserve"> de análise</w:t>
      </w:r>
      <w:r w:rsidRPr="00EB6D8C">
        <w:rPr>
          <w:sz w:val="24"/>
          <w:szCs w:val="24"/>
        </w:rPr>
        <w:t xml:space="preserve">, a conjuntura de aumento das importações também </w:t>
      </w:r>
      <w:r>
        <w:rPr>
          <w:sz w:val="24"/>
          <w:szCs w:val="24"/>
        </w:rPr>
        <w:t xml:space="preserve">subsidia esta relação encontrada. </w:t>
      </w:r>
      <w:r w:rsidRPr="00EB6D8C">
        <w:rPr>
          <w:sz w:val="24"/>
          <w:szCs w:val="24"/>
        </w:rPr>
        <w:t xml:space="preserve">O câmbio favorável às importações contribuiu para a introdução de novas tecnologias e posteriores aumentos de produtividade e, por consequência, </w:t>
      </w:r>
      <w:r>
        <w:rPr>
          <w:sz w:val="24"/>
          <w:szCs w:val="24"/>
        </w:rPr>
        <w:t>possibilitou maior</w:t>
      </w:r>
      <w:r w:rsidRPr="00EB6D8C">
        <w:rPr>
          <w:sz w:val="24"/>
          <w:szCs w:val="24"/>
        </w:rPr>
        <w:t xml:space="preserve"> demanda por </w:t>
      </w:r>
      <w:r>
        <w:rPr>
          <w:sz w:val="24"/>
          <w:szCs w:val="24"/>
        </w:rPr>
        <w:t xml:space="preserve">mão de obra </w:t>
      </w:r>
      <w:r w:rsidRPr="00EB6D8C">
        <w:rPr>
          <w:sz w:val="24"/>
          <w:szCs w:val="24"/>
        </w:rPr>
        <w:t xml:space="preserve">mais </w:t>
      </w:r>
      <w:r>
        <w:rPr>
          <w:sz w:val="24"/>
          <w:szCs w:val="24"/>
        </w:rPr>
        <w:t xml:space="preserve">preparada </w:t>
      </w:r>
      <w:r w:rsidRPr="00EB6D8C">
        <w:rPr>
          <w:sz w:val="24"/>
          <w:szCs w:val="24"/>
        </w:rPr>
        <w:t xml:space="preserve">para </w:t>
      </w:r>
      <w:r>
        <w:rPr>
          <w:sz w:val="24"/>
          <w:szCs w:val="24"/>
        </w:rPr>
        <w:t>operar</w:t>
      </w:r>
      <w:r w:rsidRPr="00EB6D8C">
        <w:rPr>
          <w:sz w:val="24"/>
          <w:szCs w:val="24"/>
        </w:rPr>
        <w:t xml:space="preserve"> novas tecnologias, </w:t>
      </w:r>
      <w:r>
        <w:rPr>
          <w:sz w:val="24"/>
          <w:szCs w:val="24"/>
        </w:rPr>
        <w:t>tendo como resultado final os ganhos salariais</w:t>
      </w:r>
      <w:r w:rsidRPr="00EB6D8C">
        <w:rPr>
          <w:sz w:val="24"/>
          <w:szCs w:val="24"/>
        </w:rPr>
        <w:t>. Ademais, destaca-se que, no período, a taxa de câmbio mais baixa contribuiu para a estabilidade da moeda e, consequentemente, favoreceu o salário real</w:t>
      </w:r>
      <w:r>
        <w:rPr>
          <w:sz w:val="24"/>
          <w:szCs w:val="24"/>
        </w:rPr>
        <w:t xml:space="preserve"> (CRUZ, </w:t>
      </w:r>
      <w:proofErr w:type="spellStart"/>
      <w:proofErr w:type="gramStart"/>
      <w:r>
        <w:rPr>
          <w:sz w:val="24"/>
          <w:szCs w:val="24"/>
        </w:rPr>
        <w:t>et</w:t>
      </w:r>
      <w:proofErr w:type="spellEnd"/>
      <w:proofErr w:type="gramEnd"/>
      <w:r>
        <w:rPr>
          <w:sz w:val="24"/>
          <w:szCs w:val="24"/>
        </w:rPr>
        <w:t xml:space="preserve"> al., 2010)</w:t>
      </w:r>
      <w:r w:rsidRPr="00EB6D8C">
        <w:rPr>
          <w:sz w:val="24"/>
          <w:szCs w:val="24"/>
        </w:rPr>
        <w:t>.</w:t>
      </w:r>
    </w:p>
    <w:p w:rsidR="00B77266" w:rsidRDefault="00E040F7" w:rsidP="00726852">
      <w:pPr>
        <w:autoSpaceDE w:val="0"/>
        <w:autoSpaceDN w:val="0"/>
        <w:adjustRightInd w:val="0"/>
        <w:ind w:firstLine="720"/>
        <w:jc w:val="both"/>
        <w:rPr>
          <w:sz w:val="24"/>
          <w:szCs w:val="24"/>
        </w:rPr>
      </w:pPr>
      <w:r w:rsidRPr="00EB6D8C">
        <w:rPr>
          <w:sz w:val="24"/>
          <w:szCs w:val="24"/>
        </w:rPr>
        <w:lastRenderedPageBreak/>
        <w:t>Bresser-Pereira e Gala (2008) alertam</w:t>
      </w:r>
      <w:r w:rsidR="00C019A6">
        <w:rPr>
          <w:sz w:val="24"/>
          <w:szCs w:val="24"/>
        </w:rPr>
        <w:t xml:space="preserve"> que</w:t>
      </w:r>
      <w:r w:rsidRPr="00EB6D8C">
        <w:rPr>
          <w:sz w:val="24"/>
          <w:szCs w:val="24"/>
        </w:rPr>
        <w:t xml:space="preserve"> são desejáveis os aumentos de salários ligados às reduções dos juros, aluguéis e lucros especulativos, ao contrário dos aumentos salariais artificiais por intermédio da sobrevalorização da taxa de câmbio, que não são bem-vindos. Se pensada a sobrevalorização cambial sob o ângulo da demanda, a insuficiência de demanda ligada à excessiva apreciação da moeda pode causar aumento do desemprego. Os acréscimos artificiais dos salários levarão a quedas do emprego e da renda, uma vez que a produção necessária para atender a esta demanda virá do exterior na forma de importações. Observa-se, nessas circunstâncias, que a redução das exportações reduzirá as oportunidades de investimento ou das expectativas de lucro. </w:t>
      </w:r>
    </w:p>
    <w:p w:rsidR="00B77266" w:rsidRDefault="00E040F7" w:rsidP="00726852">
      <w:pPr>
        <w:ind w:firstLine="720"/>
        <w:jc w:val="both"/>
        <w:rPr>
          <w:sz w:val="24"/>
          <w:szCs w:val="24"/>
          <w:lang w:eastAsia="zh-CN"/>
        </w:rPr>
      </w:pPr>
      <w:r>
        <w:rPr>
          <w:sz w:val="24"/>
          <w:szCs w:val="24"/>
          <w:lang w:eastAsia="zh-CN"/>
        </w:rPr>
        <w:t xml:space="preserve">O próximo </w:t>
      </w:r>
      <w:r w:rsidR="00AE64DE">
        <w:rPr>
          <w:sz w:val="24"/>
          <w:szCs w:val="24"/>
          <w:lang w:eastAsia="zh-CN"/>
        </w:rPr>
        <w:t xml:space="preserve">passo </w:t>
      </w:r>
      <w:r>
        <w:rPr>
          <w:sz w:val="24"/>
          <w:szCs w:val="24"/>
          <w:lang w:eastAsia="zh-CN"/>
        </w:rPr>
        <w:t xml:space="preserve">é avaliar a importância da educação, da saúde, do capital físico e da produtividade da mão de obra como insumos importantes para permitir que o cidadão brasileiro usufrua de aumentos da renda per capita. Tal discussão toma por base os parâmetros estimados da sexta equação do sistema listados na Tabela </w:t>
      </w:r>
      <w:r w:rsidR="00152C23">
        <w:rPr>
          <w:sz w:val="24"/>
          <w:szCs w:val="24"/>
          <w:lang w:eastAsia="zh-CN"/>
        </w:rPr>
        <w:t>5</w:t>
      </w:r>
      <w:r>
        <w:rPr>
          <w:sz w:val="24"/>
          <w:szCs w:val="24"/>
          <w:lang w:eastAsia="zh-CN"/>
        </w:rPr>
        <w:t xml:space="preserve">. </w:t>
      </w:r>
    </w:p>
    <w:p w:rsidR="00691022" w:rsidRDefault="00691022" w:rsidP="00726852">
      <w:pPr>
        <w:ind w:firstLine="720"/>
        <w:jc w:val="both"/>
        <w:rPr>
          <w:sz w:val="24"/>
          <w:szCs w:val="24"/>
          <w:lang w:eastAsia="zh-CN"/>
        </w:rPr>
      </w:pPr>
    </w:p>
    <w:p w:rsidR="00B77266" w:rsidRDefault="00E040F7" w:rsidP="00726852">
      <w:pPr>
        <w:tabs>
          <w:tab w:val="left" w:pos="720"/>
          <w:tab w:val="left" w:pos="900"/>
        </w:tabs>
        <w:autoSpaceDE w:val="0"/>
        <w:autoSpaceDN w:val="0"/>
        <w:adjustRightInd w:val="0"/>
        <w:ind w:left="1134" w:hanging="1134"/>
        <w:jc w:val="both"/>
        <w:rPr>
          <w:sz w:val="24"/>
          <w:szCs w:val="24"/>
        </w:rPr>
      </w:pPr>
      <w:r>
        <w:rPr>
          <w:sz w:val="24"/>
          <w:szCs w:val="24"/>
        </w:rPr>
        <w:t xml:space="preserve">Tabela </w:t>
      </w:r>
      <w:r w:rsidR="00152C23">
        <w:rPr>
          <w:sz w:val="24"/>
          <w:szCs w:val="24"/>
        </w:rPr>
        <w:t>5</w:t>
      </w:r>
      <w:r w:rsidRPr="00EB6D8C">
        <w:rPr>
          <w:sz w:val="24"/>
          <w:szCs w:val="24"/>
        </w:rPr>
        <w:t xml:space="preserve"> – Efeito do estoque de infraestrutura física e ca</w:t>
      </w:r>
      <w:r>
        <w:rPr>
          <w:sz w:val="24"/>
          <w:szCs w:val="24"/>
        </w:rPr>
        <w:t>pital humano sobre a renda per capita dos estados brasileiros, 1995-</w:t>
      </w:r>
      <w:proofErr w:type="gramStart"/>
      <w:r>
        <w:rPr>
          <w:sz w:val="24"/>
          <w:szCs w:val="24"/>
        </w:rPr>
        <w:t>2008</w:t>
      </w:r>
      <w:proofErr w:type="gramEnd"/>
      <w:r w:rsidRPr="00EB6D8C">
        <w:rPr>
          <w:sz w:val="24"/>
          <w:szCs w:val="24"/>
        </w:rPr>
        <w:t xml:space="preserve"> </w:t>
      </w:r>
    </w:p>
    <w:tbl>
      <w:tblPr>
        <w:tblpPr w:leftFromText="141" w:rightFromText="141" w:vertAnchor="text" w:tblpXSpec="center" w:tblpY="1"/>
        <w:tblOverlap w:val="never"/>
        <w:tblW w:w="5017" w:type="pct"/>
        <w:tblCellMar>
          <w:left w:w="70" w:type="dxa"/>
          <w:right w:w="70" w:type="dxa"/>
        </w:tblCellMar>
        <w:tblLook w:val="04A0"/>
      </w:tblPr>
      <w:tblGrid>
        <w:gridCol w:w="7265"/>
        <w:gridCol w:w="3114"/>
      </w:tblGrid>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16702E" w:rsidP="00726852">
            <w:pPr>
              <w:jc w:val="center"/>
              <w:rPr>
                <w:bCs/>
                <w:sz w:val="20"/>
              </w:rPr>
            </w:pPr>
            <w:r w:rsidRPr="00E13E09">
              <w:rPr>
                <w:b/>
                <w:bCs/>
                <w:sz w:val="20"/>
              </w:rPr>
              <w:t>Variáveis explicativas</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bCs/>
                <w:sz w:val="20"/>
              </w:rPr>
            </w:pPr>
            <w:r w:rsidRPr="00E13E09">
              <w:rPr>
                <w:bCs/>
                <w:sz w:val="20"/>
              </w:rPr>
              <w:t>PIB per capita</w:t>
            </w:r>
          </w:p>
        </w:tc>
      </w:tr>
      <w:tr w:rsidR="00E040F7" w:rsidRPr="00E13E09" w:rsidTr="00E13E09">
        <w:trPr>
          <w:trHeight w:hRule="exact" w:val="255"/>
        </w:trPr>
        <w:tc>
          <w:tcPr>
            <w:tcW w:w="3500"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rPr>
            </w:pPr>
            <w:r w:rsidRPr="00E13E09">
              <w:rPr>
                <w:sz w:val="20"/>
              </w:rPr>
              <w:t>Educação</w:t>
            </w:r>
          </w:p>
        </w:tc>
        <w:tc>
          <w:tcPr>
            <w:tcW w:w="1500" w:type="pct"/>
            <w:tcBorders>
              <w:top w:val="single" w:sz="4" w:space="0" w:color="auto"/>
              <w:left w:val="single" w:sz="4" w:space="0" w:color="auto"/>
              <w:bottom w:val="nil"/>
              <w:right w:val="nil"/>
            </w:tcBorders>
            <w:vAlign w:val="center"/>
            <w:hideMark/>
          </w:tcPr>
          <w:p w:rsidR="00B77266" w:rsidRPr="00E13E09" w:rsidRDefault="003F4892" w:rsidP="00726852">
            <w:pPr>
              <w:jc w:val="center"/>
              <w:rPr>
                <w:b/>
                <w:bCs/>
                <w:sz w:val="20"/>
              </w:rPr>
            </w:pPr>
            <w:r w:rsidRPr="00E13E09">
              <w:rPr>
                <w:b/>
                <w:sz w:val="20"/>
              </w:rPr>
              <w:t>0,9883*</w:t>
            </w:r>
          </w:p>
        </w:tc>
      </w:tr>
      <w:tr w:rsidR="00E040F7" w:rsidRPr="00E13E09" w:rsidTr="00E13E09">
        <w:trPr>
          <w:trHeight w:hRule="exact" w:val="255"/>
        </w:trPr>
        <w:tc>
          <w:tcPr>
            <w:tcW w:w="3500"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500"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 xml:space="preserve">(0,5355) </w:t>
            </w:r>
          </w:p>
        </w:tc>
      </w:tr>
      <w:tr w:rsidR="00E040F7" w:rsidRPr="00E13E09" w:rsidTr="00E13E09">
        <w:trPr>
          <w:trHeight w:hRule="exact" w:val="255"/>
        </w:trPr>
        <w:tc>
          <w:tcPr>
            <w:tcW w:w="3500"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rPr>
            </w:pPr>
            <w:r w:rsidRPr="00E13E09">
              <w:rPr>
                <w:sz w:val="20"/>
              </w:rPr>
              <w:t>Rodovias</w:t>
            </w:r>
          </w:p>
        </w:tc>
        <w:tc>
          <w:tcPr>
            <w:tcW w:w="1500" w:type="pct"/>
            <w:tcBorders>
              <w:top w:val="single" w:sz="4" w:space="0" w:color="auto"/>
              <w:left w:val="single" w:sz="4" w:space="0" w:color="auto"/>
              <w:bottom w:val="nil"/>
              <w:right w:val="nil"/>
            </w:tcBorders>
            <w:vAlign w:val="center"/>
            <w:hideMark/>
          </w:tcPr>
          <w:p w:rsidR="00B77266" w:rsidRPr="00E13E09" w:rsidRDefault="003F4892" w:rsidP="00726852">
            <w:pPr>
              <w:jc w:val="center"/>
              <w:rPr>
                <w:b/>
                <w:sz w:val="20"/>
              </w:rPr>
            </w:pPr>
            <w:r w:rsidRPr="00E13E09">
              <w:rPr>
                <w:b/>
                <w:sz w:val="20"/>
                <w:lang w:val="en-US"/>
              </w:rPr>
              <w:t>0,3894</w:t>
            </w:r>
            <w:r w:rsidRPr="00E13E09">
              <w:rPr>
                <w:b/>
                <w:sz w:val="20"/>
              </w:rPr>
              <w:t>**</w:t>
            </w:r>
          </w:p>
        </w:tc>
      </w:tr>
      <w:tr w:rsidR="00E040F7" w:rsidRPr="00E13E09" w:rsidTr="00E13E09">
        <w:trPr>
          <w:trHeight w:hRule="exact" w:val="255"/>
        </w:trPr>
        <w:tc>
          <w:tcPr>
            <w:tcW w:w="3500"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500"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 xml:space="preserve">(0,1739) </w:t>
            </w:r>
          </w:p>
        </w:tc>
      </w:tr>
      <w:tr w:rsidR="00E040F7" w:rsidRPr="00E13E09" w:rsidTr="00E13E09">
        <w:trPr>
          <w:trHeight w:hRule="exact" w:val="255"/>
        </w:trPr>
        <w:tc>
          <w:tcPr>
            <w:tcW w:w="3500"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rPr>
            </w:pPr>
            <w:r w:rsidRPr="00E13E09">
              <w:rPr>
                <w:sz w:val="20"/>
              </w:rPr>
              <w:t>Mortalidade Infantil</w:t>
            </w:r>
          </w:p>
        </w:tc>
        <w:tc>
          <w:tcPr>
            <w:tcW w:w="1500" w:type="pct"/>
            <w:tcBorders>
              <w:top w:val="single" w:sz="4" w:space="0" w:color="auto"/>
              <w:left w:val="single" w:sz="4" w:space="0" w:color="auto"/>
              <w:bottom w:val="nil"/>
              <w:right w:val="nil"/>
            </w:tcBorders>
            <w:vAlign w:val="center"/>
            <w:hideMark/>
          </w:tcPr>
          <w:p w:rsidR="00B77266" w:rsidRPr="00E13E09" w:rsidRDefault="003F4892" w:rsidP="00726852">
            <w:pPr>
              <w:jc w:val="center"/>
              <w:rPr>
                <w:b/>
                <w:sz w:val="20"/>
              </w:rPr>
            </w:pPr>
            <w:r w:rsidRPr="00E13E09">
              <w:rPr>
                <w:b/>
                <w:sz w:val="20"/>
              </w:rPr>
              <w:t>-0,3688**</w:t>
            </w:r>
          </w:p>
        </w:tc>
      </w:tr>
      <w:tr w:rsidR="00E040F7" w:rsidRPr="00E13E09" w:rsidTr="00E13E09">
        <w:trPr>
          <w:trHeight w:hRule="exact" w:val="255"/>
        </w:trPr>
        <w:tc>
          <w:tcPr>
            <w:tcW w:w="3500"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500"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 xml:space="preserve">(0,1850) </w:t>
            </w:r>
          </w:p>
        </w:tc>
      </w:tr>
      <w:tr w:rsidR="00E040F7" w:rsidRPr="00E13E09" w:rsidTr="00E13E09">
        <w:trPr>
          <w:trHeight w:hRule="exact" w:val="255"/>
        </w:trPr>
        <w:tc>
          <w:tcPr>
            <w:tcW w:w="3500" w:type="pct"/>
            <w:vMerge w:val="restart"/>
            <w:tcBorders>
              <w:top w:val="single" w:sz="4" w:space="0" w:color="auto"/>
              <w:left w:val="nil"/>
              <w:bottom w:val="single" w:sz="4" w:space="0" w:color="auto"/>
              <w:right w:val="single" w:sz="4" w:space="0" w:color="auto"/>
            </w:tcBorders>
            <w:noWrap/>
            <w:vAlign w:val="center"/>
          </w:tcPr>
          <w:p w:rsidR="00B77266" w:rsidRPr="00E13E09" w:rsidRDefault="00B77266" w:rsidP="00726852">
            <w:pPr>
              <w:jc w:val="both"/>
              <w:rPr>
                <w:sz w:val="20"/>
              </w:rPr>
            </w:pPr>
          </w:p>
          <w:p w:rsidR="00B77266" w:rsidRPr="00E13E09" w:rsidRDefault="003F4892" w:rsidP="00726852">
            <w:pPr>
              <w:jc w:val="both"/>
              <w:rPr>
                <w:sz w:val="20"/>
              </w:rPr>
            </w:pPr>
            <w:r w:rsidRPr="00E13E09">
              <w:rPr>
                <w:sz w:val="20"/>
              </w:rPr>
              <w:t>Produtividade do emprego</w:t>
            </w:r>
          </w:p>
          <w:p w:rsidR="00B77266" w:rsidRPr="00E13E09" w:rsidRDefault="00B77266" w:rsidP="00726852">
            <w:pPr>
              <w:jc w:val="both"/>
              <w:rPr>
                <w:sz w:val="20"/>
              </w:rPr>
            </w:pPr>
          </w:p>
        </w:tc>
        <w:tc>
          <w:tcPr>
            <w:tcW w:w="1500" w:type="pct"/>
            <w:tcBorders>
              <w:top w:val="single" w:sz="4" w:space="0" w:color="auto"/>
              <w:left w:val="single" w:sz="4" w:space="0" w:color="auto"/>
              <w:bottom w:val="nil"/>
              <w:right w:val="nil"/>
            </w:tcBorders>
            <w:vAlign w:val="center"/>
            <w:hideMark/>
          </w:tcPr>
          <w:p w:rsidR="00B77266" w:rsidRPr="00E13E09" w:rsidRDefault="003F4892" w:rsidP="00726852">
            <w:pPr>
              <w:jc w:val="center"/>
              <w:rPr>
                <w:b/>
                <w:sz w:val="20"/>
              </w:rPr>
            </w:pPr>
            <w:r w:rsidRPr="00E13E09">
              <w:rPr>
                <w:b/>
                <w:sz w:val="20"/>
              </w:rPr>
              <w:t>0,0876*</w:t>
            </w:r>
          </w:p>
        </w:tc>
      </w:tr>
      <w:tr w:rsidR="00E040F7" w:rsidRPr="00E13E09" w:rsidTr="00E13E09">
        <w:trPr>
          <w:trHeight w:hRule="exact" w:val="255"/>
        </w:trPr>
        <w:tc>
          <w:tcPr>
            <w:tcW w:w="3500"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500"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 xml:space="preserve">(0,0496) </w:t>
            </w:r>
          </w:p>
        </w:tc>
      </w:tr>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Coeficiente de determinação (R</w:t>
            </w:r>
            <w:r w:rsidRPr="00E13E09">
              <w:rPr>
                <w:sz w:val="20"/>
                <w:vertAlign w:val="superscript"/>
              </w:rPr>
              <w:t>2</w:t>
            </w:r>
            <w:r w:rsidRPr="00E13E09">
              <w:rPr>
                <w:sz w:val="20"/>
              </w:rPr>
              <w:t>)</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b/>
                <w:bCs/>
                <w:sz w:val="20"/>
              </w:rPr>
            </w:pPr>
            <w:r w:rsidRPr="00E13E09">
              <w:rPr>
                <w:sz w:val="20"/>
                <w:lang w:val="it-IT"/>
              </w:rPr>
              <w:t>0,5527</w:t>
            </w:r>
          </w:p>
        </w:tc>
      </w:tr>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 xml:space="preserve">Teste de subidentificação LM = 11,388 </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P = 0,0098</w:t>
            </w:r>
          </w:p>
        </w:tc>
      </w:tr>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lang w:val="it-IT"/>
              </w:rPr>
            </w:pPr>
            <w:r w:rsidRPr="00E13E09">
              <w:rPr>
                <w:sz w:val="20"/>
              </w:rPr>
              <w:t>Teste de Wald de fraca identificação F= 4,30</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lang w:val="it-IT"/>
              </w:rPr>
            </w:pPr>
            <w:r w:rsidRPr="00E13E09">
              <w:rPr>
                <w:sz w:val="20"/>
                <w:lang w:val="it-IT"/>
              </w:rPr>
              <w:t>P = 0,0000</w:t>
            </w:r>
          </w:p>
        </w:tc>
      </w:tr>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lang w:val="it-IT"/>
              </w:rPr>
            </w:pPr>
            <w:r w:rsidRPr="00E13E09">
              <w:rPr>
                <w:sz w:val="20"/>
                <w:lang w:val="it-IT"/>
              </w:rPr>
              <w:t>Teste de Wooldrige de autocorrelação F = 40,612</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lang w:val="it-IT"/>
              </w:rPr>
            </w:pPr>
            <w:r w:rsidRPr="00E13E09">
              <w:rPr>
                <w:sz w:val="20"/>
                <w:lang w:val="it-IT"/>
              </w:rPr>
              <w:t>P = 0,0000</w:t>
            </w:r>
          </w:p>
        </w:tc>
      </w:tr>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 xml:space="preserve">Teste modificado de Wald de </w:t>
            </w:r>
            <w:proofErr w:type="spellStart"/>
            <w:r w:rsidRPr="00E13E09">
              <w:rPr>
                <w:sz w:val="20"/>
              </w:rPr>
              <w:t>heterocedasticidade</w:t>
            </w:r>
            <w:proofErr w:type="spellEnd"/>
            <w:r w:rsidRPr="00E13E09">
              <w:rPr>
                <w:sz w:val="20"/>
              </w:rPr>
              <w:t xml:space="preserve"> chi2 = 2430,85</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P = 0,0000</w:t>
            </w:r>
          </w:p>
        </w:tc>
      </w:tr>
      <w:tr w:rsidR="00E040F7" w:rsidRPr="00E13E09" w:rsidTr="00E13E09">
        <w:trPr>
          <w:trHeight w:hRule="exact" w:val="255"/>
        </w:trPr>
        <w:tc>
          <w:tcPr>
            <w:tcW w:w="3500"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 xml:space="preserve">Teste de </w:t>
            </w:r>
            <w:proofErr w:type="spellStart"/>
            <w:r w:rsidRPr="00E13E09">
              <w:rPr>
                <w:sz w:val="20"/>
              </w:rPr>
              <w:t>Hausman</w:t>
            </w:r>
            <w:proofErr w:type="spellEnd"/>
            <w:r w:rsidRPr="00E13E09">
              <w:rPr>
                <w:sz w:val="20"/>
              </w:rPr>
              <w:t xml:space="preserve"> chi2 = 107,32</w:t>
            </w:r>
          </w:p>
        </w:tc>
        <w:tc>
          <w:tcPr>
            <w:tcW w:w="1500"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lang w:val="it-IT"/>
              </w:rPr>
            </w:pPr>
            <w:r w:rsidRPr="00E13E09">
              <w:rPr>
                <w:sz w:val="20"/>
                <w:lang w:val="it-IT"/>
              </w:rPr>
              <w:t>P = 0,0000</w:t>
            </w:r>
          </w:p>
        </w:tc>
      </w:tr>
    </w:tbl>
    <w:p w:rsidR="00B77266" w:rsidRDefault="00E040F7" w:rsidP="00726852">
      <w:pPr>
        <w:rPr>
          <w:sz w:val="20"/>
        </w:rPr>
      </w:pPr>
      <w:r w:rsidRPr="00EB6D8C">
        <w:rPr>
          <w:sz w:val="20"/>
        </w:rPr>
        <w:t xml:space="preserve">Fonte: Resultados da pesquisa. </w:t>
      </w:r>
    </w:p>
    <w:p w:rsidR="00B77266" w:rsidRDefault="00E040F7" w:rsidP="00726852">
      <w:pPr>
        <w:rPr>
          <w:sz w:val="20"/>
        </w:rPr>
      </w:pPr>
      <w:r w:rsidRPr="00EB6D8C">
        <w:rPr>
          <w:sz w:val="20"/>
        </w:rPr>
        <w:t>Nota: Forma Funcional duplo - log. Valores entre parênteses: erro-padrão.</w:t>
      </w:r>
    </w:p>
    <w:p w:rsidR="00B77266" w:rsidRDefault="00E040F7" w:rsidP="00726852">
      <w:pPr>
        <w:tabs>
          <w:tab w:val="left" w:pos="720"/>
          <w:tab w:val="left" w:pos="900"/>
        </w:tabs>
        <w:autoSpaceDE w:val="0"/>
        <w:autoSpaceDN w:val="0"/>
        <w:adjustRightInd w:val="0"/>
        <w:jc w:val="both"/>
        <w:rPr>
          <w:sz w:val="20"/>
        </w:rPr>
      </w:pPr>
      <w:r w:rsidRPr="00EB6D8C">
        <w:rPr>
          <w:sz w:val="20"/>
        </w:rPr>
        <w:t xml:space="preserve">        - </w:t>
      </w:r>
      <w:proofErr w:type="spellStart"/>
      <w:r w:rsidRPr="00EB6D8C">
        <w:rPr>
          <w:sz w:val="20"/>
        </w:rPr>
        <w:t>ns</w:t>
      </w:r>
      <w:proofErr w:type="spellEnd"/>
      <w:r w:rsidRPr="00EB6D8C">
        <w:rPr>
          <w:sz w:val="20"/>
        </w:rPr>
        <w:t xml:space="preserve"> – não significativo, ***significativo a 1%, **significativo a 5% e *, significativo a 10%.</w:t>
      </w:r>
    </w:p>
    <w:p w:rsidR="00B77266" w:rsidRDefault="00E040F7" w:rsidP="00726852">
      <w:pPr>
        <w:tabs>
          <w:tab w:val="left" w:pos="720"/>
          <w:tab w:val="left" w:pos="900"/>
        </w:tabs>
        <w:autoSpaceDE w:val="0"/>
        <w:autoSpaceDN w:val="0"/>
        <w:adjustRightInd w:val="0"/>
        <w:jc w:val="both"/>
        <w:rPr>
          <w:sz w:val="20"/>
        </w:rPr>
      </w:pPr>
      <w:r w:rsidRPr="00EB6D8C">
        <w:rPr>
          <w:sz w:val="20"/>
        </w:rPr>
        <w:t xml:space="preserve">         Instrumentos: </w:t>
      </w:r>
      <w:proofErr w:type="spellStart"/>
      <w:r w:rsidRPr="00EB6D8C">
        <w:rPr>
          <w:sz w:val="20"/>
        </w:rPr>
        <w:t>log</w:t>
      </w:r>
      <w:proofErr w:type="spellEnd"/>
      <w:r w:rsidRPr="00EB6D8C">
        <w:rPr>
          <w:sz w:val="20"/>
        </w:rPr>
        <w:t xml:space="preserve"> (</w:t>
      </w:r>
      <w:proofErr w:type="gramStart"/>
      <w:r>
        <w:rPr>
          <w:sz w:val="20"/>
        </w:rPr>
        <w:t>PIB(</w:t>
      </w:r>
      <w:proofErr w:type="gramEnd"/>
      <w:r>
        <w:rPr>
          <w:sz w:val="20"/>
        </w:rPr>
        <w:t>-1)</w:t>
      </w:r>
      <w:r w:rsidRPr="00EB6D8C">
        <w:rPr>
          <w:sz w:val="20"/>
        </w:rPr>
        <w:t xml:space="preserve">), </w:t>
      </w:r>
      <w:proofErr w:type="spellStart"/>
      <w:r w:rsidRPr="00EB6D8C">
        <w:rPr>
          <w:sz w:val="20"/>
        </w:rPr>
        <w:t>log</w:t>
      </w:r>
      <w:proofErr w:type="spellEnd"/>
      <w:r w:rsidRPr="00EB6D8C">
        <w:rPr>
          <w:sz w:val="20"/>
        </w:rPr>
        <w:t xml:space="preserve"> (</w:t>
      </w:r>
      <w:proofErr w:type="spellStart"/>
      <w:r w:rsidRPr="00EB6D8C">
        <w:rPr>
          <w:sz w:val="20"/>
        </w:rPr>
        <w:t>cresc</w:t>
      </w:r>
      <w:proofErr w:type="spellEnd"/>
      <w:r w:rsidRPr="00EB6D8C">
        <w:rPr>
          <w:sz w:val="20"/>
        </w:rPr>
        <w:t xml:space="preserve"> (-1)), </w:t>
      </w:r>
      <w:proofErr w:type="spellStart"/>
      <w:r w:rsidRPr="00EB6D8C">
        <w:rPr>
          <w:sz w:val="20"/>
        </w:rPr>
        <w:t>log</w:t>
      </w:r>
      <w:proofErr w:type="spellEnd"/>
      <w:r w:rsidRPr="00EB6D8C">
        <w:rPr>
          <w:sz w:val="20"/>
        </w:rPr>
        <w:t xml:space="preserve"> (</w:t>
      </w:r>
      <w:proofErr w:type="spellStart"/>
      <w:r>
        <w:rPr>
          <w:sz w:val="20"/>
        </w:rPr>
        <w:t>pib</w:t>
      </w:r>
      <w:proofErr w:type="spellEnd"/>
      <w:r>
        <w:rPr>
          <w:sz w:val="20"/>
        </w:rPr>
        <w:t xml:space="preserve"> (-4)), </w:t>
      </w:r>
      <w:proofErr w:type="spellStart"/>
      <w:r>
        <w:rPr>
          <w:sz w:val="20"/>
        </w:rPr>
        <w:t>log</w:t>
      </w:r>
      <w:proofErr w:type="spellEnd"/>
      <w:r>
        <w:rPr>
          <w:sz w:val="20"/>
        </w:rPr>
        <w:t>(</w:t>
      </w:r>
      <w:proofErr w:type="spellStart"/>
      <w:r>
        <w:rPr>
          <w:sz w:val="20"/>
        </w:rPr>
        <w:t>cresc</w:t>
      </w:r>
      <w:proofErr w:type="spellEnd"/>
      <w:r>
        <w:rPr>
          <w:sz w:val="20"/>
        </w:rPr>
        <w:t xml:space="preserve">)-2)), </w:t>
      </w:r>
      <w:proofErr w:type="spellStart"/>
      <w:r>
        <w:rPr>
          <w:sz w:val="20"/>
        </w:rPr>
        <w:t>log</w:t>
      </w:r>
      <w:proofErr w:type="spellEnd"/>
      <w:r>
        <w:rPr>
          <w:sz w:val="20"/>
        </w:rPr>
        <w:t xml:space="preserve"> (</w:t>
      </w:r>
      <w:proofErr w:type="spellStart"/>
      <w:r>
        <w:rPr>
          <w:sz w:val="20"/>
        </w:rPr>
        <w:t>grod</w:t>
      </w:r>
      <w:proofErr w:type="spellEnd"/>
      <w:r>
        <w:rPr>
          <w:sz w:val="20"/>
        </w:rPr>
        <w:t>(-1)</w:t>
      </w:r>
      <w:r w:rsidR="00A05AA0">
        <w:rPr>
          <w:sz w:val="20"/>
        </w:rPr>
        <w:t xml:space="preserve">) </w:t>
      </w:r>
    </w:p>
    <w:p w:rsidR="00A05AA0" w:rsidRDefault="00A05AA0" w:rsidP="00726852">
      <w:pPr>
        <w:tabs>
          <w:tab w:val="left" w:pos="720"/>
          <w:tab w:val="left" w:pos="900"/>
        </w:tabs>
        <w:autoSpaceDE w:val="0"/>
        <w:autoSpaceDN w:val="0"/>
        <w:adjustRightInd w:val="0"/>
        <w:jc w:val="both"/>
        <w:rPr>
          <w:sz w:val="20"/>
        </w:rPr>
      </w:pPr>
    </w:p>
    <w:p w:rsidR="00C019A6" w:rsidRDefault="00C019A6" w:rsidP="00C019A6">
      <w:pPr>
        <w:ind w:firstLine="709"/>
        <w:jc w:val="both"/>
        <w:rPr>
          <w:sz w:val="24"/>
          <w:szCs w:val="24"/>
          <w:lang w:eastAsia="zh-CN"/>
        </w:rPr>
      </w:pPr>
      <w:r>
        <w:rPr>
          <w:sz w:val="24"/>
          <w:szCs w:val="24"/>
        </w:rPr>
        <w:t xml:space="preserve">Primeiramente, frente à significância estatística e à confirmação dos sinais esperados para cada coeficiente, pode-se afirmar que contribuem positivamente para o aumento da renda </w:t>
      </w:r>
      <w:r w:rsidRPr="00EB6D8C">
        <w:rPr>
          <w:sz w:val="24"/>
          <w:szCs w:val="24"/>
        </w:rPr>
        <w:t xml:space="preserve">per capita </w:t>
      </w:r>
      <w:r>
        <w:rPr>
          <w:sz w:val="24"/>
          <w:szCs w:val="24"/>
        </w:rPr>
        <w:t xml:space="preserve">estadual </w:t>
      </w:r>
      <w:r w:rsidRPr="00EB6D8C">
        <w:rPr>
          <w:sz w:val="24"/>
          <w:szCs w:val="24"/>
        </w:rPr>
        <w:t xml:space="preserve">o maior acesso à educação, </w:t>
      </w:r>
      <w:r>
        <w:rPr>
          <w:sz w:val="24"/>
          <w:szCs w:val="24"/>
        </w:rPr>
        <w:t xml:space="preserve">a redução da mortalidade infantil, </w:t>
      </w:r>
      <w:r w:rsidRPr="00EB6D8C">
        <w:rPr>
          <w:sz w:val="24"/>
          <w:szCs w:val="24"/>
        </w:rPr>
        <w:t>as melhorias na infraestrutura rodoviária</w:t>
      </w:r>
      <w:r>
        <w:rPr>
          <w:sz w:val="24"/>
          <w:szCs w:val="24"/>
        </w:rPr>
        <w:t xml:space="preserve"> e o aumento da produtividade do emprego. Confirma-se também a premissa de que os estoques de capital físico e humano constituem insumos produtivos dos estados, ao passo que estes permitem o aumento do produto per capita, em todos os estados brasileiros, no período analisado.</w:t>
      </w:r>
    </w:p>
    <w:p w:rsidR="00B77266" w:rsidRDefault="00E040F7" w:rsidP="00726852">
      <w:pPr>
        <w:tabs>
          <w:tab w:val="left" w:pos="720"/>
          <w:tab w:val="left" w:pos="900"/>
        </w:tabs>
        <w:autoSpaceDE w:val="0"/>
        <w:autoSpaceDN w:val="0"/>
        <w:adjustRightInd w:val="0"/>
        <w:ind w:firstLine="709"/>
        <w:jc w:val="both"/>
        <w:rPr>
          <w:sz w:val="24"/>
          <w:szCs w:val="24"/>
        </w:rPr>
      </w:pPr>
      <w:r>
        <w:rPr>
          <w:sz w:val="24"/>
          <w:szCs w:val="24"/>
        </w:rPr>
        <w:t>Diante disso, vale retomar os primeiros resultados que confirmam a eficácia dos gastos estaduais em educação e cultura, bem como em saúde e em transporte rodoviário</w:t>
      </w:r>
      <w:r w:rsidR="00597ED9">
        <w:rPr>
          <w:sz w:val="24"/>
          <w:szCs w:val="24"/>
        </w:rPr>
        <w:t>,</w:t>
      </w:r>
      <w:r>
        <w:rPr>
          <w:sz w:val="24"/>
          <w:szCs w:val="24"/>
        </w:rPr>
        <w:t xml:space="preserve"> quanto aos aprimoramentos na educação, na saúde e na condição das rodovias, respectivamente. Considerando-se que estas categorias de capital mostram-se primordiais para a promoção do crescimento econômico traduzido em aumento da renda per capita (Tabela </w:t>
      </w:r>
      <w:r w:rsidR="00152C23">
        <w:rPr>
          <w:sz w:val="24"/>
          <w:szCs w:val="24"/>
        </w:rPr>
        <w:t>5</w:t>
      </w:r>
      <w:r>
        <w:rPr>
          <w:sz w:val="24"/>
          <w:szCs w:val="24"/>
        </w:rPr>
        <w:t>), estabelece-se a relação positiva, embora indireta, entre gastos públicos nestes ativos e sua capacidade de promoção do crescimento econômico das unidades federativas brasileiras, entre 1995 e 2008.</w:t>
      </w:r>
    </w:p>
    <w:p w:rsidR="007E0222" w:rsidRDefault="00E040F7" w:rsidP="00C019A6">
      <w:pPr>
        <w:tabs>
          <w:tab w:val="left" w:pos="720"/>
          <w:tab w:val="left" w:pos="900"/>
        </w:tabs>
        <w:autoSpaceDE w:val="0"/>
        <w:autoSpaceDN w:val="0"/>
        <w:adjustRightInd w:val="0"/>
        <w:ind w:firstLine="709"/>
        <w:jc w:val="both"/>
        <w:rPr>
          <w:sz w:val="24"/>
          <w:szCs w:val="24"/>
        </w:rPr>
      </w:pPr>
      <w:r w:rsidRPr="00EB6D8C">
        <w:rPr>
          <w:sz w:val="24"/>
          <w:szCs w:val="24"/>
        </w:rPr>
        <w:tab/>
      </w:r>
      <w:r>
        <w:rPr>
          <w:sz w:val="24"/>
          <w:szCs w:val="24"/>
        </w:rPr>
        <w:t>Ademais, as</w:t>
      </w:r>
      <w:r w:rsidRPr="00EB6D8C">
        <w:rPr>
          <w:sz w:val="24"/>
          <w:szCs w:val="24"/>
        </w:rPr>
        <w:t xml:space="preserve"> elasticidades</w:t>
      </w:r>
      <w:r>
        <w:rPr>
          <w:sz w:val="24"/>
          <w:szCs w:val="24"/>
        </w:rPr>
        <w:t xml:space="preserve"> PIB per capita indicam que acréscimos na escolaridade do brasileiro permitem maior impacto sobre o comportamento da renda per capita estadual</w:t>
      </w:r>
      <w:r w:rsidRPr="00EB6D8C">
        <w:rPr>
          <w:sz w:val="24"/>
          <w:szCs w:val="24"/>
        </w:rPr>
        <w:t xml:space="preserve">. </w:t>
      </w:r>
      <w:r>
        <w:rPr>
          <w:sz w:val="24"/>
          <w:szCs w:val="24"/>
        </w:rPr>
        <w:t xml:space="preserve">De acordo com o coeficiente, dado o aumento de gasto público que permita a variação de dez pontos percentuais nos anos de estudo, tem-se a possibilidade de aumento da renda per capita em 9,8%. As reduções nas taxas de </w:t>
      </w:r>
      <w:r>
        <w:rPr>
          <w:sz w:val="24"/>
          <w:szCs w:val="24"/>
        </w:rPr>
        <w:lastRenderedPageBreak/>
        <w:t>mortalidade e a melhoria das rodovias via atuação dos governos estaduais apontam resultados benefícios próximos. No caso da possibilidade das despesas com saúde reduzirem o indicador de mortalidade infantil em 10%, o aumento do PIB per capita é de 3,6%, enquanto que o aumento de rodovias pavimentadas permitiria a alta de 3,89% na renda per capita.</w:t>
      </w:r>
      <w:r w:rsidR="00C019A6">
        <w:rPr>
          <w:sz w:val="24"/>
          <w:szCs w:val="24"/>
        </w:rPr>
        <w:t xml:space="preserve"> A seguir, d</w:t>
      </w:r>
      <w:r>
        <w:rPr>
          <w:sz w:val="24"/>
          <w:szCs w:val="24"/>
        </w:rPr>
        <w:t xml:space="preserve">e modo, a fazer inferência sobre indicadores econômicos importantes para explicar a pobreza nos estados, apresenta-se a </w:t>
      </w:r>
      <w:r w:rsidRPr="00EB6D8C">
        <w:rPr>
          <w:sz w:val="24"/>
          <w:szCs w:val="24"/>
        </w:rPr>
        <w:t>Tabela</w:t>
      </w:r>
      <w:r>
        <w:rPr>
          <w:sz w:val="24"/>
          <w:szCs w:val="24"/>
        </w:rPr>
        <w:t xml:space="preserve"> </w:t>
      </w:r>
      <w:r w:rsidR="00152C23">
        <w:rPr>
          <w:sz w:val="24"/>
          <w:szCs w:val="24"/>
        </w:rPr>
        <w:t>6</w:t>
      </w:r>
      <w:r>
        <w:rPr>
          <w:sz w:val="24"/>
          <w:szCs w:val="24"/>
        </w:rPr>
        <w:t xml:space="preserve">. </w:t>
      </w:r>
    </w:p>
    <w:p w:rsidR="00C3783F" w:rsidRDefault="00C3783F">
      <w:pPr>
        <w:tabs>
          <w:tab w:val="left" w:pos="720"/>
          <w:tab w:val="left" w:pos="900"/>
        </w:tabs>
        <w:autoSpaceDE w:val="0"/>
        <w:autoSpaceDN w:val="0"/>
        <w:adjustRightInd w:val="0"/>
        <w:ind w:firstLine="709"/>
        <w:jc w:val="both"/>
        <w:rPr>
          <w:sz w:val="24"/>
          <w:szCs w:val="24"/>
        </w:rPr>
      </w:pPr>
    </w:p>
    <w:p w:rsidR="00B77266" w:rsidRDefault="00E040F7" w:rsidP="00726852">
      <w:pPr>
        <w:tabs>
          <w:tab w:val="left" w:pos="720"/>
          <w:tab w:val="left" w:pos="900"/>
        </w:tabs>
        <w:autoSpaceDE w:val="0"/>
        <w:autoSpaceDN w:val="0"/>
        <w:adjustRightInd w:val="0"/>
        <w:ind w:left="1134" w:hanging="1134"/>
        <w:jc w:val="both"/>
        <w:outlineLvl w:val="0"/>
        <w:rPr>
          <w:sz w:val="24"/>
          <w:szCs w:val="24"/>
        </w:rPr>
      </w:pPr>
      <w:r>
        <w:rPr>
          <w:sz w:val="24"/>
          <w:szCs w:val="24"/>
        </w:rPr>
        <w:t xml:space="preserve">Tabela </w:t>
      </w:r>
      <w:r w:rsidR="00152C23">
        <w:rPr>
          <w:sz w:val="24"/>
          <w:szCs w:val="24"/>
        </w:rPr>
        <w:t>6</w:t>
      </w:r>
      <w:r w:rsidRPr="00EB6D8C">
        <w:rPr>
          <w:sz w:val="24"/>
          <w:szCs w:val="24"/>
        </w:rPr>
        <w:t xml:space="preserve"> – Efeito indireto dos gastos públicos em infraestrutura física e em capital humano sobre a pobreza no</w:t>
      </w:r>
      <w:r>
        <w:rPr>
          <w:sz w:val="24"/>
          <w:szCs w:val="24"/>
        </w:rPr>
        <w:t>s estados brasileiros</w:t>
      </w:r>
      <w:r w:rsidRPr="00EB6D8C">
        <w:rPr>
          <w:sz w:val="24"/>
          <w:szCs w:val="24"/>
        </w:rPr>
        <w:t>, 19</w:t>
      </w:r>
      <w:r>
        <w:rPr>
          <w:sz w:val="24"/>
          <w:szCs w:val="24"/>
        </w:rPr>
        <w:t>95-</w:t>
      </w:r>
      <w:proofErr w:type="gramStart"/>
      <w:r>
        <w:rPr>
          <w:sz w:val="24"/>
          <w:szCs w:val="24"/>
        </w:rPr>
        <w:t>2008</w:t>
      </w:r>
      <w:proofErr w:type="gramEnd"/>
    </w:p>
    <w:tbl>
      <w:tblPr>
        <w:tblpPr w:leftFromText="141" w:rightFromText="141" w:vertAnchor="text" w:tblpXSpec="center" w:tblpY="1"/>
        <w:tblOverlap w:val="never"/>
        <w:tblW w:w="5000" w:type="pct"/>
        <w:tblCellMar>
          <w:left w:w="70" w:type="dxa"/>
          <w:right w:w="70" w:type="dxa"/>
        </w:tblCellMar>
        <w:tblLook w:val="04A0"/>
      </w:tblPr>
      <w:tblGrid>
        <w:gridCol w:w="7379"/>
        <w:gridCol w:w="2965"/>
      </w:tblGrid>
      <w:tr w:rsidR="00E040F7" w:rsidRPr="00E13E09" w:rsidTr="00E13E09">
        <w:trPr>
          <w:trHeight w:hRule="exact" w:val="255"/>
        </w:trPr>
        <w:tc>
          <w:tcPr>
            <w:tcW w:w="3567" w:type="pct"/>
            <w:tcBorders>
              <w:top w:val="single" w:sz="4" w:space="0" w:color="auto"/>
              <w:left w:val="nil"/>
              <w:bottom w:val="single" w:sz="4" w:space="0" w:color="auto"/>
              <w:right w:val="single" w:sz="4" w:space="0" w:color="auto"/>
            </w:tcBorders>
            <w:vAlign w:val="center"/>
            <w:hideMark/>
          </w:tcPr>
          <w:p w:rsidR="00B77266" w:rsidRPr="00E13E09" w:rsidRDefault="0016702E" w:rsidP="00726852">
            <w:pPr>
              <w:jc w:val="center"/>
              <w:rPr>
                <w:b/>
                <w:bCs/>
                <w:sz w:val="20"/>
              </w:rPr>
            </w:pPr>
            <w:r w:rsidRPr="00E13E09">
              <w:rPr>
                <w:b/>
                <w:bCs/>
                <w:sz w:val="20"/>
              </w:rPr>
              <w:t>Variáveis explicativas</w:t>
            </w:r>
          </w:p>
        </w:tc>
        <w:tc>
          <w:tcPr>
            <w:tcW w:w="1433"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bCs/>
                <w:sz w:val="20"/>
              </w:rPr>
            </w:pPr>
            <w:r w:rsidRPr="00E13E09">
              <w:rPr>
                <w:bCs/>
                <w:sz w:val="20"/>
              </w:rPr>
              <w:t xml:space="preserve">Número de Pobres </w:t>
            </w:r>
          </w:p>
        </w:tc>
      </w:tr>
      <w:tr w:rsidR="00E040F7" w:rsidRPr="00E13E09" w:rsidTr="00E13E09">
        <w:trPr>
          <w:trHeight w:hRule="exact" w:val="255"/>
        </w:trPr>
        <w:tc>
          <w:tcPr>
            <w:tcW w:w="3567"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rPr>
            </w:pPr>
            <w:r w:rsidRPr="00E13E09">
              <w:rPr>
                <w:sz w:val="20"/>
              </w:rPr>
              <w:t xml:space="preserve">Índice de </w:t>
            </w:r>
            <w:proofErr w:type="spellStart"/>
            <w:r w:rsidRPr="00E13E09">
              <w:rPr>
                <w:sz w:val="20"/>
              </w:rPr>
              <w:t>Gini</w:t>
            </w:r>
            <w:proofErr w:type="spellEnd"/>
            <w:r w:rsidRPr="00E13E09">
              <w:rPr>
                <w:sz w:val="20"/>
              </w:rPr>
              <w:t xml:space="preserve"> de Concentração de renda</w:t>
            </w:r>
          </w:p>
        </w:tc>
        <w:tc>
          <w:tcPr>
            <w:tcW w:w="1433" w:type="pct"/>
            <w:tcBorders>
              <w:top w:val="single" w:sz="4" w:space="0" w:color="auto"/>
              <w:left w:val="single" w:sz="4" w:space="0" w:color="auto"/>
              <w:bottom w:val="nil"/>
              <w:right w:val="nil"/>
            </w:tcBorders>
            <w:vAlign w:val="center"/>
            <w:hideMark/>
          </w:tcPr>
          <w:p w:rsidR="00B77266" w:rsidRPr="00E13E09" w:rsidRDefault="003F4892" w:rsidP="00726852">
            <w:pPr>
              <w:jc w:val="center"/>
              <w:rPr>
                <w:bCs/>
                <w:sz w:val="20"/>
              </w:rPr>
            </w:pPr>
            <w:r w:rsidRPr="00E13E09">
              <w:rPr>
                <w:bCs/>
                <w:sz w:val="20"/>
              </w:rPr>
              <w:t>2,2464**</w:t>
            </w:r>
          </w:p>
        </w:tc>
      </w:tr>
      <w:tr w:rsidR="00E040F7" w:rsidRPr="00E13E09" w:rsidTr="00E13E09">
        <w:trPr>
          <w:trHeight w:hRule="exact" w:val="255"/>
        </w:trPr>
        <w:tc>
          <w:tcPr>
            <w:tcW w:w="3567"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433"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bCs/>
                <w:sz w:val="20"/>
              </w:rPr>
              <w:t xml:space="preserve">(0,3163) </w:t>
            </w:r>
          </w:p>
        </w:tc>
      </w:tr>
      <w:tr w:rsidR="00E040F7" w:rsidRPr="00E13E09" w:rsidTr="00E13E09">
        <w:trPr>
          <w:trHeight w:hRule="exact" w:val="255"/>
        </w:trPr>
        <w:tc>
          <w:tcPr>
            <w:tcW w:w="3567"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lang w:val="it-IT"/>
              </w:rPr>
            </w:pPr>
            <w:r w:rsidRPr="00E13E09">
              <w:rPr>
                <w:sz w:val="20"/>
                <w:lang w:val="it-IT"/>
              </w:rPr>
              <w:t>Produto Interno Bruto per capita</w:t>
            </w:r>
          </w:p>
        </w:tc>
        <w:tc>
          <w:tcPr>
            <w:tcW w:w="1433" w:type="pct"/>
            <w:tcBorders>
              <w:top w:val="single" w:sz="4" w:space="0" w:color="auto"/>
              <w:left w:val="single" w:sz="4" w:space="0" w:color="auto"/>
              <w:bottom w:val="nil"/>
              <w:right w:val="nil"/>
            </w:tcBorders>
            <w:vAlign w:val="center"/>
            <w:hideMark/>
          </w:tcPr>
          <w:p w:rsidR="00B77266" w:rsidRPr="00E13E09" w:rsidRDefault="003F4892" w:rsidP="00726852">
            <w:pPr>
              <w:jc w:val="center"/>
              <w:rPr>
                <w:sz w:val="20"/>
              </w:rPr>
            </w:pPr>
            <w:r w:rsidRPr="00E13E09">
              <w:rPr>
                <w:sz w:val="20"/>
              </w:rPr>
              <w:t>-0,4232***</w:t>
            </w:r>
          </w:p>
        </w:tc>
      </w:tr>
      <w:tr w:rsidR="00E040F7" w:rsidRPr="00E13E09" w:rsidTr="00E13E09">
        <w:trPr>
          <w:trHeight w:hRule="exact" w:val="255"/>
        </w:trPr>
        <w:tc>
          <w:tcPr>
            <w:tcW w:w="3567"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lang w:val="it-IT"/>
              </w:rPr>
            </w:pPr>
          </w:p>
        </w:tc>
        <w:tc>
          <w:tcPr>
            <w:tcW w:w="1433"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(0,2002)</w:t>
            </w:r>
          </w:p>
        </w:tc>
      </w:tr>
      <w:tr w:rsidR="00E040F7" w:rsidRPr="00E13E09" w:rsidTr="00E13E09">
        <w:trPr>
          <w:trHeight w:hRule="exact" w:val="255"/>
        </w:trPr>
        <w:tc>
          <w:tcPr>
            <w:tcW w:w="3567"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rPr>
            </w:pPr>
            <w:r w:rsidRPr="00E13E09">
              <w:rPr>
                <w:sz w:val="20"/>
              </w:rPr>
              <w:t>Produtividade do emprego</w:t>
            </w:r>
          </w:p>
        </w:tc>
        <w:tc>
          <w:tcPr>
            <w:tcW w:w="1433" w:type="pct"/>
            <w:tcBorders>
              <w:top w:val="single" w:sz="4" w:space="0" w:color="auto"/>
              <w:left w:val="single" w:sz="4" w:space="0" w:color="auto"/>
              <w:bottom w:val="nil"/>
              <w:right w:val="nil"/>
            </w:tcBorders>
            <w:vAlign w:val="center"/>
            <w:hideMark/>
          </w:tcPr>
          <w:p w:rsidR="00B77266" w:rsidRPr="00E13E09" w:rsidRDefault="003F4892" w:rsidP="00726852">
            <w:pPr>
              <w:jc w:val="center"/>
              <w:rPr>
                <w:sz w:val="20"/>
              </w:rPr>
            </w:pPr>
            <w:r w:rsidRPr="00E13E09">
              <w:rPr>
                <w:sz w:val="20"/>
              </w:rPr>
              <w:t>-0,1495**</w:t>
            </w:r>
          </w:p>
        </w:tc>
      </w:tr>
      <w:tr w:rsidR="00E040F7" w:rsidRPr="00E13E09" w:rsidTr="00E13E09">
        <w:trPr>
          <w:trHeight w:hRule="exact" w:val="255"/>
        </w:trPr>
        <w:tc>
          <w:tcPr>
            <w:tcW w:w="3567"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433"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(0,0696)</w:t>
            </w:r>
          </w:p>
        </w:tc>
      </w:tr>
      <w:tr w:rsidR="00E040F7" w:rsidRPr="00E13E09" w:rsidTr="00E13E09">
        <w:trPr>
          <w:trHeight w:hRule="exact" w:val="255"/>
        </w:trPr>
        <w:tc>
          <w:tcPr>
            <w:tcW w:w="3567" w:type="pct"/>
            <w:vMerge w:val="restart"/>
            <w:tcBorders>
              <w:top w:val="single" w:sz="4" w:space="0" w:color="auto"/>
              <w:left w:val="nil"/>
              <w:bottom w:val="single" w:sz="4" w:space="0" w:color="auto"/>
              <w:right w:val="single" w:sz="4" w:space="0" w:color="auto"/>
            </w:tcBorders>
            <w:noWrap/>
            <w:vAlign w:val="center"/>
            <w:hideMark/>
          </w:tcPr>
          <w:p w:rsidR="00B77266" w:rsidRPr="00E13E09" w:rsidRDefault="003F4892" w:rsidP="00726852">
            <w:pPr>
              <w:jc w:val="both"/>
              <w:rPr>
                <w:sz w:val="20"/>
              </w:rPr>
            </w:pPr>
            <w:r w:rsidRPr="00E13E09">
              <w:rPr>
                <w:sz w:val="20"/>
              </w:rPr>
              <w:t>Crescimento populacional</w:t>
            </w:r>
          </w:p>
        </w:tc>
        <w:tc>
          <w:tcPr>
            <w:tcW w:w="1433" w:type="pct"/>
            <w:tcBorders>
              <w:top w:val="single" w:sz="4" w:space="0" w:color="auto"/>
              <w:left w:val="single" w:sz="4" w:space="0" w:color="auto"/>
              <w:bottom w:val="nil"/>
              <w:right w:val="nil"/>
            </w:tcBorders>
            <w:vAlign w:val="center"/>
            <w:hideMark/>
          </w:tcPr>
          <w:p w:rsidR="00B77266" w:rsidRPr="00E13E09" w:rsidRDefault="003F4892" w:rsidP="00726852">
            <w:pPr>
              <w:jc w:val="center"/>
              <w:rPr>
                <w:sz w:val="20"/>
              </w:rPr>
            </w:pPr>
            <w:r w:rsidRPr="00E13E09">
              <w:rPr>
                <w:sz w:val="20"/>
              </w:rPr>
              <w:t>-34,5883**</w:t>
            </w:r>
          </w:p>
        </w:tc>
      </w:tr>
      <w:tr w:rsidR="00E040F7" w:rsidRPr="00E13E09" w:rsidTr="00E13E09">
        <w:trPr>
          <w:trHeight w:hRule="exact" w:val="255"/>
        </w:trPr>
        <w:tc>
          <w:tcPr>
            <w:tcW w:w="3567" w:type="pct"/>
            <w:vMerge/>
            <w:tcBorders>
              <w:top w:val="single" w:sz="4" w:space="0" w:color="auto"/>
              <w:left w:val="nil"/>
              <w:bottom w:val="single" w:sz="4" w:space="0" w:color="auto"/>
              <w:right w:val="single" w:sz="4" w:space="0" w:color="auto"/>
            </w:tcBorders>
            <w:vAlign w:val="center"/>
            <w:hideMark/>
          </w:tcPr>
          <w:p w:rsidR="00B77266" w:rsidRPr="00E13E09" w:rsidRDefault="00B77266" w:rsidP="00726852">
            <w:pPr>
              <w:rPr>
                <w:sz w:val="20"/>
              </w:rPr>
            </w:pPr>
          </w:p>
        </w:tc>
        <w:tc>
          <w:tcPr>
            <w:tcW w:w="1433" w:type="pct"/>
            <w:tcBorders>
              <w:top w:val="nil"/>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(6,9931)</w:t>
            </w:r>
          </w:p>
        </w:tc>
      </w:tr>
      <w:tr w:rsidR="00E040F7" w:rsidRPr="00E13E09" w:rsidTr="00E13E09">
        <w:trPr>
          <w:trHeight w:hRule="exact" w:val="255"/>
        </w:trPr>
        <w:tc>
          <w:tcPr>
            <w:tcW w:w="3567"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Coeficiente de determinação (R</w:t>
            </w:r>
            <w:r w:rsidRPr="00E13E09">
              <w:rPr>
                <w:sz w:val="20"/>
                <w:vertAlign w:val="superscript"/>
              </w:rPr>
              <w:t>2</w:t>
            </w:r>
            <w:r w:rsidRPr="00E13E09">
              <w:rPr>
                <w:sz w:val="20"/>
              </w:rPr>
              <w:t>)</w:t>
            </w:r>
          </w:p>
        </w:tc>
        <w:tc>
          <w:tcPr>
            <w:tcW w:w="1433"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b/>
                <w:bCs/>
                <w:sz w:val="20"/>
              </w:rPr>
            </w:pPr>
            <w:r w:rsidRPr="00E13E09">
              <w:rPr>
                <w:sz w:val="20"/>
                <w:lang w:val="it-IT"/>
              </w:rPr>
              <w:t>0,5527</w:t>
            </w:r>
          </w:p>
        </w:tc>
      </w:tr>
      <w:tr w:rsidR="00E040F7" w:rsidRPr="00E13E09" w:rsidTr="00E13E09">
        <w:trPr>
          <w:trHeight w:hRule="exact" w:val="255"/>
        </w:trPr>
        <w:tc>
          <w:tcPr>
            <w:tcW w:w="3567"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 xml:space="preserve">Teste de subidentificação LM = 59,91 </w:t>
            </w:r>
          </w:p>
        </w:tc>
        <w:tc>
          <w:tcPr>
            <w:tcW w:w="1433"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P = 0,0000</w:t>
            </w:r>
          </w:p>
        </w:tc>
      </w:tr>
      <w:tr w:rsidR="00E040F7" w:rsidRPr="00E13E09" w:rsidTr="00E13E09">
        <w:trPr>
          <w:trHeight w:hRule="exact" w:val="255"/>
        </w:trPr>
        <w:tc>
          <w:tcPr>
            <w:tcW w:w="3567"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lang w:val="it-IT"/>
              </w:rPr>
            </w:pPr>
            <w:r w:rsidRPr="00E13E09">
              <w:rPr>
                <w:sz w:val="20"/>
              </w:rPr>
              <w:t>Teste de Wald de fraca identificação F= 36,89</w:t>
            </w:r>
          </w:p>
        </w:tc>
        <w:tc>
          <w:tcPr>
            <w:tcW w:w="1433"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lang w:val="it-IT"/>
              </w:rPr>
            </w:pPr>
            <w:r w:rsidRPr="00E13E09">
              <w:rPr>
                <w:sz w:val="20"/>
                <w:lang w:val="it-IT"/>
              </w:rPr>
              <w:t>P = 0,0010</w:t>
            </w:r>
          </w:p>
        </w:tc>
      </w:tr>
      <w:tr w:rsidR="00E040F7" w:rsidRPr="00E13E09" w:rsidTr="00E13E09">
        <w:trPr>
          <w:trHeight w:hRule="exact" w:val="255"/>
        </w:trPr>
        <w:tc>
          <w:tcPr>
            <w:tcW w:w="3567"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lang w:val="it-IT"/>
              </w:rPr>
            </w:pPr>
            <w:r w:rsidRPr="00E13E09">
              <w:rPr>
                <w:sz w:val="20"/>
                <w:lang w:val="it-IT"/>
              </w:rPr>
              <w:t>Teste de Wooldrige de autocorrelação F = 40,612</w:t>
            </w:r>
          </w:p>
        </w:tc>
        <w:tc>
          <w:tcPr>
            <w:tcW w:w="1433"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lang w:val="it-IT"/>
              </w:rPr>
            </w:pPr>
            <w:r w:rsidRPr="00E13E09">
              <w:rPr>
                <w:sz w:val="20"/>
                <w:lang w:val="it-IT"/>
              </w:rPr>
              <w:t>P = 0,0000</w:t>
            </w:r>
          </w:p>
        </w:tc>
      </w:tr>
      <w:tr w:rsidR="00E040F7" w:rsidRPr="00E13E09" w:rsidTr="00E13E09">
        <w:trPr>
          <w:trHeight w:hRule="exact" w:val="255"/>
        </w:trPr>
        <w:tc>
          <w:tcPr>
            <w:tcW w:w="3567" w:type="pct"/>
            <w:tcBorders>
              <w:top w:val="single" w:sz="4" w:space="0" w:color="auto"/>
              <w:left w:val="nil"/>
              <w:bottom w:val="single" w:sz="4" w:space="0" w:color="auto"/>
              <w:right w:val="single" w:sz="4" w:space="0" w:color="auto"/>
            </w:tcBorders>
            <w:vAlign w:val="center"/>
            <w:hideMark/>
          </w:tcPr>
          <w:p w:rsidR="00B77266" w:rsidRPr="00E13E09" w:rsidRDefault="003F4892" w:rsidP="00726852">
            <w:pPr>
              <w:jc w:val="both"/>
              <w:rPr>
                <w:sz w:val="20"/>
              </w:rPr>
            </w:pPr>
            <w:r w:rsidRPr="00E13E09">
              <w:rPr>
                <w:sz w:val="20"/>
              </w:rPr>
              <w:t xml:space="preserve">Teste modificado de Wald de </w:t>
            </w:r>
            <w:proofErr w:type="spellStart"/>
            <w:r w:rsidRPr="00E13E09">
              <w:rPr>
                <w:sz w:val="20"/>
              </w:rPr>
              <w:t>heterocedasticidade</w:t>
            </w:r>
            <w:proofErr w:type="spellEnd"/>
            <w:r w:rsidRPr="00E13E09">
              <w:rPr>
                <w:sz w:val="20"/>
              </w:rPr>
              <w:t xml:space="preserve"> chi2 = </w:t>
            </w:r>
          </w:p>
        </w:tc>
        <w:tc>
          <w:tcPr>
            <w:tcW w:w="1433" w:type="pct"/>
            <w:tcBorders>
              <w:top w:val="single" w:sz="4" w:space="0" w:color="auto"/>
              <w:left w:val="single" w:sz="4" w:space="0" w:color="auto"/>
              <w:bottom w:val="single" w:sz="4" w:space="0" w:color="auto"/>
              <w:right w:val="nil"/>
            </w:tcBorders>
            <w:vAlign w:val="center"/>
            <w:hideMark/>
          </w:tcPr>
          <w:p w:rsidR="00B77266" w:rsidRPr="00E13E09" w:rsidRDefault="003F4892" w:rsidP="00726852">
            <w:pPr>
              <w:jc w:val="center"/>
              <w:rPr>
                <w:sz w:val="20"/>
              </w:rPr>
            </w:pPr>
            <w:r w:rsidRPr="00E13E09">
              <w:rPr>
                <w:sz w:val="20"/>
              </w:rPr>
              <w:t>P = 0,0000</w:t>
            </w:r>
          </w:p>
        </w:tc>
      </w:tr>
    </w:tbl>
    <w:p w:rsidR="00B77266" w:rsidRDefault="00E040F7" w:rsidP="00726852">
      <w:pPr>
        <w:jc w:val="both"/>
        <w:rPr>
          <w:sz w:val="20"/>
        </w:rPr>
      </w:pPr>
      <w:r w:rsidRPr="0038319F">
        <w:rPr>
          <w:sz w:val="20"/>
        </w:rPr>
        <w:t xml:space="preserve">Fonte: Resultados da pesquisa. </w:t>
      </w:r>
    </w:p>
    <w:p w:rsidR="00B77266" w:rsidRDefault="00E040F7" w:rsidP="00726852">
      <w:pPr>
        <w:jc w:val="both"/>
        <w:rPr>
          <w:sz w:val="20"/>
        </w:rPr>
      </w:pPr>
      <w:r w:rsidRPr="0038319F">
        <w:rPr>
          <w:sz w:val="20"/>
        </w:rPr>
        <w:t>Nota: Forma Funcional linear. Valores entre parênteses: erro-padrão.</w:t>
      </w:r>
    </w:p>
    <w:p w:rsidR="00B77266" w:rsidRDefault="00E040F7" w:rsidP="00726852">
      <w:pPr>
        <w:jc w:val="both"/>
        <w:rPr>
          <w:sz w:val="20"/>
        </w:rPr>
      </w:pPr>
      <w:r w:rsidRPr="0038319F">
        <w:rPr>
          <w:sz w:val="20"/>
        </w:rPr>
        <w:t xml:space="preserve">Teste de </w:t>
      </w:r>
      <w:proofErr w:type="spellStart"/>
      <w:r w:rsidRPr="0038319F">
        <w:rPr>
          <w:sz w:val="20"/>
        </w:rPr>
        <w:t>Hausman</w:t>
      </w:r>
      <w:proofErr w:type="spellEnd"/>
      <w:r w:rsidRPr="0038319F">
        <w:rPr>
          <w:sz w:val="20"/>
        </w:rPr>
        <w:t xml:space="preserve"> Qui2 = Não conclusivo</w:t>
      </w:r>
    </w:p>
    <w:p w:rsidR="00B77266" w:rsidRDefault="00E040F7" w:rsidP="00726852">
      <w:pPr>
        <w:tabs>
          <w:tab w:val="left" w:pos="720"/>
          <w:tab w:val="left" w:pos="900"/>
        </w:tabs>
        <w:autoSpaceDE w:val="0"/>
        <w:autoSpaceDN w:val="0"/>
        <w:adjustRightInd w:val="0"/>
        <w:jc w:val="both"/>
        <w:rPr>
          <w:sz w:val="20"/>
        </w:rPr>
      </w:pPr>
      <w:r w:rsidRPr="0038319F">
        <w:rPr>
          <w:sz w:val="20"/>
        </w:rPr>
        <w:t xml:space="preserve">         -</w:t>
      </w:r>
      <w:proofErr w:type="spellStart"/>
      <w:r w:rsidRPr="0038319F">
        <w:rPr>
          <w:sz w:val="20"/>
        </w:rPr>
        <w:t>ns</w:t>
      </w:r>
      <w:proofErr w:type="spellEnd"/>
      <w:r w:rsidRPr="0038319F">
        <w:rPr>
          <w:sz w:val="20"/>
        </w:rPr>
        <w:t xml:space="preserve"> – não significativo, ***significativo a 1%, **significativo a 5% e *, significativo a 10%.</w:t>
      </w:r>
    </w:p>
    <w:p w:rsidR="00B77266" w:rsidRDefault="00E040F7" w:rsidP="00726852">
      <w:pPr>
        <w:autoSpaceDE w:val="0"/>
        <w:autoSpaceDN w:val="0"/>
        <w:adjustRightInd w:val="0"/>
        <w:ind w:firstLine="360"/>
        <w:jc w:val="both"/>
        <w:rPr>
          <w:sz w:val="20"/>
        </w:rPr>
      </w:pPr>
      <w:r>
        <w:rPr>
          <w:sz w:val="20"/>
        </w:rPr>
        <w:t xml:space="preserve">  Instrumentos</w:t>
      </w:r>
      <w:r w:rsidRPr="0038319F">
        <w:rPr>
          <w:sz w:val="20"/>
        </w:rPr>
        <w:t xml:space="preserve">: pobre (-1), pobre (-3), </w:t>
      </w:r>
      <w:proofErr w:type="spellStart"/>
      <w:r w:rsidRPr="0038319F">
        <w:rPr>
          <w:sz w:val="20"/>
        </w:rPr>
        <w:t>cresc</w:t>
      </w:r>
      <w:proofErr w:type="spellEnd"/>
      <w:r w:rsidRPr="0038319F">
        <w:rPr>
          <w:sz w:val="20"/>
        </w:rPr>
        <w:t xml:space="preserve"> (-2), </w:t>
      </w:r>
      <w:proofErr w:type="spellStart"/>
      <w:r w:rsidRPr="0038319F">
        <w:rPr>
          <w:sz w:val="20"/>
        </w:rPr>
        <w:t>cresc</w:t>
      </w:r>
      <w:proofErr w:type="spellEnd"/>
      <w:r w:rsidRPr="0038319F">
        <w:rPr>
          <w:sz w:val="20"/>
        </w:rPr>
        <w:t xml:space="preserve"> (-3).</w:t>
      </w:r>
    </w:p>
    <w:p w:rsidR="00B77266" w:rsidRDefault="00B77266" w:rsidP="00726852">
      <w:pPr>
        <w:autoSpaceDE w:val="0"/>
        <w:autoSpaceDN w:val="0"/>
        <w:adjustRightInd w:val="0"/>
        <w:ind w:firstLine="360"/>
        <w:jc w:val="both"/>
      </w:pPr>
    </w:p>
    <w:p w:rsidR="00C019A6" w:rsidRDefault="00C019A6" w:rsidP="00C019A6">
      <w:pPr>
        <w:tabs>
          <w:tab w:val="left" w:pos="720"/>
          <w:tab w:val="left" w:pos="900"/>
        </w:tabs>
        <w:autoSpaceDE w:val="0"/>
        <w:autoSpaceDN w:val="0"/>
        <w:adjustRightInd w:val="0"/>
        <w:ind w:firstLine="709"/>
        <w:jc w:val="both"/>
        <w:rPr>
          <w:sz w:val="24"/>
          <w:szCs w:val="24"/>
        </w:rPr>
      </w:pPr>
      <w:r>
        <w:rPr>
          <w:sz w:val="24"/>
          <w:szCs w:val="24"/>
        </w:rPr>
        <w:t xml:space="preserve">De acordo com a estimação, a concentração de renda age de maneira a agravar as condições de pobreza dos estados brasileiros, dado o coeficiente </w:t>
      </w:r>
      <w:r w:rsidRPr="00EB6D8C">
        <w:rPr>
          <w:sz w:val="24"/>
          <w:szCs w:val="24"/>
        </w:rPr>
        <w:t>positivo</w:t>
      </w:r>
      <w:r>
        <w:rPr>
          <w:sz w:val="24"/>
          <w:szCs w:val="24"/>
        </w:rPr>
        <w:t xml:space="preserve"> para a variável </w:t>
      </w:r>
      <w:r w:rsidRPr="00EB6D8C">
        <w:rPr>
          <w:sz w:val="24"/>
          <w:szCs w:val="24"/>
        </w:rPr>
        <w:t xml:space="preserve">exógena de concentração de renda (índice de </w:t>
      </w:r>
      <w:proofErr w:type="spellStart"/>
      <w:r w:rsidRPr="00EB6D8C">
        <w:rPr>
          <w:sz w:val="24"/>
          <w:szCs w:val="24"/>
        </w:rPr>
        <w:t>Gini</w:t>
      </w:r>
      <w:proofErr w:type="spellEnd"/>
      <w:r w:rsidRPr="00EB6D8C">
        <w:rPr>
          <w:sz w:val="24"/>
          <w:szCs w:val="24"/>
        </w:rPr>
        <w:t>)</w:t>
      </w:r>
      <w:r>
        <w:rPr>
          <w:sz w:val="24"/>
          <w:szCs w:val="24"/>
        </w:rPr>
        <w:t xml:space="preserve">. </w:t>
      </w:r>
      <w:r w:rsidRPr="00EB6D8C">
        <w:rPr>
          <w:sz w:val="24"/>
          <w:szCs w:val="24"/>
        </w:rPr>
        <w:t xml:space="preserve">No que concerne à relação direta entre desigualdade de renda e intensidade da pobreza, </w:t>
      </w:r>
      <w:r>
        <w:rPr>
          <w:sz w:val="24"/>
          <w:szCs w:val="24"/>
        </w:rPr>
        <w:t xml:space="preserve">conforme discutido sobre as raízes da pobreza ligada ao critério da renda, a distribuição desigual dos recursos atua agravando o cenário de pobreza, considerando a realidade de cada um dos estados. A meta máxima de equidade social tem sido alcançada, quando observada </w:t>
      </w:r>
      <w:proofErr w:type="gramStart"/>
      <w:r>
        <w:rPr>
          <w:sz w:val="24"/>
          <w:szCs w:val="24"/>
        </w:rPr>
        <w:t>a</w:t>
      </w:r>
      <w:proofErr w:type="gramEnd"/>
      <w:r>
        <w:rPr>
          <w:sz w:val="24"/>
          <w:szCs w:val="24"/>
        </w:rPr>
        <w:t xml:space="preserve"> realidade do país como um todo, mas as desigualdades quanto à distribuição de renda intra e interestaduais ainda firmam-se como obstáculos ao processo de crescimento com inclusão social. </w:t>
      </w:r>
    </w:p>
    <w:p w:rsidR="00C3783F" w:rsidRPr="000606F9" w:rsidRDefault="008F3A3A">
      <w:pPr>
        <w:tabs>
          <w:tab w:val="left" w:pos="720"/>
          <w:tab w:val="left" w:pos="900"/>
        </w:tabs>
        <w:autoSpaceDE w:val="0"/>
        <w:autoSpaceDN w:val="0"/>
        <w:adjustRightInd w:val="0"/>
        <w:ind w:firstLine="709"/>
        <w:jc w:val="both"/>
        <w:rPr>
          <w:sz w:val="24"/>
          <w:szCs w:val="24"/>
        </w:rPr>
      </w:pPr>
      <w:r w:rsidRPr="000606F9">
        <w:rPr>
          <w:sz w:val="24"/>
          <w:szCs w:val="24"/>
        </w:rPr>
        <w:t>Sobre a desigualdade interestadual, o</w:t>
      </w:r>
      <w:r w:rsidR="00E040F7" w:rsidRPr="000606F9">
        <w:rPr>
          <w:sz w:val="24"/>
          <w:szCs w:val="24"/>
        </w:rPr>
        <w:t xml:space="preserve">s estados nordestinos, em sua maioria, são os mais desiguais, com índices superiores à média nacional (0,59). O destaque refere-se ao Piauí e à Paraíba, com índices de </w:t>
      </w:r>
      <w:proofErr w:type="spellStart"/>
      <w:r w:rsidR="00E040F7" w:rsidRPr="000606F9">
        <w:rPr>
          <w:sz w:val="24"/>
          <w:szCs w:val="24"/>
        </w:rPr>
        <w:t>Gini</w:t>
      </w:r>
      <w:proofErr w:type="spellEnd"/>
      <w:r w:rsidR="00E040F7" w:rsidRPr="000606F9">
        <w:rPr>
          <w:sz w:val="24"/>
          <w:szCs w:val="24"/>
        </w:rPr>
        <w:t xml:space="preserve"> de 0,610 e 0,609, respectivamente. Por outro lado, </w:t>
      </w:r>
      <w:r w:rsidR="00597ED9" w:rsidRPr="000606F9">
        <w:rPr>
          <w:sz w:val="24"/>
          <w:szCs w:val="24"/>
        </w:rPr>
        <w:t>a região Sul</w:t>
      </w:r>
      <w:r w:rsidR="00E040F7" w:rsidRPr="000606F9">
        <w:rPr>
          <w:sz w:val="24"/>
          <w:szCs w:val="24"/>
        </w:rPr>
        <w:t xml:space="preserve"> não mostra alta concentração de renda, a exemplo </w:t>
      </w:r>
      <w:r w:rsidRPr="000606F9">
        <w:rPr>
          <w:sz w:val="24"/>
          <w:szCs w:val="24"/>
        </w:rPr>
        <w:t xml:space="preserve">de </w:t>
      </w:r>
      <w:r w:rsidR="00E040F7" w:rsidRPr="000606F9">
        <w:rPr>
          <w:sz w:val="24"/>
          <w:szCs w:val="24"/>
        </w:rPr>
        <w:t xml:space="preserve">Santa Catarina (0,508). No Sudeste, </w:t>
      </w:r>
      <w:r w:rsidRPr="000606F9">
        <w:rPr>
          <w:sz w:val="24"/>
          <w:szCs w:val="24"/>
        </w:rPr>
        <w:t>os estados possuem relativamente o mesmo perfil</w:t>
      </w:r>
      <w:r w:rsidR="00E040F7" w:rsidRPr="000606F9">
        <w:rPr>
          <w:sz w:val="24"/>
          <w:szCs w:val="24"/>
        </w:rPr>
        <w:t xml:space="preserve">, haja vista o índice para o Rio de Janeiro de 0,569 e de Minas Gerais, na casa de 0,566. O estado paulista, por sua vez, aponta índice de 0,532, </w:t>
      </w:r>
      <w:r w:rsidR="00597ED9" w:rsidRPr="000606F9">
        <w:rPr>
          <w:sz w:val="24"/>
          <w:szCs w:val="24"/>
        </w:rPr>
        <w:t>inferior, portanto à</w:t>
      </w:r>
      <w:r w:rsidR="00E040F7" w:rsidRPr="000606F9">
        <w:rPr>
          <w:sz w:val="24"/>
          <w:szCs w:val="24"/>
        </w:rPr>
        <w:t xml:space="preserve"> média nacional.</w:t>
      </w:r>
    </w:p>
    <w:p w:rsidR="00B77266" w:rsidRDefault="00CF631E" w:rsidP="00726852">
      <w:pPr>
        <w:autoSpaceDE w:val="0"/>
        <w:autoSpaceDN w:val="0"/>
        <w:adjustRightInd w:val="0"/>
        <w:ind w:firstLine="709"/>
        <w:jc w:val="both"/>
        <w:rPr>
          <w:color w:val="000000"/>
          <w:sz w:val="24"/>
          <w:szCs w:val="24"/>
        </w:rPr>
      </w:pPr>
      <w:r w:rsidRPr="000606F9">
        <w:rPr>
          <w:color w:val="000000"/>
          <w:sz w:val="24"/>
          <w:szCs w:val="24"/>
        </w:rPr>
        <w:t>No que concerne à relação direta entre</w:t>
      </w:r>
      <w:r w:rsidR="00E040F7" w:rsidRPr="000606F9">
        <w:rPr>
          <w:color w:val="000000"/>
          <w:sz w:val="24"/>
          <w:szCs w:val="24"/>
        </w:rPr>
        <w:t xml:space="preserve"> taxa de crescimento populacional e o número de pessoas abaixo da linha de pobreza, </w:t>
      </w:r>
      <w:r w:rsidRPr="000606F9">
        <w:rPr>
          <w:color w:val="000000"/>
          <w:sz w:val="24"/>
          <w:szCs w:val="24"/>
        </w:rPr>
        <w:t xml:space="preserve">uma negativa da </w:t>
      </w:r>
      <w:r w:rsidR="00597ED9" w:rsidRPr="000606F9">
        <w:rPr>
          <w:color w:val="000000"/>
          <w:sz w:val="24"/>
          <w:szCs w:val="24"/>
        </w:rPr>
        <w:t xml:space="preserve">hipótese definida, </w:t>
      </w:r>
      <w:r w:rsidRPr="000606F9">
        <w:rPr>
          <w:color w:val="000000"/>
          <w:sz w:val="24"/>
          <w:szCs w:val="24"/>
        </w:rPr>
        <w:t>cabe remeter a uma importante questão. A i</w:t>
      </w:r>
      <w:r w:rsidR="00E040F7" w:rsidRPr="000606F9">
        <w:rPr>
          <w:color w:val="000000"/>
          <w:sz w:val="24"/>
          <w:szCs w:val="24"/>
        </w:rPr>
        <w:t>deia</w:t>
      </w:r>
      <w:r w:rsidRPr="000606F9">
        <w:rPr>
          <w:color w:val="000000"/>
          <w:sz w:val="24"/>
          <w:szCs w:val="24"/>
        </w:rPr>
        <w:t xml:space="preserve"> é</w:t>
      </w:r>
      <w:r w:rsidR="00E040F7" w:rsidRPr="000606F9">
        <w:rPr>
          <w:color w:val="000000"/>
          <w:sz w:val="24"/>
          <w:szCs w:val="24"/>
        </w:rPr>
        <w:t xml:space="preserve"> de que o crescimento da população po</w:t>
      </w:r>
      <w:r w:rsidRPr="000606F9">
        <w:rPr>
          <w:color w:val="000000"/>
          <w:sz w:val="24"/>
          <w:szCs w:val="24"/>
        </w:rPr>
        <w:t>ssa</w:t>
      </w:r>
      <w:r w:rsidR="00E040F7" w:rsidRPr="000606F9">
        <w:rPr>
          <w:color w:val="000000"/>
          <w:sz w:val="24"/>
          <w:szCs w:val="24"/>
        </w:rPr>
        <w:t xml:space="preserve"> agravar as condições de subsistência da sociedade, se o crescimento da demanda de emprego da economia for insuficiente para atender ao excesso de mão de obra. No Brasil, a população vem crescendo a taxas menores, desde </w:t>
      </w:r>
      <w:r w:rsidR="00E040F7">
        <w:rPr>
          <w:color w:val="000000"/>
          <w:sz w:val="24"/>
          <w:szCs w:val="24"/>
        </w:rPr>
        <w:t>os anos oitenta</w:t>
      </w:r>
      <w:r w:rsidR="00E040F7" w:rsidRPr="00EB6D8C">
        <w:rPr>
          <w:color w:val="000000"/>
          <w:sz w:val="24"/>
          <w:szCs w:val="24"/>
        </w:rPr>
        <w:t>.</w:t>
      </w:r>
      <w:r w:rsidR="00E040F7">
        <w:rPr>
          <w:color w:val="000000"/>
          <w:sz w:val="24"/>
          <w:szCs w:val="24"/>
        </w:rPr>
        <w:t xml:space="preserve"> Ademais, o mercado de trabalho tem conseguido absorver a força de trabalho existente, mas enfrenta, por vezes, problemas ligados ao perfil desses trabalhadores, os quais, às vezes, não </w:t>
      </w:r>
      <w:r w:rsidR="00E040F7" w:rsidRPr="008C1A6E">
        <w:rPr>
          <w:color w:val="000000"/>
          <w:sz w:val="24"/>
          <w:szCs w:val="24"/>
        </w:rPr>
        <w:t xml:space="preserve">atendem às exigências dos cargos. </w:t>
      </w:r>
    </w:p>
    <w:p w:rsidR="00B77266" w:rsidRDefault="00E040F7" w:rsidP="00726852">
      <w:pPr>
        <w:autoSpaceDE w:val="0"/>
        <w:autoSpaceDN w:val="0"/>
        <w:adjustRightInd w:val="0"/>
        <w:ind w:firstLine="709"/>
        <w:jc w:val="both"/>
        <w:rPr>
          <w:sz w:val="24"/>
          <w:szCs w:val="24"/>
        </w:rPr>
      </w:pPr>
      <w:r>
        <w:rPr>
          <w:color w:val="000000"/>
          <w:sz w:val="24"/>
          <w:szCs w:val="24"/>
        </w:rPr>
        <w:t>É notório que, a</w:t>
      </w:r>
      <w:r w:rsidRPr="008C1A6E">
        <w:rPr>
          <w:color w:val="000000"/>
          <w:sz w:val="24"/>
          <w:szCs w:val="24"/>
        </w:rPr>
        <w:t xml:space="preserve">pesar do grande contingente </w:t>
      </w:r>
      <w:r>
        <w:rPr>
          <w:color w:val="000000"/>
          <w:sz w:val="24"/>
          <w:szCs w:val="24"/>
        </w:rPr>
        <w:t xml:space="preserve">populacional </w:t>
      </w:r>
      <w:r w:rsidRPr="008C1A6E">
        <w:rPr>
          <w:color w:val="000000"/>
          <w:sz w:val="24"/>
          <w:szCs w:val="24"/>
        </w:rPr>
        <w:t xml:space="preserve">ainda não </w:t>
      </w:r>
      <w:r>
        <w:rPr>
          <w:color w:val="000000"/>
          <w:sz w:val="24"/>
          <w:szCs w:val="24"/>
        </w:rPr>
        <w:t>inserido na</w:t>
      </w:r>
      <w:r w:rsidRPr="008C1A6E">
        <w:rPr>
          <w:color w:val="000000"/>
          <w:sz w:val="24"/>
          <w:szCs w:val="24"/>
        </w:rPr>
        <w:t xml:space="preserve"> economia formal e vivendo em </w:t>
      </w:r>
      <w:r>
        <w:rPr>
          <w:color w:val="000000"/>
          <w:sz w:val="24"/>
          <w:szCs w:val="24"/>
        </w:rPr>
        <w:t>condições</w:t>
      </w:r>
      <w:r w:rsidRPr="008C1A6E">
        <w:rPr>
          <w:color w:val="000000"/>
          <w:sz w:val="24"/>
          <w:szCs w:val="24"/>
        </w:rPr>
        <w:t xml:space="preserve"> de pobreza, </w:t>
      </w:r>
      <w:r>
        <w:rPr>
          <w:color w:val="000000"/>
          <w:sz w:val="24"/>
          <w:szCs w:val="24"/>
        </w:rPr>
        <w:t>a</w:t>
      </w:r>
      <w:r w:rsidRPr="008C1A6E">
        <w:rPr>
          <w:color w:val="000000"/>
          <w:sz w:val="24"/>
          <w:szCs w:val="24"/>
        </w:rPr>
        <w:t xml:space="preserve">té mesmo </w:t>
      </w:r>
      <w:r>
        <w:rPr>
          <w:color w:val="000000"/>
          <w:sz w:val="24"/>
          <w:szCs w:val="24"/>
        </w:rPr>
        <w:t xml:space="preserve">os </w:t>
      </w:r>
      <w:r w:rsidRPr="008C1A6E">
        <w:rPr>
          <w:color w:val="000000"/>
          <w:sz w:val="24"/>
          <w:szCs w:val="24"/>
        </w:rPr>
        <w:t xml:space="preserve">setores com baixa produtividade </w:t>
      </w:r>
      <w:r>
        <w:rPr>
          <w:color w:val="000000"/>
          <w:sz w:val="24"/>
          <w:szCs w:val="24"/>
        </w:rPr>
        <w:t>de emprego</w:t>
      </w:r>
      <w:r w:rsidRPr="008C1A6E">
        <w:rPr>
          <w:color w:val="000000"/>
          <w:sz w:val="24"/>
          <w:szCs w:val="24"/>
        </w:rPr>
        <w:t xml:space="preserve">, como </w:t>
      </w:r>
      <w:r>
        <w:rPr>
          <w:color w:val="000000"/>
          <w:sz w:val="24"/>
          <w:szCs w:val="24"/>
        </w:rPr>
        <w:t xml:space="preserve">as atividades ligadas à </w:t>
      </w:r>
      <w:r w:rsidRPr="008C1A6E">
        <w:rPr>
          <w:color w:val="000000"/>
          <w:sz w:val="24"/>
          <w:szCs w:val="24"/>
        </w:rPr>
        <w:t xml:space="preserve">construção civil, não </w:t>
      </w:r>
      <w:r>
        <w:rPr>
          <w:color w:val="000000"/>
          <w:sz w:val="24"/>
          <w:szCs w:val="24"/>
        </w:rPr>
        <w:t>preenchem</w:t>
      </w:r>
      <w:r w:rsidRPr="008C1A6E">
        <w:rPr>
          <w:color w:val="000000"/>
          <w:sz w:val="24"/>
          <w:szCs w:val="24"/>
        </w:rPr>
        <w:t xml:space="preserve"> a demanda </w:t>
      </w:r>
      <w:r>
        <w:rPr>
          <w:color w:val="000000"/>
          <w:sz w:val="24"/>
          <w:szCs w:val="24"/>
        </w:rPr>
        <w:t xml:space="preserve">e o resultado são os </w:t>
      </w:r>
      <w:r w:rsidRPr="008C1A6E">
        <w:rPr>
          <w:color w:val="000000"/>
          <w:sz w:val="24"/>
          <w:szCs w:val="24"/>
        </w:rPr>
        <w:t xml:space="preserve">aumentos salariais. </w:t>
      </w:r>
      <w:r w:rsidR="00943ECD">
        <w:rPr>
          <w:color w:val="000000"/>
          <w:sz w:val="24"/>
          <w:szCs w:val="24"/>
        </w:rPr>
        <w:lastRenderedPageBreak/>
        <w:t xml:space="preserve">Novamente, fica registrada </w:t>
      </w:r>
      <w:r>
        <w:rPr>
          <w:color w:val="000000"/>
          <w:sz w:val="24"/>
          <w:szCs w:val="24"/>
        </w:rPr>
        <w:t xml:space="preserve">a necessidade de políticas </w:t>
      </w:r>
      <w:r w:rsidRPr="00EB6D8C">
        <w:rPr>
          <w:sz w:val="24"/>
          <w:szCs w:val="24"/>
        </w:rPr>
        <w:t>complementares de qualificação da força de trabalho</w:t>
      </w:r>
      <w:r>
        <w:rPr>
          <w:sz w:val="24"/>
          <w:szCs w:val="24"/>
        </w:rPr>
        <w:t>,</w:t>
      </w:r>
      <w:r w:rsidRPr="00EB6D8C">
        <w:rPr>
          <w:sz w:val="24"/>
          <w:szCs w:val="24"/>
        </w:rPr>
        <w:t xml:space="preserve"> como meio de elevar a produtividade desses indivíduos para que possam ter oportunidade de ingressar no mercado </w:t>
      </w:r>
      <w:r>
        <w:rPr>
          <w:sz w:val="24"/>
          <w:szCs w:val="24"/>
        </w:rPr>
        <w:t>de trabalho nacional</w:t>
      </w:r>
      <w:r w:rsidRPr="00EB6D8C">
        <w:rPr>
          <w:sz w:val="24"/>
          <w:szCs w:val="24"/>
        </w:rPr>
        <w:t>.</w:t>
      </w:r>
      <w:r>
        <w:rPr>
          <w:sz w:val="24"/>
          <w:szCs w:val="24"/>
        </w:rPr>
        <w:t xml:space="preserve"> </w:t>
      </w:r>
    </w:p>
    <w:p w:rsidR="00B77266" w:rsidRDefault="00E040F7" w:rsidP="00726852">
      <w:pPr>
        <w:autoSpaceDE w:val="0"/>
        <w:autoSpaceDN w:val="0"/>
        <w:adjustRightInd w:val="0"/>
        <w:ind w:firstLine="709"/>
        <w:jc w:val="both"/>
        <w:rPr>
          <w:sz w:val="24"/>
          <w:szCs w:val="24"/>
        </w:rPr>
      </w:pPr>
      <w:r>
        <w:rPr>
          <w:sz w:val="24"/>
          <w:szCs w:val="24"/>
        </w:rPr>
        <w:t>Dito isso, insere-se a importância de outro resultado que é o estabelecimento da relação inversa entre a produtividade do trabalho e o número de brasileiros com renda abaixo da linha de pobreza,</w:t>
      </w:r>
      <w:proofErr w:type="gramStart"/>
      <w:r>
        <w:rPr>
          <w:sz w:val="24"/>
          <w:szCs w:val="24"/>
        </w:rPr>
        <w:t xml:space="preserve">  </w:t>
      </w:r>
      <w:proofErr w:type="gramEnd"/>
      <w:r>
        <w:rPr>
          <w:sz w:val="24"/>
          <w:szCs w:val="24"/>
        </w:rPr>
        <w:t xml:space="preserve">confirmando a hipótese inicialmente estabelecida. Conforme exposto, diante das condições atuais do mercado de trabalho brasileiro, aquele indivíduo com produtividade mais elevada tem maior probabilidade de inserção no mercado de trabalho, com vistas a ter rendimentos que lhe permitam sair da condição de pobreza. Esse resultado vai ao encontro do estabelecido na equação estimada sobre as variáveis que influenciam a renda per capita, </w:t>
      </w:r>
      <w:r w:rsidR="001068C7">
        <w:rPr>
          <w:sz w:val="24"/>
          <w:szCs w:val="24"/>
        </w:rPr>
        <w:t>a exemplo da</w:t>
      </w:r>
      <w:r>
        <w:rPr>
          <w:sz w:val="24"/>
          <w:szCs w:val="24"/>
        </w:rPr>
        <w:t xml:space="preserve"> produtividade do emprego. </w:t>
      </w:r>
    </w:p>
    <w:p w:rsidR="00B77266" w:rsidRDefault="00E040F7" w:rsidP="00726852">
      <w:pPr>
        <w:autoSpaceDE w:val="0"/>
        <w:autoSpaceDN w:val="0"/>
        <w:adjustRightInd w:val="0"/>
        <w:ind w:firstLine="709"/>
        <w:jc w:val="both"/>
        <w:rPr>
          <w:sz w:val="24"/>
          <w:szCs w:val="24"/>
        </w:rPr>
      </w:pPr>
      <w:r>
        <w:rPr>
          <w:sz w:val="24"/>
          <w:szCs w:val="24"/>
        </w:rPr>
        <w:t xml:space="preserve">Fica evidente, portanto, a existência de uma relação direta e indireta entre aumento da produtividade e queda da pobreza nos estados brasileiros. O efeito </w:t>
      </w:r>
      <w:r w:rsidR="009B7AC6">
        <w:rPr>
          <w:sz w:val="24"/>
          <w:szCs w:val="24"/>
        </w:rPr>
        <w:t>in</w:t>
      </w:r>
      <w:r>
        <w:rPr>
          <w:sz w:val="24"/>
          <w:szCs w:val="24"/>
        </w:rPr>
        <w:t>direto fica confirmado, considerando-se</w:t>
      </w:r>
      <w:r w:rsidR="002112A3">
        <w:rPr>
          <w:sz w:val="24"/>
          <w:szCs w:val="24"/>
        </w:rPr>
        <w:t xml:space="preserve"> </w:t>
      </w:r>
      <w:r>
        <w:rPr>
          <w:sz w:val="24"/>
          <w:szCs w:val="24"/>
        </w:rPr>
        <w:t>o crescimento do PIB per ca</w:t>
      </w:r>
      <w:r w:rsidR="009B7AC6">
        <w:rPr>
          <w:sz w:val="24"/>
          <w:szCs w:val="24"/>
        </w:rPr>
        <w:t>pita estadual, no período de aná</w:t>
      </w:r>
      <w:r>
        <w:rPr>
          <w:sz w:val="24"/>
          <w:szCs w:val="24"/>
        </w:rPr>
        <w:t>lise, acompanhad</w:t>
      </w:r>
      <w:r w:rsidR="009B7AC6">
        <w:rPr>
          <w:sz w:val="24"/>
          <w:szCs w:val="24"/>
        </w:rPr>
        <w:t>o</w:t>
      </w:r>
      <w:r>
        <w:rPr>
          <w:sz w:val="24"/>
          <w:szCs w:val="24"/>
        </w:rPr>
        <w:t xml:space="preserve"> da redução da pobreza no país, como atesta a definição do coeficiente negativo e estatisticamente significativo da variável PIB per capita na equação sobre a pobreza (Tabela 5). </w:t>
      </w:r>
      <w:r w:rsidRPr="00EB6D8C">
        <w:rPr>
          <w:sz w:val="24"/>
          <w:szCs w:val="24"/>
        </w:rPr>
        <w:t xml:space="preserve">A inclusão da variável PIB per capita na equação de pobreza </w:t>
      </w:r>
      <w:r>
        <w:rPr>
          <w:sz w:val="24"/>
          <w:szCs w:val="24"/>
        </w:rPr>
        <w:t>tem</w:t>
      </w:r>
      <w:r w:rsidRPr="00EB6D8C">
        <w:rPr>
          <w:sz w:val="24"/>
          <w:szCs w:val="24"/>
        </w:rPr>
        <w:t xml:space="preserve"> como propósito identific</w:t>
      </w:r>
      <w:r>
        <w:rPr>
          <w:sz w:val="24"/>
          <w:szCs w:val="24"/>
        </w:rPr>
        <w:t>ar se o crescimento econômico nos estados brasileiros</w:t>
      </w:r>
      <w:r w:rsidRPr="00EB6D8C">
        <w:rPr>
          <w:sz w:val="24"/>
          <w:szCs w:val="24"/>
        </w:rPr>
        <w:t xml:space="preserve">, no período analisado, teria </w:t>
      </w:r>
      <w:r w:rsidR="009B7AC6">
        <w:rPr>
          <w:sz w:val="24"/>
          <w:szCs w:val="24"/>
        </w:rPr>
        <w:t xml:space="preserve">características </w:t>
      </w:r>
      <w:r>
        <w:rPr>
          <w:sz w:val="24"/>
          <w:szCs w:val="24"/>
        </w:rPr>
        <w:t xml:space="preserve">do tipo </w:t>
      </w:r>
      <w:r w:rsidRPr="00EB6D8C">
        <w:rPr>
          <w:sz w:val="24"/>
          <w:szCs w:val="24"/>
        </w:rPr>
        <w:t>pró-pobre, ou seja, se o crescimento econômico tenderia a favorecer os mais pobres, gerando, endogenamente, redução da pobreza.</w:t>
      </w:r>
      <w:r>
        <w:rPr>
          <w:sz w:val="24"/>
          <w:szCs w:val="24"/>
        </w:rPr>
        <w:t xml:space="preserve"> O que se observa é que </w:t>
      </w:r>
      <w:r w:rsidRPr="00EB6D8C">
        <w:rPr>
          <w:sz w:val="24"/>
          <w:szCs w:val="24"/>
        </w:rPr>
        <w:t>apesar do</w:t>
      </w:r>
      <w:r>
        <w:rPr>
          <w:sz w:val="24"/>
          <w:szCs w:val="24"/>
        </w:rPr>
        <w:t xml:space="preserve">s 21 milhões de brasileiros </w:t>
      </w:r>
      <w:r w:rsidRPr="00EB6D8C">
        <w:rPr>
          <w:sz w:val="24"/>
          <w:szCs w:val="24"/>
        </w:rPr>
        <w:t>pobres</w:t>
      </w:r>
      <w:r>
        <w:rPr>
          <w:sz w:val="24"/>
          <w:szCs w:val="24"/>
        </w:rPr>
        <w:t xml:space="preserve"> concentrados, sobremaneira, no Nordeste, </w:t>
      </w:r>
      <w:r w:rsidRPr="00EB6D8C">
        <w:rPr>
          <w:sz w:val="24"/>
          <w:szCs w:val="24"/>
        </w:rPr>
        <w:t xml:space="preserve">houve crescimento </w:t>
      </w:r>
      <w:r>
        <w:rPr>
          <w:sz w:val="24"/>
          <w:szCs w:val="24"/>
        </w:rPr>
        <w:t>da renda per capita</w:t>
      </w:r>
      <w:r w:rsidRPr="00EB6D8C">
        <w:rPr>
          <w:sz w:val="24"/>
          <w:szCs w:val="24"/>
        </w:rPr>
        <w:t xml:space="preserve"> </w:t>
      </w:r>
      <w:proofErr w:type="gramStart"/>
      <w:r w:rsidRPr="00EB6D8C">
        <w:rPr>
          <w:sz w:val="24"/>
          <w:szCs w:val="24"/>
        </w:rPr>
        <w:t>acompanhado de queda na pobreza</w:t>
      </w:r>
      <w:r>
        <w:rPr>
          <w:sz w:val="24"/>
          <w:szCs w:val="24"/>
        </w:rPr>
        <w:t>, consideradas</w:t>
      </w:r>
      <w:proofErr w:type="gramEnd"/>
      <w:r>
        <w:rPr>
          <w:sz w:val="24"/>
          <w:szCs w:val="24"/>
        </w:rPr>
        <w:t xml:space="preserve"> as divergências de estrutura socioeconômica dos estados</w:t>
      </w:r>
      <w:r w:rsidRPr="00EB6D8C">
        <w:rPr>
          <w:sz w:val="24"/>
          <w:szCs w:val="24"/>
        </w:rPr>
        <w:t xml:space="preserve">. </w:t>
      </w:r>
    </w:p>
    <w:p w:rsidR="00943ECD" w:rsidRDefault="00E040F7" w:rsidP="00691022">
      <w:pPr>
        <w:autoSpaceDE w:val="0"/>
        <w:autoSpaceDN w:val="0"/>
        <w:adjustRightInd w:val="0"/>
        <w:ind w:firstLine="709"/>
        <w:jc w:val="both"/>
        <w:rPr>
          <w:sz w:val="24"/>
          <w:szCs w:val="24"/>
        </w:rPr>
      </w:pPr>
      <w:r>
        <w:rPr>
          <w:sz w:val="24"/>
          <w:szCs w:val="24"/>
        </w:rPr>
        <w:t xml:space="preserve">Em suma, </w:t>
      </w:r>
      <w:r w:rsidR="000A5ABF">
        <w:rPr>
          <w:sz w:val="24"/>
          <w:szCs w:val="24"/>
        </w:rPr>
        <w:t xml:space="preserve">confirma-se que </w:t>
      </w:r>
      <w:r>
        <w:rPr>
          <w:sz w:val="24"/>
          <w:szCs w:val="24"/>
        </w:rPr>
        <w:t>os gastos públicos em educação, saúde e em transporte rodoviários são responsáveis pelos avanços nestas categorias de capital físico e humano</w:t>
      </w:r>
      <w:r w:rsidR="000A5ABF">
        <w:rPr>
          <w:sz w:val="24"/>
          <w:szCs w:val="24"/>
        </w:rPr>
        <w:t xml:space="preserve"> (equações 1 a 3)</w:t>
      </w:r>
      <w:r>
        <w:rPr>
          <w:sz w:val="24"/>
          <w:szCs w:val="24"/>
        </w:rPr>
        <w:t xml:space="preserve">. Ademais, ficou confirmado que a escolaridade, a melhoria na saúde da população e na infraestrutura rodoviária promovem expansão da renda per capita dos estados, esta última relacionada inversamente ao patamar de pobreza vigente nas unidades federativas. </w:t>
      </w:r>
      <w:r w:rsidR="003C741A">
        <w:rPr>
          <w:sz w:val="24"/>
          <w:szCs w:val="24"/>
        </w:rPr>
        <w:t>Logo, o</w:t>
      </w:r>
      <w:r>
        <w:rPr>
          <w:sz w:val="24"/>
          <w:szCs w:val="24"/>
        </w:rPr>
        <w:t>s resultados do sistema proposto permitem dizer que estas categorias de despesas dos governos contribuíram para a queda no número de pessoas que vivem com renda mensal inferior à linha de pobreza, durante os anos de 1995-2008, em cada um dos estados da federação.</w:t>
      </w:r>
    </w:p>
    <w:p w:rsidR="00691022" w:rsidRPr="00691022" w:rsidRDefault="00691022" w:rsidP="00691022">
      <w:pPr>
        <w:autoSpaceDE w:val="0"/>
        <w:autoSpaceDN w:val="0"/>
        <w:adjustRightInd w:val="0"/>
        <w:ind w:firstLine="709"/>
        <w:jc w:val="both"/>
        <w:rPr>
          <w:sz w:val="24"/>
          <w:szCs w:val="24"/>
        </w:rPr>
      </w:pPr>
    </w:p>
    <w:p w:rsidR="008E32B7" w:rsidRPr="00A05AA0" w:rsidRDefault="008646F6" w:rsidP="00A05AA0">
      <w:pPr>
        <w:pStyle w:val="PargrafodaLista"/>
        <w:numPr>
          <w:ilvl w:val="0"/>
          <w:numId w:val="1"/>
        </w:numPr>
        <w:rPr>
          <w:b/>
          <w:lang w:eastAsia="zh-CN"/>
        </w:rPr>
      </w:pPr>
      <w:r>
        <w:rPr>
          <w:b/>
          <w:lang w:eastAsia="zh-CN"/>
        </w:rPr>
        <w:t>CONCLUSÕES</w:t>
      </w:r>
    </w:p>
    <w:p w:rsidR="00A44169" w:rsidRDefault="002D1B6A" w:rsidP="00A44169">
      <w:pPr>
        <w:ind w:firstLine="709"/>
        <w:jc w:val="both"/>
        <w:rPr>
          <w:sz w:val="24"/>
          <w:szCs w:val="24"/>
        </w:rPr>
      </w:pPr>
      <w:r>
        <w:rPr>
          <w:sz w:val="24"/>
          <w:szCs w:val="24"/>
        </w:rPr>
        <w:t xml:space="preserve">Diante dos objetivos propostos neste estudo, </w:t>
      </w:r>
      <w:r w:rsidR="005419B2" w:rsidRPr="00C8254D">
        <w:rPr>
          <w:sz w:val="24"/>
          <w:szCs w:val="24"/>
        </w:rPr>
        <w:t xml:space="preserve">fica atestada a eficácia </w:t>
      </w:r>
      <w:r>
        <w:rPr>
          <w:sz w:val="24"/>
          <w:szCs w:val="24"/>
        </w:rPr>
        <w:t xml:space="preserve">dos </w:t>
      </w:r>
      <w:r w:rsidRPr="00C8254D">
        <w:rPr>
          <w:sz w:val="24"/>
          <w:szCs w:val="24"/>
        </w:rPr>
        <w:t xml:space="preserve">dispêndios </w:t>
      </w:r>
      <w:r>
        <w:rPr>
          <w:sz w:val="24"/>
          <w:szCs w:val="24"/>
        </w:rPr>
        <w:t>públicos</w:t>
      </w:r>
      <w:r w:rsidRPr="00C8254D">
        <w:rPr>
          <w:sz w:val="24"/>
          <w:szCs w:val="24"/>
        </w:rPr>
        <w:t xml:space="preserve"> em infraestrutura </w:t>
      </w:r>
      <w:r w:rsidR="00CF631E">
        <w:rPr>
          <w:sz w:val="24"/>
          <w:szCs w:val="24"/>
        </w:rPr>
        <w:t>rodoviária</w:t>
      </w:r>
      <w:r w:rsidR="00CF631E" w:rsidRPr="00C8254D">
        <w:rPr>
          <w:sz w:val="24"/>
          <w:szCs w:val="24"/>
        </w:rPr>
        <w:t xml:space="preserve"> </w:t>
      </w:r>
      <w:r w:rsidRPr="00C8254D">
        <w:rPr>
          <w:sz w:val="24"/>
          <w:szCs w:val="24"/>
        </w:rPr>
        <w:t>e em educação e saúde</w:t>
      </w:r>
      <w:r w:rsidR="00CF631E">
        <w:rPr>
          <w:sz w:val="24"/>
          <w:szCs w:val="24"/>
        </w:rPr>
        <w:t xml:space="preserve"> quanto aos </w:t>
      </w:r>
      <w:r w:rsidR="00A5587D">
        <w:rPr>
          <w:sz w:val="24"/>
          <w:szCs w:val="24"/>
        </w:rPr>
        <w:t xml:space="preserve">avanços </w:t>
      </w:r>
      <w:r w:rsidR="00A5587D" w:rsidRPr="00C8254D">
        <w:rPr>
          <w:sz w:val="24"/>
          <w:szCs w:val="24"/>
        </w:rPr>
        <w:t xml:space="preserve">na malha rodoviária </w:t>
      </w:r>
      <w:r w:rsidR="00A5587D">
        <w:rPr>
          <w:sz w:val="24"/>
          <w:szCs w:val="24"/>
        </w:rPr>
        <w:t>e no</w:t>
      </w:r>
      <w:r w:rsidR="005419B2" w:rsidRPr="00C8254D">
        <w:rPr>
          <w:sz w:val="24"/>
          <w:szCs w:val="24"/>
        </w:rPr>
        <w:t xml:space="preserve"> estoque de capital</w:t>
      </w:r>
      <w:r>
        <w:rPr>
          <w:sz w:val="24"/>
          <w:szCs w:val="24"/>
        </w:rPr>
        <w:t xml:space="preserve"> </w:t>
      </w:r>
      <w:r w:rsidR="005419B2" w:rsidRPr="00C8254D">
        <w:rPr>
          <w:sz w:val="24"/>
          <w:szCs w:val="24"/>
        </w:rPr>
        <w:t xml:space="preserve">humano, </w:t>
      </w:r>
      <w:r w:rsidR="00A5587D">
        <w:rPr>
          <w:sz w:val="24"/>
          <w:szCs w:val="24"/>
        </w:rPr>
        <w:t xml:space="preserve">respectivamente, </w:t>
      </w:r>
      <w:r w:rsidR="00CF631E">
        <w:rPr>
          <w:sz w:val="24"/>
          <w:szCs w:val="24"/>
        </w:rPr>
        <w:t xml:space="preserve">a partir da </w:t>
      </w:r>
      <w:r w:rsidR="00A5587D">
        <w:rPr>
          <w:sz w:val="24"/>
          <w:szCs w:val="24"/>
        </w:rPr>
        <w:t>análise da estrutura socioeconômica dos</w:t>
      </w:r>
      <w:r w:rsidR="005419B2" w:rsidRPr="00C8254D">
        <w:rPr>
          <w:sz w:val="24"/>
          <w:szCs w:val="24"/>
        </w:rPr>
        <w:t xml:space="preserve"> estados brasileiros</w:t>
      </w:r>
      <w:r w:rsidR="00CF631E">
        <w:rPr>
          <w:sz w:val="24"/>
          <w:szCs w:val="24"/>
        </w:rPr>
        <w:t xml:space="preserve">. Tal resultado corrobora o </w:t>
      </w:r>
      <w:r w:rsidR="005419B2" w:rsidRPr="00C8254D">
        <w:rPr>
          <w:sz w:val="24"/>
          <w:szCs w:val="24"/>
        </w:rPr>
        <w:t xml:space="preserve">verificado por Cruz </w:t>
      </w:r>
      <w:proofErr w:type="spellStart"/>
      <w:proofErr w:type="gramStart"/>
      <w:r w:rsidR="005419B2" w:rsidRPr="00C8254D">
        <w:rPr>
          <w:sz w:val="24"/>
          <w:szCs w:val="24"/>
        </w:rPr>
        <w:t>et</w:t>
      </w:r>
      <w:proofErr w:type="spellEnd"/>
      <w:proofErr w:type="gramEnd"/>
      <w:r w:rsidR="005419B2" w:rsidRPr="00C8254D">
        <w:rPr>
          <w:sz w:val="24"/>
          <w:szCs w:val="24"/>
        </w:rPr>
        <w:t xml:space="preserve"> al. (2010) para o Brasil como um todo.</w:t>
      </w:r>
      <w:r w:rsidR="005419B2" w:rsidRPr="00494CC6">
        <w:rPr>
          <w:sz w:val="24"/>
          <w:szCs w:val="24"/>
        </w:rPr>
        <w:t xml:space="preserve"> </w:t>
      </w:r>
      <w:r w:rsidR="00E72EA6" w:rsidRPr="00C8254D">
        <w:rPr>
          <w:sz w:val="24"/>
          <w:szCs w:val="24"/>
        </w:rPr>
        <w:t xml:space="preserve">Ademais, a escolaridade média dos estados, assim como avanços na </w:t>
      </w:r>
      <w:r w:rsidR="00E72EA6" w:rsidRPr="00494CC6">
        <w:rPr>
          <w:sz w:val="24"/>
          <w:szCs w:val="24"/>
        </w:rPr>
        <w:t>infraestrutura rodoviária</w:t>
      </w:r>
      <w:r w:rsidR="00E72EA6" w:rsidRPr="00C8254D">
        <w:rPr>
          <w:sz w:val="24"/>
          <w:szCs w:val="24"/>
        </w:rPr>
        <w:t xml:space="preserve"> e melhores condições de saúde </w:t>
      </w:r>
      <w:r w:rsidR="00E72EA6">
        <w:rPr>
          <w:sz w:val="24"/>
          <w:szCs w:val="24"/>
        </w:rPr>
        <w:t>mostraram-se</w:t>
      </w:r>
      <w:r w:rsidR="00E72EA6" w:rsidRPr="00C8254D">
        <w:rPr>
          <w:sz w:val="24"/>
          <w:szCs w:val="24"/>
        </w:rPr>
        <w:t xml:space="preserve"> importantes para elevar </w:t>
      </w:r>
      <w:r w:rsidR="00E72EA6" w:rsidRPr="00494CC6">
        <w:rPr>
          <w:sz w:val="24"/>
          <w:szCs w:val="24"/>
        </w:rPr>
        <w:t>a renda per capita dos estados</w:t>
      </w:r>
      <w:r w:rsidR="00E72EA6" w:rsidRPr="00C8254D">
        <w:rPr>
          <w:sz w:val="24"/>
          <w:szCs w:val="24"/>
        </w:rPr>
        <w:t xml:space="preserve">. </w:t>
      </w:r>
      <w:r w:rsidR="00E72EA6">
        <w:rPr>
          <w:sz w:val="24"/>
          <w:szCs w:val="24"/>
        </w:rPr>
        <w:t>Da mesma forma, comprovou-se a importância da produtividade do emprego para o crescimento da economia de cada uma das federações brasileiras.</w:t>
      </w:r>
      <w:r w:rsidR="0015160A">
        <w:rPr>
          <w:sz w:val="24"/>
          <w:szCs w:val="24"/>
        </w:rPr>
        <w:t xml:space="preserve"> </w:t>
      </w:r>
      <w:r w:rsidR="008B658C">
        <w:rPr>
          <w:sz w:val="24"/>
          <w:szCs w:val="24"/>
        </w:rPr>
        <w:t>F</w:t>
      </w:r>
      <w:r>
        <w:rPr>
          <w:sz w:val="24"/>
          <w:szCs w:val="24"/>
        </w:rPr>
        <w:t>icou atestado</w:t>
      </w:r>
      <w:r w:rsidR="008B658C">
        <w:rPr>
          <w:sz w:val="24"/>
          <w:szCs w:val="24"/>
        </w:rPr>
        <w:t xml:space="preserve">, portanto, </w:t>
      </w:r>
      <w:r>
        <w:rPr>
          <w:sz w:val="24"/>
          <w:szCs w:val="24"/>
        </w:rPr>
        <w:t>que os governos federal e estadual</w:t>
      </w:r>
      <w:r w:rsidR="008B658C">
        <w:rPr>
          <w:sz w:val="24"/>
          <w:szCs w:val="24"/>
        </w:rPr>
        <w:t>,</w:t>
      </w:r>
      <w:r>
        <w:rPr>
          <w:sz w:val="24"/>
          <w:szCs w:val="24"/>
        </w:rPr>
        <w:t xml:space="preserve"> por meio das políticas de dispêndios nestas categorias</w:t>
      </w:r>
      <w:r w:rsidR="008B658C">
        <w:rPr>
          <w:sz w:val="24"/>
          <w:szCs w:val="24"/>
        </w:rPr>
        <w:t>,</w:t>
      </w:r>
      <w:r>
        <w:rPr>
          <w:sz w:val="24"/>
          <w:szCs w:val="24"/>
        </w:rPr>
        <w:t xml:space="preserve"> atingiram a meta de fazer a economia crescer com benefícios também à parcela da população que </w:t>
      </w:r>
      <w:r w:rsidR="00A5587D">
        <w:rPr>
          <w:sz w:val="24"/>
          <w:szCs w:val="24"/>
        </w:rPr>
        <w:t>se encontrava</w:t>
      </w:r>
      <w:r>
        <w:rPr>
          <w:sz w:val="24"/>
          <w:szCs w:val="24"/>
        </w:rPr>
        <w:t xml:space="preserve"> em condição de pobreza</w:t>
      </w:r>
      <w:r w:rsidR="005419B2" w:rsidRPr="00C8254D">
        <w:rPr>
          <w:sz w:val="24"/>
          <w:szCs w:val="24"/>
        </w:rPr>
        <w:t xml:space="preserve">. </w:t>
      </w:r>
      <w:r w:rsidR="008C5D3B">
        <w:rPr>
          <w:sz w:val="24"/>
          <w:szCs w:val="24"/>
        </w:rPr>
        <w:t xml:space="preserve">Posto isso, </w:t>
      </w:r>
      <w:r w:rsidR="00E72EA6" w:rsidRPr="00C8254D">
        <w:rPr>
          <w:sz w:val="24"/>
          <w:szCs w:val="24"/>
        </w:rPr>
        <w:t>pode-se afirmar que, ainda que de forma indireta, os gastos públicos nessas categorias econômicas constituem medidas eficazes para implantar um modelo de crescimento com desenvolvimento</w:t>
      </w:r>
      <w:r w:rsidR="008C5D3B">
        <w:rPr>
          <w:sz w:val="24"/>
          <w:szCs w:val="24"/>
        </w:rPr>
        <w:t xml:space="preserve"> com</w:t>
      </w:r>
      <w:proofErr w:type="gramStart"/>
      <w:r w:rsidR="008C5D3B">
        <w:rPr>
          <w:sz w:val="24"/>
          <w:szCs w:val="24"/>
        </w:rPr>
        <w:t xml:space="preserve"> </w:t>
      </w:r>
      <w:r w:rsidR="00E72EA6" w:rsidRPr="00C8254D">
        <w:rPr>
          <w:sz w:val="24"/>
          <w:szCs w:val="24"/>
        </w:rPr>
        <w:t xml:space="preserve"> </w:t>
      </w:r>
      <w:proofErr w:type="gramEnd"/>
      <w:r w:rsidR="00E72EA6">
        <w:rPr>
          <w:sz w:val="24"/>
          <w:szCs w:val="24"/>
        </w:rPr>
        <w:t>inclusão social, ou seja, o crescimento econômico pró-pobre.</w:t>
      </w:r>
      <w:r w:rsidR="00A44169">
        <w:rPr>
          <w:sz w:val="24"/>
          <w:szCs w:val="24"/>
        </w:rPr>
        <w:t xml:space="preserve"> Apesar do questionamento da efetividade deste tipo de política quando analisadas as estruturas de cada estado brasileiro, comprovou-se a superioridade </w:t>
      </w:r>
      <w:r w:rsidR="008C5D3B">
        <w:rPr>
          <w:sz w:val="24"/>
          <w:szCs w:val="24"/>
        </w:rPr>
        <w:t xml:space="preserve">dos investimentos </w:t>
      </w:r>
      <w:r w:rsidR="00A44169">
        <w:rPr>
          <w:sz w:val="24"/>
          <w:szCs w:val="24"/>
        </w:rPr>
        <w:t>voltad</w:t>
      </w:r>
      <w:r w:rsidR="008C5D3B">
        <w:rPr>
          <w:sz w:val="24"/>
          <w:szCs w:val="24"/>
        </w:rPr>
        <w:t>o</w:t>
      </w:r>
      <w:r w:rsidR="00A44169">
        <w:rPr>
          <w:sz w:val="24"/>
          <w:szCs w:val="24"/>
        </w:rPr>
        <w:t xml:space="preserve">s ao aprimoramento do estoque de capital humano </w:t>
      </w:r>
      <w:r w:rsidR="0015160A">
        <w:rPr>
          <w:sz w:val="24"/>
          <w:szCs w:val="24"/>
        </w:rPr>
        <w:t>com ênfase à educação</w:t>
      </w:r>
      <w:r w:rsidR="008C5D3B">
        <w:rPr>
          <w:sz w:val="24"/>
          <w:szCs w:val="24"/>
        </w:rPr>
        <w:t xml:space="preserve">. Esta forma de agregar ao capital social constitui medida efetiva no </w:t>
      </w:r>
      <w:r w:rsidR="00A44169">
        <w:rPr>
          <w:sz w:val="24"/>
          <w:szCs w:val="24"/>
        </w:rPr>
        <w:t>combate</w:t>
      </w:r>
      <w:r w:rsidR="008C5D3B">
        <w:rPr>
          <w:sz w:val="24"/>
          <w:szCs w:val="24"/>
        </w:rPr>
        <w:t xml:space="preserve"> à</w:t>
      </w:r>
      <w:r w:rsidR="00A44169">
        <w:rPr>
          <w:sz w:val="24"/>
          <w:szCs w:val="24"/>
        </w:rPr>
        <w:t xml:space="preserve"> pobreza</w:t>
      </w:r>
      <w:r w:rsidR="008C5D3B">
        <w:rPr>
          <w:sz w:val="24"/>
          <w:szCs w:val="24"/>
        </w:rPr>
        <w:t>,</w:t>
      </w:r>
      <w:r w:rsidR="00A44169">
        <w:rPr>
          <w:sz w:val="24"/>
          <w:szCs w:val="24"/>
        </w:rPr>
        <w:t xml:space="preserve"> considerando-se seus efeitos positivos sobre a renda per capita estadual e </w:t>
      </w:r>
      <w:r w:rsidR="008C5D3B">
        <w:rPr>
          <w:sz w:val="24"/>
          <w:szCs w:val="24"/>
        </w:rPr>
        <w:t xml:space="preserve">sobre o </w:t>
      </w:r>
      <w:r w:rsidR="0022622B">
        <w:rPr>
          <w:sz w:val="24"/>
          <w:szCs w:val="24"/>
        </w:rPr>
        <w:t>dinami</w:t>
      </w:r>
      <w:r w:rsidR="008C5D3B">
        <w:rPr>
          <w:sz w:val="24"/>
          <w:szCs w:val="24"/>
        </w:rPr>
        <w:t>smo</w:t>
      </w:r>
      <w:r w:rsidR="0022622B">
        <w:rPr>
          <w:sz w:val="24"/>
          <w:szCs w:val="24"/>
        </w:rPr>
        <w:t xml:space="preserve"> o </w:t>
      </w:r>
      <w:r w:rsidR="00A44169">
        <w:rPr>
          <w:sz w:val="24"/>
          <w:szCs w:val="24"/>
        </w:rPr>
        <w:t xml:space="preserve">mercado de trabalho, por meio de geração de postos de emprego. </w:t>
      </w:r>
    </w:p>
    <w:p w:rsidR="005419B2" w:rsidRDefault="005419B2" w:rsidP="005419B2">
      <w:pPr>
        <w:pStyle w:val="Padro"/>
        <w:spacing w:after="0" w:line="240" w:lineRule="auto"/>
        <w:ind w:firstLine="709"/>
        <w:jc w:val="both"/>
        <w:rPr>
          <w:rFonts w:eastAsia="Times New Roman" w:cs="Times New Roman"/>
        </w:rPr>
      </w:pPr>
      <w:r>
        <w:rPr>
          <w:rFonts w:cs="Times New Roman"/>
        </w:rPr>
        <w:lastRenderedPageBreak/>
        <w:t>É importante atentar também</w:t>
      </w:r>
      <w:r w:rsidR="00A44169">
        <w:rPr>
          <w:rFonts w:cs="Times New Roman"/>
        </w:rPr>
        <w:t xml:space="preserve"> </w:t>
      </w:r>
      <w:r>
        <w:rPr>
          <w:rFonts w:cs="Times New Roman"/>
        </w:rPr>
        <w:t xml:space="preserve">que as políticas de gasto social pautadas em concessão de benefícios financeiros </w:t>
      </w:r>
      <w:r w:rsidR="00CB6C80">
        <w:rPr>
          <w:rFonts w:cs="Times New Roman"/>
        </w:rPr>
        <w:t xml:space="preserve">estão vinculadas </w:t>
      </w:r>
      <w:r>
        <w:rPr>
          <w:rFonts w:cs="Times New Roman"/>
        </w:rPr>
        <w:t>ao cumprimento de condicionalidades de serviços básicos de educação e saúde. No entanto, apesar dos resultados positivos, sobretudo, de curto prazo, deste tipo de instrumento político, a renda é instrumento de obtenção de capacidades, mas não o fim. A proposta de ligar o recebimento do benefício mensal ao acesso a itens de capital social é de grande mérito, pois, permite elevar o potencial da população pobre de obter renda, ou seja, dá possibilidade aos pobres de se libertarem da pobreza medida, essencialmente, pela renda.</w:t>
      </w:r>
      <w:r w:rsidR="0015160A">
        <w:rPr>
          <w:rFonts w:cs="Times New Roman"/>
        </w:rPr>
        <w:t xml:space="preserve"> </w:t>
      </w:r>
      <w:r>
        <w:rPr>
          <w:rFonts w:cs="Times New Roman"/>
        </w:rPr>
        <w:t>No entanto, tais políticas trazem à</w:t>
      </w:r>
      <w:r w:rsidRPr="008D3FB9">
        <w:rPr>
          <w:rFonts w:cs="Times New Roman"/>
        </w:rPr>
        <w:t xml:space="preserve"> tona outra problemática: a dificuldade de </w:t>
      </w:r>
      <w:r w:rsidR="00CB6C80">
        <w:rPr>
          <w:rFonts w:cs="Times New Roman"/>
        </w:rPr>
        <w:t xml:space="preserve">permitir aos mais pobres </w:t>
      </w:r>
      <w:r w:rsidRPr="008D3FB9">
        <w:rPr>
          <w:rFonts w:cs="Times New Roman"/>
        </w:rPr>
        <w:t>desfrutar</w:t>
      </w:r>
      <w:r w:rsidR="00CB6C80">
        <w:rPr>
          <w:rFonts w:cs="Times New Roman"/>
        </w:rPr>
        <w:t>em</w:t>
      </w:r>
      <w:r w:rsidRPr="008D3FB9">
        <w:rPr>
          <w:rFonts w:cs="Times New Roman"/>
        </w:rPr>
        <w:t xml:space="preserve"> dos resultados positivos do processo de crescimento econômico. A verdade é que os</w:t>
      </w:r>
      <w:r w:rsidRPr="008D3FB9">
        <w:rPr>
          <w:rFonts w:eastAsia="Times New Roman" w:cs="Times New Roman"/>
        </w:rPr>
        <w:t xml:space="preserve"> retornos aos ativos, a exemplo da educação, dependem, fortemente, d</w:t>
      </w:r>
      <w:r>
        <w:rPr>
          <w:rFonts w:eastAsia="Times New Roman" w:cs="Times New Roman"/>
        </w:rPr>
        <w:t>a provisão de ativos públicos complementares como</w:t>
      </w:r>
      <w:r>
        <w:rPr>
          <w:rFonts w:cs="Times New Roman"/>
        </w:rPr>
        <w:t xml:space="preserve">, por exemplo, </w:t>
      </w:r>
      <w:r>
        <w:rPr>
          <w:rFonts w:eastAsia="Times New Roman" w:cs="Times New Roman"/>
        </w:rPr>
        <w:t>infraestrutura escolar</w:t>
      </w:r>
      <w:r>
        <w:rPr>
          <w:rFonts w:cs="Times New Roman"/>
        </w:rPr>
        <w:t xml:space="preserve"> e qualidade de ensino. </w:t>
      </w:r>
      <w:r w:rsidR="0022622B">
        <w:rPr>
          <w:rFonts w:cs="Times New Roman"/>
        </w:rPr>
        <w:t>Entretanto</w:t>
      </w:r>
      <w:r>
        <w:rPr>
          <w:rFonts w:cs="Times New Roman"/>
        </w:rPr>
        <w:t>, em grande parte do Brasil, os</w:t>
      </w:r>
      <w:r>
        <w:rPr>
          <w:rFonts w:eastAsia="Times New Roman" w:cs="Times New Roman"/>
        </w:rPr>
        <w:t xml:space="preserve"> cidadãos pobres têm acesso </w:t>
      </w:r>
      <w:r>
        <w:rPr>
          <w:rFonts w:cs="Times New Roman"/>
        </w:rPr>
        <w:t>a</w:t>
      </w:r>
      <w:r w:rsidR="00C66ABA">
        <w:rPr>
          <w:rFonts w:cs="Times New Roman"/>
        </w:rPr>
        <w:t>o</w:t>
      </w:r>
      <w:r>
        <w:rPr>
          <w:rFonts w:eastAsia="Times New Roman" w:cs="Times New Roman"/>
        </w:rPr>
        <w:t xml:space="preserve"> ensino de baixa qualidade, e com isso</w:t>
      </w:r>
      <w:r>
        <w:rPr>
          <w:rFonts w:cs="Times New Roman"/>
        </w:rPr>
        <w:t>,</w:t>
      </w:r>
      <w:r>
        <w:rPr>
          <w:rFonts w:eastAsia="Times New Roman" w:cs="Times New Roman"/>
        </w:rPr>
        <w:t xml:space="preserve"> os retornos à educação são, relativamente, mais baixos para esses indivíduos.</w:t>
      </w:r>
      <w:r>
        <w:rPr>
          <w:rFonts w:cs="Times New Roman"/>
        </w:rPr>
        <w:t xml:space="preserve"> A priori, não estando preparada para o mercado de trabalho, esta parcela da população tem reduzida sua </w:t>
      </w:r>
      <w:r>
        <w:rPr>
          <w:rFonts w:eastAsia="Times New Roman" w:cs="Times New Roman"/>
        </w:rPr>
        <w:t>probabilidade de acumulação de capital humano e de mobilidade social</w:t>
      </w:r>
      <w:r>
        <w:rPr>
          <w:rFonts w:cs="Times New Roman"/>
        </w:rPr>
        <w:t xml:space="preserve">, </w:t>
      </w:r>
      <w:r>
        <w:rPr>
          <w:rFonts w:eastAsia="Times New Roman" w:cs="Times New Roman"/>
        </w:rPr>
        <w:t>fatores essenciais para o crescimento e al</w:t>
      </w:r>
      <w:r>
        <w:rPr>
          <w:rFonts w:cs="Times New Roman"/>
        </w:rPr>
        <w:t xml:space="preserve">ívio da </w:t>
      </w:r>
      <w:r>
        <w:rPr>
          <w:rFonts w:eastAsia="Times New Roman" w:cs="Times New Roman"/>
        </w:rPr>
        <w:t xml:space="preserve">pobreza </w:t>
      </w:r>
      <w:r>
        <w:rPr>
          <w:rFonts w:cs="Times New Roman"/>
        </w:rPr>
        <w:t>nacional</w:t>
      </w:r>
      <w:r w:rsidR="0022622B">
        <w:rPr>
          <w:rFonts w:eastAsia="Times New Roman" w:cs="Times New Roman"/>
        </w:rPr>
        <w:t xml:space="preserve">, conforme atesta este estudo. </w:t>
      </w:r>
      <w:r>
        <w:rPr>
          <w:rFonts w:eastAsia="Times New Roman" w:cs="Times New Roman"/>
        </w:rPr>
        <w:t xml:space="preserve"> </w:t>
      </w:r>
    </w:p>
    <w:p w:rsidR="005419B2" w:rsidRDefault="005419B2" w:rsidP="005419B2">
      <w:pPr>
        <w:pStyle w:val="Padro"/>
        <w:spacing w:after="0" w:line="240" w:lineRule="auto"/>
        <w:ind w:firstLine="709"/>
        <w:jc w:val="both"/>
        <w:rPr>
          <w:rFonts w:eastAsia="Times New Roman" w:cs="Times New Roman"/>
        </w:rPr>
      </w:pPr>
      <w:r>
        <w:rPr>
          <w:rFonts w:cs="Times New Roman"/>
        </w:rPr>
        <w:t xml:space="preserve">Outro agravante é o fato de o </w:t>
      </w:r>
      <w:r>
        <w:rPr>
          <w:rFonts w:eastAsia="Times New Roman" w:cs="Times New Roman"/>
        </w:rPr>
        <w:t xml:space="preserve">século XXI </w:t>
      </w:r>
      <w:r>
        <w:rPr>
          <w:rFonts w:cs="Times New Roman"/>
        </w:rPr>
        <w:t xml:space="preserve">apresentar-se como </w:t>
      </w:r>
      <w:r>
        <w:rPr>
          <w:rFonts w:eastAsia="Times New Roman" w:cs="Times New Roman"/>
        </w:rPr>
        <w:t xml:space="preserve">o tempo das inovações, da valorização do conhecimento, </w:t>
      </w:r>
      <w:r>
        <w:rPr>
          <w:rFonts w:cs="Times New Roman"/>
        </w:rPr>
        <w:t>de modo que a constante revolução na fronteira t</w:t>
      </w:r>
      <w:r>
        <w:rPr>
          <w:rFonts w:eastAsia="Times New Roman" w:cs="Times New Roman"/>
        </w:rPr>
        <w:t xml:space="preserve">ecnológica provoca aumento da demanda por trabalhadores mais qualificados. </w:t>
      </w:r>
      <w:r>
        <w:rPr>
          <w:rFonts w:cs="Times New Roman"/>
        </w:rPr>
        <w:t xml:space="preserve">Deste modo, retirar a parcela da população da condição de pobreza estritamente ligada à renda não soluciona o entrave relacionado à possibilidade de aumento dos </w:t>
      </w:r>
      <w:r>
        <w:rPr>
          <w:rFonts w:eastAsia="Times New Roman" w:cs="Times New Roman"/>
        </w:rPr>
        <w:t xml:space="preserve">rendimentos </w:t>
      </w:r>
      <w:r>
        <w:rPr>
          <w:rFonts w:cs="Times New Roman"/>
        </w:rPr>
        <w:t xml:space="preserve">dos </w:t>
      </w:r>
      <w:r>
        <w:rPr>
          <w:rFonts w:eastAsia="Times New Roman" w:cs="Times New Roman"/>
        </w:rPr>
        <w:t xml:space="preserve">trabalhadores mais qualificados </w:t>
      </w:r>
      <w:r>
        <w:rPr>
          <w:rFonts w:cs="Times New Roman"/>
        </w:rPr>
        <w:t xml:space="preserve">para a inovação tecnológica, o que aumenta </w:t>
      </w:r>
      <w:r>
        <w:rPr>
          <w:rFonts w:eastAsia="Times New Roman" w:cs="Times New Roman"/>
        </w:rPr>
        <w:t>o hiato de salários entre estes e os não qualificados</w:t>
      </w:r>
      <w:r>
        <w:rPr>
          <w:rFonts w:cs="Times New Roman"/>
        </w:rPr>
        <w:t xml:space="preserve"> (grande parte, indivíduos pobres). Logo, a parcela de indivíduos que sai do status de “pobre” atrelado ao conceito de linha de pobreza não se integra, efetivamente, ao mercado de trabalho e à dinâmica sociedade de consumo, o que acaba por agravar a d</w:t>
      </w:r>
      <w:r>
        <w:rPr>
          <w:rFonts w:eastAsia="Times New Roman" w:cs="Times New Roman"/>
        </w:rPr>
        <w:t>esigualdade social</w:t>
      </w:r>
      <w:r>
        <w:rPr>
          <w:rFonts w:cs="Times New Roman"/>
        </w:rPr>
        <w:t xml:space="preserve"> no Brasil</w:t>
      </w:r>
      <w:r>
        <w:rPr>
          <w:rFonts w:eastAsia="Times New Roman" w:cs="Times New Roman"/>
        </w:rPr>
        <w:t xml:space="preserve">. </w:t>
      </w:r>
      <w:r>
        <w:rPr>
          <w:rFonts w:cs="Times New Roman"/>
        </w:rPr>
        <w:t xml:space="preserve">Surgem então outros obstáculos aos </w:t>
      </w:r>
      <w:proofErr w:type="spellStart"/>
      <w:r>
        <w:rPr>
          <w:rFonts w:cs="Times New Roman"/>
          <w:i/>
        </w:rPr>
        <w:t>policymakers</w:t>
      </w:r>
      <w:proofErr w:type="spellEnd"/>
      <w:r>
        <w:rPr>
          <w:rFonts w:cs="Times New Roman"/>
        </w:rPr>
        <w:t xml:space="preserve"> relacionados ao desafio de atenuar a </w:t>
      </w:r>
      <w:r>
        <w:rPr>
          <w:rFonts w:eastAsia="Times New Roman" w:cs="Times New Roman"/>
        </w:rPr>
        <w:t xml:space="preserve">distorção gerada por esse tipo de </w:t>
      </w:r>
      <w:r>
        <w:rPr>
          <w:rFonts w:cs="Times New Roman"/>
        </w:rPr>
        <w:t xml:space="preserve">instrumento de crescimento, realçando a </w:t>
      </w:r>
      <w:r>
        <w:rPr>
          <w:rFonts w:eastAsia="Times New Roman" w:cs="Times New Roman"/>
        </w:rPr>
        <w:t>importância</w:t>
      </w:r>
      <w:r>
        <w:rPr>
          <w:rFonts w:cs="Times New Roman"/>
        </w:rPr>
        <w:t xml:space="preserve"> da atuação d</w:t>
      </w:r>
      <w:r>
        <w:rPr>
          <w:rFonts w:eastAsia="Times New Roman" w:cs="Times New Roman"/>
        </w:rPr>
        <w:t>o Estado</w:t>
      </w:r>
      <w:r>
        <w:rPr>
          <w:rFonts w:cs="Times New Roman"/>
        </w:rPr>
        <w:t>, em outras instâncias, por meio de outros tipos de políticas públicas que permitam implantar, efetivamente, o crescimento do tipo pró-pobre</w:t>
      </w:r>
      <w:r>
        <w:rPr>
          <w:rFonts w:eastAsia="Times New Roman" w:cs="Times New Roman"/>
        </w:rPr>
        <w:t>.</w:t>
      </w:r>
    </w:p>
    <w:p w:rsidR="009D3415" w:rsidRDefault="009D3415" w:rsidP="00A64A59">
      <w:pPr>
        <w:spacing w:after="120"/>
        <w:jc w:val="both"/>
        <w:rPr>
          <w:b/>
          <w:sz w:val="24"/>
          <w:szCs w:val="24"/>
          <w:lang w:eastAsia="zh-CN"/>
        </w:rPr>
      </w:pPr>
    </w:p>
    <w:p w:rsidR="00A05AA0" w:rsidRPr="00AE64DE" w:rsidRDefault="00AC4A1A" w:rsidP="00A64A59">
      <w:pPr>
        <w:spacing w:after="120"/>
        <w:jc w:val="both"/>
        <w:rPr>
          <w:b/>
          <w:sz w:val="24"/>
          <w:szCs w:val="24"/>
          <w:lang w:eastAsia="zh-CN"/>
        </w:rPr>
      </w:pPr>
      <w:r w:rsidRPr="00AC4A1A">
        <w:rPr>
          <w:b/>
          <w:sz w:val="24"/>
          <w:szCs w:val="24"/>
          <w:lang w:eastAsia="zh-CN"/>
        </w:rPr>
        <w:t xml:space="preserve">REFERÊNCIAS </w:t>
      </w:r>
    </w:p>
    <w:p w:rsidR="00A05AA0" w:rsidRPr="00A64A59" w:rsidRDefault="00A05AA0" w:rsidP="00B3163D">
      <w:pPr>
        <w:spacing w:after="120"/>
        <w:jc w:val="both"/>
        <w:rPr>
          <w:sz w:val="24"/>
          <w:szCs w:val="24"/>
        </w:rPr>
      </w:pPr>
      <w:r w:rsidRPr="00A64A59">
        <w:rPr>
          <w:sz w:val="24"/>
          <w:szCs w:val="24"/>
        </w:rPr>
        <w:t>BARROS, R. P., CARVALHO, M., FRANCO, S., MENDONÇA, R. (2007). A importância da queda recente da desigualdade na redução da pobreza. IPEA, Brasília. (</w:t>
      </w:r>
      <w:r w:rsidRPr="00311386">
        <w:rPr>
          <w:i/>
          <w:sz w:val="24"/>
          <w:szCs w:val="24"/>
        </w:rPr>
        <w:t>Texto para discussão n º 1256</w:t>
      </w:r>
      <w:r w:rsidRPr="00A64A59">
        <w:rPr>
          <w:sz w:val="24"/>
          <w:szCs w:val="24"/>
        </w:rPr>
        <w:t>).</w:t>
      </w:r>
    </w:p>
    <w:p w:rsidR="00A05AA0" w:rsidRPr="00A64A59" w:rsidRDefault="00A64A59" w:rsidP="00B3163D">
      <w:pPr>
        <w:pStyle w:val="Ttulo3"/>
        <w:shd w:val="clear" w:color="auto" w:fill="FFFFFF"/>
        <w:spacing w:before="0" w:after="120"/>
        <w:ind w:right="240"/>
        <w:jc w:val="both"/>
        <w:rPr>
          <w:rFonts w:ascii="Times New Roman" w:eastAsia="Calibri" w:hAnsi="Times New Roman" w:cs="Times New Roman"/>
          <w:b w:val="0"/>
          <w:sz w:val="24"/>
          <w:szCs w:val="24"/>
          <w:lang w:val="en-US"/>
        </w:rPr>
      </w:pPr>
      <w:r w:rsidRPr="00A64A59">
        <w:rPr>
          <w:rFonts w:ascii="Times New Roman" w:hAnsi="Times New Roman" w:cs="Times New Roman"/>
          <w:b w:val="0"/>
          <w:sz w:val="24"/>
          <w:szCs w:val="24"/>
        </w:rPr>
        <w:t xml:space="preserve">BIASOTO JÚNIOR </w:t>
      </w:r>
      <w:r w:rsidR="00A05AA0" w:rsidRPr="00A64A59">
        <w:rPr>
          <w:rFonts w:ascii="Times New Roman" w:hAnsi="Times New Roman" w:cs="Times New Roman"/>
          <w:b w:val="0"/>
          <w:sz w:val="24"/>
          <w:szCs w:val="24"/>
        </w:rPr>
        <w:t>(2007)</w:t>
      </w:r>
      <w:r w:rsidRPr="00A64A59">
        <w:rPr>
          <w:rFonts w:ascii="Times New Roman" w:hAnsi="Times New Roman" w:cs="Times New Roman"/>
          <w:b w:val="0"/>
          <w:sz w:val="24"/>
          <w:szCs w:val="24"/>
        </w:rPr>
        <w:t>.</w:t>
      </w:r>
      <w:r w:rsidR="00A05AA0" w:rsidRPr="00A64A59">
        <w:rPr>
          <w:rFonts w:ascii="Times New Roman" w:hAnsi="Times New Roman" w:cs="Times New Roman"/>
          <w:b w:val="0"/>
          <w:bCs w:val="0"/>
          <w:sz w:val="24"/>
          <w:szCs w:val="24"/>
        </w:rPr>
        <w:t xml:space="preserve"> Atenção básica e emprego em saúde: alguns elementos e potencialidades. </w:t>
      </w:r>
      <w:proofErr w:type="gramStart"/>
      <w:r w:rsidR="00A05AA0" w:rsidRPr="00311386">
        <w:rPr>
          <w:rFonts w:ascii="Times New Roman" w:hAnsi="Times New Roman" w:cs="Times New Roman"/>
          <w:b w:val="0"/>
          <w:i/>
          <w:sz w:val="24"/>
          <w:szCs w:val="24"/>
          <w:shd w:val="clear" w:color="auto" w:fill="FFFFFF"/>
          <w:lang w:val="en-US"/>
        </w:rPr>
        <w:t xml:space="preserve">Tempus </w:t>
      </w:r>
      <w:proofErr w:type="spellStart"/>
      <w:r w:rsidR="00A05AA0" w:rsidRPr="00311386">
        <w:rPr>
          <w:rFonts w:ascii="Times New Roman" w:hAnsi="Times New Roman" w:cs="Times New Roman"/>
          <w:b w:val="0"/>
          <w:i/>
          <w:sz w:val="24"/>
          <w:szCs w:val="24"/>
          <w:shd w:val="clear" w:color="auto" w:fill="FFFFFF"/>
          <w:lang w:val="en-US"/>
        </w:rPr>
        <w:t>Actas</w:t>
      </w:r>
      <w:proofErr w:type="spellEnd"/>
      <w:r w:rsidR="00A05AA0" w:rsidRPr="00311386">
        <w:rPr>
          <w:rFonts w:ascii="Times New Roman" w:hAnsi="Times New Roman" w:cs="Times New Roman"/>
          <w:b w:val="0"/>
          <w:i/>
          <w:sz w:val="24"/>
          <w:szCs w:val="24"/>
          <w:shd w:val="clear" w:color="auto" w:fill="FFFFFF"/>
          <w:lang w:val="en-US"/>
        </w:rPr>
        <w:t xml:space="preserve"> de </w:t>
      </w:r>
      <w:proofErr w:type="spellStart"/>
      <w:r w:rsidR="00A05AA0" w:rsidRPr="00311386">
        <w:rPr>
          <w:rFonts w:ascii="Times New Roman" w:hAnsi="Times New Roman" w:cs="Times New Roman"/>
          <w:b w:val="0"/>
          <w:i/>
          <w:sz w:val="24"/>
          <w:szCs w:val="24"/>
          <w:shd w:val="clear" w:color="auto" w:fill="FFFFFF"/>
          <w:lang w:val="en-US"/>
        </w:rPr>
        <w:t>Saúde</w:t>
      </w:r>
      <w:proofErr w:type="spellEnd"/>
      <w:r w:rsidR="00A05AA0" w:rsidRPr="00311386">
        <w:rPr>
          <w:rFonts w:ascii="Times New Roman" w:hAnsi="Times New Roman" w:cs="Times New Roman"/>
          <w:b w:val="0"/>
          <w:i/>
          <w:sz w:val="24"/>
          <w:szCs w:val="24"/>
          <w:shd w:val="clear" w:color="auto" w:fill="FFFFFF"/>
          <w:lang w:val="en-US"/>
        </w:rPr>
        <w:t xml:space="preserve"> </w:t>
      </w:r>
      <w:proofErr w:type="spellStart"/>
      <w:r w:rsidR="00A05AA0" w:rsidRPr="00311386">
        <w:rPr>
          <w:rFonts w:ascii="Times New Roman" w:hAnsi="Times New Roman" w:cs="Times New Roman"/>
          <w:b w:val="0"/>
          <w:i/>
          <w:sz w:val="24"/>
          <w:szCs w:val="24"/>
          <w:shd w:val="clear" w:color="auto" w:fill="FFFFFF"/>
          <w:lang w:val="en-US"/>
        </w:rPr>
        <w:t>Coletiva</w:t>
      </w:r>
      <w:proofErr w:type="spellEnd"/>
      <w:r w:rsidR="00A05AA0" w:rsidRPr="00A64A59">
        <w:rPr>
          <w:rFonts w:ascii="Times New Roman" w:hAnsi="Times New Roman" w:cs="Times New Roman"/>
          <w:b w:val="0"/>
          <w:sz w:val="24"/>
          <w:szCs w:val="24"/>
          <w:shd w:val="clear" w:color="auto" w:fill="FFFFFF"/>
          <w:lang w:val="en-US"/>
        </w:rPr>
        <w:t>; v. 1, n. 1.</w:t>
      </w:r>
      <w:proofErr w:type="gramEnd"/>
    </w:p>
    <w:p w:rsidR="00A05AA0" w:rsidRPr="00A64A59" w:rsidRDefault="00A05AA0" w:rsidP="00B3163D">
      <w:pPr>
        <w:spacing w:after="120"/>
        <w:jc w:val="both"/>
        <w:rPr>
          <w:rFonts w:eastAsia="Calibri"/>
          <w:sz w:val="24"/>
          <w:szCs w:val="24"/>
          <w:lang w:val="en-US"/>
        </w:rPr>
      </w:pPr>
      <w:r w:rsidRPr="00A64A59">
        <w:rPr>
          <w:rFonts w:eastAsia="Calibri"/>
          <w:sz w:val="24"/>
          <w:szCs w:val="24"/>
          <w:lang w:val="en-US"/>
        </w:rPr>
        <w:t xml:space="preserve">BOURGUIGNON, F. (2003) The Growth Elasticity of Poverty Reduction; Explaining Heterogeneity Across Countries and Time Periods in T. </w:t>
      </w:r>
      <w:proofErr w:type="spellStart"/>
      <w:r w:rsidRPr="00A64A59">
        <w:rPr>
          <w:rFonts w:eastAsia="Calibri"/>
          <w:sz w:val="24"/>
          <w:szCs w:val="24"/>
          <w:lang w:val="en-US"/>
        </w:rPr>
        <w:t>Eicher</w:t>
      </w:r>
      <w:proofErr w:type="spellEnd"/>
      <w:r w:rsidRPr="00A64A59">
        <w:rPr>
          <w:rFonts w:eastAsia="Calibri"/>
          <w:sz w:val="24"/>
          <w:szCs w:val="24"/>
          <w:lang w:val="en-US"/>
        </w:rPr>
        <w:t xml:space="preserve"> and S. </w:t>
      </w:r>
      <w:proofErr w:type="spellStart"/>
      <w:r w:rsidRPr="00A64A59">
        <w:rPr>
          <w:rFonts w:eastAsia="Calibri"/>
          <w:sz w:val="24"/>
          <w:szCs w:val="24"/>
          <w:lang w:val="en-US"/>
        </w:rPr>
        <w:t>Turnovsky</w:t>
      </w:r>
      <w:proofErr w:type="spellEnd"/>
      <w:r w:rsidRPr="00A64A59">
        <w:rPr>
          <w:rFonts w:eastAsia="Calibri"/>
          <w:sz w:val="24"/>
          <w:szCs w:val="24"/>
          <w:lang w:val="en-US"/>
        </w:rPr>
        <w:t xml:space="preserve">, eds. </w:t>
      </w:r>
      <w:r w:rsidRPr="00311386">
        <w:rPr>
          <w:rFonts w:eastAsia="Calibri"/>
          <w:i/>
          <w:sz w:val="24"/>
          <w:szCs w:val="24"/>
          <w:lang w:val="en-US"/>
        </w:rPr>
        <w:t>Inequality and growth. Theory and Policy Implications</w:t>
      </w:r>
      <w:r w:rsidRPr="00A64A59">
        <w:rPr>
          <w:rFonts w:eastAsia="Calibri"/>
          <w:sz w:val="24"/>
          <w:szCs w:val="24"/>
          <w:lang w:val="en-US"/>
        </w:rPr>
        <w:t>, Cambridge: The MIT Press.</w:t>
      </w:r>
    </w:p>
    <w:p w:rsidR="00A05AA0" w:rsidRPr="00A64A59" w:rsidRDefault="00981A3E" w:rsidP="00B3163D">
      <w:pPr>
        <w:pStyle w:val="Textodenotaderodap"/>
        <w:spacing w:after="120"/>
        <w:jc w:val="both"/>
        <w:rPr>
          <w:rStyle w:val="ipppage"/>
          <w:sz w:val="24"/>
          <w:szCs w:val="24"/>
          <w:bdr w:val="none" w:sz="0" w:space="0" w:color="auto" w:frame="1"/>
          <w:shd w:val="clear" w:color="auto" w:fill="FFFFFF"/>
          <w:lang w:val="en-US"/>
        </w:rPr>
      </w:pPr>
      <w:hyperlink r:id="rId127" w:history="1">
        <w:proofErr w:type="gramStart"/>
        <w:r w:rsidR="00A64A59" w:rsidRPr="00A64A59">
          <w:rPr>
            <w:rStyle w:val="Hyperlink"/>
            <w:bCs/>
            <w:color w:val="auto"/>
            <w:sz w:val="24"/>
            <w:szCs w:val="24"/>
            <w:bdr w:val="none" w:sz="0" w:space="0" w:color="auto" w:frame="1"/>
            <w:shd w:val="clear" w:color="auto" w:fill="FFFFFF"/>
            <w:lang w:val="en-US"/>
          </w:rPr>
          <w:t>BRADSHAW, J.</w:t>
        </w:r>
      </w:hyperlink>
      <w:r w:rsidR="00311386" w:rsidRPr="00311386">
        <w:rPr>
          <w:lang w:val="en-US"/>
        </w:rPr>
        <w:t xml:space="preserve"> </w:t>
      </w:r>
      <w:r w:rsidR="00A64A59" w:rsidRPr="00A64A59">
        <w:rPr>
          <w:rStyle w:val="ippauth"/>
          <w:sz w:val="24"/>
          <w:szCs w:val="24"/>
          <w:bdr w:val="none" w:sz="0" w:space="0" w:color="auto" w:frame="1"/>
          <w:shd w:val="clear" w:color="auto" w:fill="FFFFFF"/>
          <w:lang w:val="en-US"/>
        </w:rPr>
        <w:t>AND FINCH, N</w:t>
      </w:r>
      <w:r w:rsidR="00A05AA0" w:rsidRPr="00A64A59">
        <w:rPr>
          <w:rStyle w:val="ippauth"/>
          <w:sz w:val="24"/>
          <w:szCs w:val="24"/>
          <w:bdr w:val="none" w:sz="0" w:space="0" w:color="auto" w:frame="1"/>
          <w:shd w:val="clear" w:color="auto" w:fill="FFFFFF"/>
          <w:lang w:val="en-US"/>
        </w:rPr>
        <w:t>.</w:t>
      </w:r>
      <w:r w:rsidR="00311386">
        <w:rPr>
          <w:rStyle w:val="ippauth"/>
          <w:sz w:val="24"/>
          <w:szCs w:val="24"/>
          <w:bdr w:val="none" w:sz="0" w:space="0" w:color="auto" w:frame="1"/>
          <w:shd w:val="clear" w:color="auto" w:fill="FFFFFF"/>
          <w:lang w:val="en-US"/>
        </w:rPr>
        <w:t xml:space="preserve"> </w:t>
      </w:r>
      <w:r w:rsidR="00A05AA0" w:rsidRPr="00A64A59">
        <w:rPr>
          <w:rStyle w:val="ippauth"/>
          <w:sz w:val="24"/>
          <w:szCs w:val="24"/>
          <w:bdr w:val="none" w:sz="0" w:space="0" w:color="auto" w:frame="1"/>
          <w:shd w:val="clear" w:color="auto" w:fill="FFFFFF"/>
          <w:lang w:val="en-US"/>
        </w:rPr>
        <w:t>(</w:t>
      </w:r>
      <w:r w:rsidR="00A05AA0" w:rsidRPr="00A64A59">
        <w:rPr>
          <w:rStyle w:val="ippyear"/>
          <w:sz w:val="24"/>
          <w:szCs w:val="24"/>
          <w:bdr w:val="none" w:sz="0" w:space="0" w:color="auto" w:frame="1"/>
          <w:shd w:val="clear" w:color="auto" w:fill="FFFFFF"/>
          <w:lang w:val="en-US"/>
        </w:rPr>
        <w:t>2003).</w:t>
      </w:r>
      <w:proofErr w:type="gramEnd"/>
      <w:r w:rsidR="00311386" w:rsidRPr="00311386">
        <w:rPr>
          <w:rFonts w:ascii="Arial" w:hAnsi="Arial" w:cs="Arial"/>
          <w:color w:val="444444"/>
          <w:shd w:val="clear" w:color="auto" w:fill="FFFFFF"/>
          <w:lang w:val="en-US"/>
        </w:rPr>
        <w:t xml:space="preserve"> </w:t>
      </w:r>
      <w:proofErr w:type="gramStart"/>
      <w:r w:rsidR="00311386" w:rsidRPr="00311386">
        <w:rPr>
          <w:rFonts w:eastAsia="Calibri"/>
          <w:sz w:val="24"/>
          <w:szCs w:val="24"/>
          <w:lang w:val="en-US" w:eastAsia="pt-BR"/>
        </w:rPr>
        <w:t>Overlaps in dimensions of poverty</w:t>
      </w:r>
      <w:r w:rsidR="00311386">
        <w:rPr>
          <w:rFonts w:ascii="Arial" w:hAnsi="Arial" w:cs="Arial"/>
          <w:color w:val="444444"/>
          <w:shd w:val="clear" w:color="auto" w:fill="FFFFFF"/>
          <w:lang w:val="en-US"/>
        </w:rPr>
        <w:t>.</w:t>
      </w:r>
      <w:proofErr w:type="gramEnd"/>
      <w:r w:rsidR="00A05AA0" w:rsidRPr="00A64A59">
        <w:rPr>
          <w:rStyle w:val="ippyear"/>
          <w:sz w:val="24"/>
          <w:szCs w:val="24"/>
          <w:bdr w:val="none" w:sz="0" w:space="0" w:color="auto" w:frame="1"/>
          <w:shd w:val="clear" w:color="auto" w:fill="FFFFFF"/>
          <w:lang w:val="en-US"/>
        </w:rPr>
        <w:t xml:space="preserve"> </w:t>
      </w:r>
      <w:r w:rsidR="00A05AA0" w:rsidRPr="00311386">
        <w:rPr>
          <w:rStyle w:val="ippbookseries"/>
          <w:i/>
          <w:sz w:val="24"/>
          <w:szCs w:val="24"/>
          <w:bdr w:val="none" w:sz="0" w:space="0" w:color="auto" w:frame="1"/>
          <w:shd w:val="clear" w:color="auto" w:fill="FFFFFF"/>
          <w:lang w:val="en-US"/>
        </w:rPr>
        <w:t>Journal of Social Policy</w:t>
      </w:r>
      <w:r w:rsidR="00A05AA0" w:rsidRPr="00A64A59">
        <w:rPr>
          <w:rStyle w:val="ippgreen"/>
          <w:sz w:val="24"/>
          <w:szCs w:val="24"/>
          <w:bdr w:val="none" w:sz="0" w:space="0" w:color="auto" w:frame="1"/>
          <w:shd w:val="clear" w:color="auto" w:fill="FFFFFF"/>
          <w:lang w:val="en-US"/>
        </w:rPr>
        <w:t>,</w:t>
      </w:r>
      <w:r w:rsidR="00311386">
        <w:rPr>
          <w:rStyle w:val="ippgreen"/>
          <w:sz w:val="24"/>
          <w:szCs w:val="24"/>
          <w:bdr w:val="none" w:sz="0" w:space="0" w:color="auto" w:frame="1"/>
          <w:shd w:val="clear" w:color="auto" w:fill="FFFFFF"/>
          <w:lang w:val="en-US"/>
        </w:rPr>
        <w:t xml:space="preserve"> </w:t>
      </w:r>
      <w:r w:rsidR="00A05AA0" w:rsidRPr="00A64A59">
        <w:rPr>
          <w:rStyle w:val="ippvol"/>
          <w:sz w:val="24"/>
          <w:szCs w:val="24"/>
          <w:bdr w:val="none" w:sz="0" w:space="0" w:color="auto" w:frame="1"/>
          <w:shd w:val="clear" w:color="auto" w:fill="FFFFFF"/>
          <w:lang w:val="en-US"/>
        </w:rPr>
        <w:t>32</w:t>
      </w:r>
      <w:r w:rsidR="00A05AA0" w:rsidRPr="00A64A59">
        <w:rPr>
          <w:rStyle w:val="ippnum"/>
          <w:sz w:val="24"/>
          <w:szCs w:val="24"/>
          <w:bdr w:val="none" w:sz="0" w:space="0" w:color="auto" w:frame="1"/>
          <w:shd w:val="clear" w:color="auto" w:fill="FFFFFF"/>
          <w:lang w:val="en-US"/>
        </w:rPr>
        <w:t>4</w:t>
      </w:r>
      <w:r w:rsidR="00A05AA0" w:rsidRPr="00A64A59">
        <w:rPr>
          <w:rStyle w:val="ippgreen"/>
          <w:sz w:val="24"/>
          <w:szCs w:val="24"/>
          <w:bdr w:val="none" w:sz="0" w:space="0" w:color="auto" w:frame="1"/>
          <w:shd w:val="clear" w:color="auto" w:fill="FFFFFF"/>
          <w:lang w:val="en-US"/>
        </w:rPr>
        <w:t>,</w:t>
      </w:r>
      <w:r w:rsidR="00311386">
        <w:rPr>
          <w:rStyle w:val="ippgreen"/>
          <w:sz w:val="24"/>
          <w:szCs w:val="24"/>
          <w:bdr w:val="none" w:sz="0" w:space="0" w:color="auto" w:frame="1"/>
          <w:shd w:val="clear" w:color="auto" w:fill="FFFFFF"/>
          <w:lang w:val="en-US"/>
        </w:rPr>
        <w:t xml:space="preserve"> </w:t>
      </w:r>
      <w:r w:rsidR="00A05AA0" w:rsidRPr="00A64A59">
        <w:rPr>
          <w:rStyle w:val="ipppage"/>
          <w:sz w:val="24"/>
          <w:szCs w:val="24"/>
          <w:bdr w:val="none" w:sz="0" w:space="0" w:color="auto" w:frame="1"/>
          <w:shd w:val="clear" w:color="auto" w:fill="FFFFFF"/>
          <w:lang w:val="en-US"/>
        </w:rPr>
        <w:t>513-525</w:t>
      </w:r>
      <w:r w:rsidR="00311386">
        <w:rPr>
          <w:rStyle w:val="ipppage"/>
          <w:sz w:val="24"/>
          <w:szCs w:val="24"/>
          <w:bdr w:val="none" w:sz="0" w:space="0" w:color="auto" w:frame="1"/>
          <w:shd w:val="clear" w:color="auto" w:fill="FFFFFF"/>
          <w:lang w:val="en-US"/>
        </w:rPr>
        <w:t>.</w:t>
      </w:r>
    </w:p>
    <w:p w:rsidR="00A05AA0" w:rsidRPr="00A64A59" w:rsidRDefault="00A64A59" w:rsidP="00B3163D">
      <w:pPr>
        <w:pStyle w:val="Textodenotaderodap"/>
        <w:spacing w:after="120"/>
        <w:jc w:val="both"/>
        <w:rPr>
          <w:sz w:val="24"/>
          <w:szCs w:val="24"/>
          <w:lang w:val="en-US"/>
        </w:rPr>
      </w:pPr>
      <w:proofErr w:type="gramStart"/>
      <w:r w:rsidRPr="00A64A59">
        <w:rPr>
          <w:sz w:val="24"/>
          <w:szCs w:val="24"/>
          <w:lang w:val="en-US"/>
        </w:rPr>
        <w:t>BRESSER-PEREIRA</w:t>
      </w:r>
      <w:r w:rsidR="00A05AA0" w:rsidRPr="00A64A59">
        <w:rPr>
          <w:sz w:val="24"/>
          <w:szCs w:val="24"/>
          <w:lang w:val="en-US"/>
        </w:rPr>
        <w:t>, L</w:t>
      </w:r>
      <w:r w:rsidRPr="00A64A59">
        <w:rPr>
          <w:sz w:val="24"/>
          <w:szCs w:val="24"/>
          <w:lang w:val="en-US"/>
        </w:rPr>
        <w:t xml:space="preserve">. </w:t>
      </w:r>
      <w:r w:rsidR="00A05AA0" w:rsidRPr="00A64A59">
        <w:rPr>
          <w:sz w:val="24"/>
          <w:szCs w:val="24"/>
          <w:lang w:val="en-US"/>
        </w:rPr>
        <w:t>C</w:t>
      </w:r>
      <w:r w:rsidRPr="00A64A59">
        <w:rPr>
          <w:sz w:val="24"/>
          <w:szCs w:val="24"/>
          <w:lang w:val="en-US"/>
        </w:rPr>
        <w:t xml:space="preserve">., GALA, P. </w:t>
      </w:r>
      <w:r w:rsidR="00A05AA0" w:rsidRPr="00A64A59">
        <w:rPr>
          <w:sz w:val="24"/>
          <w:szCs w:val="24"/>
          <w:lang w:val="en-US"/>
        </w:rPr>
        <w:t xml:space="preserve">(2008) Foreign savings, insufficiency of </w:t>
      </w:r>
      <w:r w:rsidR="00311386">
        <w:rPr>
          <w:sz w:val="24"/>
          <w:szCs w:val="24"/>
          <w:lang w:val="en-US"/>
        </w:rPr>
        <w:t>d</w:t>
      </w:r>
      <w:r w:rsidR="00A05AA0" w:rsidRPr="00A64A59">
        <w:rPr>
          <w:sz w:val="24"/>
          <w:szCs w:val="24"/>
          <w:lang w:val="en-US"/>
        </w:rPr>
        <w:t xml:space="preserve">emand, and low growth, </w:t>
      </w:r>
      <w:r w:rsidR="00A05AA0" w:rsidRPr="00311386">
        <w:rPr>
          <w:i/>
          <w:sz w:val="24"/>
          <w:szCs w:val="24"/>
          <w:lang w:val="en-US"/>
        </w:rPr>
        <w:t>Journal of Post Keynesian Economics</w:t>
      </w:r>
      <w:r w:rsidR="00A05AA0" w:rsidRPr="00A64A59">
        <w:rPr>
          <w:sz w:val="24"/>
          <w:szCs w:val="24"/>
          <w:lang w:val="en-US"/>
        </w:rPr>
        <w:t>, 30 (3), 315-334.</w:t>
      </w:r>
      <w:proofErr w:type="gramEnd"/>
      <w:r w:rsidR="00A05AA0" w:rsidRPr="00A64A59">
        <w:rPr>
          <w:sz w:val="24"/>
          <w:szCs w:val="24"/>
          <w:lang w:val="en-US"/>
        </w:rPr>
        <w:t xml:space="preserve"> </w:t>
      </w:r>
    </w:p>
    <w:p w:rsidR="00A05AA0" w:rsidRPr="00A64A59" w:rsidRDefault="00A05AA0" w:rsidP="00B3163D">
      <w:pPr>
        <w:spacing w:after="120"/>
        <w:jc w:val="both"/>
        <w:rPr>
          <w:sz w:val="24"/>
          <w:szCs w:val="24"/>
          <w:shd w:val="clear" w:color="auto" w:fill="FFFFFF"/>
          <w:lang w:val="en-US"/>
        </w:rPr>
      </w:pPr>
      <w:r w:rsidRPr="00A64A59">
        <w:rPr>
          <w:bCs/>
          <w:sz w:val="24"/>
          <w:szCs w:val="24"/>
          <w:bdr w:val="none" w:sz="0" w:space="0" w:color="auto" w:frame="1"/>
          <w:shd w:val="clear" w:color="auto" w:fill="FFFFFF"/>
        </w:rPr>
        <w:t>CRUZ, A. C.</w:t>
      </w:r>
      <w:r w:rsidRPr="00A64A59">
        <w:rPr>
          <w:sz w:val="24"/>
          <w:szCs w:val="24"/>
          <w:shd w:val="clear" w:color="auto" w:fill="FFFFFF"/>
        </w:rPr>
        <w:t xml:space="preserve">; TEIXEIRA, E. </w:t>
      </w:r>
      <w:proofErr w:type="gramStart"/>
      <w:r w:rsidRPr="00A64A59">
        <w:rPr>
          <w:sz w:val="24"/>
          <w:szCs w:val="24"/>
          <w:shd w:val="clear" w:color="auto" w:fill="FFFFFF"/>
        </w:rPr>
        <w:t>C. ;</w:t>
      </w:r>
      <w:proofErr w:type="gramEnd"/>
      <w:r w:rsidR="00981A3E">
        <w:fldChar w:fldCharType="begin"/>
      </w:r>
      <w:r w:rsidR="00981A3E">
        <w:instrText>HYPERLINK "http://lattes.cnpq.br/0107443653772269" \t "_blank"</w:instrText>
      </w:r>
      <w:r w:rsidR="00981A3E">
        <w:fldChar w:fldCharType="separate"/>
      </w:r>
      <w:r w:rsidRPr="00A64A59">
        <w:rPr>
          <w:rStyle w:val="Hyperlink"/>
          <w:color w:val="auto"/>
          <w:sz w:val="24"/>
          <w:szCs w:val="24"/>
          <w:bdr w:val="none" w:sz="0" w:space="0" w:color="auto" w:frame="1"/>
          <w:shd w:val="clear" w:color="auto" w:fill="FFFFFF"/>
        </w:rPr>
        <w:t>BRAGA, M. J.</w:t>
      </w:r>
      <w:r w:rsidR="00981A3E">
        <w:fldChar w:fldCharType="end"/>
      </w:r>
      <w:r w:rsidRPr="00A64A59">
        <w:rPr>
          <w:sz w:val="24"/>
          <w:szCs w:val="24"/>
          <w:shd w:val="clear" w:color="auto" w:fill="FFFFFF"/>
        </w:rPr>
        <w:t xml:space="preserve"> (2010). O efeito dos gastos públicos em infraestrutura e em capital humano no crescimento econômico e na redução da pobreza no Brasil. </w:t>
      </w:r>
      <w:proofErr w:type="spellStart"/>
      <w:r w:rsidRPr="00311386">
        <w:rPr>
          <w:i/>
          <w:sz w:val="24"/>
          <w:szCs w:val="24"/>
          <w:shd w:val="clear" w:color="auto" w:fill="FFFFFF"/>
          <w:lang w:val="en-US"/>
        </w:rPr>
        <w:t>Economia</w:t>
      </w:r>
      <w:proofErr w:type="spellEnd"/>
      <w:r w:rsidRPr="00A64A59">
        <w:rPr>
          <w:sz w:val="24"/>
          <w:szCs w:val="24"/>
          <w:shd w:val="clear" w:color="auto" w:fill="FFFFFF"/>
          <w:lang w:val="en-US"/>
        </w:rPr>
        <w:t xml:space="preserve"> (Brasília), v. 11, p. 163-185.</w:t>
      </w:r>
    </w:p>
    <w:p w:rsidR="00A05AA0" w:rsidRPr="00A64A59" w:rsidRDefault="00A64A59" w:rsidP="00B3163D">
      <w:pPr>
        <w:spacing w:after="120"/>
        <w:jc w:val="both"/>
        <w:rPr>
          <w:sz w:val="24"/>
          <w:szCs w:val="24"/>
          <w:lang w:val="en-US"/>
        </w:rPr>
      </w:pPr>
      <w:r w:rsidRPr="00A64A59">
        <w:rPr>
          <w:sz w:val="24"/>
          <w:szCs w:val="24"/>
          <w:lang w:val="en-US"/>
        </w:rPr>
        <w:t>FAN, S., CHAN-KANG, C</w:t>
      </w:r>
      <w:r w:rsidR="00A05AA0" w:rsidRPr="00A64A59">
        <w:rPr>
          <w:sz w:val="24"/>
          <w:szCs w:val="24"/>
          <w:lang w:val="en-US"/>
        </w:rPr>
        <w:t xml:space="preserve">. (2005). Road development, Economic Growth, and Poverty Reduction in China, </w:t>
      </w:r>
      <w:r w:rsidR="00A05AA0" w:rsidRPr="00311386">
        <w:rPr>
          <w:i/>
          <w:sz w:val="24"/>
          <w:szCs w:val="24"/>
          <w:lang w:val="en-US"/>
        </w:rPr>
        <w:t>Research Report</w:t>
      </w:r>
      <w:r w:rsidR="00A05AA0" w:rsidRPr="00A64A59">
        <w:rPr>
          <w:sz w:val="24"/>
          <w:szCs w:val="24"/>
          <w:lang w:val="en-US"/>
        </w:rPr>
        <w:t xml:space="preserve"> no. 138, International Food Policy Research Institute. </w:t>
      </w:r>
    </w:p>
    <w:p w:rsidR="00A05AA0" w:rsidRPr="00A64A59" w:rsidRDefault="00A64A59" w:rsidP="00B3163D">
      <w:pPr>
        <w:spacing w:after="120"/>
        <w:jc w:val="both"/>
        <w:rPr>
          <w:sz w:val="24"/>
          <w:szCs w:val="24"/>
          <w:lang w:val="en-US"/>
        </w:rPr>
      </w:pPr>
      <w:r w:rsidRPr="00A64A59">
        <w:rPr>
          <w:sz w:val="24"/>
          <w:szCs w:val="24"/>
          <w:lang w:val="en-US"/>
        </w:rPr>
        <w:lastRenderedPageBreak/>
        <w:t>FAN, S., ZHANG, L. AND ZHANG, X</w:t>
      </w:r>
      <w:r w:rsidR="00A05AA0" w:rsidRPr="00A64A59">
        <w:rPr>
          <w:sz w:val="24"/>
          <w:szCs w:val="24"/>
          <w:lang w:val="en-US"/>
        </w:rPr>
        <w:t xml:space="preserve">. (2002). Growth, inequality, and poverty in rural China: The role of public investments, </w:t>
      </w:r>
      <w:r w:rsidR="00A05AA0" w:rsidRPr="00311386">
        <w:rPr>
          <w:i/>
          <w:sz w:val="24"/>
          <w:szCs w:val="24"/>
          <w:lang w:val="en-US"/>
        </w:rPr>
        <w:t>Research Report</w:t>
      </w:r>
      <w:r w:rsidR="00A05AA0" w:rsidRPr="00A64A59">
        <w:rPr>
          <w:sz w:val="24"/>
          <w:szCs w:val="24"/>
          <w:lang w:val="en-US"/>
        </w:rPr>
        <w:t xml:space="preserve"> No. 125, International Food Policy Research Institute. </w:t>
      </w:r>
    </w:p>
    <w:p w:rsidR="00A05AA0" w:rsidRPr="00A64A59" w:rsidRDefault="00A05AA0" w:rsidP="00B3163D">
      <w:pPr>
        <w:spacing w:after="120"/>
        <w:jc w:val="both"/>
        <w:rPr>
          <w:rFonts w:eastAsia="Calibri"/>
          <w:sz w:val="24"/>
          <w:szCs w:val="24"/>
        </w:rPr>
      </w:pPr>
      <w:r w:rsidRPr="00A64A59">
        <w:rPr>
          <w:rFonts w:eastAsia="Calibri"/>
          <w:sz w:val="24"/>
          <w:szCs w:val="24"/>
          <w:lang w:val="pt-PT"/>
        </w:rPr>
        <w:t xml:space="preserve">FERREIRA, A. B.; NAKABASHI, L.; SANTOS, M. </w:t>
      </w:r>
      <w:r w:rsidR="00A64A59" w:rsidRPr="00A64A59">
        <w:rPr>
          <w:rFonts w:eastAsia="Calibri"/>
          <w:sz w:val="24"/>
          <w:szCs w:val="24"/>
          <w:lang w:val="pt-PT"/>
        </w:rPr>
        <w:t xml:space="preserve">(2003). </w:t>
      </w:r>
      <w:r w:rsidRPr="00A64A59">
        <w:rPr>
          <w:rFonts w:eastAsia="Calibri"/>
          <w:sz w:val="24"/>
          <w:szCs w:val="24"/>
          <w:lang w:val="pt-PT"/>
        </w:rPr>
        <w:t>Crescimento econômico e acumulação de capital huma</w:t>
      </w:r>
      <w:r w:rsidR="00311386">
        <w:rPr>
          <w:rFonts w:eastAsia="Calibri"/>
          <w:sz w:val="24"/>
          <w:szCs w:val="24"/>
          <w:lang w:val="pt-PT"/>
        </w:rPr>
        <w:t xml:space="preserve">no: uma análise de causalidade. </w:t>
      </w:r>
      <w:r w:rsidRPr="00A64A59">
        <w:rPr>
          <w:rFonts w:eastAsia="Calibri"/>
          <w:sz w:val="24"/>
          <w:szCs w:val="24"/>
        </w:rPr>
        <w:t>Belo Horizonte: UFMG/CEDEPLAR</w:t>
      </w:r>
      <w:r w:rsidR="00A64A59" w:rsidRPr="00A64A59">
        <w:rPr>
          <w:rFonts w:eastAsia="Calibri"/>
          <w:sz w:val="24"/>
          <w:szCs w:val="24"/>
        </w:rPr>
        <w:t xml:space="preserve"> </w:t>
      </w:r>
      <w:r w:rsidRPr="00A64A59">
        <w:rPr>
          <w:rFonts w:eastAsia="Calibri"/>
          <w:sz w:val="24"/>
          <w:szCs w:val="24"/>
        </w:rPr>
        <w:t>(</w:t>
      </w:r>
      <w:r w:rsidRPr="00311386">
        <w:rPr>
          <w:rFonts w:eastAsia="Calibri"/>
          <w:i/>
          <w:iCs/>
          <w:sz w:val="24"/>
          <w:szCs w:val="24"/>
        </w:rPr>
        <w:t>Texto para discussão</w:t>
      </w:r>
      <w:r w:rsidRPr="00311386">
        <w:rPr>
          <w:rFonts w:eastAsia="Calibri"/>
          <w:i/>
          <w:sz w:val="24"/>
          <w:szCs w:val="24"/>
        </w:rPr>
        <w:t xml:space="preserve"> n. 222</w:t>
      </w:r>
      <w:r w:rsidRPr="00A64A59">
        <w:rPr>
          <w:rFonts w:eastAsia="Calibri"/>
          <w:sz w:val="24"/>
          <w:szCs w:val="24"/>
        </w:rPr>
        <w:t>)</w:t>
      </w:r>
    </w:p>
    <w:p w:rsidR="00A05AA0" w:rsidRPr="00A64A59" w:rsidRDefault="00A05AA0" w:rsidP="00B3163D">
      <w:pPr>
        <w:spacing w:after="120"/>
        <w:jc w:val="both"/>
        <w:rPr>
          <w:rFonts w:eastAsia="Calibri"/>
          <w:sz w:val="24"/>
          <w:szCs w:val="24"/>
        </w:rPr>
      </w:pPr>
      <w:r w:rsidRPr="00A64A59">
        <w:rPr>
          <w:rFonts w:eastAsia="Calibri"/>
          <w:sz w:val="24"/>
          <w:szCs w:val="24"/>
          <w:lang w:val="en-US"/>
        </w:rPr>
        <w:t>FOSTER, A.</w:t>
      </w:r>
      <w:r w:rsidR="00A64A59" w:rsidRPr="00A64A59">
        <w:rPr>
          <w:rFonts w:eastAsia="Calibri"/>
          <w:sz w:val="24"/>
          <w:szCs w:val="24"/>
          <w:lang w:val="en-US"/>
        </w:rPr>
        <w:t xml:space="preserve"> </w:t>
      </w:r>
      <w:r w:rsidRPr="00A64A59">
        <w:rPr>
          <w:rFonts w:eastAsia="Calibri"/>
          <w:sz w:val="24"/>
          <w:szCs w:val="24"/>
          <w:lang w:val="en-US"/>
        </w:rPr>
        <w:t>D., ROSENZWEIG, M.</w:t>
      </w:r>
      <w:r w:rsidR="00A64A59" w:rsidRPr="00A64A59">
        <w:rPr>
          <w:rFonts w:eastAsia="Calibri"/>
          <w:sz w:val="24"/>
          <w:szCs w:val="24"/>
          <w:lang w:val="en-US"/>
        </w:rPr>
        <w:t xml:space="preserve"> </w:t>
      </w:r>
      <w:r w:rsidRPr="00A64A59">
        <w:rPr>
          <w:rFonts w:eastAsia="Calibri"/>
          <w:sz w:val="24"/>
          <w:szCs w:val="24"/>
          <w:lang w:val="en-US"/>
        </w:rPr>
        <w:t xml:space="preserve">R. </w:t>
      </w:r>
      <w:r w:rsidR="00A64A59" w:rsidRPr="00A64A59">
        <w:rPr>
          <w:rFonts w:eastAsia="Calibri"/>
          <w:sz w:val="24"/>
          <w:szCs w:val="24"/>
          <w:lang w:val="en-US"/>
        </w:rPr>
        <w:t xml:space="preserve">(1996). </w:t>
      </w:r>
      <w:r w:rsidRPr="00A64A59">
        <w:rPr>
          <w:rFonts w:eastAsia="Calibri"/>
          <w:sz w:val="24"/>
          <w:szCs w:val="24"/>
          <w:lang w:val="en-US"/>
        </w:rPr>
        <w:t xml:space="preserve">Technical Change and Human-Capital Returns and Investments: Evidence from the Green Revolution. </w:t>
      </w:r>
      <w:proofErr w:type="spellStart"/>
      <w:r w:rsidRPr="00311386">
        <w:rPr>
          <w:rFonts w:eastAsia="Calibri"/>
          <w:i/>
          <w:sz w:val="24"/>
          <w:szCs w:val="24"/>
        </w:rPr>
        <w:t>The</w:t>
      </w:r>
      <w:proofErr w:type="spellEnd"/>
      <w:r w:rsidRPr="00311386">
        <w:rPr>
          <w:rFonts w:eastAsia="Calibri"/>
          <w:i/>
          <w:sz w:val="24"/>
          <w:szCs w:val="24"/>
        </w:rPr>
        <w:t xml:space="preserve"> </w:t>
      </w:r>
      <w:proofErr w:type="spellStart"/>
      <w:r w:rsidRPr="00311386">
        <w:rPr>
          <w:rFonts w:eastAsia="Calibri"/>
          <w:i/>
          <w:sz w:val="24"/>
          <w:szCs w:val="24"/>
        </w:rPr>
        <w:t>American</w:t>
      </w:r>
      <w:proofErr w:type="spellEnd"/>
      <w:r w:rsidRPr="00311386">
        <w:rPr>
          <w:rFonts w:eastAsia="Calibri"/>
          <w:i/>
          <w:sz w:val="24"/>
          <w:szCs w:val="24"/>
        </w:rPr>
        <w:t xml:space="preserve"> </w:t>
      </w:r>
      <w:proofErr w:type="spellStart"/>
      <w:r w:rsidRPr="00311386">
        <w:rPr>
          <w:rFonts w:eastAsia="Calibri"/>
          <w:i/>
          <w:sz w:val="24"/>
          <w:szCs w:val="24"/>
        </w:rPr>
        <w:t>Economic</w:t>
      </w:r>
      <w:proofErr w:type="spellEnd"/>
      <w:r w:rsidRPr="00311386">
        <w:rPr>
          <w:rFonts w:eastAsia="Calibri"/>
          <w:i/>
          <w:sz w:val="24"/>
          <w:szCs w:val="24"/>
        </w:rPr>
        <w:t xml:space="preserve"> </w:t>
      </w:r>
      <w:proofErr w:type="spellStart"/>
      <w:r w:rsidRPr="00311386">
        <w:rPr>
          <w:rFonts w:eastAsia="Calibri"/>
          <w:i/>
          <w:sz w:val="24"/>
          <w:szCs w:val="24"/>
        </w:rPr>
        <w:t>Review</w:t>
      </w:r>
      <w:proofErr w:type="spellEnd"/>
      <w:r w:rsidRPr="00A64A59">
        <w:rPr>
          <w:rFonts w:eastAsia="Calibri"/>
          <w:sz w:val="24"/>
          <w:szCs w:val="24"/>
        </w:rPr>
        <w:t>, 86 (4), p. 931-953.</w:t>
      </w:r>
    </w:p>
    <w:p w:rsidR="00A05AA0" w:rsidRPr="00BB71D1" w:rsidRDefault="00AC4A1A" w:rsidP="00B3163D">
      <w:pPr>
        <w:autoSpaceDE w:val="0"/>
        <w:autoSpaceDN w:val="0"/>
        <w:adjustRightInd w:val="0"/>
        <w:spacing w:after="120"/>
        <w:jc w:val="both"/>
        <w:rPr>
          <w:sz w:val="24"/>
          <w:szCs w:val="24"/>
        </w:rPr>
      </w:pPr>
      <w:r w:rsidRPr="00BB71D1">
        <w:rPr>
          <w:sz w:val="24"/>
          <w:szCs w:val="24"/>
        </w:rPr>
        <w:t>GREENE, W. (</w:t>
      </w:r>
      <w:r w:rsidR="00A64A59" w:rsidRPr="00BB71D1">
        <w:rPr>
          <w:sz w:val="24"/>
          <w:szCs w:val="24"/>
        </w:rPr>
        <w:t>2002</w:t>
      </w:r>
      <w:r w:rsidR="00A64A59" w:rsidRPr="00311386">
        <w:rPr>
          <w:i/>
          <w:sz w:val="24"/>
          <w:szCs w:val="24"/>
        </w:rPr>
        <w:t xml:space="preserve">). </w:t>
      </w:r>
      <w:proofErr w:type="spellStart"/>
      <w:r w:rsidRPr="00311386">
        <w:rPr>
          <w:i/>
          <w:sz w:val="24"/>
          <w:szCs w:val="24"/>
        </w:rPr>
        <w:t>Econometric</w:t>
      </w:r>
      <w:proofErr w:type="spellEnd"/>
      <w:r w:rsidRPr="00311386">
        <w:rPr>
          <w:i/>
          <w:sz w:val="24"/>
          <w:szCs w:val="24"/>
        </w:rPr>
        <w:t xml:space="preserve"> </w:t>
      </w:r>
      <w:proofErr w:type="spellStart"/>
      <w:r w:rsidRPr="00311386">
        <w:rPr>
          <w:i/>
          <w:sz w:val="24"/>
          <w:szCs w:val="24"/>
        </w:rPr>
        <w:t>Analysis</w:t>
      </w:r>
      <w:proofErr w:type="spellEnd"/>
      <w:r w:rsidRPr="00BB71D1">
        <w:rPr>
          <w:sz w:val="24"/>
          <w:szCs w:val="24"/>
        </w:rPr>
        <w:t xml:space="preserve">. </w:t>
      </w:r>
      <w:r w:rsidR="00A05AA0" w:rsidRPr="00BB71D1">
        <w:rPr>
          <w:sz w:val="24"/>
          <w:szCs w:val="24"/>
        </w:rPr>
        <w:t xml:space="preserve">5rd. </w:t>
      </w:r>
      <w:proofErr w:type="spellStart"/>
      <w:r w:rsidR="00A05AA0" w:rsidRPr="00BB71D1">
        <w:rPr>
          <w:sz w:val="24"/>
          <w:szCs w:val="24"/>
        </w:rPr>
        <w:t>New</w:t>
      </w:r>
      <w:proofErr w:type="spellEnd"/>
      <w:r w:rsidR="00A05AA0" w:rsidRPr="00BB71D1">
        <w:rPr>
          <w:sz w:val="24"/>
          <w:szCs w:val="24"/>
        </w:rPr>
        <w:t xml:space="preserve"> York: </w:t>
      </w:r>
      <w:proofErr w:type="spellStart"/>
      <w:r w:rsidR="00A05AA0" w:rsidRPr="00BB71D1">
        <w:rPr>
          <w:sz w:val="24"/>
          <w:szCs w:val="24"/>
        </w:rPr>
        <w:t>Macmillan</w:t>
      </w:r>
      <w:proofErr w:type="spellEnd"/>
      <w:r w:rsidR="00A05AA0" w:rsidRPr="00BB71D1">
        <w:rPr>
          <w:sz w:val="24"/>
          <w:szCs w:val="24"/>
        </w:rPr>
        <w:t>, 1026p.</w:t>
      </w:r>
    </w:p>
    <w:p w:rsidR="00A05AA0" w:rsidRPr="00A64A59" w:rsidRDefault="00A05AA0" w:rsidP="00B3163D">
      <w:pPr>
        <w:spacing w:after="120"/>
        <w:jc w:val="both"/>
        <w:rPr>
          <w:sz w:val="24"/>
          <w:szCs w:val="24"/>
          <w:lang w:val="en-US"/>
        </w:rPr>
      </w:pPr>
      <w:r w:rsidRPr="00A64A59">
        <w:rPr>
          <w:sz w:val="24"/>
          <w:szCs w:val="24"/>
        </w:rPr>
        <w:t>GUJARATI, D.</w:t>
      </w:r>
      <w:r w:rsidR="00A64A59" w:rsidRPr="00A64A59">
        <w:rPr>
          <w:sz w:val="24"/>
          <w:szCs w:val="24"/>
        </w:rPr>
        <w:t xml:space="preserve"> </w:t>
      </w:r>
      <w:r w:rsidRPr="00A64A59">
        <w:rPr>
          <w:sz w:val="24"/>
          <w:szCs w:val="24"/>
        </w:rPr>
        <w:t xml:space="preserve">N. </w:t>
      </w:r>
      <w:r w:rsidR="00A64A59" w:rsidRPr="00A64A59">
        <w:rPr>
          <w:sz w:val="24"/>
          <w:szCs w:val="24"/>
        </w:rPr>
        <w:t xml:space="preserve">(2006) </w:t>
      </w:r>
      <w:r w:rsidRPr="00311386">
        <w:rPr>
          <w:i/>
          <w:sz w:val="24"/>
          <w:szCs w:val="24"/>
        </w:rPr>
        <w:t>Econometria básica</w:t>
      </w:r>
      <w:r w:rsidRPr="00A64A59">
        <w:rPr>
          <w:sz w:val="24"/>
          <w:szCs w:val="24"/>
        </w:rPr>
        <w:t xml:space="preserve">. </w:t>
      </w:r>
      <w:proofErr w:type="spellStart"/>
      <w:r w:rsidRPr="00A64A59">
        <w:rPr>
          <w:sz w:val="24"/>
          <w:szCs w:val="24"/>
          <w:lang w:val="en-US"/>
        </w:rPr>
        <w:t>Editora</w:t>
      </w:r>
      <w:proofErr w:type="spellEnd"/>
      <w:r w:rsidRPr="00A64A59">
        <w:rPr>
          <w:sz w:val="24"/>
          <w:szCs w:val="24"/>
          <w:lang w:val="en-US"/>
        </w:rPr>
        <w:t xml:space="preserve"> Campus, 812p.</w:t>
      </w:r>
    </w:p>
    <w:p w:rsidR="00A05AA0" w:rsidRPr="00A64A59" w:rsidRDefault="00A05AA0" w:rsidP="00B3163D">
      <w:pPr>
        <w:pStyle w:val="Textodenotaderodap"/>
        <w:spacing w:after="120"/>
        <w:jc w:val="both"/>
        <w:rPr>
          <w:sz w:val="24"/>
          <w:szCs w:val="24"/>
          <w:lang w:val="en-US"/>
        </w:rPr>
      </w:pPr>
      <w:r w:rsidRPr="00A64A59">
        <w:rPr>
          <w:sz w:val="24"/>
          <w:szCs w:val="24"/>
        </w:rPr>
        <w:t xml:space="preserve">HAGENAARS, A.; DE VOS, K. </w:t>
      </w:r>
      <w:r w:rsidR="00A64A59" w:rsidRPr="00A64A59">
        <w:rPr>
          <w:sz w:val="24"/>
          <w:szCs w:val="24"/>
        </w:rPr>
        <w:t xml:space="preserve">(1988). </w:t>
      </w:r>
      <w:proofErr w:type="gramStart"/>
      <w:r w:rsidRPr="00A64A59">
        <w:rPr>
          <w:sz w:val="24"/>
          <w:szCs w:val="24"/>
          <w:lang w:val="en-US"/>
        </w:rPr>
        <w:t>The definition and measurement of poverty.</w:t>
      </w:r>
      <w:proofErr w:type="gramEnd"/>
      <w:r w:rsidRPr="00A64A59">
        <w:rPr>
          <w:sz w:val="24"/>
          <w:szCs w:val="24"/>
          <w:lang w:val="en-US"/>
        </w:rPr>
        <w:t xml:space="preserve"> </w:t>
      </w:r>
      <w:r w:rsidRPr="00311386">
        <w:rPr>
          <w:i/>
          <w:sz w:val="24"/>
          <w:szCs w:val="24"/>
          <w:lang w:val="en-US"/>
        </w:rPr>
        <w:t xml:space="preserve">The Journal </w:t>
      </w:r>
      <w:proofErr w:type="gramStart"/>
      <w:r w:rsidRPr="00311386">
        <w:rPr>
          <w:i/>
          <w:sz w:val="24"/>
          <w:szCs w:val="24"/>
          <w:lang w:val="en-US"/>
        </w:rPr>
        <w:t xml:space="preserve">of  </w:t>
      </w:r>
      <w:proofErr w:type="spellStart"/>
      <w:r w:rsidRPr="00311386">
        <w:rPr>
          <w:i/>
          <w:sz w:val="24"/>
          <w:szCs w:val="24"/>
          <w:lang w:val="en-US"/>
        </w:rPr>
        <w:t>uma</w:t>
      </w:r>
      <w:proofErr w:type="spellEnd"/>
      <w:proofErr w:type="gramEnd"/>
      <w:r w:rsidR="00311386" w:rsidRPr="00311386">
        <w:rPr>
          <w:i/>
          <w:sz w:val="24"/>
          <w:szCs w:val="24"/>
          <w:lang w:val="en-US"/>
        </w:rPr>
        <w:t xml:space="preserve"> </w:t>
      </w:r>
      <w:r w:rsidRPr="00311386">
        <w:rPr>
          <w:i/>
          <w:sz w:val="24"/>
          <w:szCs w:val="24"/>
          <w:lang w:val="en-US"/>
        </w:rPr>
        <w:t>Resources</w:t>
      </w:r>
      <w:r w:rsidRPr="00A64A59">
        <w:rPr>
          <w:sz w:val="24"/>
          <w:szCs w:val="24"/>
          <w:lang w:val="en-US"/>
        </w:rPr>
        <w:t>, v. 23, n. 2, p. 211-221, Spring.</w:t>
      </w:r>
    </w:p>
    <w:p w:rsidR="00A05AA0" w:rsidRPr="00A64A59" w:rsidRDefault="00A05AA0" w:rsidP="00B3163D">
      <w:pPr>
        <w:autoSpaceDE w:val="0"/>
        <w:autoSpaceDN w:val="0"/>
        <w:adjustRightInd w:val="0"/>
        <w:spacing w:after="120"/>
        <w:jc w:val="both"/>
        <w:rPr>
          <w:sz w:val="24"/>
          <w:szCs w:val="24"/>
          <w:lang w:val="it-IT"/>
        </w:rPr>
      </w:pPr>
      <w:r w:rsidRPr="00A64A59">
        <w:rPr>
          <w:sz w:val="24"/>
          <w:szCs w:val="24"/>
          <w:lang w:val="en-US"/>
        </w:rPr>
        <w:t xml:space="preserve">HAUSMAN, J. A. </w:t>
      </w:r>
      <w:r w:rsidR="00A64A59" w:rsidRPr="00A64A59">
        <w:rPr>
          <w:sz w:val="24"/>
          <w:szCs w:val="24"/>
          <w:lang w:val="en-US"/>
        </w:rPr>
        <w:t xml:space="preserve">(1978). </w:t>
      </w:r>
      <w:r w:rsidRPr="00A64A59">
        <w:rPr>
          <w:sz w:val="24"/>
          <w:szCs w:val="24"/>
          <w:lang w:val="en-US"/>
        </w:rPr>
        <w:t xml:space="preserve">Specification tests in econometrics. </w:t>
      </w:r>
      <w:r w:rsidRPr="00311386">
        <w:rPr>
          <w:bCs/>
          <w:i/>
          <w:sz w:val="24"/>
          <w:szCs w:val="24"/>
          <w:lang w:val="it-IT"/>
        </w:rPr>
        <w:t>Econometrica</w:t>
      </w:r>
      <w:r w:rsidRPr="00A64A59">
        <w:rPr>
          <w:bCs/>
          <w:sz w:val="24"/>
          <w:szCs w:val="24"/>
          <w:lang w:val="it-IT"/>
        </w:rPr>
        <w:t>, Chicago, v.</w:t>
      </w:r>
      <w:r w:rsidRPr="00A64A59">
        <w:rPr>
          <w:sz w:val="24"/>
          <w:szCs w:val="24"/>
          <w:lang w:val="it-IT"/>
        </w:rPr>
        <w:t xml:space="preserve"> 46, n. 5, p.1251-1271, Sep. </w:t>
      </w:r>
    </w:p>
    <w:p w:rsidR="00A05AA0" w:rsidRPr="00A64A59" w:rsidRDefault="00A05AA0" w:rsidP="00B3163D">
      <w:pPr>
        <w:pStyle w:val="Textodenotaderodap"/>
        <w:spacing w:after="120"/>
        <w:jc w:val="both"/>
        <w:rPr>
          <w:sz w:val="24"/>
          <w:szCs w:val="24"/>
        </w:rPr>
      </w:pPr>
      <w:r w:rsidRPr="00A64A59">
        <w:rPr>
          <w:sz w:val="24"/>
          <w:szCs w:val="24"/>
        </w:rPr>
        <w:t xml:space="preserve">IBGE (2009) Instituto Brasileiro de Geografia e Estatística: </w:t>
      </w:r>
      <w:hyperlink r:id="rId128" w:history="1">
        <w:r w:rsidRPr="00A64A59">
          <w:rPr>
            <w:rStyle w:val="Hyperlink"/>
            <w:color w:val="auto"/>
            <w:sz w:val="24"/>
            <w:szCs w:val="24"/>
          </w:rPr>
          <w:t>http://www.ibge.gov.br/home/php</w:t>
        </w:r>
      </w:hyperlink>
      <w:r w:rsidRPr="00A64A59">
        <w:rPr>
          <w:sz w:val="24"/>
          <w:szCs w:val="24"/>
        </w:rPr>
        <w:t>. Acesso em novembro de 2012.</w:t>
      </w:r>
    </w:p>
    <w:p w:rsidR="00A05AA0" w:rsidRPr="00A64A59" w:rsidRDefault="00A05AA0" w:rsidP="00B3163D">
      <w:pPr>
        <w:spacing w:after="120"/>
        <w:jc w:val="both"/>
        <w:rPr>
          <w:rFonts w:eastAsia="Calibri"/>
          <w:sz w:val="24"/>
          <w:szCs w:val="24"/>
          <w:lang w:val="en-US"/>
        </w:rPr>
      </w:pPr>
      <w:r w:rsidRPr="00A64A59">
        <w:rPr>
          <w:sz w:val="24"/>
          <w:szCs w:val="24"/>
        </w:rPr>
        <w:t>IPEA</w:t>
      </w:r>
      <w:r w:rsidR="00A64A59" w:rsidRPr="00A64A59">
        <w:rPr>
          <w:sz w:val="24"/>
          <w:szCs w:val="24"/>
        </w:rPr>
        <w:t xml:space="preserve"> (2012)</w:t>
      </w:r>
      <w:r w:rsidRPr="00A64A59">
        <w:rPr>
          <w:sz w:val="24"/>
          <w:szCs w:val="24"/>
        </w:rPr>
        <w:t>. “Produtividade no Brasil nos anos 2000-2009: análise das Contas Nacionais</w:t>
      </w:r>
      <w:r w:rsidRPr="00311386">
        <w:rPr>
          <w:i/>
          <w:sz w:val="24"/>
          <w:szCs w:val="24"/>
        </w:rPr>
        <w:t xml:space="preserve">”. </w:t>
      </w:r>
      <w:proofErr w:type="spellStart"/>
      <w:r w:rsidRPr="00311386">
        <w:rPr>
          <w:i/>
          <w:iCs/>
          <w:sz w:val="24"/>
          <w:szCs w:val="24"/>
          <w:lang w:val="en-US"/>
        </w:rPr>
        <w:t>Comunicados</w:t>
      </w:r>
      <w:proofErr w:type="spellEnd"/>
      <w:r w:rsidRPr="00311386">
        <w:rPr>
          <w:i/>
          <w:iCs/>
          <w:sz w:val="24"/>
          <w:szCs w:val="24"/>
          <w:lang w:val="en-US"/>
        </w:rPr>
        <w:t xml:space="preserve"> do IPEA</w:t>
      </w:r>
      <w:r w:rsidRPr="00A64A59">
        <w:rPr>
          <w:iCs/>
          <w:sz w:val="24"/>
          <w:szCs w:val="24"/>
          <w:lang w:val="en-US"/>
        </w:rPr>
        <w:t xml:space="preserve"> </w:t>
      </w:r>
      <w:r w:rsidR="00311386">
        <w:rPr>
          <w:sz w:val="24"/>
          <w:szCs w:val="24"/>
          <w:lang w:val="en-US"/>
        </w:rPr>
        <w:t>n. 133, Brasília.</w:t>
      </w:r>
    </w:p>
    <w:p w:rsidR="00A05AA0" w:rsidRPr="00A64A59" w:rsidRDefault="00A05AA0" w:rsidP="00B3163D">
      <w:pPr>
        <w:spacing w:after="120"/>
        <w:jc w:val="both"/>
        <w:rPr>
          <w:rFonts w:eastAsia="Calibri"/>
          <w:sz w:val="24"/>
          <w:szCs w:val="24"/>
          <w:lang w:val="en-US"/>
        </w:rPr>
      </w:pPr>
      <w:r w:rsidRPr="00A64A59">
        <w:rPr>
          <w:rFonts w:eastAsia="Calibri"/>
          <w:sz w:val="24"/>
          <w:szCs w:val="24"/>
          <w:lang w:val="en-US"/>
        </w:rPr>
        <w:t xml:space="preserve">KAKWANI, N.; PERNIA, E. (2000) </w:t>
      </w:r>
      <w:proofErr w:type="gramStart"/>
      <w:r w:rsidRPr="00A64A59">
        <w:rPr>
          <w:rFonts w:eastAsia="Calibri"/>
          <w:sz w:val="24"/>
          <w:szCs w:val="24"/>
          <w:lang w:val="en-US"/>
        </w:rPr>
        <w:t>What</w:t>
      </w:r>
      <w:proofErr w:type="gramEnd"/>
      <w:r w:rsidRPr="00A64A59">
        <w:rPr>
          <w:rFonts w:eastAsia="Calibri"/>
          <w:sz w:val="24"/>
          <w:szCs w:val="24"/>
          <w:lang w:val="en-US"/>
        </w:rPr>
        <w:t xml:space="preserve"> is Pro-Poor Growth? </w:t>
      </w:r>
      <w:proofErr w:type="gramStart"/>
      <w:r w:rsidRPr="00311386">
        <w:rPr>
          <w:rFonts w:eastAsia="Calibri"/>
          <w:i/>
          <w:sz w:val="24"/>
          <w:szCs w:val="24"/>
          <w:lang w:val="en-US"/>
        </w:rPr>
        <w:t>Asian Development Review</w:t>
      </w:r>
      <w:r w:rsidRPr="00A64A59">
        <w:rPr>
          <w:rFonts w:eastAsia="Calibri"/>
          <w:sz w:val="24"/>
          <w:szCs w:val="24"/>
          <w:lang w:val="en-US"/>
        </w:rPr>
        <w:t xml:space="preserve"> 16(1).</w:t>
      </w:r>
      <w:proofErr w:type="gramEnd"/>
    </w:p>
    <w:p w:rsidR="008A2CE9" w:rsidRPr="00A64A59" w:rsidRDefault="008A2CE9" w:rsidP="00B3163D">
      <w:pPr>
        <w:autoSpaceDE w:val="0"/>
        <w:autoSpaceDN w:val="0"/>
        <w:adjustRightInd w:val="0"/>
        <w:spacing w:after="120"/>
        <w:jc w:val="both"/>
        <w:rPr>
          <w:sz w:val="24"/>
          <w:szCs w:val="24"/>
          <w:lang w:val="en-US"/>
        </w:rPr>
      </w:pPr>
      <w:r w:rsidRPr="00A64A59">
        <w:rPr>
          <w:sz w:val="24"/>
          <w:szCs w:val="24"/>
          <w:lang w:val="en-US"/>
        </w:rPr>
        <w:t>LOPEZ</w:t>
      </w:r>
      <w:r w:rsidRPr="00A64A59">
        <w:rPr>
          <w:bCs/>
          <w:sz w:val="24"/>
          <w:szCs w:val="24"/>
          <w:lang w:val="en-US"/>
        </w:rPr>
        <w:t xml:space="preserve">. </w:t>
      </w:r>
      <w:proofErr w:type="gramStart"/>
      <w:r w:rsidRPr="00A64A59">
        <w:rPr>
          <w:bCs/>
          <w:sz w:val="24"/>
          <w:szCs w:val="24"/>
          <w:lang w:val="en-US"/>
        </w:rPr>
        <w:t>H. (</w:t>
      </w:r>
      <w:r w:rsidRPr="00A64A59">
        <w:rPr>
          <w:sz w:val="24"/>
          <w:szCs w:val="24"/>
          <w:lang w:val="en-US"/>
        </w:rPr>
        <w:t xml:space="preserve">2003) </w:t>
      </w:r>
      <w:r w:rsidRPr="00A64A59">
        <w:rPr>
          <w:bCs/>
          <w:sz w:val="24"/>
          <w:szCs w:val="24"/>
          <w:lang w:val="en-US"/>
        </w:rPr>
        <w:t>Macroeconomics and Inequality.</w:t>
      </w:r>
      <w:proofErr w:type="gramEnd"/>
      <w:r w:rsidRPr="00A64A59">
        <w:rPr>
          <w:bCs/>
          <w:sz w:val="24"/>
          <w:szCs w:val="24"/>
          <w:lang w:val="en-US"/>
        </w:rPr>
        <w:t xml:space="preserve"> </w:t>
      </w:r>
      <w:r w:rsidRPr="00311386">
        <w:rPr>
          <w:bCs/>
          <w:i/>
          <w:sz w:val="24"/>
          <w:szCs w:val="24"/>
          <w:lang w:val="en-US"/>
        </w:rPr>
        <w:t>Th</w:t>
      </w:r>
      <w:r w:rsidRPr="00311386">
        <w:rPr>
          <w:i/>
          <w:sz w:val="24"/>
          <w:szCs w:val="24"/>
          <w:lang w:val="en-US"/>
        </w:rPr>
        <w:t>e World Bank</w:t>
      </w:r>
      <w:r w:rsidRPr="00A64A59">
        <w:rPr>
          <w:sz w:val="24"/>
          <w:szCs w:val="24"/>
          <w:lang w:val="en-US"/>
        </w:rPr>
        <w:t xml:space="preserve"> (World Bank's PREM Poverty Group (MPR), September 25.</w:t>
      </w:r>
    </w:p>
    <w:p w:rsidR="00A05AA0" w:rsidRPr="00A64A59" w:rsidRDefault="00A05AA0" w:rsidP="00B3163D">
      <w:pPr>
        <w:spacing w:after="120"/>
        <w:jc w:val="both"/>
        <w:rPr>
          <w:rFonts w:eastAsia="Calibri"/>
          <w:sz w:val="24"/>
          <w:szCs w:val="24"/>
          <w:lang w:val="en-US"/>
        </w:rPr>
      </w:pPr>
      <w:r w:rsidRPr="00A64A59">
        <w:rPr>
          <w:rFonts w:eastAsia="Calibri"/>
          <w:sz w:val="24"/>
          <w:szCs w:val="24"/>
          <w:lang w:val="en-US"/>
        </w:rPr>
        <w:t xml:space="preserve">LOPEZ, H. </w:t>
      </w:r>
      <w:r w:rsidR="00A64A59" w:rsidRPr="00A64A59">
        <w:rPr>
          <w:rFonts w:eastAsia="Calibri"/>
          <w:sz w:val="24"/>
          <w:szCs w:val="24"/>
          <w:lang w:val="en-US"/>
        </w:rPr>
        <w:t xml:space="preserve">(2004). </w:t>
      </w:r>
      <w:r w:rsidRPr="00A64A59">
        <w:rPr>
          <w:rFonts w:eastAsia="Calibri"/>
          <w:sz w:val="24"/>
          <w:szCs w:val="24"/>
          <w:lang w:val="en-US"/>
        </w:rPr>
        <w:t xml:space="preserve">Pro-poor-Pro-growth: Is there a Trade Off? The World Bank, </w:t>
      </w:r>
      <w:r w:rsidRPr="00311386">
        <w:rPr>
          <w:rFonts w:eastAsia="Calibri"/>
          <w:i/>
          <w:sz w:val="24"/>
          <w:szCs w:val="24"/>
          <w:lang w:val="en-US"/>
        </w:rPr>
        <w:t>Policy Research Working</w:t>
      </w:r>
      <w:r w:rsidRPr="00A64A59">
        <w:rPr>
          <w:rFonts w:eastAsia="Calibri"/>
          <w:sz w:val="24"/>
          <w:szCs w:val="24"/>
          <w:lang w:val="en-US"/>
        </w:rPr>
        <w:t>, Paper No. 3378.</w:t>
      </w:r>
    </w:p>
    <w:p w:rsidR="00A05AA0" w:rsidRPr="00A64A59" w:rsidRDefault="00A05AA0" w:rsidP="00B3163D">
      <w:pPr>
        <w:spacing w:after="120"/>
        <w:jc w:val="both"/>
        <w:rPr>
          <w:rFonts w:eastAsia="Calibri"/>
          <w:bCs/>
          <w:sz w:val="24"/>
          <w:szCs w:val="24"/>
        </w:rPr>
      </w:pPr>
      <w:r w:rsidRPr="00A64A59">
        <w:rPr>
          <w:rFonts w:eastAsia="Calibri"/>
          <w:sz w:val="24"/>
          <w:szCs w:val="24"/>
          <w:lang w:val="pt-PT"/>
        </w:rPr>
        <w:t>MANSO, C. A.; BARRETO, F. A .</w:t>
      </w:r>
      <w:r w:rsidR="00A64A59" w:rsidRPr="00A64A59">
        <w:rPr>
          <w:rFonts w:eastAsia="Calibri"/>
          <w:sz w:val="24"/>
          <w:szCs w:val="24"/>
          <w:lang w:val="pt-PT"/>
        </w:rPr>
        <w:t xml:space="preserve"> (2009). </w:t>
      </w:r>
      <w:r w:rsidRPr="00A64A59">
        <w:rPr>
          <w:rFonts w:eastAsia="Calibri"/>
          <w:bCs/>
          <w:sz w:val="24"/>
          <w:szCs w:val="24"/>
          <w:lang w:val="pt-PT"/>
        </w:rPr>
        <w:t>O Desequilíbrio Regional de Bem-Estar Social no Brasil: Implicações a Partir do Mercado de Trabalho Durante os Ciclos Econômicos</w:t>
      </w:r>
      <w:r w:rsidRPr="00311386">
        <w:rPr>
          <w:rFonts w:eastAsia="Calibri"/>
          <w:bCs/>
          <w:i/>
          <w:sz w:val="24"/>
          <w:szCs w:val="24"/>
          <w:lang w:val="pt-PT"/>
        </w:rPr>
        <w:t xml:space="preserve">. </w:t>
      </w:r>
      <w:r w:rsidRPr="00311386">
        <w:rPr>
          <w:rFonts w:eastAsia="Calibri"/>
          <w:bCs/>
          <w:i/>
          <w:sz w:val="24"/>
          <w:szCs w:val="24"/>
        </w:rPr>
        <w:t>Ensaio Sobre Pobreza</w:t>
      </w:r>
      <w:r w:rsidRPr="00A64A59">
        <w:rPr>
          <w:rFonts w:eastAsia="Calibri"/>
          <w:bCs/>
          <w:sz w:val="24"/>
          <w:szCs w:val="24"/>
        </w:rPr>
        <w:t>, N.º 19.</w:t>
      </w:r>
    </w:p>
    <w:p w:rsidR="00A05AA0" w:rsidRPr="00BB71D1" w:rsidRDefault="00A05AA0" w:rsidP="00B3163D">
      <w:pPr>
        <w:autoSpaceDE w:val="0"/>
        <w:autoSpaceDN w:val="0"/>
        <w:adjustRightInd w:val="0"/>
        <w:spacing w:after="120"/>
        <w:jc w:val="both"/>
        <w:rPr>
          <w:rFonts w:eastAsia="Calibri"/>
          <w:bCs/>
          <w:sz w:val="24"/>
          <w:szCs w:val="24"/>
        </w:rPr>
      </w:pPr>
      <w:r w:rsidRPr="00A64A59">
        <w:rPr>
          <w:iCs/>
          <w:sz w:val="24"/>
          <w:szCs w:val="24"/>
        </w:rPr>
        <w:t>PEREIMA, J. B., NASCIMENTO, R.</w:t>
      </w:r>
      <w:r w:rsidR="00A64A59" w:rsidRPr="00A64A59">
        <w:rPr>
          <w:iCs/>
          <w:sz w:val="24"/>
          <w:szCs w:val="24"/>
        </w:rPr>
        <w:t xml:space="preserve"> (2012). C</w:t>
      </w:r>
      <w:r w:rsidRPr="00A64A59">
        <w:rPr>
          <w:bCs/>
          <w:sz w:val="24"/>
          <w:szCs w:val="24"/>
        </w:rPr>
        <w:t xml:space="preserve">rescimento, emprego e renda no Brasil: rumo ao pleno emprego produtivo. </w:t>
      </w:r>
      <w:r w:rsidRPr="00311386">
        <w:rPr>
          <w:i/>
          <w:sz w:val="24"/>
          <w:szCs w:val="24"/>
        </w:rPr>
        <w:t>Revista Economia &amp; Tecnologia (RET</w:t>
      </w:r>
      <w:r w:rsidRPr="00BB71D1">
        <w:rPr>
          <w:sz w:val="24"/>
          <w:szCs w:val="24"/>
        </w:rPr>
        <w:t>). Vol., Número 2, p. 61-80, Abr/Jun.</w:t>
      </w:r>
    </w:p>
    <w:p w:rsidR="00A05AA0" w:rsidRPr="00A64A59" w:rsidRDefault="00A05AA0" w:rsidP="00B3163D">
      <w:pPr>
        <w:spacing w:after="120"/>
        <w:jc w:val="both"/>
        <w:rPr>
          <w:rFonts w:eastAsia="Calibri"/>
          <w:sz w:val="24"/>
          <w:szCs w:val="24"/>
          <w:lang w:val="en-US"/>
        </w:rPr>
      </w:pPr>
      <w:r w:rsidRPr="00BB71D1">
        <w:rPr>
          <w:rFonts w:eastAsia="Calibri"/>
          <w:sz w:val="24"/>
          <w:szCs w:val="24"/>
        </w:rPr>
        <w:t xml:space="preserve">RAM, R. </w:t>
      </w:r>
      <w:r w:rsidR="00A64A59" w:rsidRPr="00BB71D1">
        <w:rPr>
          <w:rFonts w:eastAsia="Calibri"/>
          <w:sz w:val="24"/>
          <w:szCs w:val="24"/>
        </w:rPr>
        <w:t xml:space="preserve">(1986). </w:t>
      </w:r>
      <w:r w:rsidRPr="00A64A59">
        <w:rPr>
          <w:rFonts w:eastAsia="Calibri"/>
          <w:sz w:val="24"/>
          <w:szCs w:val="24"/>
          <w:lang w:val="en-US"/>
        </w:rPr>
        <w:t>Government size and economic growth: a new framework and some evidence from cross-section and time-series data.</w:t>
      </w:r>
      <w:r w:rsidR="00311386">
        <w:rPr>
          <w:rFonts w:eastAsia="Calibri"/>
          <w:sz w:val="24"/>
          <w:szCs w:val="24"/>
          <w:lang w:val="en-US"/>
        </w:rPr>
        <w:t xml:space="preserve"> </w:t>
      </w:r>
      <w:r w:rsidRPr="00311386">
        <w:rPr>
          <w:rFonts w:eastAsia="Calibri"/>
          <w:i/>
          <w:iCs/>
          <w:sz w:val="24"/>
          <w:szCs w:val="24"/>
          <w:lang w:val="en-US"/>
        </w:rPr>
        <w:t>American Economic Review</w:t>
      </w:r>
      <w:r w:rsidRPr="00A64A59">
        <w:rPr>
          <w:rFonts w:eastAsia="Calibri"/>
          <w:iCs/>
          <w:sz w:val="24"/>
          <w:szCs w:val="24"/>
          <w:lang w:val="en-US"/>
        </w:rPr>
        <w:t>,</w:t>
      </w:r>
      <w:r w:rsidRPr="00A64A59">
        <w:rPr>
          <w:rFonts w:eastAsia="Calibri"/>
          <w:sz w:val="24"/>
          <w:szCs w:val="24"/>
          <w:lang w:val="en-US"/>
        </w:rPr>
        <w:t xml:space="preserve"> v. 76, n. 1, p. 191-203.</w:t>
      </w:r>
    </w:p>
    <w:p w:rsidR="00A05AA0" w:rsidRPr="00A64A59" w:rsidRDefault="00A05AA0" w:rsidP="00B3163D">
      <w:pPr>
        <w:spacing w:after="120"/>
        <w:jc w:val="both"/>
        <w:rPr>
          <w:rFonts w:eastAsia="Calibri"/>
          <w:sz w:val="24"/>
          <w:szCs w:val="24"/>
          <w:lang w:val="en-US"/>
        </w:rPr>
      </w:pPr>
      <w:r w:rsidRPr="00A64A59">
        <w:rPr>
          <w:rFonts w:eastAsia="Calibri"/>
          <w:sz w:val="24"/>
          <w:szCs w:val="24"/>
          <w:lang w:val="en-US"/>
        </w:rPr>
        <w:t xml:space="preserve">RAVALLION, M.; CHEN, S. (2003) Measuring Pro-poor Growth, </w:t>
      </w:r>
      <w:r w:rsidRPr="00311386">
        <w:rPr>
          <w:rFonts w:eastAsia="Calibri"/>
          <w:i/>
          <w:sz w:val="24"/>
          <w:szCs w:val="24"/>
          <w:lang w:val="en-US"/>
        </w:rPr>
        <w:t xml:space="preserve">Economic </w:t>
      </w:r>
      <w:proofErr w:type="gramStart"/>
      <w:r w:rsidRPr="00311386">
        <w:rPr>
          <w:rFonts w:eastAsia="Calibri"/>
          <w:i/>
          <w:sz w:val="24"/>
          <w:szCs w:val="24"/>
          <w:lang w:val="en-US"/>
        </w:rPr>
        <w:t>Letters</w:t>
      </w:r>
      <w:r w:rsidRPr="00A64A59">
        <w:rPr>
          <w:rFonts w:eastAsia="Calibri"/>
          <w:sz w:val="24"/>
          <w:szCs w:val="24"/>
          <w:lang w:val="en-US"/>
        </w:rPr>
        <w:t xml:space="preserve"> ,</w:t>
      </w:r>
      <w:proofErr w:type="gramEnd"/>
      <w:r w:rsidRPr="00A64A59">
        <w:rPr>
          <w:rFonts w:eastAsia="Calibri"/>
          <w:sz w:val="24"/>
          <w:szCs w:val="24"/>
          <w:lang w:val="en-US"/>
        </w:rPr>
        <w:t xml:space="preserve"> Vol. 78 (1).</w:t>
      </w:r>
    </w:p>
    <w:p w:rsidR="00A05AA0" w:rsidRPr="00A64A59" w:rsidRDefault="00A05AA0" w:rsidP="00B3163D">
      <w:pPr>
        <w:pStyle w:val="Textodenotaderodap"/>
        <w:spacing w:after="120"/>
        <w:jc w:val="both"/>
        <w:rPr>
          <w:sz w:val="24"/>
          <w:szCs w:val="24"/>
        </w:rPr>
      </w:pPr>
      <w:r w:rsidRPr="00A64A59">
        <w:rPr>
          <w:sz w:val="24"/>
          <w:szCs w:val="24"/>
        </w:rPr>
        <w:t>RIGOTTO, M</w:t>
      </w:r>
      <w:r w:rsidR="00A64A59" w:rsidRPr="00A64A59">
        <w:rPr>
          <w:sz w:val="24"/>
          <w:szCs w:val="24"/>
        </w:rPr>
        <w:t xml:space="preserve">. </w:t>
      </w:r>
      <w:r w:rsidRPr="00A64A59">
        <w:rPr>
          <w:sz w:val="24"/>
          <w:szCs w:val="24"/>
        </w:rPr>
        <w:t>E</w:t>
      </w:r>
      <w:proofErr w:type="gramStart"/>
      <w:r w:rsidR="00A64A59" w:rsidRPr="00A64A59">
        <w:rPr>
          <w:sz w:val="24"/>
          <w:szCs w:val="24"/>
        </w:rPr>
        <w:t>.</w:t>
      </w:r>
      <w:r w:rsidRPr="00A64A59">
        <w:rPr>
          <w:sz w:val="24"/>
          <w:szCs w:val="24"/>
        </w:rPr>
        <w:t>;</w:t>
      </w:r>
      <w:proofErr w:type="gramEnd"/>
      <w:r w:rsidRPr="00A64A59">
        <w:rPr>
          <w:sz w:val="24"/>
          <w:szCs w:val="24"/>
        </w:rPr>
        <w:t xml:space="preserve"> SOUZA, N</w:t>
      </w:r>
      <w:r w:rsidR="00A64A59" w:rsidRPr="00A64A59">
        <w:rPr>
          <w:sz w:val="24"/>
          <w:szCs w:val="24"/>
        </w:rPr>
        <w:t xml:space="preserve">. </w:t>
      </w:r>
      <w:r w:rsidRPr="00A64A59">
        <w:rPr>
          <w:sz w:val="24"/>
          <w:szCs w:val="24"/>
        </w:rPr>
        <w:t>J</w:t>
      </w:r>
      <w:r w:rsidR="00A64A59" w:rsidRPr="00A64A59">
        <w:rPr>
          <w:sz w:val="24"/>
          <w:szCs w:val="24"/>
        </w:rPr>
        <w:t xml:space="preserve">. (2005). </w:t>
      </w:r>
      <w:r w:rsidRPr="00A64A59">
        <w:rPr>
          <w:sz w:val="24"/>
          <w:szCs w:val="24"/>
        </w:rPr>
        <w:t>Evolução da educação no Brasil, 1970</w:t>
      </w:r>
      <w:r w:rsidRPr="00A64A59">
        <w:rPr>
          <w:rFonts w:ascii="Cambria Math" w:hAnsi="Cambria Math"/>
          <w:sz w:val="24"/>
          <w:szCs w:val="24"/>
        </w:rPr>
        <w:t>‐</w:t>
      </w:r>
      <w:r w:rsidRPr="00A64A59">
        <w:rPr>
          <w:sz w:val="24"/>
          <w:szCs w:val="24"/>
        </w:rPr>
        <w:t xml:space="preserve">2003. </w:t>
      </w:r>
      <w:r w:rsidRPr="00311386">
        <w:rPr>
          <w:i/>
          <w:sz w:val="24"/>
          <w:szCs w:val="24"/>
        </w:rPr>
        <w:t>Análise</w:t>
      </w:r>
      <w:r w:rsidRPr="00A64A59">
        <w:rPr>
          <w:sz w:val="24"/>
          <w:szCs w:val="24"/>
        </w:rPr>
        <w:t>, Porto Alegre, v.16, n. 2, p. 339</w:t>
      </w:r>
      <w:r w:rsidRPr="00A64A59">
        <w:rPr>
          <w:rFonts w:ascii="Cambria Math" w:hAnsi="Cambria Math"/>
          <w:sz w:val="24"/>
          <w:szCs w:val="24"/>
        </w:rPr>
        <w:t>‐</w:t>
      </w:r>
      <w:r w:rsidRPr="00A64A59">
        <w:rPr>
          <w:sz w:val="24"/>
          <w:szCs w:val="24"/>
        </w:rPr>
        <w:t xml:space="preserve">358, ago./dez. </w:t>
      </w:r>
    </w:p>
    <w:p w:rsidR="00A05AA0" w:rsidRPr="00A64A59" w:rsidRDefault="00A05AA0" w:rsidP="00B3163D">
      <w:pPr>
        <w:autoSpaceDE w:val="0"/>
        <w:autoSpaceDN w:val="0"/>
        <w:adjustRightInd w:val="0"/>
        <w:spacing w:after="120"/>
        <w:jc w:val="both"/>
        <w:rPr>
          <w:rFonts w:eastAsia="Calibri"/>
          <w:sz w:val="24"/>
          <w:szCs w:val="24"/>
        </w:rPr>
      </w:pPr>
      <w:r w:rsidRPr="00A64A59">
        <w:rPr>
          <w:bCs/>
          <w:iCs/>
          <w:sz w:val="24"/>
          <w:szCs w:val="24"/>
        </w:rPr>
        <w:t>ROMANATTO, E</w:t>
      </w:r>
      <w:proofErr w:type="gramStart"/>
      <w:r w:rsidRPr="00A64A59">
        <w:rPr>
          <w:bCs/>
          <w:iCs/>
          <w:sz w:val="24"/>
          <w:szCs w:val="24"/>
        </w:rPr>
        <w:t>.,</w:t>
      </w:r>
      <w:proofErr w:type="gramEnd"/>
      <w:r w:rsidRPr="00A64A59">
        <w:rPr>
          <w:bCs/>
          <w:iCs/>
          <w:sz w:val="24"/>
          <w:szCs w:val="24"/>
        </w:rPr>
        <w:t xml:space="preserve"> PORCILE, G., CURADO, M. </w:t>
      </w:r>
      <w:r w:rsidR="00A64A59" w:rsidRPr="00A64A59">
        <w:rPr>
          <w:bCs/>
          <w:iCs/>
          <w:sz w:val="24"/>
          <w:szCs w:val="24"/>
        </w:rPr>
        <w:t>(2008). P</w:t>
      </w:r>
      <w:r w:rsidRPr="00A64A59">
        <w:rPr>
          <w:bCs/>
          <w:sz w:val="24"/>
          <w:szCs w:val="24"/>
        </w:rPr>
        <w:t xml:space="preserve">rodutividade, salários e taxa de câmbio: uma análise da experiência brasileira nos anos 1990. </w:t>
      </w:r>
      <w:r w:rsidRPr="00A64A59">
        <w:rPr>
          <w:sz w:val="24"/>
          <w:szCs w:val="24"/>
        </w:rPr>
        <w:t xml:space="preserve">R. </w:t>
      </w:r>
      <w:r w:rsidRPr="00311386">
        <w:rPr>
          <w:i/>
          <w:sz w:val="24"/>
          <w:szCs w:val="24"/>
        </w:rPr>
        <w:t>Econ. contemp</w:t>
      </w:r>
      <w:r w:rsidRPr="00A64A59">
        <w:rPr>
          <w:sz w:val="24"/>
          <w:szCs w:val="24"/>
        </w:rPr>
        <w:t xml:space="preserve">., Rio de Janeiro, v. 12, n. 3, p. 545-570, set./dez. </w:t>
      </w:r>
    </w:p>
    <w:p w:rsidR="00A05AA0" w:rsidRPr="00BB71D1" w:rsidRDefault="00A64A59" w:rsidP="00B3163D">
      <w:pPr>
        <w:pStyle w:val="Textodenotaderodap"/>
        <w:spacing w:after="120"/>
        <w:jc w:val="both"/>
        <w:rPr>
          <w:sz w:val="24"/>
          <w:szCs w:val="24"/>
          <w:shd w:val="clear" w:color="auto" w:fill="F4F7FB"/>
          <w:lang w:val="en-US"/>
        </w:rPr>
      </w:pPr>
      <w:r w:rsidRPr="00BB71D1">
        <w:rPr>
          <w:sz w:val="24"/>
          <w:szCs w:val="24"/>
          <w:shd w:val="clear" w:color="auto" w:fill="F4F7FB"/>
          <w:lang w:val="en-US"/>
        </w:rPr>
        <w:t>SEN</w:t>
      </w:r>
      <w:r w:rsidR="00A05AA0" w:rsidRPr="00BB71D1">
        <w:rPr>
          <w:sz w:val="24"/>
          <w:szCs w:val="24"/>
          <w:shd w:val="clear" w:color="auto" w:fill="F4F7FB"/>
          <w:lang w:val="en-US"/>
        </w:rPr>
        <w:t xml:space="preserve">, A. </w:t>
      </w:r>
      <w:r w:rsidRPr="00BB71D1">
        <w:rPr>
          <w:sz w:val="24"/>
          <w:szCs w:val="24"/>
          <w:shd w:val="clear" w:color="auto" w:fill="F4F7FB"/>
          <w:lang w:val="en-US"/>
        </w:rPr>
        <w:t>(</w:t>
      </w:r>
      <w:r w:rsidR="00A05AA0" w:rsidRPr="00BB71D1">
        <w:rPr>
          <w:sz w:val="24"/>
          <w:szCs w:val="24"/>
          <w:shd w:val="clear" w:color="auto" w:fill="F4F7FB"/>
          <w:lang w:val="en-US"/>
        </w:rPr>
        <w:t>1983</w:t>
      </w:r>
      <w:r w:rsidRPr="00BB71D1">
        <w:rPr>
          <w:sz w:val="24"/>
          <w:szCs w:val="24"/>
          <w:shd w:val="clear" w:color="auto" w:fill="F4F7FB"/>
          <w:lang w:val="en-US"/>
        </w:rPr>
        <w:t>)</w:t>
      </w:r>
      <w:r w:rsidR="00A05AA0" w:rsidRPr="00BB71D1">
        <w:rPr>
          <w:sz w:val="24"/>
          <w:szCs w:val="24"/>
          <w:shd w:val="clear" w:color="auto" w:fill="F4F7FB"/>
          <w:lang w:val="en-US"/>
        </w:rPr>
        <w:t xml:space="preserve">. </w:t>
      </w:r>
      <w:r w:rsidR="00A05AA0" w:rsidRPr="00A64A59">
        <w:rPr>
          <w:rStyle w:val="article-title"/>
          <w:sz w:val="24"/>
          <w:szCs w:val="24"/>
          <w:shd w:val="clear" w:color="auto" w:fill="F4F7FB"/>
          <w:lang w:val="en-US"/>
        </w:rPr>
        <w:t>Development: Which Way Now?</w:t>
      </w:r>
      <w:r w:rsidR="00A05AA0" w:rsidRPr="00A64A59">
        <w:rPr>
          <w:rStyle w:val="apple-converted-space"/>
          <w:sz w:val="24"/>
          <w:szCs w:val="24"/>
          <w:shd w:val="clear" w:color="auto" w:fill="F4F7FB"/>
          <w:lang w:val="en-US"/>
        </w:rPr>
        <w:t xml:space="preserve"> </w:t>
      </w:r>
      <w:r w:rsidR="00A05AA0" w:rsidRPr="00BB71D1">
        <w:rPr>
          <w:rStyle w:val="source"/>
          <w:i/>
          <w:iCs/>
          <w:sz w:val="24"/>
          <w:szCs w:val="24"/>
          <w:shd w:val="clear" w:color="auto" w:fill="F4F7FB"/>
          <w:lang w:val="en-US"/>
        </w:rPr>
        <w:t xml:space="preserve">The Economic Journal </w:t>
      </w:r>
      <w:r w:rsidR="00A05AA0" w:rsidRPr="00BB71D1">
        <w:rPr>
          <w:sz w:val="24"/>
          <w:szCs w:val="24"/>
          <w:shd w:val="clear" w:color="auto" w:fill="F4F7FB"/>
          <w:lang w:val="en-US"/>
        </w:rPr>
        <w:t>93(372):745-762.</w:t>
      </w:r>
    </w:p>
    <w:p w:rsidR="00A64A59" w:rsidRPr="00A64A59" w:rsidRDefault="00A05AA0" w:rsidP="00B3163D">
      <w:pPr>
        <w:spacing w:after="120"/>
        <w:jc w:val="both"/>
        <w:rPr>
          <w:iCs/>
          <w:sz w:val="24"/>
          <w:szCs w:val="24"/>
        </w:rPr>
      </w:pPr>
      <w:proofErr w:type="gramStart"/>
      <w:r w:rsidRPr="00BB71D1">
        <w:rPr>
          <w:sz w:val="24"/>
          <w:szCs w:val="24"/>
          <w:lang w:val="en-US"/>
        </w:rPr>
        <w:t xml:space="preserve">SILVA, G. J. C., JAYME JUNIOR, F. G., MARTINS, R. S. </w:t>
      </w:r>
      <w:r w:rsidR="00A64A59" w:rsidRPr="00BB71D1">
        <w:rPr>
          <w:sz w:val="24"/>
          <w:szCs w:val="24"/>
          <w:lang w:val="en-US"/>
        </w:rPr>
        <w:t>(2009).</w:t>
      </w:r>
      <w:proofErr w:type="gramEnd"/>
      <w:r w:rsidR="00A64A59" w:rsidRPr="00BB71D1">
        <w:rPr>
          <w:sz w:val="24"/>
          <w:szCs w:val="24"/>
          <w:lang w:val="en-US"/>
        </w:rPr>
        <w:t xml:space="preserve"> </w:t>
      </w:r>
      <w:r w:rsidRPr="00A64A59">
        <w:rPr>
          <w:bCs/>
          <w:sz w:val="24"/>
          <w:szCs w:val="24"/>
        </w:rPr>
        <w:t>Gasto público com infraestrutura de transporte e crescimento: uma análise para os estados brasileiros (1986-2003</w:t>
      </w:r>
      <w:r w:rsidRPr="00311386">
        <w:rPr>
          <w:bCs/>
          <w:i/>
          <w:sz w:val="24"/>
          <w:szCs w:val="24"/>
        </w:rPr>
        <w:t xml:space="preserve">). </w:t>
      </w:r>
      <w:r w:rsidRPr="00311386">
        <w:rPr>
          <w:i/>
          <w:iCs/>
          <w:sz w:val="24"/>
          <w:szCs w:val="24"/>
        </w:rPr>
        <w:t>Economia &amp; Tecnologia</w:t>
      </w:r>
      <w:r w:rsidRPr="00A64A59">
        <w:rPr>
          <w:iCs/>
          <w:sz w:val="24"/>
          <w:szCs w:val="24"/>
        </w:rPr>
        <w:t>. Ano 05. Vol. 16 – Janeiro/Março</w:t>
      </w:r>
      <w:r w:rsidR="00A64A59" w:rsidRPr="00A64A59">
        <w:rPr>
          <w:iCs/>
          <w:sz w:val="24"/>
          <w:szCs w:val="24"/>
        </w:rPr>
        <w:t>.</w:t>
      </w:r>
    </w:p>
    <w:p w:rsidR="001E0460" w:rsidRDefault="00A05AA0" w:rsidP="00B3163D">
      <w:pPr>
        <w:spacing w:after="120"/>
        <w:jc w:val="both"/>
        <w:rPr>
          <w:sz w:val="24"/>
          <w:szCs w:val="24"/>
          <w:lang w:val="en-US"/>
        </w:rPr>
      </w:pPr>
      <w:proofErr w:type="gramStart"/>
      <w:r w:rsidRPr="00A64A59">
        <w:rPr>
          <w:rFonts w:eastAsia="Calibri"/>
          <w:sz w:val="24"/>
          <w:szCs w:val="24"/>
          <w:lang w:val="en-US"/>
        </w:rPr>
        <w:t xml:space="preserve">WHITE, H.; ANDERSON, A. </w:t>
      </w:r>
      <w:r w:rsidR="00A64A59" w:rsidRPr="00A64A59">
        <w:rPr>
          <w:rFonts w:eastAsia="Calibri"/>
          <w:sz w:val="24"/>
          <w:szCs w:val="24"/>
          <w:lang w:val="en-US"/>
        </w:rPr>
        <w:t>(2000).</w:t>
      </w:r>
      <w:proofErr w:type="gramEnd"/>
      <w:r w:rsidR="00A64A59" w:rsidRPr="00A64A59">
        <w:rPr>
          <w:rFonts w:eastAsia="Calibri"/>
          <w:sz w:val="24"/>
          <w:szCs w:val="24"/>
          <w:lang w:val="en-US"/>
        </w:rPr>
        <w:t xml:space="preserve"> </w:t>
      </w:r>
      <w:r w:rsidRPr="00A64A59">
        <w:rPr>
          <w:rFonts w:eastAsia="Calibri"/>
          <w:sz w:val="24"/>
          <w:szCs w:val="24"/>
          <w:lang w:val="en-US"/>
        </w:rPr>
        <w:t xml:space="preserve">Growth vs. Redistribution: Does the Pattern of Growth Matter? </w:t>
      </w:r>
      <w:proofErr w:type="gramStart"/>
      <w:r w:rsidRPr="00A64A59">
        <w:rPr>
          <w:rFonts w:eastAsia="Calibri"/>
          <w:sz w:val="24"/>
          <w:szCs w:val="24"/>
          <w:lang w:val="en-US"/>
        </w:rPr>
        <w:t>DFID white paper on Elimination World Poverty; making Globalization Work for the Poor.</w:t>
      </w:r>
      <w:proofErr w:type="gramEnd"/>
    </w:p>
    <w:sectPr w:rsidR="001E0460" w:rsidSect="00F96A04">
      <w:pgSz w:w="11906" w:h="16838"/>
      <w:pgMar w:top="1418" w:right="851" w:bottom="1418"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DEA" w:rsidRDefault="00726DEA" w:rsidP="00872B7C">
      <w:r>
        <w:separator/>
      </w:r>
    </w:p>
  </w:endnote>
  <w:endnote w:type="continuationSeparator" w:id="0">
    <w:p w:rsidR="00726DEA" w:rsidRDefault="00726DEA" w:rsidP="00872B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8692"/>
      <w:docPartObj>
        <w:docPartGallery w:val="Page Numbers (Bottom of Page)"/>
        <w:docPartUnique/>
      </w:docPartObj>
    </w:sdtPr>
    <w:sdtContent>
      <w:p w:rsidR="001E0460" w:rsidRDefault="00981A3E">
        <w:pPr>
          <w:pStyle w:val="Rodap"/>
          <w:jc w:val="right"/>
        </w:pPr>
        <w:fldSimple w:instr=" PAGE   \* MERGEFORMAT ">
          <w:r w:rsidR="00FD416C">
            <w:rPr>
              <w:noProof/>
            </w:rPr>
            <w:t>1</w:t>
          </w:r>
        </w:fldSimple>
      </w:p>
    </w:sdtContent>
  </w:sdt>
  <w:p w:rsidR="001E0460" w:rsidRDefault="001E046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DEA" w:rsidRDefault="00726DEA" w:rsidP="00872B7C">
      <w:r>
        <w:separator/>
      </w:r>
    </w:p>
  </w:footnote>
  <w:footnote w:type="continuationSeparator" w:id="0">
    <w:p w:rsidR="00726DEA" w:rsidRDefault="00726DEA" w:rsidP="00872B7C">
      <w:r>
        <w:continuationSeparator/>
      </w:r>
    </w:p>
  </w:footnote>
  <w:footnote w:id="1">
    <w:p w:rsidR="001E0460" w:rsidRDefault="001E0460">
      <w:pPr>
        <w:pStyle w:val="Textodenotaderodap"/>
        <w:jc w:val="both"/>
      </w:pPr>
      <w:r>
        <w:rPr>
          <w:rStyle w:val="Refdenotaderodap"/>
        </w:rPr>
        <w:footnoteRef/>
      </w:r>
      <w:r>
        <w:t xml:space="preserve"> </w:t>
      </w:r>
      <w:r w:rsidR="00FD416C">
        <w:t xml:space="preserve">Agradecemos ao apoio financeiro da </w:t>
      </w:r>
      <w:r>
        <w:t>Fundação de Amparo à Pesquisa do Estado de Minas Gerais (</w:t>
      </w:r>
      <w:proofErr w:type="spellStart"/>
      <w:r>
        <w:t>Fapemig</w:t>
      </w:r>
      <w:proofErr w:type="spellEnd"/>
      <w:r>
        <w:t>).</w:t>
      </w:r>
    </w:p>
  </w:footnote>
  <w:footnote w:id="2">
    <w:p w:rsidR="001E0460" w:rsidRDefault="001E0460">
      <w:pPr>
        <w:pStyle w:val="Textodenotaderodap"/>
        <w:jc w:val="both"/>
      </w:pPr>
      <w:r>
        <w:rPr>
          <w:rStyle w:val="Refdenotaderodap"/>
        </w:rPr>
        <w:footnoteRef/>
      </w:r>
      <w:r>
        <w:t xml:space="preserve"> </w:t>
      </w:r>
      <w:r w:rsidRPr="00021D57">
        <w:t>Professora Adjunta II</w:t>
      </w:r>
      <w:r>
        <w:t xml:space="preserve">, </w:t>
      </w:r>
      <w:r w:rsidRPr="00021D57">
        <w:t xml:space="preserve">Departamento de Ciências Econômicas, Universidade Federal de São João </w:t>
      </w:r>
      <w:proofErr w:type="spellStart"/>
      <w:proofErr w:type="gramStart"/>
      <w:r w:rsidRPr="00021D57">
        <w:t>del</w:t>
      </w:r>
      <w:proofErr w:type="spellEnd"/>
      <w:proofErr w:type="gramEnd"/>
      <w:r w:rsidRPr="00021D57">
        <w:t xml:space="preserve"> Rei (UFSJ). E-mail: alinecruz@ufsj.edu.br</w:t>
      </w:r>
    </w:p>
  </w:footnote>
  <w:footnote w:id="3">
    <w:p w:rsidR="001E0460" w:rsidRDefault="001E0460">
      <w:pPr>
        <w:pStyle w:val="Textodenotaderodap"/>
        <w:jc w:val="both"/>
      </w:pPr>
      <w:r w:rsidRPr="00021D57">
        <w:rPr>
          <w:rStyle w:val="Refdenotaderodap"/>
        </w:rPr>
        <w:footnoteRef/>
      </w:r>
      <w:r w:rsidRPr="00021D57">
        <w:t xml:space="preserve"> Professora Adjunta II</w:t>
      </w:r>
      <w:r>
        <w:t xml:space="preserve">, </w:t>
      </w:r>
      <w:r w:rsidRPr="00021D57">
        <w:t xml:space="preserve">Departamento de Ciências Econômicas, Universidade Federal de São João </w:t>
      </w:r>
      <w:proofErr w:type="spellStart"/>
      <w:proofErr w:type="gramStart"/>
      <w:r w:rsidRPr="00021D57">
        <w:t>del</w:t>
      </w:r>
      <w:proofErr w:type="spellEnd"/>
      <w:proofErr w:type="gramEnd"/>
      <w:r w:rsidRPr="00021D57">
        <w:t xml:space="preserve"> Rei (UFSJ). E-mail: daniraposto@ufsj.edu.br.</w:t>
      </w:r>
    </w:p>
  </w:footnote>
  <w:footnote w:id="4">
    <w:p w:rsidR="001E0460" w:rsidRDefault="001E0460">
      <w:pPr>
        <w:pStyle w:val="Textodenotaderodap"/>
        <w:jc w:val="both"/>
      </w:pPr>
      <w:r w:rsidRPr="00021D57">
        <w:rPr>
          <w:rStyle w:val="Refdenotaderodap"/>
        </w:rPr>
        <w:footnoteRef/>
      </w:r>
      <w:r w:rsidRPr="00021D57">
        <w:t xml:space="preserve"> </w:t>
      </w:r>
      <w:r w:rsidRPr="003F4892">
        <w:rPr>
          <w:rFonts w:eastAsiaTheme="minorHAnsi"/>
          <w:lang w:eastAsia="en-US"/>
        </w:rPr>
        <w:t>Professor Titular, Universidade Federal de Viçosa, Departamento de Economia Rural. E-mail: teixeira@ufv.br</w:t>
      </w:r>
    </w:p>
  </w:footnote>
  <w:footnote w:id="5">
    <w:p w:rsidR="001E0460" w:rsidRPr="00E722A9" w:rsidRDefault="001E0460" w:rsidP="00D51356">
      <w:pPr>
        <w:pStyle w:val="Textodenotaderodap"/>
        <w:jc w:val="both"/>
      </w:pPr>
      <w:r w:rsidRPr="00E722A9">
        <w:rPr>
          <w:rStyle w:val="Refdenotaderodap"/>
        </w:rPr>
        <w:footnoteRef/>
      </w:r>
      <w:r w:rsidRPr="00E722A9">
        <w:t xml:space="preserve"> O período não se estende até a atualidade, em razão da limitação de dados atualizados a nível estadual</w:t>
      </w:r>
      <w:r>
        <w:t>.</w:t>
      </w:r>
    </w:p>
  </w:footnote>
  <w:footnote w:id="6">
    <w:p w:rsidR="001E0460" w:rsidRPr="000573A8" w:rsidRDefault="001E0460">
      <w:pPr>
        <w:pStyle w:val="Textodenotaderodap"/>
        <w:jc w:val="both"/>
      </w:pPr>
      <w:r>
        <w:rPr>
          <w:rStyle w:val="Refdenotaderodap"/>
        </w:rPr>
        <w:footnoteRef/>
      </w:r>
      <w:r>
        <w:t xml:space="preserve"> </w:t>
      </w:r>
      <w:proofErr w:type="spellStart"/>
      <w:r w:rsidRPr="00A05AA0">
        <w:rPr>
          <w:i/>
        </w:rPr>
        <w:t>The</w:t>
      </w:r>
      <w:proofErr w:type="spellEnd"/>
      <w:r w:rsidRPr="00A05AA0">
        <w:rPr>
          <w:i/>
        </w:rPr>
        <w:t xml:space="preserve"> </w:t>
      </w:r>
      <w:proofErr w:type="spellStart"/>
      <w:r w:rsidRPr="00A05AA0">
        <w:rPr>
          <w:i/>
        </w:rPr>
        <w:t>Stata</w:t>
      </w:r>
      <w:proofErr w:type="spellEnd"/>
      <w:r w:rsidRPr="00A05AA0">
        <w:rPr>
          <w:i/>
        </w:rPr>
        <w:t xml:space="preserve"> </w:t>
      </w:r>
      <w:proofErr w:type="spellStart"/>
      <w:r w:rsidRPr="00A05AA0">
        <w:rPr>
          <w:i/>
        </w:rPr>
        <w:t>Journal</w:t>
      </w:r>
      <w:proofErr w:type="spellEnd"/>
      <w:r w:rsidRPr="00A05AA0">
        <w:t xml:space="preserve"> (2003). Disponível em </w:t>
      </w:r>
      <w:hyperlink r:id="rId1" w:history="1">
        <w:r w:rsidRPr="00A05AA0">
          <w:rPr>
            <w:rStyle w:val="Hyperlink"/>
            <w:color w:val="auto"/>
          </w:rPr>
          <w:t>http://www.stata-journal.com/sjpdf.html?articlenum=st0034</w:t>
        </w:r>
      </w:hyperlink>
      <w:r w:rsidRPr="00A05AA0">
        <w:t xml:space="preserve">. </w:t>
      </w:r>
      <w:r w:rsidRPr="000573A8">
        <w:t>Acesso em janeiro de 2013.</w:t>
      </w:r>
    </w:p>
  </w:footnote>
  <w:footnote w:id="7">
    <w:p w:rsidR="001E0460" w:rsidRDefault="001E0460" w:rsidP="007E0222">
      <w:pPr>
        <w:pStyle w:val="Textodenotaderodap"/>
        <w:jc w:val="both"/>
      </w:pPr>
      <w:r>
        <w:rPr>
          <w:rStyle w:val="Refdenotaderodap"/>
        </w:rPr>
        <w:footnoteRef/>
      </w:r>
      <w:r>
        <w:t xml:space="preserve"> Em alguns casos, usou-se do método de interpolação e de extrapolação para dados de algumas variáveis não disponibilizados nos anos 2000 e 2008.</w:t>
      </w:r>
    </w:p>
  </w:footnote>
  <w:footnote w:id="8">
    <w:p w:rsidR="001E0460" w:rsidRPr="00AF1BB9" w:rsidRDefault="001E0460" w:rsidP="007E0222">
      <w:pPr>
        <w:pStyle w:val="Textodenotaderodap"/>
        <w:jc w:val="both"/>
      </w:pPr>
      <w:r w:rsidRPr="00AF1BB9">
        <w:rPr>
          <w:rStyle w:val="Refdenotaderodap"/>
        </w:rPr>
        <w:footnoteRef/>
      </w:r>
      <w:r w:rsidRPr="00AF1BB9">
        <w:t xml:space="preserve"> As estimativas de produtividade total dos fatores não se apresentaram viáveis, principalmente, em razão de muitos indicadores necessários e não disponíveis para os estados brasileiros, segundo o recorte de tempo desta pesquisa. </w:t>
      </w:r>
    </w:p>
  </w:footnote>
  <w:footnote w:id="9">
    <w:p w:rsidR="001E0460" w:rsidRPr="00D546A8" w:rsidRDefault="001E0460" w:rsidP="007E0222">
      <w:pPr>
        <w:pStyle w:val="Textodenotaderodap"/>
        <w:jc w:val="both"/>
      </w:pPr>
      <w:r w:rsidRPr="00D546A8">
        <w:rPr>
          <w:rStyle w:val="Refdenotaderodap"/>
        </w:rPr>
        <w:footnoteRef/>
      </w:r>
      <w:r w:rsidRPr="00D546A8">
        <w:t xml:space="preserve"> Disponível em: </w:t>
      </w:r>
      <w:hyperlink r:id="rId2" w:history="1">
        <w:r w:rsidRPr="00504251">
          <w:rPr>
            <w:rStyle w:val="Hyperlink"/>
          </w:rPr>
          <w:t>http://www.tesouro.fazenda.gov.br/estatistica/est_contabil.asp</w:t>
        </w:r>
      </w:hyperlink>
      <w:r>
        <w:t>. Acesso em 04/01/2013.</w:t>
      </w:r>
    </w:p>
  </w:footnote>
  <w:footnote w:id="10">
    <w:p w:rsidR="001E0460" w:rsidRDefault="001E0460" w:rsidP="00E040F7">
      <w:pPr>
        <w:pStyle w:val="Textodenotaderodap"/>
        <w:jc w:val="both"/>
      </w:pPr>
      <w:r w:rsidRPr="001D57B8">
        <w:rPr>
          <w:rStyle w:val="Refdenotaderodap"/>
        </w:rPr>
        <w:footnoteRef/>
      </w:r>
      <w:r w:rsidRPr="001D57B8">
        <w:t>Para maiores detalhes, ver:</w:t>
      </w:r>
      <w:r>
        <w:t xml:space="preserve"> </w:t>
      </w:r>
      <w:hyperlink r:id="rId3" w:history="1">
        <w:r w:rsidRPr="001D57B8">
          <w:rPr>
            <w:rStyle w:val="Hyperlink"/>
          </w:rPr>
          <w:t>http://www.ibge.gov.br/home/estatistica/populacao/condicaodevida/indicadoresminimos/sinteseindicsociais2009/indic_sociais2009.pdf</w:t>
        </w:r>
      </w:hyperlink>
    </w:p>
  </w:footnote>
  <w:footnote w:id="11">
    <w:p w:rsidR="001E0460" w:rsidRDefault="001E0460" w:rsidP="00C66ABA">
      <w:pPr>
        <w:pStyle w:val="Textodenotaderodap"/>
        <w:jc w:val="both"/>
      </w:pPr>
      <w:r>
        <w:rPr>
          <w:rStyle w:val="Refdenotaderodap"/>
        </w:rPr>
        <w:footnoteRef/>
      </w:r>
      <w:r w:rsidRPr="00A05AA0">
        <w:t>Confederação Nacional do Transporte (CNT,</w:t>
      </w:r>
      <w:r>
        <w:t xml:space="preserve"> </w:t>
      </w:r>
      <w:r w:rsidRPr="00A05AA0">
        <w:t xml:space="preserve">2012). Disponível em </w:t>
      </w:r>
      <w:hyperlink r:id="rId4" w:history="1">
        <w:r w:rsidRPr="00A05AA0">
          <w:rPr>
            <w:rStyle w:val="Hyperlink"/>
          </w:rPr>
          <w:t xml:space="preserve">http://www.cnt.org.br/Paginas/Agencia_Noticia.aspx?noticia=estudo-cnt-sistema </w:t>
        </w:r>
        <w:proofErr w:type="spellStart"/>
        <w:r w:rsidRPr="00A05AA0">
          <w:rPr>
            <w:rStyle w:val="Hyperlink"/>
          </w:rPr>
          <w:t>ferroviario</w:t>
        </w:r>
        <w:proofErr w:type="spellEnd"/>
        <w:r w:rsidRPr="00A05AA0">
          <w:rPr>
            <w:rStyle w:val="Hyperlink"/>
          </w:rPr>
          <w:t xml:space="preserve"> -26032013</w:t>
        </w:r>
      </w:hyperlink>
      <w:r w:rsidRPr="00A05AA0">
        <w:t>. Acesso em junho de 2013.</w:t>
      </w:r>
    </w:p>
  </w:footnote>
  <w:footnote w:id="12">
    <w:p w:rsidR="001E0460" w:rsidRPr="00866A7B" w:rsidRDefault="001E0460" w:rsidP="00E040F7">
      <w:pPr>
        <w:autoSpaceDE w:val="0"/>
        <w:autoSpaceDN w:val="0"/>
        <w:adjustRightInd w:val="0"/>
        <w:jc w:val="both"/>
        <w:rPr>
          <w:sz w:val="20"/>
        </w:rPr>
      </w:pPr>
      <w:r w:rsidRPr="00866A7B">
        <w:rPr>
          <w:rStyle w:val="Refdenotaderodap"/>
          <w:sz w:val="20"/>
        </w:rPr>
        <w:footnoteRef/>
      </w:r>
      <w:r w:rsidRPr="00866A7B">
        <w:rPr>
          <w:sz w:val="20"/>
        </w:rPr>
        <w:t xml:space="preserve"> Expressa a proporção de pessoas em idade potencialmente inativa de uma população em relação a 100 pessoas em idade potencialmente ativa ou disponível para as atividades econômicas.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00003"/>
    <w:multiLevelType w:val="multilevel"/>
    <w:tmpl w:val="00000003"/>
    <w:lvl w:ilvl="0">
      <w:start w:val="2"/>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5DACCD6"/>
    <w:lvl w:ilvl="0">
      <w:start w:val="5"/>
      <w:numFmt w:val="decimal"/>
      <w:lvlText w:val="%1."/>
      <w:lvlJc w:val="left"/>
      <w:pPr>
        <w:tabs>
          <w:tab w:val="num" w:pos="1778"/>
        </w:tabs>
        <w:ind w:left="1778" w:hanging="360"/>
      </w:pPr>
      <w:rPr>
        <w:rFonts w:hint="default"/>
      </w:rPr>
    </w:lvl>
    <w:lvl w:ilvl="1">
      <w:start w:val="1"/>
      <w:numFmt w:val="lowerLetter"/>
      <w:lvlText w:val="%2."/>
      <w:lvlJc w:val="left"/>
      <w:pPr>
        <w:tabs>
          <w:tab w:val="num" w:pos="2138"/>
        </w:tabs>
        <w:ind w:left="2138" w:hanging="360"/>
      </w:pPr>
      <w:rPr>
        <w:rFonts w:hint="default"/>
      </w:rPr>
    </w:lvl>
    <w:lvl w:ilvl="2">
      <w:start w:val="1"/>
      <w:numFmt w:val="lowerRoman"/>
      <w:lvlText w:val="%3."/>
      <w:lvlJc w:val="left"/>
      <w:pPr>
        <w:tabs>
          <w:tab w:val="num" w:pos="2498"/>
        </w:tabs>
        <w:ind w:left="2498" w:hanging="360"/>
      </w:pPr>
      <w:rPr>
        <w:rFonts w:hint="default"/>
      </w:rPr>
    </w:lvl>
    <w:lvl w:ilvl="3">
      <w:start w:val="1"/>
      <w:numFmt w:val="decimal"/>
      <w:lvlText w:val="%4."/>
      <w:lvlJc w:val="left"/>
      <w:pPr>
        <w:tabs>
          <w:tab w:val="num" w:pos="2858"/>
        </w:tabs>
        <w:ind w:left="2858" w:hanging="360"/>
      </w:pPr>
      <w:rPr>
        <w:rFonts w:hint="default"/>
      </w:rPr>
    </w:lvl>
    <w:lvl w:ilvl="4">
      <w:start w:val="1"/>
      <w:numFmt w:val="lowerLetter"/>
      <w:lvlText w:val="%5."/>
      <w:lvlJc w:val="left"/>
      <w:pPr>
        <w:tabs>
          <w:tab w:val="num" w:pos="3218"/>
        </w:tabs>
        <w:ind w:left="3218" w:hanging="360"/>
      </w:pPr>
      <w:rPr>
        <w:rFonts w:hint="default"/>
      </w:rPr>
    </w:lvl>
    <w:lvl w:ilvl="5">
      <w:start w:val="1"/>
      <w:numFmt w:val="lowerRoman"/>
      <w:lvlText w:val="%6."/>
      <w:lvlJc w:val="left"/>
      <w:pPr>
        <w:tabs>
          <w:tab w:val="num" w:pos="3578"/>
        </w:tabs>
        <w:ind w:left="3578" w:hanging="360"/>
      </w:pPr>
      <w:rPr>
        <w:rFonts w:hint="default"/>
      </w:rPr>
    </w:lvl>
    <w:lvl w:ilvl="6">
      <w:start w:val="1"/>
      <w:numFmt w:val="decimal"/>
      <w:lvlText w:val="%7."/>
      <w:lvlJc w:val="left"/>
      <w:pPr>
        <w:tabs>
          <w:tab w:val="num" w:pos="3938"/>
        </w:tabs>
        <w:ind w:left="3938" w:hanging="360"/>
      </w:pPr>
      <w:rPr>
        <w:rFonts w:hint="default"/>
      </w:rPr>
    </w:lvl>
    <w:lvl w:ilvl="7">
      <w:start w:val="1"/>
      <w:numFmt w:val="lowerLetter"/>
      <w:lvlText w:val="%8."/>
      <w:lvlJc w:val="left"/>
      <w:pPr>
        <w:tabs>
          <w:tab w:val="num" w:pos="4298"/>
        </w:tabs>
        <w:ind w:left="4298" w:hanging="360"/>
      </w:pPr>
      <w:rPr>
        <w:rFonts w:hint="default"/>
      </w:rPr>
    </w:lvl>
    <w:lvl w:ilvl="8">
      <w:start w:val="1"/>
      <w:numFmt w:val="lowerRoman"/>
      <w:lvlText w:val="%9."/>
      <w:lvlJc w:val="left"/>
      <w:pPr>
        <w:tabs>
          <w:tab w:val="num" w:pos="4658"/>
        </w:tabs>
        <w:ind w:left="4658" w:hanging="360"/>
      </w:pPr>
      <w:rPr>
        <w:rFonts w:hint="default"/>
      </w:rPr>
    </w:lvl>
  </w:abstractNum>
  <w:abstractNum w:abstractNumId="5">
    <w:nsid w:val="00000006"/>
    <w:multiLevelType w:val="multilevel"/>
    <w:tmpl w:val="00000006"/>
    <w:lvl w:ilvl="0">
      <w:start w:val="14"/>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00000007"/>
    <w:multiLevelType w:val="multilevel"/>
    <w:tmpl w:val="00000007"/>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7">
    <w:nsid w:val="091E717F"/>
    <w:multiLevelType w:val="hybridMultilevel"/>
    <w:tmpl w:val="91667A40"/>
    <w:lvl w:ilvl="0" w:tplc="04160005">
      <w:start w:val="1"/>
      <w:numFmt w:val="bullet"/>
      <w:lvlText w:val=""/>
      <w:lvlJc w:val="left"/>
      <w:pPr>
        <w:tabs>
          <w:tab w:val="num" w:pos="720"/>
        </w:tabs>
        <w:ind w:left="720" w:hanging="360"/>
      </w:pPr>
      <w:rPr>
        <w:rFonts w:ascii="Wingdings" w:hAnsi="Wingdings" w:hint="default"/>
      </w:rPr>
    </w:lvl>
    <w:lvl w:ilvl="1" w:tplc="89FC1106">
      <w:start w:val="8"/>
      <w:numFmt w:val="decimal"/>
      <w:lvlText w:val="%2-"/>
      <w:lvlJc w:val="left"/>
      <w:pPr>
        <w:tabs>
          <w:tab w:val="num" w:pos="1440"/>
        </w:tabs>
        <w:ind w:left="1440" w:hanging="360"/>
      </w:pPr>
      <w:rPr>
        <w:rFonts w:hint="default"/>
      </w:rPr>
    </w:lvl>
    <w:lvl w:ilvl="2" w:tplc="B26C73C0">
      <w:start w:val="8"/>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257B18DB"/>
    <w:multiLevelType w:val="hybridMultilevel"/>
    <w:tmpl w:val="ED52F4E6"/>
    <w:lvl w:ilvl="0" w:tplc="18C0BD98">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28C37E17"/>
    <w:multiLevelType w:val="hybridMultilevel"/>
    <w:tmpl w:val="C0B462E4"/>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D2C26EA"/>
    <w:multiLevelType w:val="hybridMultilevel"/>
    <w:tmpl w:val="B36A73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D35727"/>
    <w:multiLevelType w:val="hybridMultilevel"/>
    <w:tmpl w:val="97CE6528"/>
    <w:lvl w:ilvl="0" w:tplc="B17682A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5EFA6CAD"/>
    <w:multiLevelType w:val="hybridMultilevel"/>
    <w:tmpl w:val="CE32D8D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694D74D1"/>
    <w:multiLevelType w:val="multilevel"/>
    <w:tmpl w:val="D812C19A"/>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nsid w:val="75D2559A"/>
    <w:multiLevelType w:val="multilevel"/>
    <w:tmpl w:val="0FE8BAD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11"/>
  </w:num>
  <w:num w:numId="10">
    <w:abstractNumId w:val="8"/>
  </w:num>
  <w:num w:numId="11">
    <w:abstractNumId w:val="13"/>
  </w:num>
  <w:num w:numId="12">
    <w:abstractNumId w:val="12"/>
  </w:num>
  <w:num w:numId="13">
    <w:abstractNumId w:val="7"/>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30"/>
  <w:displayHorizontalDrawingGridEvery w:val="2"/>
  <w:characterSpacingControl w:val="doNotCompress"/>
  <w:footnotePr>
    <w:footnote w:id="-1"/>
    <w:footnote w:id="0"/>
  </w:footnotePr>
  <w:endnotePr>
    <w:endnote w:id="-1"/>
    <w:endnote w:id="0"/>
  </w:endnotePr>
  <w:compat/>
  <w:rsids>
    <w:rsidRoot w:val="00872B7C"/>
    <w:rsid w:val="00003C5D"/>
    <w:rsid w:val="0001094B"/>
    <w:rsid w:val="00014D63"/>
    <w:rsid w:val="00021D57"/>
    <w:rsid w:val="0005587B"/>
    <w:rsid w:val="000573A8"/>
    <w:rsid w:val="00057E3A"/>
    <w:rsid w:val="000606F9"/>
    <w:rsid w:val="00067D61"/>
    <w:rsid w:val="000763B1"/>
    <w:rsid w:val="00077B89"/>
    <w:rsid w:val="00094F18"/>
    <w:rsid w:val="000A19A0"/>
    <w:rsid w:val="000A5340"/>
    <w:rsid w:val="000A5ABF"/>
    <w:rsid w:val="000E1DF1"/>
    <w:rsid w:val="000E317F"/>
    <w:rsid w:val="000E67B9"/>
    <w:rsid w:val="000F3B90"/>
    <w:rsid w:val="00106020"/>
    <w:rsid w:val="001068C7"/>
    <w:rsid w:val="00120302"/>
    <w:rsid w:val="0012143F"/>
    <w:rsid w:val="0012222F"/>
    <w:rsid w:val="00122ABC"/>
    <w:rsid w:val="00137D3C"/>
    <w:rsid w:val="001406A0"/>
    <w:rsid w:val="00146D98"/>
    <w:rsid w:val="0015160A"/>
    <w:rsid w:val="00152C23"/>
    <w:rsid w:val="00162383"/>
    <w:rsid w:val="0016702E"/>
    <w:rsid w:val="00170CD1"/>
    <w:rsid w:val="001813D0"/>
    <w:rsid w:val="00193C85"/>
    <w:rsid w:val="00195082"/>
    <w:rsid w:val="001A2F75"/>
    <w:rsid w:val="001A52B0"/>
    <w:rsid w:val="001A5E31"/>
    <w:rsid w:val="001B08FB"/>
    <w:rsid w:val="001B3F9A"/>
    <w:rsid w:val="001B6674"/>
    <w:rsid w:val="001C3350"/>
    <w:rsid w:val="001C7D57"/>
    <w:rsid w:val="001D76A4"/>
    <w:rsid w:val="001E0460"/>
    <w:rsid w:val="001E1B8C"/>
    <w:rsid w:val="001E1EA2"/>
    <w:rsid w:val="00210B29"/>
    <w:rsid w:val="00210C49"/>
    <w:rsid w:val="002112A3"/>
    <w:rsid w:val="00216F75"/>
    <w:rsid w:val="0022622B"/>
    <w:rsid w:val="002337F2"/>
    <w:rsid w:val="00247DE7"/>
    <w:rsid w:val="002525D4"/>
    <w:rsid w:val="00255B65"/>
    <w:rsid w:val="002679F3"/>
    <w:rsid w:val="0028114F"/>
    <w:rsid w:val="00285B17"/>
    <w:rsid w:val="002951A1"/>
    <w:rsid w:val="002A09D2"/>
    <w:rsid w:val="002A1FF7"/>
    <w:rsid w:val="002A28A6"/>
    <w:rsid w:val="002B7BD7"/>
    <w:rsid w:val="002D1B6A"/>
    <w:rsid w:val="002E130B"/>
    <w:rsid w:val="002E3704"/>
    <w:rsid w:val="002F0DB3"/>
    <w:rsid w:val="002F2B8B"/>
    <w:rsid w:val="00311386"/>
    <w:rsid w:val="00314366"/>
    <w:rsid w:val="00344A61"/>
    <w:rsid w:val="0034520D"/>
    <w:rsid w:val="00351393"/>
    <w:rsid w:val="00354141"/>
    <w:rsid w:val="003568B0"/>
    <w:rsid w:val="00365378"/>
    <w:rsid w:val="00386221"/>
    <w:rsid w:val="00386F8B"/>
    <w:rsid w:val="0039060E"/>
    <w:rsid w:val="003A2CB1"/>
    <w:rsid w:val="003A6980"/>
    <w:rsid w:val="003A6DA3"/>
    <w:rsid w:val="003A7599"/>
    <w:rsid w:val="003C2F8E"/>
    <w:rsid w:val="003C741A"/>
    <w:rsid w:val="003D0130"/>
    <w:rsid w:val="003D3F75"/>
    <w:rsid w:val="003F0DAD"/>
    <w:rsid w:val="003F4892"/>
    <w:rsid w:val="003F701C"/>
    <w:rsid w:val="00404476"/>
    <w:rsid w:val="004160E3"/>
    <w:rsid w:val="00427DB9"/>
    <w:rsid w:val="00443DFA"/>
    <w:rsid w:val="004443F4"/>
    <w:rsid w:val="00460D99"/>
    <w:rsid w:val="004824CD"/>
    <w:rsid w:val="00496620"/>
    <w:rsid w:val="004D059A"/>
    <w:rsid w:val="004E65CA"/>
    <w:rsid w:val="0050528F"/>
    <w:rsid w:val="005062C8"/>
    <w:rsid w:val="00515075"/>
    <w:rsid w:val="005238EC"/>
    <w:rsid w:val="00525F94"/>
    <w:rsid w:val="005419B2"/>
    <w:rsid w:val="00550668"/>
    <w:rsid w:val="00553F21"/>
    <w:rsid w:val="0055519D"/>
    <w:rsid w:val="00571C06"/>
    <w:rsid w:val="00573C41"/>
    <w:rsid w:val="0058298F"/>
    <w:rsid w:val="00587D29"/>
    <w:rsid w:val="00597ED9"/>
    <w:rsid w:val="005B4992"/>
    <w:rsid w:val="005C11BE"/>
    <w:rsid w:val="005C6B18"/>
    <w:rsid w:val="005D78C3"/>
    <w:rsid w:val="005F73E8"/>
    <w:rsid w:val="00603265"/>
    <w:rsid w:val="006076F5"/>
    <w:rsid w:val="00661E96"/>
    <w:rsid w:val="0067497B"/>
    <w:rsid w:val="006826E6"/>
    <w:rsid w:val="00682C89"/>
    <w:rsid w:val="00691022"/>
    <w:rsid w:val="00695FAB"/>
    <w:rsid w:val="006A3331"/>
    <w:rsid w:val="006A7C89"/>
    <w:rsid w:val="006B24D3"/>
    <w:rsid w:val="006D15E0"/>
    <w:rsid w:val="006D4161"/>
    <w:rsid w:val="00700831"/>
    <w:rsid w:val="00704004"/>
    <w:rsid w:val="00713E66"/>
    <w:rsid w:val="00726852"/>
    <w:rsid w:val="00726DEA"/>
    <w:rsid w:val="00740775"/>
    <w:rsid w:val="00744219"/>
    <w:rsid w:val="00766635"/>
    <w:rsid w:val="00773D01"/>
    <w:rsid w:val="00791158"/>
    <w:rsid w:val="007915BD"/>
    <w:rsid w:val="007A1939"/>
    <w:rsid w:val="007A4BD7"/>
    <w:rsid w:val="007D2BAB"/>
    <w:rsid w:val="007E0222"/>
    <w:rsid w:val="007E157A"/>
    <w:rsid w:val="007F07D4"/>
    <w:rsid w:val="0080417D"/>
    <w:rsid w:val="008133BF"/>
    <w:rsid w:val="00817AA8"/>
    <w:rsid w:val="0083027D"/>
    <w:rsid w:val="008406A7"/>
    <w:rsid w:val="00846BA7"/>
    <w:rsid w:val="008538DD"/>
    <w:rsid w:val="008646F6"/>
    <w:rsid w:val="00870A0E"/>
    <w:rsid w:val="00872B7C"/>
    <w:rsid w:val="00880570"/>
    <w:rsid w:val="00896B34"/>
    <w:rsid w:val="008A2CE9"/>
    <w:rsid w:val="008A580C"/>
    <w:rsid w:val="008B658C"/>
    <w:rsid w:val="008C5D3B"/>
    <w:rsid w:val="008D294D"/>
    <w:rsid w:val="008E32B7"/>
    <w:rsid w:val="008E7F88"/>
    <w:rsid w:val="008F3A3A"/>
    <w:rsid w:val="008F6512"/>
    <w:rsid w:val="008F7B8B"/>
    <w:rsid w:val="00901B9B"/>
    <w:rsid w:val="0091031E"/>
    <w:rsid w:val="00914E51"/>
    <w:rsid w:val="00930F03"/>
    <w:rsid w:val="00935937"/>
    <w:rsid w:val="00943ECD"/>
    <w:rsid w:val="00946D92"/>
    <w:rsid w:val="00950C25"/>
    <w:rsid w:val="00954D81"/>
    <w:rsid w:val="0096431D"/>
    <w:rsid w:val="00981A3E"/>
    <w:rsid w:val="00982679"/>
    <w:rsid w:val="00987BE3"/>
    <w:rsid w:val="00991FC5"/>
    <w:rsid w:val="009A2638"/>
    <w:rsid w:val="009A3C14"/>
    <w:rsid w:val="009B7AC6"/>
    <w:rsid w:val="009D3415"/>
    <w:rsid w:val="009D63AD"/>
    <w:rsid w:val="009E3319"/>
    <w:rsid w:val="00A05AA0"/>
    <w:rsid w:val="00A0665B"/>
    <w:rsid w:val="00A10C2B"/>
    <w:rsid w:val="00A32331"/>
    <w:rsid w:val="00A35054"/>
    <w:rsid w:val="00A44169"/>
    <w:rsid w:val="00A5587D"/>
    <w:rsid w:val="00A60A0F"/>
    <w:rsid w:val="00A64A59"/>
    <w:rsid w:val="00A8355F"/>
    <w:rsid w:val="00AA1BA3"/>
    <w:rsid w:val="00AA5A34"/>
    <w:rsid w:val="00AC4A1A"/>
    <w:rsid w:val="00AE2F59"/>
    <w:rsid w:val="00AE64DE"/>
    <w:rsid w:val="00AF051E"/>
    <w:rsid w:val="00AF15E7"/>
    <w:rsid w:val="00AF2DA2"/>
    <w:rsid w:val="00AF306F"/>
    <w:rsid w:val="00AF411D"/>
    <w:rsid w:val="00B129DA"/>
    <w:rsid w:val="00B13538"/>
    <w:rsid w:val="00B26955"/>
    <w:rsid w:val="00B3163D"/>
    <w:rsid w:val="00B32858"/>
    <w:rsid w:val="00B550E5"/>
    <w:rsid w:val="00B5702A"/>
    <w:rsid w:val="00B61C2C"/>
    <w:rsid w:val="00B77266"/>
    <w:rsid w:val="00B867B9"/>
    <w:rsid w:val="00B96105"/>
    <w:rsid w:val="00BB3391"/>
    <w:rsid w:val="00BB58B4"/>
    <w:rsid w:val="00BB71D1"/>
    <w:rsid w:val="00C019A6"/>
    <w:rsid w:val="00C04715"/>
    <w:rsid w:val="00C10CF6"/>
    <w:rsid w:val="00C30E6F"/>
    <w:rsid w:val="00C31062"/>
    <w:rsid w:val="00C31FF4"/>
    <w:rsid w:val="00C36638"/>
    <w:rsid w:val="00C3783F"/>
    <w:rsid w:val="00C44A05"/>
    <w:rsid w:val="00C44E96"/>
    <w:rsid w:val="00C54F27"/>
    <w:rsid w:val="00C618C4"/>
    <w:rsid w:val="00C649E8"/>
    <w:rsid w:val="00C66ABA"/>
    <w:rsid w:val="00C95094"/>
    <w:rsid w:val="00C9707E"/>
    <w:rsid w:val="00CA74AD"/>
    <w:rsid w:val="00CB14B0"/>
    <w:rsid w:val="00CB6C80"/>
    <w:rsid w:val="00CB75C9"/>
    <w:rsid w:val="00CC3777"/>
    <w:rsid w:val="00CC4A44"/>
    <w:rsid w:val="00CD013C"/>
    <w:rsid w:val="00CD2762"/>
    <w:rsid w:val="00CD44B3"/>
    <w:rsid w:val="00CF30DC"/>
    <w:rsid w:val="00CF631E"/>
    <w:rsid w:val="00D012DB"/>
    <w:rsid w:val="00D01DD6"/>
    <w:rsid w:val="00D059A1"/>
    <w:rsid w:val="00D0607E"/>
    <w:rsid w:val="00D309AF"/>
    <w:rsid w:val="00D41790"/>
    <w:rsid w:val="00D51356"/>
    <w:rsid w:val="00D5183A"/>
    <w:rsid w:val="00D76D36"/>
    <w:rsid w:val="00DB2417"/>
    <w:rsid w:val="00DB4F48"/>
    <w:rsid w:val="00DC2886"/>
    <w:rsid w:val="00DC35C9"/>
    <w:rsid w:val="00DC38A4"/>
    <w:rsid w:val="00DC4CE5"/>
    <w:rsid w:val="00DD0139"/>
    <w:rsid w:val="00DD0A35"/>
    <w:rsid w:val="00DE249F"/>
    <w:rsid w:val="00DE614F"/>
    <w:rsid w:val="00E00D70"/>
    <w:rsid w:val="00E02C18"/>
    <w:rsid w:val="00E040F7"/>
    <w:rsid w:val="00E10F0F"/>
    <w:rsid w:val="00E13E09"/>
    <w:rsid w:val="00E33231"/>
    <w:rsid w:val="00E34983"/>
    <w:rsid w:val="00E36CEA"/>
    <w:rsid w:val="00E478CD"/>
    <w:rsid w:val="00E56832"/>
    <w:rsid w:val="00E722A9"/>
    <w:rsid w:val="00E72EA6"/>
    <w:rsid w:val="00E83BA7"/>
    <w:rsid w:val="00E83D32"/>
    <w:rsid w:val="00E937C9"/>
    <w:rsid w:val="00E96886"/>
    <w:rsid w:val="00EA04A9"/>
    <w:rsid w:val="00EA1D5C"/>
    <w:rsid w:val="00EA2972"/>
    <w:rsid w:val="00EC6EE0"/>
    <w:rsid w:val="00ED4D25"/>
    <w:rsid w:val="00EF177F"/>
    <w:rsid w:val="00F0510C"/>
    <w:rsid w:val="00F07BD5"/>
    <w:rsid w:val="00F147A6"/>
    <w:rsid w:val="00F1586E"/>
    <w:rsid w:val="00F25689"/>
    <w:rsid w:val="00F25E1F"/>
    <w:rsid w:val="00F35E99"/>
    <w:rsid w:val="00F56696"/>
    <w:rsid w:val="00F6461E"/>
    <w:rsid w:val="00F83009"/>
    <w:rsid w:val="00F96582"/>
    <w:rsid w:val="00F96A04"/>
    <w:rsid w:val="00FA009B"/>
    <w:rsid w:val="00FA799E"/>
    <w:rsid w:val="00FB40AB"/>
    <w:rsid w:val="00FC1BC3"/>
    <w:rsid w:val="00FC1F5A"/>
    <w:rsid w:val="00FC43C9"/>
    <w:rsid w:val="00FD416C"/>
    <w:rsid w:val="00FD518F"/>
    <w:rsid w:val="00FD622B"/>
    <w:rsid w:val="00FF1091"/>
    <w:rsid w:val="00FF4A2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7C"/>
    <w:pPr>
      <w:spacing w:after="0" w:line="240" w:lineRule="auto"/>
    </w:pPr>
    <w:rPr>
      <w:rFonts w:ascii="Times New Roman" w:eastAsia="Times New Roman" w:hAnsi="Times New Roman" w:cs="Times New Roman"/>
      <w:sz w:val="26"/>
      <w:szCs w:val="20"/>
      <w:lang w:eastAsia="pt-BR"/>
    </w:rPr>
  </w:style>
  <w:style w:type="paragraph" w:styleId="Ttulo3">
    <w:name w:val="heading 3"/>
    <w:basedOn w:val="Normal"/>
    <w:next w:val="Normal"/>
    <w:link w:val="Ttulo3Char"/>
    <w:qFormat/>
    <w:rsid w:val="00E56832"/>
    <w:pPr>
      <w:keepNext/>
      <w:spacing w:before="240" w:after="60"/>
      <w:outlineLvl w:val="2"/>
    </w:pPr>
    <w:rPr>
      <w:rFonts w:ascii="Arial" w:hAnsi="Arial"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rsid w:val="00872B7C"/>
    <w:rPr>
      <w:sz w:val="20"/>
      <w:lang w:eastAsia="zh-CN"/>
    </w:rPr>
  </w:style>
  <w:style w:type="character" w:customStyle="1" w:styleId="TextodenotaderodapChar">
    <w:name w:val="Texto de nota de rodapé Char"/>
    <w:basedOn w:val="Fontepargpadro"/>
    <w:link w:val="Textodenotaderodap"/>
    <w:rsid w:val="00872B7C"/>
    <w:rPr>
      <w:rFonts w:ascii="Times New Roman" w:eastAsia="Times New Roman" w:hAnsi="Times New Roman" w:cs="Times New Roman"/>
      <w:sz w:val="20"/>
      <w:szCs w:val="20"/>
      <w:lang w:eastAsia="zh-CN"/>
    </w:rPr>
  </w:style>
  <w:style w:type="character" w:styleId="Refdenotaderodap">
    <w:name w:val="footnote reference"/>
    <w:basedOn w:val="Fontepargpadro"/>
    <w:rsid w:val="00872B7C"/>
    <w:rPr>
      <w:vertAlign w:val="superscript"/>
    </w:rPr>
  </w:style>
  <w:style w:type="character" w:customStyle="1" w:styleId="Fontepargpadro1">
    <w:name w:val="Fonte parág. padrão1"/>
    <w:rsid w:val="00872B7C"/>
  </w:style>
  <w:style w:type="character" w:customStyle="1" w:styleId="TextodebaloChar">
    <w:name w:val="Texto de balão Char"/>
    <w:uiPriority w:val="99"/>
    <w:rsid w:val="00872B7C"/>
    <w:rPr>
      <w:rFonts w:ascii="Tahoma" w:eastAsia="Times New Roman" w:hAnsi="Tahoma" w:cs="Tahoma"/>
      <w:sz w:val="16"/>
      <w:szCs w:val="16"/>
    </w:rPr>
  </w:style>
  <w:style w:type="character" w:customStyle="1" w:styleId="hps">
    <w:name w:val="hps"/>
    <w:rsid w:val="00872B7C"/>
  </w:style>
  <w:style w:type="character" w:customStyle="1" w:styleId="Refdenotaderodap1">
    <w:name w:val="Ref. de nota de rodapé1"/>
    <w:rsid w:val="00872B7C"/>
    <w:rPr>
      <w:vertAlign w:val="superscript"/>
    </w:rPr>
  </w:style>
  <w:style w:type="character" w:styleId="nfase">
    <w:name w:val="Emphasis"/>
    <w:qFormat/>
    <w:rsid w:val="00872B7C"/>
    <w:rPr>
      <w:i/>
      <w:iCs/>
    </w:rPr>
  </w:style>
  <w:style w:type="character" w:customStyle="1" w:styleId="Caracteresdenotaderodap">
    <w:name w:val="Caracteres de nota de rodapé"/>
    <w:rsid w:val="00872B7C"/>
  </w:style>
  <w:style w:type="character" w:styleId="Refdenotadefim">
    <w:name w:val="endnote reference"/>
    <w:rsid w:val="00872B7C"/>
    <w:rPr>
      <w:vertAlign w:val="superscript"/>
    </w:rPr>
  </w:style>
  <w:style w:type="character" w:customStyle="1" w:styleId="Caracteresdenotadefim">
    <w:name w:val="Caracteres de nota de fim"/>
    <w:rsid w:val="00872B7C"/>
  </w:style>
  <w:style w:type="paragraph" w:customStyle="1" w:styleId="Ttulo1">
    <w:name w:val="Título1"/>
    <w:basedOn w:val="Normal"/>
    <w:next w:val="Corpodetexto"/>
    <w:rsid w:val="00872B7C"/>
    <w:pPr>
      <w:keepNext/>
      <w:suppressAutoHyphens/>
      <w:spacing w:before="240" w:after="120" w:line="100" w:lineRule="atLeast"/>
      <w:ind w:firstLine="708"/>
      <w:jc w:val="both"/>
    </w:pPr>
    <w:rPr>
      <w:rFonts w:ascii="Arial" w:eastAsia="Lucida Sans Unicode" w:hAnsi="Arial" w:cs="Tahoma"/>
      <w:kern w:val="1"/>
      <w:sz w:val="28"/>
      <w:szCs w:val="28"/>
      <w:lang w:eastAsia="hi-IN" w:bidi="hi-IN"/>
    </w:rPr>
  </w:style>
  <w:style w:type="paragraph" w:styleId="Corpodetexto">
    <w:name w:val="Body Text"/>
    <w:basedOn w:val="Normal"/>
    <w:link w:val="CorpodetextoChar"/>
    <w:rsid w:val="00872B7C"/>
    <w:pPr>
      <w:suppressAutoHyphens/>
      <w:spacing w:after="120" w:line="100" w:lineRule="atLeast"/>
      <w:ind w:firstLine="708"/>
      <w:jc w:val="both"/>
    </w:pPr>
    <w:rPr>
      <w:rFonts w:eastAsia="Lucida Sans Unicode" w:cs="Mangal"/>
      <w:kern w:val="1"/>
      <w:sz w:val="24"/>
      <w:szCs w:val="24"/>
      <w:lang w:eastAsia="hi-IN" w:bidi="hi-IN"/>
    </w:rPr>
  </w:style>
  <w:style w:type="character" w:customStyle="1" w:styleId="CorpodetextoChar">
    <w:name w:val="Corpo de texto Char"/>
    <w:basedOn w:val="Fontepargpadro"/>
    <w:link w:val="Corpodetexto"/>
    <w:rsid w:val="00872B7C"/>
    <w:rPr>
      <w:rFonts w:ascii="Times New Roman" w:eastAsia="Lucida Sans Unicode" w:hAnsi="Times New Roman" w:cs="Mangal"/>
      <w:kern w:val="1"/>
      <w:sz w:val="24"/>
      <w:szCs w:val="24"/>
      <w:lang w:eastAsia="hi-IN" w:bidi="hi-IN"/>
    </w:rPr>
  </w:style>
  <w:style w:type="paragraph" w:styleId="Lista">
    <w:name w:val="List"/>
    <w:basedOn w:val="Corpodetexto"/>
    <w:rsid w:val="00872B7C"/>
    <w:rPr>
      <w:rFonts w:cs="Tahoma"/>
    </w:rPr>
  </w:style>
  <w:style w:type="paragraph" w:customStyle="1" w:styleId="Legenda1">
    <w:name w:val="Legenda1"/>
    <w:basedOn w:val="Normal"/>
    <w:rsid w:val="00872B7C"/>
    <w:pPr>
      <w:suppressLineNumbers/>
      <w:suppressAutoHyphens/>
      <w:spacing w:before="120" w:after="120" w:line="100" w:lineRule="atLeast"/>
      <w:ind w:firstLine="708"/>
      <w:jc w:val="both"/>
    </w:pPr>
    <w:rPr>
      <w:rFonts w:eastAsia="Lucida Sans Unicode" w:cs="Tahoma"/>
      <w:i/>
      <w:iCs/>
      <w:kern w:val="1"/>
      <w:sz w:val="24"/>
      <w:szCs w:val="24"/>
      <w:lang w:eastAsia="hi-IN" w:bidi="hi-IN"/>
    </w:rPr>
  </w:style>
  <w:style w:type="paragraph" w:customStyle="1" w:styleId="ndice">
    <w:name w:val="Índice"/>
    <w:basedOn w:val="Normal"/>
    <w:rsid w:val="00872B7C"/>
    <w:pPr>
      <w:suppressLineNumbers/>
      <w:suppressAutoHyphens/>
      <w:spacing w:line="100" w:lineRule="atLeast"/>
      <w:ind w:firstLine="708"/>
      <w:jc w:val="both"/>
    </w:pPr>
    <w:rPr>
      <w:rFonts w:eastAsia="Lucida Sans Unicode" w:cs="Tahoma"/>
      <w:kern w:val="1"/>
      <w:sz w:val="24"/>
      <w:szCs w:val="24"/>
      <w:lang w:eastAsia="hi-IN" w:bidi="hi-IN"/>
    </w:rPr>
  </w:style>
  <w:style w:type="paragraph" w:customStyle="1" w:styleId="PargrafodaLista1">
    <w:name w:val="Parágrafo da Lista1"/>
    <w:basedOn w:val="Normal"/>
    <w:rsid w:val="00872B7C"/>
    <w:pPr>
      <w:suppressAutoHyphens/>
      <w:spacing w:line="100" w:lineRule="atLeast"/>
      <w:ind w:left="720" w:firstLine="708"/>
      <w:jc w:val="both"/>
    </w:pPr>
    <w:rPr>
      <w:rFonts w:eastAsia="Lucida Sans Unicode" w:cs="Mangal"/>
      <w:kern w:val="1"/>
      <w:sz w:val="24"/>
      <w:szCs w:val="24"/>
      <w:lang w:eastAsia="hi-IN" w:bidi="hi-IN"/>
    </w:rPr>
  </w:style>
  <w:style w:type="paragraph" w:customStyle="1" w:styleId="Textodebalo1">
    <w:name w:val="Texto de balão1"/>
    <w:basedOn w:val="Normal"/>
    <w:rsid w:val="00872B7C"/>
    <w:pPr>
      <w:suppressAutoHyphens/>
      <w:spacing w:line="100" w:lineRule="atLeast"/>
      <w:ind w:firstLine="708"/>
      <w:jc w:val="both"/>
    </w:pPr>
    <w:rPr>
      <w:rFonts w:ascii="Tahoma" w:eastAsia="Lucida Sans Unicode" w:hAnsi="Tahoma" w:cs="Tahoma"/>
      <w:kern w:val="1"/>
      <w:sz w:val="16"/>
      <w:szCs w:val="16"/>
      <w:lang w:eastAsia="hi-IN" w:bidi="hi-IN"/>
    </w:rPr>
  </w:style>
  <w:style w:type="paragraph" w:styleId="Textodebalo">
    <w:name w:val="Balloon Text"/>
    <w:basedOn w:val="Normal"/>
    <w:link w:val="TextodebaloChar1"/>
    <w:uiPriority w:val="99"/>
    <w:semiHidden/>
    <w:rsid w:val="00872B7C"/>
    <w:pPr>
      <w:suppressAutoHyphens/>
      <w:spacing w:line="100" w:lineRule="atLeast"/>
      <w:ind w:firstLine="708"/>
      <w:jc w:val="both"/>
    </w:pPr>
    <w:rPr>
      <w:rFonts w:ascii="Tahoma" w:eastAsia="Lucida Sans Unicode" w:hAnsi="Tahoma" w:cs="Tahoma"/>
      <w:kern w:val="1"/>
      <w:sz w:val="16"/>
      <w:szCs w:val="16"/>
      <w:lang w:eastAsia="hi-IN" w:bidi="hi-IN"/>
    </w:rPr>
  </w:style>
  <w:style w:type="character" w:customStyle="1" w:styleId="TextodebaloChar1">
    <w:name w:val="Texto de balão Char1"/>
    <w:basedOn w:val="Fontepargpadro"/>
    <w:link w:val="Textodebalo"/>
    <w:semiHidden/>
    <w:rsid w:val="00872B7C"/>
    <w:rPr>
      <w:rFonts w:ascii="Tahoma" w:eastAsia="Lucida Sans Unicode" w:hAnsi="Tahoma" w:cs="Tahoma"/>
      <w:kern w:val="1"/>
      <w:sz w:val="16"/>
      <w:szCs w:val="16"/>
      <w:lang w:eastAsia="hi-IN" w:bidi="hi-IN"/>
    </w:rPr>
  </w:style>
  <w:style w:type="character" w:styleId="Refdecomentrio">
    <w:name w:val="annotation reference"/>
    <w:uiPriority w:val="99"/>
    <w:rsid w:val="00872B7C"/>
    <w:rPr>
      <w:sz w:val="16"/>
      <w:szCs w:val="16"/>
    </w:rPr>
  </w:style>
  <w:style w:type="paragraph" w:styleId="Textodecomentrio">
    <w:name w:val="annotation text"/>
    <w:basedOn w:val="Normal"/>
    <w:link w:val="TextodecomentrioChar"/>
    <w:uiPriority w:val="99"/>
    <w:rsid w:val="00872B7C"/>
    <w:pPr>
      <w:suppressAutoHyphens/>
      <w:spacing w:line="100" w:lineRule="atLeast"/>
      <w:ind w:firstLine="708"/>
      <w:jc w:val="both"/>
    </w:pPr>
    <w:rPr>
      <w:rFonts w:eastAsia="Lucida Sans Unicode" w:cs="Mangal"/>
      <w:kern w:val="1"/>
      <w:sz w:val="20"/>
      <w:szCs w:val="18"/>
      <w:lang w:eastAsia="hi-IN" w:bidi="hi-IN"/>
    </w:rPr>
  </w:style>
  <w:style w:type="character" w:customStyle="1" w:styleId="TextodecomentrioChar">
    <w:name w:val="Texto de comentário Char"/>
    <w:basedOn w:val="Fontepargpadro"/>
    <w:link w:val="Textodecomentrio"/>
    <w:uiPriority w:val="99"/>
    <w:rsid w:val="00872B7C"/>
    <w:rPr>
      <w:rFonts w:ascii="Times New Roman" w:eastAsia="Lucida Sans Unicode" w:hAnsi="Times New Roman" w:cs="Mangal"/>
      <w:kern w:val="1"/>
      <w:sz w:val="20"/>
      <w:szCs w:val="18"/>
      <w:lang w:eastAsia="hi-IN" w:bidi="hi-IN"/>
    </w:rPr>
  </w:style>
  <w:style w:type="paragraph" w:styleId="Assuntodocomentrio">
    <w:name w:val="annotation subject"/>
    <w:basedOn w:val="Textodecomentrio"/>
    <w:next w:val="Textodecomentrio"/>
    <w:link w:val="AssuntodocomentrioChar"/>
    <w:uiPriority w:val="99"/>
    <w:rsid w:val="00872B7C"/>
    <w:rPr>
      <w:b/>
      <w:bCs/>
    </w:rPr>
  </w:style>
  <w:style w:type="character" w:customStyle="1" w:styleId="AssuntodocomentrioChar">
    <w:name w:val="Assunto do comentário Char"/>
    <w:basedOn w:val="TextodecomentrioChar"/>
    <w:link w:val="Assuntodocomentrio"/>
    <w:uiPriority w:val="99"/>
    <w:rsid w:val="00872B7C"/>
    <w:rPr>
      <w:rFonts w:ascii="Times New Roman" w:eastAsia="Lucida Sans Unicode" w:hAnsi="Times New Roman" w:cs="Mangal"/>
      <w:b/>
      <w:bCs/>
      <w:kern w:val="1"/>
      <w:sz w:val="20"/>
      <w:szCs w:val="18"/>
      <w:lang w:eastAsia="hi-IN" w:bidi="hi-IN"/>
    </w:rPr>
  </w:style>
  <w:style w:type="paragraph" w:styleId="PargrafodaLista">
    <w:name w:val="List Paragraph"/>
    <w:basedOn w:val="Normal"/>
    <w:uiPriority w:val="34"/>
    <w:qFormat/>
    <w:rsid w:val="00872B7C"/>
    <w:pPr>
      <w:ind w:left="720" w:firstLine="708"/>
      <w:contextualSpacing/>
      <w:jc w:val="both"/>
    </w:pPr>
    <w:rPr>
      <w:sz w:val="24"/>
      <w:szCs w:val="24"/>
    </w:rPr>
  </w:style>
  <w:style w:type="paragraph" w:styleId="Reviso">
    <w:name w:val="Revision"/>
    <w:hidden/>
    <w:uiPriority w:val="99"/>
    <w:semiHidden/>
    <w:rsid w:val="00872B7C"/>
    <w:pPr>
      <w:spacing w:after="0" w:line="240" w:lineRule="auto"/>
    </w:pPr>
    <w:rPr>
      <w:rFonts w:ascii="Times New Roman" w:eastAsia="Lucida Sans Unicode" w:hAnsi="Times New Roman" w:cs="Mangal"/>
      <w:kern w:val="1"/>
      <w:sz w:val="24"/>
      <w:szCs w:val="21"/>
      <w:lang w:eastAsia="hi-IN" w:bidi="hi-IN"/>
    </w:rPr>
  </w:style>
  <w:style w:type="character" w:styleId="Hyperlink">
    <w:name w:val="Hyperlink"/>
    <w:unhideWhenUsed/>
    <w:rsid w:val="00E040F7"/>
    <w:rPr>
      <w:b w:val="0"/>
      <w:bCs w:val="0"/>
      <w:strike w:val="0"/>
      <w:dstrike w:val="0"/>
      <w:color w:val="0000FF"/>
      <w:u w:val="none"/>
      <w:effect w:val="none"/>
    </w:rPr>
  </w:style>
  <w:style w:type="character" w:customStyle="1" w:styleId="apple-converted-space">
    <w:name w:val="apple-converted-space"/>
    <w:basedOn w:val="Fontepargpadro"/>
    <w:rsid w:val="00E040F7"/>
  </w:style>
  <w:style w:type="paragraph" w:customStyle="1" w:styleId="Padro">
    <w:name w:val="Padrão"/>
    <w:rsid w:val="00E040F7"/>
    <w:pPr>
      <w:tabs>
        <w:tab w:val="left" w:pos="708"/>
      </w:tabs>
      <w:suppressAutoHyphens/>
    </w:pPr>
    <w:rPr>
      <w:rFonts w:ascii="Times New Roman" w:eastAsia="Arial Unicode MS" w:hAnsi="Times New Roman" w:cs="Mangal"/>
      <w:sz w:val="24"/>
      <w:szCs w:val="24"/>
      <w:lang w:eastAsia="zh-CN" w:bidi="hi-IN"/>
    </w:rPr>
  </w:style>
  <w:style w:type="character" w:customStyle="1" w:styleId="Ttulo3Char">
    <w:name w:val="Título 3 Char"/>
    <w:basedOn w:val="Fontepargpadro"/>
    <w:link w:val="Ttulo3"/>
    <w:rsid w:val="00E56832"/>
    <w:rPr>
      <w:rFonts w:ascii="Arial" w:eastAsia="Times New Roman" w:hAnsi="Arial" w:cs="Arial"/>
      <w:b/>
      <w:bCs/>
      <w:sz w:val="26"/>
      <w:szCs w:val="26"/>
      <w:lang w:eastAsia="pt-BR"/>
    </w:rPr>
  </w:style>
  <w:style w:type="paragraph" w:styleId="Cabealho">
    <w:name w:val="header"/>
    <w:basedOn w:val="Normal"/>
    <w:link w:val="CabealhoChar"/>
    <w:uiPriority w:val="99"/>
    <w:semiHidden/>
    <w:unhideWhenUsed/>
    <w:rsid w:val="009D63AD"/>
    <w:pPr>
      <w:tabs>
        <w:tab w:val="center" w:pos="4252"/>
        <w:tab w:val="right" w:pos="8504"/>
      </w:tabs>
    </w:pPr>
  </w:style>
  <w:style w:type="character" w:customStyle="1" w:styleId="CabealhoChar">
    <w:name w:val="Cabeçalho Char"/>
    <w:basedOn w:val="Fontepargpadro"/>
    <w:link w:val="Cabealho"/>
    <w:uiPriority w:val="99"/>
    <w:semiHidden/>
    <w:rsid w:val="009D63AD"/>
    <w:rPr>
      <w:rFonts w:ascii="Times New Roman" w:eastAsia="Times New Roman" w:hAnsi="Times New Roman" w:cs="Times New Roman"/>
      <w:sz w:val="26"/>
      <w:szCs w:val="20"/>
      <w:lang w:eastAsia="pt-BR"/>
    </w:rPr>
  </w:style>
  <w:style w:type="paragraph" w:styleId="Rodap">
    <w:name w:val="footer"/>
    <w:basedOn w:val="Normal"/>
    <w:link w:val="RodapChar"/>
    <w:uiPriority w:val="99"/>
    <w:unhideWhenUsed/>
    <w:rsid w:val="009D63AD"/>
    <w:pPr>
      <w:tabs>
        <w:tab w:val="center" w:pos="4252"/>
        <w:tab w:val="right" w:pos="8504"/>
      </w:tabs>
    </w:pPr>
  </w:style>
  <w:style w:type="character" w:customStyle="1" w:styleId="RodapChar">
    <w:name w:val="Rodapé Char"/>
    <w:basedOn w:val="Fontepargpadro"/>
    <w:link w:val="Rodap"/>
    <w:uiPriority w:val="99"/>
    <w:rsid w:val="009D63AD"/>
    <w:rPr>
      <w:rFonts w:ascii="Times New Roman" w:eastAsia="Times New Roman" w:hAnsi="Times New Roman" w:cs="Times New Roman"/>
      <w:sz w:val="26"/>
      <w:szCs w:val="20"/>
      <w:lang w:eastAsia="pt-BR"/>
    </w:rPr>
  </w:style>
  <w:style w:type="character" w:customStyle="1" w:styleId="article-title">
    <w:name w:val="article-title"/>
    <w:basedOn w:val="Fontepargpadro"/>
    <w:rsid w:val="00A05AA0"/>
  </w:style>
  <w:style w:type="character" w:customStyle="1" w:styleId="source">
    <w:name w:val="source"/>
    <w:basedOn w:val="Fontepargpadro"/>
    <w:rsid w:val="00A05AA0"/>
  </w:style>
  <w:style w:type="character" w:customStyle="1" w:styleId="ippauth">
    <w:name w:val="ipp_auth"/>
    <w:basedOn w:val="Fontepargpadro"/>
    <w:rsid w:val="00A05AA0"/>
  </w:style>
  <w:style w:type="character" w:customStyle="1" w:styleId="ippyear">
    <w:name w:val="ipp_year"/>
    <w:basedOn w:val="Fontepargpadro"/>
    <w:rsid w:val="00A05AA0"/>
  </w:style>
  <w:style w:type="character" w:customStyle="1" w:styleId="ippbookseries">
    <w:name w:val="ipp_book_series"/>
    <w:basedOn w:val="Fontepargpadro"/>
    <w:rsid w:val="00A05AA0"/>
  </w:style>
  <w:style w:type="character" w:customStyle="1" w:styleId="ippgreen">
    <w:name w:val="ipp_green"/>
    <w:basedOn w:val="Fontepargpadro"/>
    <w:rsid w:val="00A05AA0"/>
  </w:style>
  <w:style w:type="character" w:customStyle="1" w:styleId="ippvol">
    <w:name w:val="ipp_vol"/>
    <w:basedOn w:val="Fontepargpadro"/>
    <w:rsid w:val="00A05AA0"/>
  </w:style>
  <w:style w:type="character" w:customStyle="1" w:styleId="ippnum">
    <w:name w:val="ipp_num"/>
    <w:basedOn w:val="Fontepargpadro"/>
    <w:rsid w:val="00A05AA0"/>
  </w:style>
  <w:style w:type="character" w:customStyle="1" w:styleId="ipppage">
    <w:name w:val="ipp_page"/>
    <w:basedOn w:val="Fontepargpadro"/>
    <w:rsid w:val="00A05AA0"/>
  </w:style>
  <w:style w:type="character" w:customStyle="1" w:styleId="CorpoDissertaoChar">
    <w:name w:val="Corpo Dissertação Char"/>
    <w:link w:val="CorpoDissertao"/>
    <w:uiPriority w:val="99"/>
    <w:rsid w:val="00BB71D1"/>
    <w:rPr>
      <w:sz w:val="24"/>
      <w:szCs w:val="24"/>
      <w:lang w:eastAsia="pt-BR"/>
    </w:rPr>
  </w:style>
  <w:style w:type="paragraph" w:customStyle="1" w:styleId="CorpoDissertao">
    <w:name w:val="Corpo Dissertação"/>
    <w:link w:val="CorpoDissertaoChar"/>
    <w:uiPriority w:val="99"/>
    <w:rsid w:val="00BB71D1"/>
    <w:pPr>
      <w:spacing w:after="240" w:line="360" w:lineRule="auto"/>
      <w:jc w:val="both"/>
    </w:pPr>
    <w:rPr>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6.wmf"/><Relationship Id="rId89" Type="http://schemas.openxmlformats.org/officeDocument/2006/relationships/oleObject" Target="embeddings/oleObject44.bin"/><Relationship Id="rId112"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5.wmf"/><Relationship Id="rId128" Type="http://schemas.openxmlformats.org/officeDocument/2006/relationships/hyperlink" Target="http://www.ibge.gov.br/home/php"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image" Target="media/image46.wmf"/><Relationship Id="rId113" Type="http://schemas.openxmlformats.org/officeDocument/2006/relationships/image" Target="media/image50.wmf"/><Relationship Id="rId118" Type="http://schemas.openxmlformats.org/officeDocument/2006/relationships/oleObject" Target="embeddings/oleObject58.bin"/><Relationship Id="rId126" Type="http://schemas.openxmlformats.org/officeDocument/2006/relationships/oleObject" Target="embeddings/oleObject62.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oleObject" Target="embeddings/oleObject42.bin"/><Relationship Id="rId93" Type="http://schemas.openxmlformats.org/officeDocument/2006/relationships/image" Target="media/image40.wmf"/><Relationship Id="rId98" Type="http://schemas.openxmlformats.org/officeDocument/2006/relationships/oleObject" Target="embeddings/oleObject48.bin"/><Relationship Id="rId121" Type="http://schemas.openxmlformats.org/officeDocument/2006/relationships/image" Target="media/image5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5.wmf"/><Relationship Id="rId108" Type="http://schemas.openxmlformats.org/officeDocument/2006/relationships/oleObject" Target="embeddings/oleObject53.bin"/><Relationship Id="rId116" Type="http://schemas.openxmlformats.org/officeDocument/2006/relationships/oleObject" Target="embeddings/oleObject57.bin"/><Relationship Id="rId124" Type="http://schemas.openxmlformats.org/officeDocument/2006/relationships/oleObject" Target="embeddings/oleObject61.bin"/><Relationship Id="rId12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41.bin"/><Relationship Id="rId88" Type="http://schemas.openxmlformats.org/officeDocument/2006/relationships/image" Target="media/image38.wmf"/><Relationship Id="rId91" Type="http://schemas.openxmlformats.org/officeDocument/2006/relationships/image" Target="media/image39.wmf"/><Relationship Id="rId96" Type="http://schemas.openxmlformats.org/officeDocument/2006/relationships/oleObject" Target="embeddings/oleObject47.bin"/><Relationship Id="rId111"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image" Target="media/image53.wmf"/><Relationship Id="rId127" Type="http://schemas.openxmlformats.org/officeDocument/2006/relationships/hyperlink" Target="http://php.york.ac.uk/inst/spru/profiles/jrb.php" TargetMode="Externa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9.bin"/><Relationship Id="rId86" Type="http://schemas.openxmlformats.org/officeDocument/2006/relationships/image" Target="media/image37.wmf"/><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30" Type="http://schemas.openxmlformats.org/officeDocument/2006/relationships/theme" Target="theme/theme1.xml"/><Relationship Id="rId13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2.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6.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oleObject" Target="embeddings/oleObject54.bin"/><Relationship Id="rId115" Type="http://schemas.openxmlformats.org/officeDocument/2006/relationships/image" Target="media/image51.wmf"/><Relationship Id="rId61" Type="http://schemas.openxmlformats.org/officeDocument/2006/relationships/oleObject" Target="embeddings/oleObject27.bin"/><Relationship Id="rId82" Type="http://schemas.openxmlformats.org/officeDocument/2006/relationships/oleObject" Target="embeddings/oleObject40.bin"/></Relationships>
</file>

<file path=word/_rels/footnotes.xml.rels><?xml version="1.0" encoding="UTF-8" standalone="yes"?>
<Relationships xmlns="http://schemas.openxmlformats.org/package/2006/relationships"><Relationship Id="rId3" Type="http://schemas.openxmlformats.org/officeDocument/2006/relationships/hyperlink" Target="http://www.ibge.gov.br/home/estatistica/populacao/condicaodevida/indicadoresminimos/sinteseindicsociais2009/indic_sociais2009.pdf" TargetMode="External"/><Relationship Id="rId2" Type="http://schemas.openxmlformats.org/officeDocument/2006/relationships/hyperlink" Target="http://www.tesouro.fazenda.gov.br/estatistica/est_contabil.asp" TargetMode="External"/><Relationship Id="rId1" Type="http://schemas.openxmlformats.org/officeDocument/2006/relationships/hyperlink" Target="http://www.stata-journal.com/sjpdf.html?articlenum=st0034" TargetMode="External"/><Relationship Id="rId4" Type="http://schemas.openxmlformats.org/officeDocument/2006/relationships/hyperlink" Target="http://www.cnt.org.br/Paginas/Agencia_Noticia.aspx?noticia=estudo-cnt-sistema%20ferroviario%20-2603201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CA340-6F12-4CCA-BA18-63EF4ECA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12292</Words>
  <Characters>66381</Characters>
  <Application>Microsoft Office Word</Application>
  <DocSecurity>0</DocSecurity>
  <Lines>553</Lines>
  <Paragraphs>157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Aline</cp:lastModifiedBy>
  <cp:revision>2</cp:revision>
  <dcterms:created xsi:type="dcterms:W3CDTF">2013-10-28T11:44:00Z</dcterms:created>
  <dcterms:modified xsi:type="dcterms:W3CDTF">2013-10-28T11:44:00Z</dcterms:modified>
</cp:coreProperties>
</file>