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A8B24" w14:textId="77777777" w:rsidR="005F4D72" w:rsidRPr="00B31185" w:rsidRDefault="005F4D72" w:rsidP="005F4D72">
      <w:pPr>
        <w:jc w:val="center"/>
        <w:rPr>
          <w:b/>
        </w:rPr>
      </w:pPr>
      <w:r w:rsidRPr="00B31185">
        <w:rPr>
          <w:b/>
        </w:rPr>
        <w:t>Efeitos Diferenciados do Fundo Constitucional de Financiamento do Nordeste (FNE) no Crescimento Econômico dos Municípios Nordestinos</w:t>
      </w:r>
    </w:p>
    <w:p w14:paraId="27F8D3B9" w14:textId="77777777" w:rsidR="005F4D72" w:rsidRDefault="005F4D72" w:rsidP="005F4D72">
      <w:pPr>
        <w:jc w:val="center"/>
        <w:rPr>
          <w:b/>
          <w:sz w:val="28"/>
          <w:szCs w:val="28"/>
        </w:rPr>
      </w:pPr>
    </w:p>
    <w:p w14:paraId="0FDF2C90" w14:textId="77777777" w:rsidR="005F4D72" w:rsidRDefault="005F4D72" w:rsidP="005F4D72">
      <w:pPr>
        <w:jc w:val="center"/>
        <w:rPr>
          <w:bCs/>
        </w:rPr>
      </w:pPr>
    </w:p>
    <w:p w14:paraId="7FBD474E" w14:textId="77777777" w:rsidR="005F4D72" w:rsidRPr="00FD0F61" w:rsidRDefault="005F4D72" w:rsidP="005F4D72">
      <w:pPr>
        <w:jc w:val="center"/>
      </w:pPr>
      <w:r w:rsidRPr="00FD0F61">
        <w:rPr>
          <w:bCs/>
        </w:rPr>
        <w:t>Área 6 - Crescimento, Desenvolvimento Econômico e Instituições</w:t>
      </w:r>
    </w:p>
    <w:p w14:paraId="1B6587FB" w14:textId="77777777" w:rsidR="005F4D72" w:rsidRDefault="005F4D72" w:rsidP="005F4D72">
      <w:pPr>
        <w:jc w:val="center"/>
      </w:pPr>
    </w:p>
    <w:p w14:paraId="211E596A" w14:textId="77777777" w:rsidR="005F4D72" w:rsidRDefault="005F4D72" w:rsidP="005F4D72">
      <w:pPr>
        <w:jc w:val="center"/>
      </w:pPr>
      <w:r>
        <w:t>Marcos Falcão Gonçalves</w:t>
      </w:r>
    </w:p>
    <w:p w14:paraId="2458F7F3" w14:textId="77777777" w:rsidR="005F4D72" w:rsidRDefault="005F4D72" w:rsidP="005F4D72">
      <w:pPr>
        <w:jc w:val="center"/>
      </w:pPr>
      <w:r>
        <w:t>Doutorando em Economia Aplicada (Universidade Federal de Viçosa – UFV), Mestre em Economia Rural (Universidade Federal do Ceará – UFC), Pesquisador</w:t>
      </w:r>
      <w:r w:rsidRPr="00567702">
        <w:t xml:space="preserve"> do Escritório Técnico de Estudos Econômicos (</w:t>
      </w:r>
      <w:r>
        <w:t>ETENE</w:t>
      </w:r>
      <w:r w:rsidRPr="00567702">
        <w:t>) do Banco do Nordeste</w:t>
      </w:r>
      <w:r>
        <w:t xml:space="preserve"> do Brasil</w:t>
      </w:r>
      <w:r w:rsidRPr="00567702">
        <w:t xml:space="preserve"> (BNB)</w:t>
      </w:r>
      <w:r>
        <w:t xml:space="preserve"> </w:t>
      </w:r>
      <w:r w:rsidRPr="00567702">
        <w:t>e professor da Faculdade Cearense.</w:t>
      </w:r>
      <w:r>
        <w:t xml:space="preserve"> </w:t>
      </w:r>
    </w:p>
    <w:p w14:paraId="042CE0D9" w14:textId="77777777" w:rsidR="005F4D72" w:rsidRDefault="005F4D72" w:rsidP="005F4D72">
      <w:pPr>
        <w:jc w:val="center"/>
      </w:pPr>
      <w:r>
        <w:t>marcosfalcaogoncalves@gmail.com</w:t>
      </w:r>
    </w:p>
    <w:p w14:paraId="48BAA7D1" w14:textId="77777777" w:rsidR="005F4D72" w:rsidRDefault="005F4D72" w:rsidP="005F4D72">
      <w:pPr>
        <w:jc w:val="center"/>
      </w:pPr>
    </w:p>
    <w:p w14:paraId="3BC4E59A" w14:textId="77777777" w:rsidR="005F4D72" w:rsidRDefault="005F4D72" w:rsidP="005F4D72">
      <w:pPr>
        <w:jc w:val="center"/>
      </w:pPr>
      <w:r>
        <w:t>Ricardo Brito Soares</w:t>
      </w:r>
    </w:p>
    <w:p w14:paraId="0BA91546" w14:textId="77777777" w:rsidR="005F4D72" w:rsidRDefault="005F4D72" w:rsidP="005F4D72">
      <w:pPr>
        <w:jc w:val="center"/>
      </w:pPr>
      <w:r w:rsidRPr="0099577D">
        <w:t xml:space="preserve">Doutor em Economia </w:t>
      </w:r>
      <w:r>
        <w:t>(University of New Hampshire/</w:t>
      </w:r>
      <w:r w:rsidRPr="0099577D">
        <w:t>EUA</w:t>
      </w:r>
      <w:r>
        <w:t xml:space="preserve">), </w:t>
      </w:r>
      <w:r w:rsidRPr="0099577D">
        <w:t>Mestre em Economia (UFC),</w:t>
      </w:r>
      <w:r>
        <w:t xml:space="preserve"> Professor adjunto do Curso de Pós-graduação em Economia da </w:t>
      </w:r>
      <w:r w:rsidRPr="00567702">
        <w:t>Universidade Federal do Ceará (CAEN).</w:t>
      </w:r>
      <w:r w:rsidRPr="005E4A3B">
        <w:t xml:space="preserve"> ricardosoares@caen.ufc.br</w:t>
      </w:r>
    </w:p>
    <w:p w14:paraId="70A1C71D" w14:textId="77777777" w:rsidR="005F4D72" w:rsidRPr="006148EB" w:rsidRDefault="005F4D72" w:rsidP="005F4D72">
      <w:pPr>
        <w:jc w:val="center"/>
      </w:pPr>
    </w:p>
    <w:p w14:paraId="09609594" w14:textId="77777777" w:rsidR="005F4D72" w:rsidRDefault="005F4D72" w:rsidP="005F4D72">
      <w:pPr>
        <w:jc w:val="center"/>
      </w:pPr>
      <w:r w:rsidRPr="006148EB">
        <w:t>Fabrício Carneiro Linhares</w:t>
      </w:r>
    </w:p>
    <w:p w14:paraId="595713EC" w14:textId="77777777" w:rsidR="005F4D72" w:rsidRDefault="005F4D72" w:rsidP="005F4D72">
      <w:pPr>
        <w:jc w:val="center"/>
      </w:pPr>
      <w:r w:rsidRPr="0099577D">
        <w:t xml:space="preserve">Doutor em Economia </w:t>
      </w:r>
      <w:r>
        <w:t>(University of New Hampshire/</w:t>
      </w:r>
      <w:r w:rsidRPr="0099577D">
        <w:t>EUA</w:t>
      </w:r>
      <w:r>
        <w:t xml:space="preserve">), </w:t>
      </w:r>
      <w:r w:rsidRPr="0099577D">
        <w:t>Mestre em Economia (UFC),</w:t>
      </w:r>
      <w:r>
        <w:t xml:space="preserve"> Professor adjunto do Curso de Pós-graduação em Economia da</w:t>
      </w:r>
      <w:r w:rsidRPr="00567702">
        <w:t xml:space="preserve"> Universidade Federal do Ceará (CAEN).</w:t>
      </w:r>
      <w:r w:rsidRPr="005E4A3B">
        <w:t xml:space="preserve"> </w:t>
      </w:r>
      <w:r>
        <w:t>flinhares</w:t>
      </w:r>
      <w:r w:rsidRPr="005E4A3B">
        <w:t>@caen.ufc.br</w:t>
      </w:r>
    </w:p>
    <w:p w14:paraId="7CA437AC" w14:textId="77777777" w:rsidR="005F4D72" w:rsidRDefault="005F4D72" w:rsidP="005F4D72">
      <w:pPr>
        <w:jc w:val="center"/>
      </w:pPr>
    </w:p>
    <w:p w14:paraId="42F8B3C0" w14:textId="77777777" w:rsidR="005F4D72" w:rsidRDefault="005F4D72" w:rsidP="005F4D72">
      <w:pPr>
        <w:jc w:val="center"/>
      </w:pPr>
      <w:r>
        <w:t>Luiz Fernando Gonçalves Viana</w:t>
      </w:r>
    </w:p>
    <w:p w14:paraId="5A14A6BD" w14:textId="77777777" w:rsidR="005F4D72" w:rsidRDefault="005F4D72" w:rsidP="005F4D72">
      <w:pPr>
        <w:jc w:val="center"/>
      </w:pPr>
      <w:r>
        <w:t>Mestre em Economia Rural (UFC), P</w:t>
      </w:r>
      <w:r w:rsidRPr="00567702">
        <w:t>esquisador do Escritório Técnico de Estudos Econômicos (</w:t>
      </w:r>
      <w:r>
        <w:t>ETENE</w:t>
      </w:r>
      <w:r w:rsidRPr="00567702">
        <w:t>) do Banco do Nordeste</w:t>
      </w:r>
      <w:r>
        <w:t xml:space="preserve"> do Brasil</w:t>
      </w:r>
      <w:r w:rsidRPr="00567702">
        <w:t xml:space="preserve"> (BNB), professor da Faculdade de Fortaleza (Fafor) e da Faculdade de Ensino e Cultura do Ceará (Faece).</w:t>
      </w:r>
      <w:r>
        <w:t xml:space="preserve"> luizfernandogv@bnb.gov.br</w:t>
      </w:r>
    </w:p>
    <w:p w14:paraId="654D8044" w14:textId="77777777" w:rsidR="005F4D72" w:rsidRPr="006148EB" w:rsidRDefault="005F4D72" w:rsidP="005F4D72">
      <w:pPr>
        <w:jc w:val="right"/>
      </w:pPr>
    </w:p>
    <w:p w14:paraId="693EA836" w14:textId="77777777" w:rsidR="005F4D72" w:rsidRDefault="005F4D72" w:rsidP="005F4D72">
      <w:pPr>
        <w:rPr>
          <w:b/>
          <w:bCs/>
        </w:rPr>
      </w:pPr>
    </w:p>
    <w:p w14:paraId="23C814F5" w14:textId="77777777" w:rsidR="005F4D72" w:rsidRPr="00001329" w:rsidRDefault="005F4D72" w:rsidP="005F4D72">
      <w:pPr>
        <w:rPr>
          <w:b/>
          <w:bCs/>
        </w:rPr>
      </w:pPr>
      <w:r w:rsidRPr="00001329">
        <w:rPr>
          <w:b/>
          <w:bCs/>
        </w:rPr>
        <w:t>Resumo</w:t>
      </w:r>
    </w:p>
    <w:p w14:paraId="4DD8BFB6" w14:textId="77777777" w:rsidR="005F4D72" w:rsidRDefault="005F4D72" w:rsidP="005F4D72">
      <w:pPr>
        <w:jc w:val="both"/>
      </w:pPr>
      <w:r>
        <w:t xml:space="preserve">Este artigo busca investigar os efeitos dos investimentos advindos do Fundo Constitucional de Financiamento do Nordeste (FNE) no crescimento econômico dos municípios desta região na década de 2000. </w:t>
      </w:r>
      <w:r w:rsidRPr="006148EB">
        <w:t>Para isto</w:t>
      </w:r>
      <w:r>
        <w:t>,</w:t>
      </w:r>
      <w:r w:rsidRPr="006148EB">
        <w:t xml:space="preserve"> utiliza</w:t>
      </w:r>
      <w:r>
        <w:t xml:space="preserve">-se </w:t>
      </w:r>
      <w:r w:rsidRPr="006148EB">
        <w:t>um referencial empírico baseado em modelos de convergência</w:t>
      </w:r>
      <w:r>
        <w:t>,</w:t>
      </w:r>
      <w:r w:rsidRPr="006148EB">
        <w:t xml:space="preserve"> com a inclusão da possibilidade de </w:t>
      </w:r>
      <w:r>
        <w:t>formação de clubes de convergência determinada</w:t>
      </w:r>
      <w:r w:rsidRPr="006148EB">
        <w:t xml:space="preserve"> pelo nível de desenvolvimento inicial do município.</w:t>
      </w:r>
      <w:r>
        <w:t xml:space="preserve"> Os resultados referendaram a estratégia empírica, mostrando quatro grupos de municípios cujos influxos de investimento via FNE afetam o crescimento de maneira diferente. De uma forma geral, o FNE produz efeitos positivos e significantes na maioria dos municípios do Nordeste. Porém, naqueles com PIB per capita muito baixo ou muito alto no início da década, o efeito do FNE mostrou-se não significante.</w:t>
      </w:r>
    </w:p>
    <w:p w14:paraId="0F3F989D" w14:textId="77777777" w:rsidR="005F4D72" w:rsidRPr="00FD0F61" w:rsidRDefault="005F4D72" w:rsidP="005F4D72">
      <w:pPr>
        <w:jc w:val="both"/>
      </w:pPr>
      <w:r>
        <w:rPr>
          <w:b/>
        </w:rPr>
        <w:t>Palavras-chave:</w:t>
      </w:r>
      <w:r>
        <w:t xml:space="preserve"> Desenvolvimento – Crescimento Econômico – Fundo Constitucional de Financiamento do Nordeste.</w:t>
      </w:r>
    </w:p>
    <w:p w14:paraId="15CE7D4E" w14:textId="77777777" w:rsidR="005F4D72" w:rsidRDefault="005F4D72" w:rsidP="005F4D72">
      <w:pPr>
        <w:rPr>
          <w:b/>
          <w:bCs/>
        </w:rPr>
      </w:pPr>
    </w:p>
    <w:p w14:paraId="2DA9CAA4" w14:textId="77777777" w:rsidR="005F4D72" w:rsidRPr="00FD0F61" w:rsidRDefault="005F4D72" w:rsidP="005F4D72">
      <w:pPr>
        <w:rPr>
          <w:b/>
          <w:bCs/>
        </w:rPr>
      </w:pPr>
      <w:r w:rsidRPr="00FD0F61">
        <w:rPr>
          <w:b/>
          <w:bCs/>
        </w:rPr>
        <w:t>Abstract</w:t>
      </w:r>
    </w:p>
    <w:p w14:paraId="65CFBCFC" w14:textId="77777777" w:rsidR="005F4D72" w:rsidRPr="00E501F0" w:rsidRDefault="005F4D72" w:rsidP="005F4D72">
      <w:pPr>
        <w:jc w:val="both"/>
        <w:rPr>
          <w:lang w:val="en-US"/>
        </w:rPr>
      </w:pPr>
      <w:r w:rsidRPr="00E501F0">
        <w:rPr>
          <w:lang w:val="en-US"/>
        </w:rPr>
        <w:t xml:space="preserve">This article investigates the effects of </w:t>
      </w:r>
      <w:r>
        <w:rPr>
          <w:lang w:val="en-US"/>
        </w:rPr>
        <w:t xml:space="preserve">the investments financed by the Northeast Constitutional Funds (FNE) on the economic growth of the municipalities of this region, during the 2000s. It uses an empirical guide based on the convergence models, including the possibility of different effects by the level of initial development of the municipalities. The results certify this empirical strategy showing four groups of municipalities which respond differently to the inflow of investments. Overall, the FNE produces positive and significant effects on the majority of the Northeast municipalities. Although, among some with per capita GDP very low or very high in the beginning of 2000, the effect showed to be non-significant.  </w:t>
      </w:r>
    </w:p>
    <w:p w14:paraId="6D91ED5B" w14:textId="77777777" w:rsidR="005F4D72" w:rsidRPr="00FD0F61" w:rsidRDefault="005F4D72" w:rsidP="005F4D72">
      <w:pPr>
        <w:jc w:val="both"/>
        <w:rPr>
          <w:lang w:val="en-US"/>
        </w:rPr>
      </w:pPr>
      <w:r w:rsidRPr="00FD0F61">
        <w:rPr>
          <w:b/>
          <w:lang w:val="en-US"/>
        </w:rPr>
        <w:t>Key-words:</w:t>
      </w:r>
      <w:r w:rsidRPr="00FD0F61">
        <w:rPr>
          <w:lang w:val="en-US"/>
        </w:rPr>
        <w:t xml:space="preserve"> Development</w:t>
      </w:r>
      <w:r>
        <w:rPr>
          <w:lang w:val="en-US"/>
        </w:rPr>
        <w:t xml:space="preserve"> –</w:t>
      </w:r>
      <w:r w:rsidRPr="00FD0F61">
        <w:rPr>
          <w:lang w:val="en-US"/>
        </w:rPr>
        <w:t xml:space="preserve"> Economic</w:t>
      </w:r>
      <w:r>
        <w:rPr>
          <w:lang w:val="en-US"/>
        </w:rPr>
        <w:t xml:space="preserve"> </w:t>
      </w:r>
      <w:r w:rsidRPr="00FD0F61">
        <w:rPr>
          <w:lang w:val="en-US"/>
        </w:rPr>
        <w:t xml:space="preserve">Growth </w:t>
      </w:r>
      <w:r>
        <w:rPr>
          <w:lang w:val="en-US"/>
        </w:rPr>
        <w:t>–</w:t>
      </w:r>
      <w:r w:rsidRPr="00FD0F61">
        <w:rPr>
          <w:lang w:val="en-US"/>
        </w:rPr>
        <w:t xml:space="preserve"> Constitutional</w:t>
      </w:r>
      <w:r>
        <w:rPr>
          <w:lang w:val="en-US"/>
        </w:rPr>
        <w:t xml:space="preserve"> </w:t>
      </w:r>
      <w:r w:rsidRPr="00FD0F61">
        <w:rPr>
          <w:lang w:val="en-US"/>
        </w:rPr>
        <w:t>Fund for Financing the Northeast</w:t>
      </w:r>
    </w:p>
    <w:p w14:paraId="124BA5C9" w14:textId="77777777" w:rsidR="005F4D72" w:rsidRPr="00FD0F61" w:rsidRDefault="005F4D72" w:rsidP="005F4D72">
      <w:pPr>
        <w:jc w:val="both"/>
        <w:rPr>
          <w:lang w:val="en-US"/>
        </w:rPr>
      </w:pPr>
    </w:p>
    <w:p w14:paraId="7B23CEE2" w14:textId="77777777" w:rsidR="005F4D72" w:rsidRPr="006D75AC" w:rsidRDefault="005F4D72" w:rsidP="005F4D72">
      <w:pPr>
        <w:jc w:val="both"/>
      </w:pPr>
      <w:r>
        <w:t>Classificação JEL</w:t>
      </w:r>
      <w:r w:rsidRPr="006D75AC">
        <w:t>: O21, O40,</w:t>
      </w:r>
      <w:r>
        <w:t xml:space="preserve"> </w:t>
      </w:r>
      <w:r w:rsidRPr="006D75AC">
        <w:t>R11.</w:t>
      </w:r>
    </w:p>
    <w:p w14:paraId="27C49D27" w14:textId="77777777" w:rsidR="005F4D72" w:rsidRPr="00567702" w:rsidRDefault="005F4D72" w:rsidP="005F4D72">
      <w:pPr>
        <w:rPr>
          <w:b/>
        </w:rPr>
      </w:pPr>
      <w:r>
        <w:rPr>
          <w:rStyle w:val="Forte"/>
          <w:u w:val="single"/>
        </w:rPr>
        <w:br w:type="page"/>
      </w:r>
      <w:r>
        <w:rPr>
          <w:rStyle w:val="Forte"/>
        </w:rPr>
        <w:lastRenderedPageBreak/>
        <w:t xml:space="preserve">1. </w:t>
      </w:r>
      <w:r w:rsidRPr="00567702">
        <w:rPr>
          <w:rStyle w:val="Forte"/>
        </w:rPr>
        <w:t>Introdução</w:t>
      </w:r>
    </w:p>
    <w:p w14:paraId="3CCDAE1F" w14:textId="77777777" w:rsidR="005F4D72" w:rsidRPr="006148EB" w:rsidRDefault="005F4D72" w:rsidP="005F4D72">
      <w:pPr>
        <w:rPr>
          <w:b/>
        </w:rPr>
      </w:pPr>
    </w:p>
    <w:p w14:paraId="399DA3A5" w14:textId="77777777" w:rsidR="005F4D72" w:rsidRPr="006148EB" w:rsidRDefault="005F4D72" w:rsidP="005F4D72">
      <w:pPr>
        <w:spacing w:before="120"/>
        <w:ind w:firstLine="1134"/>
        <w:jc w:val="both"/>
      </w:pPr>
      <w:r w:rsidRPr="006148EB">
        <w:t xml:space="preserve">O Fundo Constitucional </w:t>
      </w:r>
      <w:r>
        <w:t xml:space="preserve">de Financiamento </w:t>
      </w:r>
      <w:r w:rsidRPr="006148EB">
        <w:t>do Nordeste (FNE), criado a partir da constituição de 1988, tem como objetivo desenvolver e aprimorar o sistema produtivo dessa região</w:t>
      </w:r>
      <w:r>
        <w:t>,</w:t>
      </w:r>
      <w:r w:rsidRPr="006148EB">
        <w:t xml:space="preserve"> para que as desigualdades regionais históricas sejam reduzidas. O principal meio de ação idealizado nesse fundo é a expansão da oferta de crédito subsidiado em diversos programas de financiamentos</w:t>
      </w:r>
      <w:r>
        <w:t>,</w:t>
      </w:r>
      <w:r w:rsidRPr="006148EB">
        <w:t xml:space="preserve"> que contemplam empresas de diversos setores e tamanhos. Esse programa de crédito evoluiu ao longo da década de 1990 e anos 2000</w:t>
      </w:r>
      <w:r>
        <w:t>,</w:t>
      </w:r>
      <w:r w:rsidRPr="006148EB">
        <w:t xml:space="preserve"> sendo um dos principais instrumentos de estímulo ao empreendedorismo regional e ao desenvolvimento </w:t>
      </w:r>
      <w:r>
        <w:t>produtivo</w:t>
      </w:r>
      <w:r w:rsidRPr="006148EB">
        <w:t xml:space="preserve">.  </w:t>
      </w:r>
    </w:p>
    <w:p w14:paraId="6F9BB63F" w14:textId="77777777" w:rsidR="005F4D72" w:rsidRPr="006148EB" w:rsidRDefault="005F4D72" w:rsidP="005F4D72">
      <w:pPr>
        <w:spacing w:before="120"/>
        <w:ind w:firstLine="1134"/>
        <w:jc w:val="both"/>
      </w:pPr>
      <w:r w:rsidRPr="006148EB">
        <w:t>No Nordeste, a participação do FNE no total de financiamentos de longo prazo na região chegou a 64% entre 2002 e 2009 com investimentos programados acima dos R$ 10 bilhões/ano para os anos seguintes</w:t>
      </w:r>
      <w:r w:rsidRPr="006148EB">
        <w:rPr>
          <w:rStyle w:val="Refdenotaderodap"/>
        </w:rPr>
        <w:footnoteReference w:id="1"/>
      </w:r>
      <w:r w:rsidRPr="006148EB">
        <w:t>. À medida que estes recursos de fundo público crescem e se consolidam como instrumento de política regional</w:t>
      </w:r>
      <w:r>
        <w:t>,</w:t>
      </w:r>
      <w:r w:rsidRPr="006148EB">
        <w:t xml:space="preserve"> espera-se na mesma proporção, que a contrapartida social dos mesmos seja de fato uma melhora na capacidade de gerar riqueza nas regiões menos desenvolvidas. Ou de forma mais pragmática, espera-se que a injeção de um maior volume deste tipo de crédito subsidiado nas economias locais possa contribuir para um maior crescimento econ</w:t>
      </w:r>
      <w:r>
        <w:t xml:space="preserve">ômico destas. </w:t>
      </w:r>
    </w:p>
    <w:p w14:paraId="43AB8FC3" w14:textId="77777777" w:rsidR="005F4D72" w:rsidRPr="006148EB" w:rsidRDefault="005F4D72" w:rsidP="005F4D72">
      <w:pPr>
        <w:spacing w:before="120"/>
        <w:ind w:firstLine="1134"/>
        <w:jc w:val="both"/>
      </w:pPr>
      <w:r w:rsidRPr="006148EB">
        <w:t>Esta possibilidade vem sendo analisada extensivamente no contexto da União Européia onde os chamados fundos estruturais (</w:t>
      </w:r>
      <w:r w:rsidRPr="006148EB">
        <w:rPr>
          <w:i/>
        </w:rPr>
        <w:t>Structural Funds</w:t>
      </w:r>
      <w:r w:rsidRPr="006148EB">
        <w:t>) procuram dar uma dinâmica de crescimento maior para os países e/ou regiões menos desenvolvidas e que fazem parte institucionalmente deste mercado comum</w:t>
      </w:r>
      <w:r w:rsidRPr="006148EB">
        <w:rPr>
          <w:rStyle w:val="Refdenotaderodap"/>
        </w:rPr>
        <w:footnoteReference w:id="2"/>
      </w:r>
      <w:r w:rsidRPr="006148EB">
        <w:t>. No Brasil, poucos estudos procuraram analisar empiricamente a contribuição dos fundos regionais para o crescimento econômico. Afora as análises de impacto que utilizam o instrumental da matriz de Insumo-Produto (Mesquita (1996), Rodrigues (1998)), apenas dois artigos em andamento destacam-se ao nosso conhecimento: Oliveira e Domingues (200</w:t>
      </w:r>
      <w:r>
        <w:t>5</w:t>
      </w:r>
      <w:r w:rsidRPr="006148EB">
        <w:t>) e Resende (2010). O primeiro analisa o impacto do F</w:t>
      </w:r>
      <w:r>
        <w:t xml:space="preserve">undo </w:t>
      </w:r>
      <w:r w:rsidRPr="006148EB">
        <w:t>C</w:t>
      </w:r>
      <w:r>
        <w:t>onstitucional de Financiamento do Centro-</w:t>
      </w:r>
      <w:r w:rsidRPr="006148EB">
        <w:t>O</w:t>
      </w:r>
      <w:r>
        <w:t>este</w:t>
      </w:r>
      <w:r w:rsidRPr="006148EB">
        <w:t xml:space="preserve"> </w:t>
      </w:r>
      <w:r>
        <w:t xml:space="preserve">(FCO) </w:t>
      </w:r>
      <w:r w:rsidRPr="006148EB">
        <w:t xml:space="preserve">e </w:t>
      </w:r>
      <w:r>
        <w:t xml:space="preserve">do </w:t>
      </w:r>
      <w:r w:rsidRPr="006148EB">
        <w:t>F</w:t>
      </w:r>
      <w:r>
        <w:t xml:space="preserve">undo Constitucional de Financiamento do </w:t>
      </w:r>
      <w:r w:rsidRPr="006148EB">
        <w:t>N</w:t>
      </w:r>
      <w:r>
        <w:t>orte</w:t>
      </w:r>
      <w:r w:rsidRPr="006148EB">
        <w:t xml:space="preserve"> </w:t>
      </w:r>
      <w:r>
        <w:t xml:space="preserve">(FNO) </w:t>
      </w:r>
      <w:r w:rsidRPr="006148EB">
        <w:t xml:space="preserve">no diferencial de crescimento dos municípios beneficiários dos fundos, e o segundo trata dos efeitos do FNE também a este nível de agregação macroeconômica. Um </w:t>
      </w:r>
      <w:r>
        <w:t>elemento</w:t>
      </w:r>
      <w:r w:rsidRPr="006148EB">
        <w:t xml:space="preserve"> comum nestes artigos é a utilização de modelos econométricos tradicionais</w:t>
      </w:r>
      <w:r w:rsidRPr="006148EB">
        <w:rPr>
          <w:rStyle w:val="Refdenotaderodap"/>
        </w:rPr>
        <w:footnoteReference w:id="3"/>
      </w:r>
      <w:r>
        <w:t>,</w:t>
      </w:r>
      <w:r w:rsidRPr="006148EB">
        <w:t xml:space="preserve"> que investigam perspectivas de convergência entre regiões (Barro e Sala-</w:t>
      </w:r>
      <w:r>
        <w:t>i</w:t>
      </w:r>
      <w:r w:rsidRPr="006148EB">
        <w:t xml:space="preserve">-Martin, 1992). Em ambos os resultados apontaram para uma ausência de impacto médio das variáveis relacionadas aos fundos. </w:t>
      </w:r>
    </w:p>
    <w:p w14:paraId="27B715DD" w14:textId="77777777" w:rsidR="005F4D72" w:rsidRPr="006148EB" w:rsidRDefault="005F4D72" w:rsidP="005F4D72">
      <w:pPr>
        <w:spacing w:before="120"/>
        <w:ind w:firstLine="1134"/>
        <w:jc w:val="both"/>
      </w:pPr>
      <w:r w:rsidRPr="006148EB">
        <w:t>Na avaliação dos impactos dos fundos públicos ao nível municipal, no entanto, não podemos desconsiderar que estes podem ter importâncias e efeitos diferenciados em municípios com diferentes níveis de desenvolvimento inicial. Nas Macroregiões em relativo atraso econômico (Norte, Nordeste e Centro-Oeste)</w:t>
      </w:r>
      <w:r>
        <w:t>,</w:t>
      </w:r>
      <w:r w:rsidRPr="006148EB">
        <w:t xml:space="preserve"> a heterogeneidade dos municípios é flagrante e institucionalizada n</w:t>
      </w:r>
      <w:r>
        <w:t>a</w:t>
      </w:r>
      <w:r w:rsidRPr="006148EB">
        <w:t xml:space="preserve"> própri</w:t>
      </w:r>
      <w:r>
        <w:t>a</w:t>
      </w:r>
      <w:r w:rsidRPr="006148EB">
        <w:t xml:space="preserve"> </w:t>
      </w:r>
      <w:r>
        <w:t>Política</w:t>
      </w:r>
      <w:r w:rsidRPr="006148EB">
        <w:t xml:space="preserve"> Nacional de Desenvolvimento Regional (M</w:t>
      </w:r>
      <w:r>
        <w:t xml:space="preserve">inistério da </w:t>
      </w:r>
      <w:r w:rsidRPr="006148EB">
        <w:t>I</w:t>
      </w:r>
      <w:r>
        <w:t>ntegração</w:t>
      </w:r>
      <w:r w:rsidRPr="006148EB">
        <w:t>, 2005). Est</w:t>
      </w:r>
      <w:r>
        <w:t>a</w:t>
      </w:r>
      <w:r w:rsidRPr="006148EB">
        <w:t xml:space="preserve"> classifica os municípios em quatro </w:t>
      </w:r>
      <w:r>
        <w:t>tipologias</w:t>
      </w:r>
      <w:r w:rsidRPr="006148EB">
        <w:t xml:space="preserve"> (alta renda, baixa renda, dinâmicos e estagnados)</w:t>
      </w:r>
      <w:r>
        <w:t>,</w:t>
      </w:r>
      <w:r w:rsidRPr="006148EB">
        <w:t xml:space="preserve"> a partir da combinação das variáveis de </w:t>
      </w:r>
      <w:r>
        <w:t xml:space="preserve">rendimento domiciliar médio e </w:t>
      </w:r>
      <w:r w:rsidRPr="006148EB">
        <w:t xml:space="preserve">crescimento </w:t>
      </w:r>
      <w:r>
        <w:t xml:space="preserve">do PIB </w:t>
      </w:r>
      <w:r w:rsidRPr="008B58DE">
        <w:rPr>
          <w:i/>
        </w:rPr>
        <w:t>per capita</w:t>
      </w:r>
      <w:r w:rsidRPr="006148EB">
        <w:t>, e orienta para que haja linhas de ações específicas adequadas a cada tipo</w:t>
      </w:r>
      <w:r>
        <w:t>logia</w:t>
      </w:r>
      <w:r w:rsidRPr="006148EB">
        <w:t>. No âmbito dos fundos regionais, por exemplo, o Ministério da Integração exige dos administradores</w:t>
      </w:r>
      <w:r w:rsidRPr="006148EB">
        <w:rPr>
          <w:rStyle w:val="Refdenotaderodap"/>
        </w:rPr>
        <w:footnoteReference w:id="4"/>
      </w:r>
      <w:r w:rsidRPr="006148EB">
        <w:t xml:space="preserve"> não apenas os planos de distribuição de recursos para cada conjunto de municípios tipificados, mas também o monitoramento e o impacto de acordo com esta classificação intra-regional.   </w:t>
      </w:r>
    </w:p>
    <w:p w14:paraId="35CE99F3" w14:textId="77777777" w:rsidR="005F4D72" w:rsidRPr="006148EB" w:rsidRDefault="005F4D72" w:rsidP="005F4D72">
      <w:pPr>
        <w:spacing w:before="120"/>
        <w:ind w:firstLine="1134"/>
        <w:jc w:val="both"/>
      </w:pPr>
      <w:r w:rsidRPr="006148EB">
        <w:t>Esta preocupação com heterogeneidade nas dinâmicas de crescimento foi absorvida em modelos de crescimento não lineares</w:t>
      </w:r>
      <w:r>
        <w:t>,</w:t>
      </w:r>
      <w:r w:rsidRPr="006148EB">
        <w:t xml:space="preserve"> que possibilitam a formação de clubes de convergência (Durlauf e Jhonson, 1995). Nestes modelos é possível testar e estimar efeitos diferenciados nos co-fatores que afetam o crescimento econômico. A formação de clubes de convergência municipal, por exemplo, evidencia os </w:t>
      </w:r>
      <w:r w:rsidRPr="006148EB">
        <w:lastRenderedPageBreak/>
        <w:t xml:space="preserve">municípios que possuem possibilidades de convergência condicional parecidos entre si, e diferentes entre os grupos (clubes). Vale ressaltar que nestes modelos a identificação e formação dos clubes são resultados do próprio modelo e não definidos de forma </w:t>
      </w:r>
      <w:r w:rsidRPr="006148EB">
        <w:rPr>
          <w:i/>
          <w:iCs/>
        </w:rPr>
        <w:t>ad hoc</w:t>
      </w:r>
      <w:r w:rsidRPr="006148EB">
        <w:t xml:space="preserve">. Ou seja, é a estimação das dinâmicas de crescimento diferenciadas que definem as tipologias regionais. </w:t>
      </w:r>
    </w:p>
    <w:p w14:paraId="51F4D0E0" w14:textId="77777777" w:rsidR="005F4D72" w:rsidRPr="006148EB" w:rsidRDefault="005F4D72" w:rsidP="005F4D72">
      <w:pPr>
        <w:spacing w:before="120"/>
        <w:ind w:firstLine="1134"/>
        <w:jc w:val="both"/>
      </w:pPr>
      <w:r w:rsidRPr="006148EB">
        <w:t>Esta possibilidade de identificar diferentes padrões de crescimento de forma endógena foi utilizada em Penna</w:t>
      </w:r>
      <w:r>
        <w:t xml:space="preserve"> (</w:t>
      </w:r>
      <w:r w:rsidRPr="006148EB">
        <w:t>2011)</w:t>
      </w:r>
      <w:r>
        <w:t>,</w:t>
      </w:r>
      <w:r w:rsidRPr="006148EB">
        <w:t xml:space="preserve"> que observou a formação de clubes de convergência para os municípios brasileiros. Neste estudo </w:t>
      </w:r>
      <w:r>
        <w:t>procurou-se</w:t>
      </w:r>
      <w:r w:rsidRPr="006148EB">
        <w:t xml:space="preserve"> verificar se os efeitos do Fundo Constitucional </w:t>
      </w:r>
      <w:r>
        <w:t xml:space="preserve">de Financiamento </w:t>
      </w:r>
      <w:r w:rsidRPr="006148EB">
        <w:t xml:space="preserve">do Nordeste no crescimento dos municípios também podem variar de acordo com o grau de desenvolvimento inicial destes. Para isto </w:t>
      </w:r>
      <w:r>
        <w:t>foi utilizado</w:t>
      </w:r>
      <w:r w:rsidRPr="006148EB">
        <w:t xml:space="preserve"> o algoritmo de Hansen (2000) para um modelo de crescimento que inclui como variável de interesse o volume de recursos destinado aos municípios do Nordeste pelos programas do FNE.      </w:t>
      </w:r>
    </w:p>
    <w:p w14:paraId="37FDF3CC" w14:textId="77777777" w:rsidR="005F4D72" w:rsidRPr="006148EB" w:rsidRDefault="005F4D72" w:rsidP="005F4D72">
      <w:pPr>
        <w:spacing w:before="120"/>
        <w:ind w:firstLine="1134"/>
        <w:jc w:val="both"/>
      </w:pPr>
      <w:r w:rsidRPr="006148EB">
        <w:t>A existência de impactos diferenciados não apenas melhora as propriedades estatísticas dos modelos de crescimento estimados, mas, sobretudo, evidencia a heterogeneidade intra-regional do Nordeste em acordo</w:t>
      </w:r>
      <w:r>
        <w:t xml:space="preserve"> </w:t>
      </w:r>
      <w:r w:rsidRPr="006148EB">
        <w:t xml:space="preserve">com </w:t>
      </w:r>
      <w:r>
        <w:t>a</w:t>
      </w:r>
      <w:r w:rsidRPr="006148EB">
        <w:t xml:space="preserve"> PNDR</w:t>
      </w:r>
      <w:r>
        <w:t xml:space="preserve"> (Política Nacional de Desenvolvimento Regional)</w:t>
      </w:r>
      <w:r w:rsidRPr="006148EB">
        <w:t xml:space="preserve">. No entanto, é possível e provável que haja um desarranjo entre as classificações </w:t>
      </w:r>
      <w:r w:rsidRPr="006148EB">
        <w:rPr>
          <w:i/>
          <w:iCs/>
        </w:rPr>
        <w:t>ad hoc</w:t>
      </w:r>
      <w:r w:rsidRPr="006148EB">
        <w:t xml:space="preserve"> definidas pel</w:t>
      </w:r>
      <w:r>
        <w:t>a</w:t>
      </w:r>
      <w:r w:rsidRPr="006148EB">
        <w:t xml:space="preserve"> PNDR, e aquelas extraídas dos modelos estimados. Neste caso, o direcionamento das ações e dos recursos via PNDR pode gerar ineficiências reais além das conceituais. </w:t>
      </w:r>
    </w:p>
    <w:p w14:paraId="247EAB75" w14:textId="77777777" w:rsidR="005F4D72" w:rsidRPr="006148EB" w:rsidRDefault="005F4D72" w:rsidP="005F4D72">
      <w:pPr>
        <w:spacing w:before="120"/>
        <w:ind w:firstLine="1134"/>
        <w:jc w:val="both"/>
      </w:pPr>
      <w:r w:rsidRPr="006148EB">
        <w:t xml:space="preserve">Portanto, este trabalho procura contribuir para literatura analisando a existência de impacto do FNE </w:t>
      </w:r>
      <w:r>
        <w:t xml:space="preserve">e sua heterogeneidade </w:t>
      </w:r>
      <w:r w:rsidRPr="006148EB">
        <w:t>no crescim</w:t>
      </w:r>
      <w:r>
        <w:t>ento econômico dos municípios Nordestinos.</w:t>
      </w:r>
      <w:r w:rsidRPr="006148EB">
        <w:t xml:space="preserve"> </w:t>
      </w:r>
    </w:p>
    <w:p w14:paraId="2A8472E2" w14:textId="77777777" w:rsidR="005F4D72" w:rsidRPr="00C17E1B" w:rsidRDefault="005F4D72" w:rsidP="005F4D72">
      <w:pPr>
        <w:spacing w:before="120"/>
        <w:ind w:firstLine="1134"/>
        <w:jc w:val="both"/>
      </w:pPr>
      <w:r w:rsidRPr="00C17E1B">
        <w:t xml:space="preserve">Este trabalho está divido em mais quatro seções, além desta Introdução. A segunda seção evidencia a importância dos Fundos Constitucionais para o crescimento econômico, bem como a distribuição do FNE nos municípios do Nordeste. Em seguida é detalhada a metodologia utilizada para a estimação do modelo de impacto do FNE e é descrita a amostra utilizada para tal. Finalmente, na quarta seção, são expostos e analisados os resultados encontrados, seguidos de considerações sobre o tema. </w:t>
      </w:r>
    </w:p>
    <w:p w14:paraId="3638179A" w14:textId="77777777" w:rsidR="005F4D72" w:rsidRPr="00C17E1B" w:rsidRDefault="005F4D72" w:rsidP="005F4D72">
      <w:pPr>
        <w:jc w:val="both"/>
      </w:pPr>
    </w:p>
    <w:p w14:paraId="20EE3E12" w14:textId="77777777" w:rsidR="005F4D72" w:rsidRDefault="005F4D72" w:rsidP="005F4D72">
      <w:pPr>
        <w:jc w:val="both"/>
        <w:rPr>
          <w:b/>
          <w:bCs/>
        </w:rPr>
      </w:pPr>
    </w:p>
    <w:p w14:paraId="6ED00B2F" w14:textId="77777777" w:rsidR="005F4D72" w:rsidRDefault="005F4D72" w:rsidP="005F4D72">
      <w:pPr>
        <w:jc w:val="both"/>
        <w:rPr>
          <w:b/>
          <w:bCs/>
        </w:rPr>
      </w:pPr>
    </w:p>
    <w:p w14:paraId="3E49F153" w14:textId="77777777" w:rsidR="005F4D72" w:rsidRPr="00567702" w:rsidRDefault="005F4D72" w:rsidP="005F4D72">
      <w:pPr>
        <w:jc w:val="both"/>
        <w:rPr>
          <w:b/>
          <w:bCs/>
        </w:rPr>
      </w:pPr>
      <w:r w:rsidRPr="00567702">
        <w:rPr>
          <w:b/>
          <w:bCs/>
        </w:rPr>
        <w:t xml:space="preserve">2. Importância do Crédito Subsidiado para o Crescimento </w:t>
      </w:r>
      <w:r>
        <w:rPr>
          <w:b/>
          <w:bCs/>
        </w:rPr>
        <w:t xml:space="preserve">e a </w:t>
      </w:r>
      <w:r w:rsidRPr="00567702">
        <w:rPr>
          <w:b/>
          <w:bCs/>
        </w:rPr>
        <w:t>distribuição do Fundo Constitucional de Financiamento do Nordeste</w:t>
      </w:r>
    </w:p>
    <w:p w14:paraId="35BBE2AE" w14:textId="77777777" w:rsidR="005F4D72" w:rsidRPr="006148EB" w:rsidRDefault="005F4D72" w:rsidP="005F4D72">
      <w:pPr>
        <w:spacing w:before="120"/>
        <w:ind w:firstLine="708"/>
        <w:jc w:val="both"/>
      </w:pPr>
    </w:p>
    <w:p w14:paraId="03F40BC6" w14:textId="77777777" w:rsidR="005F4D72" w:rsidRPr="006148EB" w:rsidRDefault="005F4D72" w:rsidP="005F4D72">
      <w:pPr>
        <w:spacing w:before="120"/>
        <w:ind w:firstLine="1134"/>
        <w:jc w:val="both"/>
      </w:pPr>
      <w:r w:rsidRPr="006148EB">
        <w:t xml:space="preserve">O papel do crédito como fator acelerador ou restritivo do crescimento econômico é citado desde Keynes em sua obra clássica Teoria Geral do Emprego, do Juro e da Moeda. O mesmo afirma que: </w:t>
      </w:r>
    </w:p>
    <w:p w14:paraId="4474673F" w14:textId="77777777" w:rsidR="005F4D72" w:rsidRPr="006148EB" w:rsidRDefault="005F4D72" w:rsidP="005F4D72">
      <w:pPr>
        <w:spacing w:before="480" w:after="720"/>
        <w:ind w:left="2268"/>
        <w:jc w:val="both"/>
      </w:pPr>
      <w:r w:rsidRPr="00216595">
        <w:rPr>
          <w:sz w:val="20"/>
          <w:szCs w:val="20"/>
        </w:rPr>
        <w:t>O crédito é de fundamental importância para o desenvolvimento econômico, não só por seu impacto direto na acumulação do capital e seus reflexos sobre a distribuição de renda e a atividade inovadora. O crédito possui também grande importância na formação de expectativas, de forma que, se bem empregado e se garantidos os bons resultados dos investimentos, ele produz um aumento do otimismo na economia</w:t>
      </w:r>
      <w:r w:rsidRPr="006148EB">
        <w:t xml:space="preserve">. </w:t>
      </w:r>
    </w:p>
    <w:p w14:paraId="40A9BE31" w14:textId="77777777" w:rsidR="005F4D72" w:rsidRPr="006148EB" w:rsidRDefault="005F4D72" w:rsidP="005F4D72">
      <w:pPr>
        <w:spacing w:before="120"/>
        <w:ind w:firstLine="1134"/>
        <w:jc w:val="both"/>
      </w:pPr>
      <w:r w:rsidRPr="006148EB">
        <w:t>Empiricamente</w:t>
      </w:r>
      <w:r>
        <w:t>,</w:t>
      </w:r>
      <w:r w:rsidRPr="006148EB">
        <w:t xml:space="preserve"> a relação entre a disponibilidade e utilização do crédito e o crescimento econômico varia com o estudo de caso e o método de análise escolhido. Em geral, encontra-se uma correlação de causalidade positiva entre estas variáveis. No Brasil, entre outros trabalhos que evidenciam esta causalidade podemos citar Matos (2002), Marques Jr. e Porto Jr.(2004), Chinelatto Neto (2007) e Rocha e Nakane (2007). </w:t>
      </w:r>
    </w:p>
    <w:p w14:paraId="4AF243A1" w14:textId="77777777" w:rsidR="005F4D72" w:rsidRPr="006148EB" w:rsidRDefault="005F4D72" w:rsidP="005F4D72">
      <w:pPr>
        <w:spacing w:before="120"/>
        <w:ind w:firstLine="1134"/>
        <w:jc w:val="both"/>
      </w:pPr>
      <w:r w:rsidRPr="006148EB">
        <w:t xml:space="preserve">Os efeitos do crédito subsidiado com fundos públicos no crescimento e na diminuição das desigualdades regionais, no entanto, é algo menos explorado na literatura. Embora o crédito subsidiado como instrumento de política regional não seja algo novo, é apenas a partir da emergência da formação de </w:t>
      </w:r>
      <w:r w:rsidRPr="006148EB">
        <w:lastRenderedPageBreak/>
        <w:t>mercados únicos e da ascensão dos programas de crédito para as classes sociais mais baixas nos diversos setores econômicos nos anos 90 que o interesse pelo mesmo tem sido renovado. Com a União Européia, por exemplo, as chamadas políticas de coesão regional (</w:t>
      </w:r>
      <w:r w:rsidRPr="006148EB">
        <w:rPr>
          <w:i/>
        </w:rPr>
        <w:t>EU Choesian Policy</w:t>
      </w:r>
      <w:r w:rsidRPr="006148EB">
        <w:t>) baseadas em transferência de fundos (</w:t>
      </w:r>
      <w:r w:rsidRPr="006148EB">
        <w:rPr>
          <w:i/>
        </w:rPr>
        <w:t>structural funds</w:t>
      </w:r>
      <w:r w:rsidRPr="006148EB">
        <w:t>) que financiam programas de concessão de crédito, procuram diminuir as desigualdades existentes entre os países membros apoiando formação de estruturas produtivas e incentivando os mercados locais.</w:t>
      </w:r>
    </w:p>
    <w:p w14:paraId="4B194B8F" w14:textId="77777777" w:rsidR="005F4D72" w:rsidRPr="006148EB" w:rsidRDefault="005F4D72" w:rsidP="005F4D72">
      <w:pPr>
        <w:spacing w:before="120"/>
        <w:ind w:firstLine="1134"/>
        <w:jc w:val="both"/>
      </w:pPr>
      <w:r w:rsidRPr="006148EB">
        <w:t xml:space="preserve">O impacto dos fundos estruturais europeus no crescimento econômico ainda é uma questão aberta. Dall’erba e  Groot (2006) analisaram 11 estudos empíricos realizados durante a década de 2000 e encontraram tanto efeitos positivos de impacto quando insignificantes, e até mesmo negativos. </w:t>
      </w:r>
    </w:p>
    <w:p w14:paraId="24747F26" w14:textId="77777777" w:rsidR="005F4D72" w:rsidRDefault="005F4D72" w:rsidP="005F4D72">
      <w:pPr>
        <w:spacing w:before="120"/>
        <w:ind w:firstLine="1134"/>
        <w:jc w:val="both"/>
      </w:pPr>
      <w:r w:rsidRPr="006148EB">
        <w:t>No Brasil, os fundos constitucionais regionais (FNE, FCO, FNO) são formados a partir da arrecadação anual de 3% do IPI e do imposto de renda com a intenção de melhorar a capacidade de crescimento das macro-regiões menos desenvolvidas (respectivamente N</w:t>
      </w:r>
      <w:r>
        <w:t>ordeste, Centro-Oeste e Norte). .</w:t>
      </w:r>
    </w:p>
    <w:p w14:paraId="243E923F" w14:textId="77777777" w:rsidR="005F4D72" w:rsidRDefault="005F4D72" w:rsidP="005F4D72">
      <w:pPr>
        <w:spacing w:before="120"/>
        <w:ind w:firstLine="1134"/>
        <w:jc w:val="both"/>
      </w:pPr>
      <w:r w:rsidRPr="00541040">
        <w:t>Administrado pelo Banco do Nordeste do Brasil (BNB), o FNE tem como área de aplicação todos os estados nordestinos, além do norte dos Estados de Minas Gerais e do Espírito Santo, incluídos na área de atuação da SUDENE, abrangendo 1.990 municípios (BRASIL, 1999).</w:t>
      </w:r>
    </w:p>
    <w:p w14:paraId="0F7D52A2" w14:textId="77777777" w:rsidR="005F4D72" w:rsidRDefault="005F4D72" w:rsidP="005F4D72">
      <w:pPr>
        <w:spacing w:before="120"/>
        <w:ind w:firstLine="1134"/>
        <w:jc w:val="both"/>
      </w:pPr>
      <w:r w:rsidRPr="00BE4EBA">
        <w:t xml:space="preserve">Considerando a distribuição setorial dos recursos </w:t>
      </w:r>
      <w:r>
        <w:t>no período de 2002 a 2008</w:t>
      </w:r>
      <w:r w:rsidRPr="00BE4EBA">
        <w:t xml:space="preserve">, verifica-se que </w:t>
      </w:r>
      <w:r>
        <w:t xml:space="preserve">o FNE financiou empreendimentos e em todos os setores econômicos. Vale destacar que </w:t>
      </w:r>
      <w:r w:rsidRPr="00BE4EBA">
        <w:t>46,5% do volume financiado foi</w:t>
      </w:r>
      <w:r>
        <w:t xml:space="preserve"> para o Setor Rural</w:t>
      </w:r>
      <w:r w:rsidRPr="00BE4EBA">
        <w:t xml:space="preserve">, devido à própria dinâmica da economia nordestina, tradicionalmente caracterizada pela produção agropecuária. Em segundo lugar vem o Setor Industrial e Turismo com 22,4%, seguido pelo Setor Comércio e Serviços com 15,5%. (Gráfico </w:t>
      </w:r>
      <w:r>
        <w:t>1</w:t>
      </w:r>
      <w:r w:rsidRPr="00BE4EBA">
        <w:t>).</w:t>
      </w:r>
    </w:p>
    <w:p w14:paraId="55D7B8DD" w14:textId="5A1C0B32" w:rsidR="005F4D72" w:rsidRDefault="005F4D72" w:rsidP="005F4D72">
      <w:pPr>
        <w:spacing w:before="120"/>
        <w:ind w:firstLine="1134"/>
        <w:jc w:val="both"/>
      </w:pPr>
      <w:r>
        <w:rPr>
          <w:noProof/>
        </w:rPr>
        <w:drawing>
          <wp:anchor distT="0" distB="0" distL="114300" distR="115760" simplePos="0" relativeHeight="251659264" behindDoc="0" locked="0" layoutInCell="1" allowOverlap="1" wp14:anchorId="30898149" wp14:editId="31711414">
            <wp:simplePos x="0" y="0"/>
            <wp:positionH relativeFrom="column">
              <wp:posOffset>1428115</wp:posOffset>
            </wp:positionH>
            <wp:positionV relativeFrom="paragraph">
              <wp:posOffset>90805</wp:posOffset>
            </wp:positionV>
            <wp:extent cx="3994785" cy="2361565"/>
            <wp:effectExtent l="0" t="0" r="5715" b="635"/>
            <wp:wrapSquare wrapText="bothSides"/>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FDBCFF9" w14:textId="77777777" w:rsidR="005F4D72" w:rsidRDefault="005F4D72" w:rsidP="005F4D72">
      <w:pPr>
        <w:spacing w:before="120"/>
        <w:ind w:firstLine="1134"/>
        <w:jc w:val="both"/>
      </w:pPr>
    </w:p>
    <w:p w14:paraId="3EC66D8E" w14:textId="77777777" w:rsidR="005F4D72" w:rsidRDefault="005F4D72" w:rsidP="005F4D72">
      <w:pPr>
        <w:spacing w:before="120"/>
        <w:ind w:firstLine="1134"/>
        <w:jc w:val="both"/>
      </w:pPr>
    </w:p>
    <w:p w14:paraId="5D65C237" w14:textId="77777777" w:rsidR="005F4D72" w:rsidRDefault="005F4D72" w:rsidP="005F4D72">
      <w:pPr>
        <w:spacing w:before="120"/>
        <w:ind w:firstLine="1134"/>
        <w:jc w:val="both"/>
      </w:pPr>
    </w:p>
    <w:p w14:paraId="23D8ABD2" w14:textId="77777777" w:rsidR="005F4D72" w:rsidRDefault="005F4D72" w:rsidP="005F4D72">
      <w:pPr>
        <w:spacing w:before="120"/>
        <w:ind w:firstLine="1134"/>
        <w:jc w:val="both"/>
      </w:pPr>
    </w:p>
    <w:p w14:paraId="4A446A16" w14:textId="77777777" w:rsidR="005F4D72" w:rsidRDefault="005F4D72" w:rsidP="005F4D72">
      <w:pPr>
        <w:spacing w:before="120"/>
        <w:ind w:firstLine="1134"/>
        <w:jc w:val="both"/>
      </w:pPr>
    </w:p>
    <w:p w14:paraId="3DA69CD1" w14:textId="77777777" w:rsidR="005F4D72" w:rsidRDefault="005F4D72" w:rsidP="005F4D72">
      <w:pPr>
        <w:spacing w:before="120"/>
        <w:ind w:firstLine="1134"/>
        <w:jc w:val="both"/>
      </w:pPr>
    </w:p>
    <w:p w14:paraId="3BDADB10" w14:textId="77777777" w:rsidR="005F4D72" w:rsidRDefault="005F4D72" w:rsidP="005F4D72">
      <w:pPr>
        <w:spacing w:before="120"/>
        <w:ind w:firstLine="1134"/>
        <w:jc w:val="both"/>
      </w:pPr>
    </w:p>
    <w:p w14:paraId="5612C62F" w14:textId="77777777" w:rsidR="005F4D72" w:rsidRDefault="005F4D72" w:rsidP="005F4D72">
      <w:pPr>
        <w:spacing w:before="120"/>
        <w:ind w:firstLine="1134"/>
        <w:jc w:val="both"/>
      </w:pPr>
    </w:p>
    <w:p w14:paraId="2949DCF5" w14:textId="77777777" w:rsidR="005F4D72" w:rsidRDefault="005F4D72" w:rsidP="005F4D72">
      <w:pPr>
        <w:spacing w:before="120"/>
        <w:ind w:firstLine="1134"/>
        <w:jc w:val="both"/>
      </w:pPr>
    </w:p>
    <w:p w14:paraId="11AE5B5A" w14:textId="77777777" w:rsidR="005F4D72" w:rsidRPr="00CE3AEA" w:rsidRDefault="005F4D72" w:rsidP="005F4D72">
      <w:pPr>
        <w:ind w:left="1701" w:right="990"/>
        <w:jc w:val="both"/>
        <w:rPr>
          <w:bCs/>
        </w:rPr>
      </w:pPr>
      <w:r w:rsidRPr="00CE3AEA">
        <w:rPr>
          <w:bCs/>
        </w:rPr>
        <w:t>Gráfico 1 – FNE - Contratações segundo o setor - 2000 a 2008.</w:t>
      </w:r>
    </w:p>
    <w:p w14:paraId="68F355F2" w14:textId="77777777" w:rsidR="005F4D72" w:rsidRPr="00CE3AEA" w:rsidRDefault="005F4D72" w:rsidP="005F4D72">
      <w:pPr>
        <w:ind w:left="1701" w:right="990"/>
        <w:jc w:val="both"/>
        <w:rPr>
          <w:bCs/>
          <w:sz w:val="16"/>
          <w:szCs w:val="16"/>
        </w:rPr>
      </w:pPr>
      <w:r>
        <w:rPr>
          <w:bCs/>
          <w:sz w:val="16"/>
          <w:szCs w:val="16"/>
        </w:rPr>
        <w:t>Fonte: Elaboração própria dos autores, com dados do BNB – Ambiente de Controle de Operações de Crédito (2011).</w:t>
      </w:r>
    </w:p>
    <w:p w14:paraId="5A352557" w14:textId="77777777" w:rsidR="005F4D72" w:rsidRDefault="005F4D72" w:rsidP="005F4D72">
      <w:pPr>
        <w:spacing w:before="120"/>
        <w:ind w:firstLine="1134"/>
        <w:jc w:val="both"/>
      </w:pPr>
    </w:p>
    <w:p w14:paraId="43E6612F" w14:textId="77777777" w:rsidR="005F4D72" w:rsidRDefault="005F4D72" w:rsidP="005F4D72">
      <w:pPr>
        <w:spacing w:before="120"/>
        <w:ind w:firstLine="1134"/>
        <w:jc w:val="both"/>
      </w:pPr>
    </w:p>
    <w:p w14:paraId="782B1519" w14:textId="77777777" w:rsidR="005F4D72" w:rsidRDefault="005F4D72" w:rsidP="005F4D72">
      <w:pPr>
        <w:spacing w:before="120"/>
        <w:ind w:firstLine="1134"/>
        <w:jc w:val="both"/>
      </w:pPr>
      <w:r w:rsidRPr="00807D27">
        <w:t xml:space="preserve">Quanto ao porte dos beneficiários, o mais representativo em valor foi o grande porte, tendo </w:t>
      </w:r>
      <w:r>
        <w:t>financiado</w:t>
      </w:r>
      <w:r w:rsidRPr="00807D27">
        <w:t xml:space="preserve"> </w:t>
      </w:r>
      <w:r>
        <w:t>o equivalente</w:t>
      </w:r>
      <w:r w:rsidRPr="00807D27">
        <w:t xml:space="preserve"> 54,2% do volume total no período considerado no estudo, seguido pelo Mini/Pequeno Porte (32,6%) e Médio Porte (13,2%). (Gráfico </w:t>
      </w:r>
      <w:r>
        <w:t>2</w:t>
      </w:r>
      <w:r w:rsidRPr="00807D27">
        <w:t>). De acordo com BNB (2011) o FNE deve destinar o mínimo de 20% para empreendimentos classificados como mini, micro e pequeno porte</w:t>
      </w:r>
      <w:r w:rsidRPr="00807D27">
        <w:rPr>
          <w:rStyle w:val="Refdenotaderodap"/>
        </w:rPr>
        <w:footnoteReference w:id="5"/>
      </w:r>
      <w:r w:rsidRPr="00807D27">
        <w:t>.</w:t>
      </w:r>
    </w:p>
    <w:p w14:paraId="27D555CC" w14:textId="77777777" w:rsidR="005F4D72" w:rsidRDefault="005F4D72" w:rsidP="005F4D72">
      <w:pPr>
        <w:spacing w:before="120"/>
        <w:jc w:val="center"/>
        <w:rPr>
          <w:b/>
        </w:rPr>
      </w:pPr>
    </w:p>
    <w:p w14:paraId="3E49345F" w14:textId="2EFD1F01" w:rsidR="005F4D72" w:rsidRDefault="005F4D72" w:rsidP="005F4D72">
      <w:pPr>
        <w:spacing w:before="120"/>
        <w:jc w:val="center"/>
        <w:rPr>
          <w:b/>
        </w:rPr>
      </w:pPr>
      <w:r>
        <w:rPr>
          <w:b/>
          <w:noProof/>
        </w:rPr>
        <w:lastRenderedPageBreak/>
        <w:drawing>
          <wp:anchor distT="0" distB="514" distL="124621" distR="119353" simplePos="0" relativeHeight="251660288" behindDoc="0" locked="0" layoutInCell="1" allowOverlap="1" wp14:anchorId="2631965A" wp14:editId="187A82EB">
            <wp:simplePos x="0" y="0"/>
            <wp:positionH relativeFrom="column">
              <wp:posOffset>1419386</wp:posOffset>
            </wp:positionH>
            <wp:positionV relativeFrom="paragraph">
              <wp:posOffset>111760</wp:posOffset>
            </wp:positionV>
            <wp:extent cx="3963035" cy="2144395"/>
            <wp:effectExtent l="38100" t="0" r="18415" b="8255"/>
            <wp:wrapSquare wrapText="bothSides"/>
            <wp:docPr id="4"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96B025F" w14:textId="77777777" w:rsidR="005F4D72" w:rsidRDefault="005F4D72" w:rsidP="005F4D72">
      <w:pPr>
        <w:spacing w:before="120"/>
        <w:jc w:val="center"/>
        <w:rPr>
          <w:b/>
        </w:rPr>
      </w:pPr>
    </w:p>
    <w:p w14:paraId="3946B288" w14:textId="77777777" w:rsidR="005F4D72" w:rsidRDefault="005F4D72" w:rsidP="005F4D72">
      <w:pPr>
        <w:spacing w:before="120"/>
        <w:jc w:val="center"/>
        <w:rPr>
          <w:b/>
        </w:rPr>
      </w:pPr>
    </w:p>
    <w:p w14:paraId="683BD1D6" w14:textId="77777777" w:rsidR="005F4D72" w:rsidRDefault="005F4D72" w:rsidP="005F4D72">
      <w:pPr>
        <w:spacing w:before="120"/>
        <w:jc w:val="center"/>
        <w:rPr>
          <w:b/>
        </w:rPr>
      </w:pPr>
    </w:p>
    <w:p w14:paraId="59EDF50D" w14:textId="77777777" w:rsidR="005F4D72" w:rsidRDefault="005F4D72" w:rsidP="005F4D72">
      <w:pPr>
        <w:spacing w:before="120"/>
        <w:jc w:val="center"/>
        <w:rPr>
          <w:b/>
        </w:rPr>
      </w:pPr>
    </w:p>
    <w:p w14:paraId="18DEECA9" w14:textId="77777777" w:rsidR="005F4D72" w:rsidRDefault="005F4D72" w:rsidP="005F4D72">
      <w:pPr>
        <w:spacing w:before="120"/>
        <w:jc w:val="center"/>
        <w:rPr>
          <w:b/>
        </w:rPr>
      </w:pPr>
    </w:p>
    <w:p w14:paraId="3B29C951" w14:textId="77777777" w:rsidR="005F4D72" w:rsidRDefault="005F4D72" w:rsidP="005F4D72">
      <w:pPr>
        <w:spacing w:before="120"/>
        <w:jc w:val="center"/>
        <w:rPr>
          <w:b/>
        </w:rPr>
      </w:pPr>
    </w:p>
    <w:p w14:paraId="4D1CEB90" w14:textId="77777777" w:rsidR="005F4D72" w:rsidRDefault="005F4D72" w:rsidP="005F4D72">
      <w:pPr>
        <w:spacing w:before="120"/>
        <w:jc w:val="center"/>
        <w:rPr>
          <w:b/>
        </w:rPr>
      </w:pPr>
    </w:p>
    <w:p w14:paraId="6985C38F" w14:textId="77777777" w:rsidR="005F4D72" w:rsidRDefault="005F4D72" w:rsidP="005F4D72">
      <w:pPr>
        <w:spacing w:before="120"/>
        <w:jc w:val="center"/>
        <w:rPr>
          <w:b/>
        </w:rPr>
      </w:pPr>
    </w:p>
    <w:p w14:paraId="4BAC3365" w14:textId="77777777" w:rsidR="005F4D72" w:rsidRDefault="005F4D72" w:rsidP="005F4D72">
      <w:pPr>
        <w:ind w:left="1560"/>
        <w:jc w:val="both"/>
        <w:rPr>
          <w:bCs/>
        </w:rPr>
      </w:pPr>
    </w:p>
    <w:p w14:paraId="283C797E" w14:textId="77777777" w:rsidR="005F4D72" w:rsidRPr="000F4809" w:rsidRDefault="005F4D72" w:rsidP="005F4D72">
      <w:pPr>
        <w:ind w:left="1701"/>
        <w:jc w:val="both"/>
        <w:rPr>
          <w:bCs/>
        </w:rPr>
      </w:pPr>
      <w:r w:rsidRPr="000F4809">
        <w:rPr>
          <w:bCs/>
        </w:rPr>
        <w:t>Gráfico 2 - FNE - Contratações segundo o porte - 2000 a 2008.</w:t>
      </w:r>
    </w:p>
    <w:p w14:paraId="330D9B69" w14:textId="77777777" w:rsidR="005F4D72" w:rsidRPr="00CE3AEA" w:rsidRDefault="005F4D72" w:rsidP="005F4D72">
      <w:pPr>
        <w:ind w:left="1701"/>
        <w:jc w:val="both"/>
        <w:rPr>
          <w:bCs/>
          <w:sz w:val="16"/>
          <w:szCs w:val="16"/>
        </w:rPr>
      </w:pPr>
      <w:r>
        <w:rPr>
          <w:bCs/>
          <w:sz w:val="16"/>
          <w:szCs w:val="16"/>
        </w:rPr>
        <w:t>Fonte: Elaboração própria dos autores, com dados do BNB – Ambiente de Controle de Operações de Crédito (2011).</w:t>
      </w:r>
    </w:p>
    <w:p w14:paraId="2C0FCD4F" w14:textId="77777777" w:rsidR="005F4D72" w:rsidRDefault="005F4D72" w:rsidP="005F4D72">
      <w:pPr>
        <w:spacing w:before="120"/>
        <w:jc w:val="center"/>
        <w:rPr>
          <w:b/>
        </w:rPr>
      </w:pPr>
    </w:p>
    <w:p w14:paraId="75441215" w14:textId="77777777" w:rsidR="005F4D72" w:rsidRDefault="005F4D72" w:rsidP="005F4D72">
      <w:pPr>
        <w:spacing w:before="120"/>
        <w:ind w:firstLine="1134"/>
        <w:jc w:val="both"/>
      </w:pPr>
    </w:p>
    <w:p w14:paraId="4F76AD48" w14:textId="77777777" w:rsidR="005F4D72" w:rsidRDefault="005F4D72" w:rsidP="005F4D72">
      <w:pPr>
        <w:spacing w:before="120"/>
        <w:ind w:firstLine="1134"/>
        <w:jc w:val="both"/>
      </w:pPr>
      <w:r w:rsidRPr="00807D27">
        <w:t>O FNE ao longo da década de 2000 cresceu substancialmente, alcançando</w:t>
      </w:r>
      <w:r w:rsidRPr="006148EB">
        <w:t xml:space="preserve"> todos os municípios do Nordeste. O mapa abaixo mostra a soma dos recursos distribuídos entre 2002 e 200</w:t>
      </w:r>
      <w:r>
        <w:t>8</w:t>
      </w:r>
      <w:r w:rsidRPr="006148EB">
        <w:t xml:space="preserve"> </w:t>
      </w:r>
      <w:r>
        <w:br/>
      </w:r>
      <w:r w:rsidRPr="006148EB">
        <w:t>(</w:t>
      </w:r>
      <w:r>
        <w:t>R$</w:t>
      </w:r>
      <w:r w:rsidRPr="006148EB">
        <w:t xml:space="preserve"> de 2007)</w:t>
      </w:r>
      <w:r>
        <w:rPr>
          <w:rStyle w:val="Refdenotaderodap"/>
        </w:rPr>
        <w:footnoteReference w:id="6"/>
      </w:r>
      <w:r w:rsidRPr="006148EB">
        <w:t xml:space="preserve"> </w:t>
      </w:r>
      <w:r>
        <w:t xml:space="preserve">para cada município </w:t>
      </w:r>
      <w:r w:rsidRPr="006148EB">
        <w:t>por intervalos de valores definidos</w:t>
      </w:r>
      <w:r>
        <w:t xml:space="preserve"> para cada quintil. </w:t>
      </w:r>
      <w:r w:rsidRPr="006148EB">
        <w:t>Todos os municípios foram agraciados, sendo que o volume de recursos recebidos varia consideravelmente entre os municípios</w:t>
      </w:r>
      <w:r>
        <w:t xml:space="preserve"> de R$ 15,9 mil em Santa Cecília-PB a R$ 1,3 bilhões em Fortaleza-CE</w:t>
      </w:r>
      <w:r>
        <w:rPr>
          <w:rStyle w:val="Refdenotaderodap"/>
        </w:rPr>
        <w:footnoteReference w:id="7"/>
      </w:r>
      <w:r>
        <w:t xml:space="preserve">. </w:t>
      </w:r>
      <w:r w:rsidRPr="006148EB">
        <w:t>A questão latente levantada a partir desta constatação é saber se aqueles municípios que recebem proporcionalmente mais recursos, de fato estão crescendo mais</w:t>
      </w:r>
      <w:r>
        <w:t xml:space="preserve"> por efeito induzido do financiamento</w:t>
      </w:r>
      <w:r w:rsidRPr="006148EB">
        <w:t xml:space="preserve">.  </w:t>
      </w:r>
    </w:p>
    <w:p w14:paraId="16E29487" w14:textId="77777777" w:rsidR="005F4D72" w:rsidRDefault="005F4D72" w:rsidP="005F4D72">
      <w:pPr>
        <w:spacing w:before="120"/>
        <w:ind w:firstLine="1134"/>
        <w:jc w:val="both"/>
      </w:pPr>
    </w:p>
    <w:p w14:paraId="0D68ABB4" w14:textId="12697C13" w:rsidR="005F4D72" w:rsidRPr="006148EB" w:rsidRDefault="005F4D72" w:rsidP="005F4D72">
      <w:pPr>
        <w:jc w:val="center"/>
      </w:pPr>
      <w:r>
        <w:rPr>
          <w:noProof/>
        </w:rPr>
        <w:drawing>
          <wp:inline distT="0" distB="0" distL="0" distR="0" wp14:anchorId="5761C373" wp14:editId="75AD3F7C">
            <wp:extent cx="3790950" cy="27527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752725"/>
                    </a:xfrm>
                    <a:prstGeom prst="rect">
                      <a:avLst/>
                    </a:prstGeom>
                    <a:solidFill>
                      <a:srgbClr val="000000"/>
                    </a:solidFill>
                    <a:ln>
                      <a:noFill/>
                    </a:ln>
                  </pic:spPr>
                </pic:pic>
              </a:graphicData>
            </a:graphic>
          </wp:inline>
        </w:drawing>
      </w:r>
    </w:p>
    <w:p w14:paraId="038FD5C3" w14:textId="77777777" w:rsidR="005F4D72" w:rsidRDefault="005F4D72" w:rsidP="005F4D72">
      <w:pPr>
        <w:ind w:left="1701"/>
        <w:jc w:val="both"/>
      </w:pPr>
      <w:r>
        <w:t>Figura 1 – Aplicações acumuladas do FNE por município – 2002-2008.</w:t>
      </w:r>
    </w:p>
    <w:p w14:paraId="40084440" w14:textId="77777777" w:rsidR="005F4D72" w:rsidRDefault="005F4D72" w:rsidP="005F4D72">
      <w:pPr>
        <w:spacing w:before="120"/>
        <w:ind w:left="1701"/>
        <w:jc w:val="both"/>
      </w:pPr>
      <w:r w:rsidRPr="00DE2769">
        <w:rPr>
          <w:sz w:val="18"/>
          <w:szCs w:val="18"/>
        </w:rPr>
        <w:t>Fonte: BNB</w:t>
      </w:r>
      <w:r w:rsidRPr="00DE2769">
        <w:rPr>
          <w:sz w:val="16"/>
          <w:szCs w:val="16"/>
        </w:rPr>
        <w:t xml:space="preserve"> – Ambiente de Controle e Operações de Crédito.</w:t>
      </w:r>
    </w:p>
    <w:p w14:paraId="182F1DC0" w14:textId="77777777" w:rsidR="005F4D72" w:rsidRPr="006148EB" w:rsidRDefault="005F4D72" w:rsidP="005F4D72">
      <w:pPr>
        <w:spacing w:before="120"/>
        <w:ind w:firstLine="1134"/>
        <w:jc w:val="both"/>
      </w:pPr>
      <w:r w:rsidRPr="006148EB">
        <w:lastRenderedPageBreak/>
        <w:t xml:space="preserve">Estudos analisando a eficácia </w:t>
      </w:r>
      <w:r>
        <w:t>dos fundos constitucionais</w:t>
      </w:r>
      <w:r w:rsidRPr="006148EB">
        <w:t xml:space="preserve"> ainda são escassos. Oliveira e </w:t>
      </w:r>
      <w:r w:rsidRPr="001A166B">
        <w:t>Domingues (2005) investigam</w:t>
      </w:r>
      <w:r w:rsidRPr="006148EB">
        <w:t xml:space="preserve"> se os recursos dos fundos constitucionais do Centro-Oeste e do Norte contribuíram para reduzir a distância da velocidade de crescimento dos municípios destas regiões com relação ao crescimento médio nacional. Utilizam para isso um modelo tradicional de crescimento, incluindo efeitos espaciais que representam externalidades econômicas. Os resultados deste estudo não evidenciaram um impacto significante dos fundos </w:t>
      </w:r>
      <w:r>
        <w:t>n</w:t>
      </w:r>
      <w:r w:rsidRPr="006148EB">
        <w:t xml:space="preserve">a redução das desigualdades. </w:t>
      </w:r>
    </w:p>
    <w:p w14:paraId="629501B3" w14:textId="77777777" w:rsidR="005F4D72" w:rsidRPr="006148EB" w:rsidRDefault="005F4D72" w:rsidP="005F4D72">
      <w:pPr>
        <w:spacing w:before="120"/>
        <w:ind w:firstLine="1134"/>
        <w:jc w:val="both"/>
      </w:pPr>
      <w:r w:rsidRPr="006148EB">
        <w:t>Resen</w:t>
      </w:r>
      <w:r>
        <w:t>d</w:t>
      </w:r>
      <w:r w:rsidRPr="006148EB">
        <w:t>e (2010) também chegou a conclusões qualitativas semelhantes aplicadas ao caso do FNE. O autor avalia o impacto do FNE no crescimento econômico dos municípios da área de atuação do BNB. Como variável qualificadora do FNE</w:t>
      </w:r>
      <w:r>
        <w:t>,</w:t>
      </w:r>
      <w:r w:rsidRPr="006148EB">
        <w:t xml:space="preserve"> o autor utiliza a razão do volume de recursos do FNE (programas Industrial, Serviços e Comércio) pelo PIB dos municípios nos períodos 2000-2001 e 2000-2003, e como variável de resultado (impacto macroeconômico) utiliza-se o crescimento do PIB </w:t>
      </w:r>
      <w:r w:rsidRPr="008B58DE">
        <w:rPr>
          <w:i/>
        </w:rPr>
        <w:t>per capita</w:t>
      </w:r>
      <w:r w:rsidRPr="006148EB">
        <w:t xml:space="preserve"> para os períodos compreendidos entre 2002 e 2006. Para as variáveis de controle foram utilizados indicadores de educação (anos médio de estudos), saúde (mortalidade infantil), demografia (densidade populacional), habitação (Índice de infraestrutura), e transporte (custo de transporte medido por distância linear até São Paulo), afora a variável sinalizadora de convergência (PIB </w:t>
      </w:r>
      <w:r w:rsidRPr="008B58DE">
        <w:rPr>
          <w:i/>
        </w:rPr>
        <w:t>per capita</w:t>
      </w:r>
      <w:r w:rsidRPr="006148EB">
        <w:t xml:space="preserve"> em 2002). Ainda controlando para o potencial problema de endogeneidade do FNE com um modelo estimado em dois estágios, o autor não encontra um impacto positivo e estatisticamente significante do FNE no crescimento econômico.</w:t>
      </w:r>
    </w:p>
    <w:p w14:paraId="096F1DA7" w14:textId="77777777" w:rsidR="005F4D72" w:rsidRPr="006148EB" w:rsidRDefault="005F4D72" w:rsidP="005F4D72">
      <w:pPr>
        <w:spacing w:before="120"/>
        <w:ind w:firstLine="1134"/>
        <w:jc w:val="both"/>
      </w:pPr>
      <w:r>
        <w:t xml:space="preserve">Embora este artigo compartilhe o modelo teórico de crescimento econômico observado em Resende (2010), sua aferição empírica se diferencia de várias maneiras.  </w:t>
      </w:r>
      <w:r w:rsidRPr="006148EB">
        <w:t xml:space="preserve">Primeiro, o período de crescimento do PIB investigado </w:t>
      </w:r>
      <w:r>
        <w:t xml:space="preserve">é mais amplo (2002 – 2008), englobando um período de maior crescimento econômico, que pode </w:t>
      </w:r>
      <w:r w:rsidRPr="006148EB">
        <w:t>ter sido induzido pela</w:t>
      </w:r>
      <w:r>
        <w:t xml:space="preserve"> própria </w:t>
      </w:r>
      <w:r w:rsidRPr="006148EB">
        <w:t>maturação dos investimentos do FNE</w:t>
      </w:r>
      <w:r>
        <w:rPr>
          <w:rStyle w:val="Refdenotaderodap"/>
        </w:rPr>
        <w:footnoteReference w:id="8"/>
      </w:r>
      <w:r w:rsidRPr="006148EB">
        <w:t>.</w:t>
      </w:r>
      <w:r>
        <w:t xml:space="preserve"> </w:t>
      </w:r>
      <w:r w:rsidRPr="006148EB">
        <w:t>Segundo,</w:t>
      </w:r>
      <w:r>
        <w:t xml:space="preserve"> os aportes do FNE são contabilizados em todos os seus programas e não apenas para aqueles do setor Industrial. E</w:t>
      </w:r>
      <w:r w:rsidRPr="006148EB">
        <w:t>mbora este seja o programa com maior participação em valor dos recursos do FNE de maneira agregada</w:t>
      </w:r>
      <w:r>
        <w:rPr>
          <w:rStyle w:val="Refdenotaderodap"/>
        </w:rPr>
        <w:footnoteReference w:id="9"/>
      </w:r>
      <w:r>
        <w:t>,</w:t>
      </w:r>
      <w:r w:rsidRPr="006148EB">
        <w:t xml:space="preserve"> isto pode não ocorrer de forma homogênea ao nível municipal. Desta maneira, é necessário que outras dimensões</w:t>
      </w:r>
      <w:r>
        <w:t xml:space="preserve"> setoriais</w:t>
      </w:r>
      <w:r w:rsidRPr="006148EB">
        <w:t xml:space="preserve"> do FNE</w:t>
      </w:r>
      <w:r>
        <w:t>,</w:t>
      </w:r>
      <w:r w:rsidRPr="006148EB">
        <w:t xml:space="preserve"> como variável chave de investigação de impacto</w:t>
      </w:r>
      <w:r>
        <w:t>,</w:t>
      </w:r>
      <w:r w:rsidRPr="006148EB">
        <w:t xml:space="preserve"> sejam também testadas.</w:t>
      </w:r>
      <w:r>
        <w:t xml:space="preserve"> </w:t>
      </w:r>
    </w:p>
    <w:p w14:paraId="06D1392F" w14:textId="77777777" w:rsidR="005F4D72" w:rsidRPr="006148EB" w:rsidRDefault="005F4D72" w:rsidP="005F4D72">
      <w:pPr>
        <w:spacing w:before="120"/>
        <w:ind w:firstLine="1134"/>
        <w:jc w:val="both"/>
      </w:pPr>
      <w:r w:rsidRPr="006148EB">
        <w:t>Finalmente, é possível que os efeitos de impacto do FNE sejam sentidos de maneira díspar nos municípios do Nordeste. Ou seja, a verificação do impacto pode depender do volume de recursos recebido relativo ao tamanho da economia do município, ou de outro indicador econômico desse município. Isso indica a possibilidade de variabilidade do impacto macroeconômico do FNE dentro do conjunto de municípios do Nordeste. Esta heterogeneidade no impacto é uma possibilidade plausível e deve ser testada empiricamente. Caso seja válida, sua omissão no modelo econométrico resulta em estimativas do impacto enviesadas e inconsistentes.</w:t>
      </w:r>
    </w:p>
    <w:p w14:paraId="238B6551" w14:textId="77777777" w:rsidR="005F4D72" w:rsidRPr="006148EB" w:rsidRDefault="005F4D72" w:rsidP="005F4D72">
      <w:pPr>
        <w:spacing w:before="120"/>
        <w:ind w:firstLine="1134"/>
        <w:jc w:val="both"/>
      </w:pPr>
      <w:r w:rsidRPr="006148EB">
        <w:t xml:space="preserve">Neste artigo procuramos atender as preocupações expostas acima, estimando um modelo de crescimento não-linear que captura as heterogeneidades dos impactos em acordo com </w:t>
      </w:r>
      <w:r>
        <w:t xml:space="preserve">o nível de desenvolvimento inicial </w:t>
      </w:r>
      <w:r w:rsidRPr="006148EB">
        <w:t xml:space="preserve">dos </w:t>
      </w:r>
      <w:r>
        <w:t>mesmos</w:t>
      </w:r>
      <w:r w:rsidRPr="006148EB">
        <w:t xml:space="preserve">, </w:t>
      </w:r>
      <w:r>
        <w:t xml:space="preserve">e </w:t>
      </w:r>
      <w:r w:rsidRPr="006148EB">
        <w:t xml:space="preserve">que </w:t>
      </w:r>
      <w:r>
        <w:t xml:space="preserve">cobre um período de crescimento considerável (2002-2008) para o Nordeste. </w:t>
      </w:r>
    </w:p>
    <w:p w14:paraId="35BA9278" w14:textId="77777777" w:rsidR="005F4D72" w:rsidRPr="006148EB" w:rsidRDefault="005F4D72" w:rsidP="005F4D72">
      <w:pPr>
        <w:ind w:firstLine="708"/>
        <w:jc w:val="both"/>
      </w:pPr>
    </w:p>
    <w:p w14:paraId="5191C85B" w14:textId="77777777" w:rsidR="005F4D72" w:rsidRDefault="005F4D72" w:rsidP="005F4D72">
      <w:pPr>
        <w:rPr>
          <w:b/>
          <w:bCs/>
        </w:rPr>
      </w:pPr>
    </w:p>
    <w:p w14:paraId="60C01ED4" w14:textId="77777777" w:rsidR="005F4D72" w:rsidRPr="00216595" w:rsidRDefault="005F4D72" w:rsidP="005F4D72">
      <w:pPr>
        <w:spacing w:before="120"/>
        <w:rPr>
          <w:b/>
          <w:bCs/>
        </w:rPr>
      </w:pPr>
      <w:r>
        <w:rPr>
          <w:b/>
          <w:bCs/>
        </w:rPr>
        <w:br w:type="page"/>
      </w:r>
      <w:r w:rsidRPr="00216595">
        <w:rPr>
          <w:b/>
          <w:bCs/>
        </w:rPr>
        <w:lastRenderedPageBreak/>
        <w:t>3. Metodologia e Base de Dados</w:t>
      </w:r>
    </w:p>
    <w:p w14:paraId="456B87B4" w14:textId="77777777" w:rsidR="005F4D72" w:rsidRPr="006148EB" w:rsidRDefault="005F4D72" w:rsidP="005F4D72">
      <w:pPr>
        <w:spacing w:before="120"/>
        <w:rPr>
          <w:b/>
          <w:u w:val="single"/>
        </w:rPr>
      </w:pPr>
    </w:p>
    <w:p w14:paraId="4941D251" w14:textId="77777777" w:rsidR="005F4D72" w:rsidRPr="006148EB" w:rsidRDefault="005F4D72" w:rsidP="005F4D72">
      <w:pPr>
        <w:spacing w:before="120"/>
        <w:rPr>
          <w:b/>
        </w:rPr>
      </w:pPr>
      <w:r w:rsidRPr="006148EB">
        <w:rPr>
          <w:b/>
        </w:rPr>
        <w:t>3.1 Modelo Econométrico</w:t>
      </w:r>
    </w:p>
    <w:p w14:paraId="7D2E43AA" w14:textId="77777777" w:rsidR="005F4D72" w:rsidRPr="006148EB" w:rsidRDefault="005F4D72" w:rsidP="005F4D72">
      <w:pPr>
        <w:spacing w:before="120"/>
        <w:ind w:firstLine="708"/>
      </w:pPr>
    </w:p>
    <w:p w14:paraId="72E6D394" w14:textId="77777777" w:rsidR="005F4D72" w:rsidRPr="006148EB" w:rsidRDefault="005F4D72" w:rsidP="005F4D72">
      <w:pPr>
        <w:spacing w:before="120"/>
        <w:ind w:firstLine="1134"/>
        <w:jc w:val="both"/>
      </w:pPr>
      <w:r w:rsidRPr="006148EB">
        <w:t xml:space="preserve">O impacto do Fundo Constitucional </w:t>
      </w:r>
      <w:r>
        <w:t xml:space="preserve">de Financiamento </w:t>
      </w:r>
      <w:r w:rsidRPr="006148EB">
        <w:t xml:space="preserve">do Nordeste (FNE) sobre indicadores macroeconômicos dos municípios do Nordeste é avaliado através de uma metodologia similar àquela empregada nos trabalhos na área de crescimento econômico, que têm como principal referência os estudos de Baumol (1986) e Barro e Sala-i-Martín (1991 e 1992). Nesses estudos, a hipótese de </w:t>
      </w:r>
      <w:r>
        <w:t xml:space="preserve">que </w:t>
      </w:r>
      <w:r w:rsidRPr="006148EB">
        <w:t xml:space="preserve">os PIB’s </w:t>
      </w:r>
      <w:r w:rsidRPr="006148EB">
        <w:rPr>
          <w:i/>
        </w:rPr>
        <w:t>per capita</w:t>
      </w:r>
      <w:r w:rsidRPr="006148EB">
        <w:t xml:space="preserve"> das economias tendem a se equalizar ao longo do tempo é averiguada em um modelo de regressão que faz a taxa média de crescimento do PIB </w:t>
      </w:r>
      <w:r w:rsidRPr="006148EB">
        <w:rPr>
          <w:i/>
        </w:rPr>
        <w:t>per capita</w:t>
      </w:r>
      <w:r w:rsidRPr="006148EB">
        <w:t xml:space="preserve"> entre o período inicial e final (</w:t>
      </w:r>
      <w:r w:rsidRPr="006148EB">
        <w:rPr>
          <w:position w:val="-14"/>
        </w:rPr>
        <w:object w:dxaOrig="380" w:dyaOrig="380" w14:anchorId="5C93F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8.75pt" o:ole="">
            <v:imagedata r:id="rId9" o:title=""/>
          </v:shape>
          <o:OLEObject Type="Embed" ProgID="Equation.3" ShapeID="_x0000_i1026" DrawAspect="Content" ObjectID="_1667139615" r:id="rId10"/>
        </w:object>
      </w:r>
      <w:r w:rsidRPr="006148EB">
        <w:t xml:space="preserve">) ser uma função do valor do PIB </w:t>
      </w:r>
      <w:r w:rsidRPr="006148EB">
        <w:rPr>
          <w:i/>
        </w:rPr>
        <w:t>per capita</w:t>
      </w:r>
      <w:r w:rsidRPr="006148EB">
        <w:t xml:space="preserve"> no período inicial (</w:t>
      </w:r>
      <w:r w:rsidRPr="006148EB">
        <w:rPr>
          <w:position w:val="-14"/>
        </w:rPr>
        <w:object w:dxaOrig="380" w:dyaOrig="380" w14:anchorId="340E425F">
          <v:shape id="_x0000_i1027" type="#_x0000_t75" style="width:18.75pt;height:18.75pt" o:ole="">
            <v:imagedata r:id="rId11" o:title=""/>
          </v:shape>
          <o:OLEObject Type="Embed" ProgID="Equation.3" ShapeID="_x0000_i1027" DrawAspect="Content" ObjectID="_1667139616" r:id="rId12"/>
        </w:object>
      </w:r>
      <w:r w:rsidRPr="006148EB">
        <w:t>),</w:t>
      </w:r>
    </w:p>
    <w:p w14:paraId="1C4FDAAA" w14:textId="77777777" w:rsidR="005F4D72" w:rsidRPr="006148EB" w:rsidRDefault="005F4D72" w:rsidP="005F4D72">
      <w:pPr>
        <w:ind w:firstLine="708"/>
        <w:jc w:val="both"/>
      </w:pPr>
    </w:p>
    <w:p w14:paraId="3E847603" w14:textId="77777777" w:rsidR="005F4D72" w:rsidRPr="006148EB" w:rsidRDefault="005F4D72" w:rsidP="005F4D72">
      <w:r w:rsidRPr="006148EB">
        <w:rPr>
          <w:position w:val="-14"/>
        </w:rPr>
        <w:object w:dxaOrig="2380" w:dyaOrig="380" w14:anchorId="2214FC0C">
          <v:shape id="_x0000_i1028" type="#_x0000_t75" style="width:119.25pt;height:18.75pt" o:ole="">
            <v:imagedata r:id="rId13" o:title=""/>
          </v:shape>
          <o:OLEObject Type="Embed" ProgID="Equation.3" ShapeID="_x0000_i1028" DrawAspect="Content" ObjectID="_1667139617" r:id="rId14"/>
        </w:object>
      </w:r>
      <w:r w:rsidRPr="006148EB">
        <w:t xml:space="preserve">  ,</w:t>
      </w:r>
      <w:r w:rsidRPr="006148EB">
        <w:tab/>
      </w:r>
      <w:r w:rsidRPr="006148EB">
        <w:tab/>
      </w:r>
      <w:r w:rsidRPr="006148EB">
        <w:tab/>
      </w:r>
      <w:r w:rsidRPr="006148EB">
        <w:tab/>
      </w:r>
      <w:r w:rsidRPr="006148EB">
        <w:tab/>
      </w:r>
      <w:r w:rsidRPr="006148EB">
        <w:tab/>
      </w:r>
      <w:r w:rsidRPr="006148EB">
        <w:tab/>
      </w:r>
      <w:r w:rsidRPr="006148EB">
        <w:tab/>
      </w:r>
      <w:r>
        <w:tab/>
      </w:r>
      <w:r>
        <w:tab/>
      </w:r>
      <w:r w:rsidRPr="006148EB">
        <w:t>(1)</w:t>
      </w:r>
    </w:p>
    <w:p w14:paraId="7AB02B27" w14:textId="77777777" w:rsidR="005F4D72" w:rsidRPr="006148EB" w:rsidRDefault="005F4D72" w:rsidP="005F4D72"/>
    <w:p w14:paraId="53745DBE" w14:textId="77777777" w:rsidR="005F4D72" w:rsidRDefault="005F4D72" w:rsidP="005F4D72">
      <w:pPr>
        <w:spacing w:before="120"/>
        <w:ind w:firstLine="1134"/>
        <w:jc w:val="both"/>
      </w:pPr>
      <w:r w:rsidRPr="006148EB">
        <w:t>onde</w:t>
      </w:r>
      <w:r>
        <w:t>:</w:t>
      </w:r>
      <w:r w:rsidRPr="006148EB">
        <w:t xml:space="preserve"> </w:t>
      </w:r>
    </w:p>
    <w:p w14:paraId="323D357D" w14:textId="77777777" w:rsidR="005F4D72" w:rsidRDefault="005F4D72" w:rsidP="005F4D72">
      <w:pPr>
        <w:spacing w:before="120"/>
        <w:ind w:firstLine="1134"/>
        <w:jc w:val="both"/>
      </w:pPr>
      <w:r w:rsidRPr="006148EB">
        <w:rPr>
          <w:position w:val="-10"/>
        </w:rPr>
        <w:object w:dxaOrig="260" w:dyaOrig="340" w14:anchorId="1A16216B">
          <v:shape id="_x0000_i1029" type="#_x0000_t75" style="width:13.5pt;height:17.25pt" o:ole="">
            <v:imagedata r:id="rId15" o:title=""/>
          </v:shape>
          <o:OLEObject Type="Embed" ProgID="Equation.3" ShapeID="_x0000_i1029" DrawAspect="Content" ObjectID="_1667139618" r:id="rId16"/>
        </w:object>
      </w:r>
      <w:r w:rsidRPr="006148EB">
        <w:t xml:space="preserve"> e </w:t>
      </w:r>
      <w:r w:rsidRPr="006148EB">
        <w:rPr>
          <w:position w:val="-10"/>
        </w:rPr>
        <w:object w:dxaOrig="300" w:dyaOrig="340" w14:anchorId="5E0CBD2B">
          <v:shape id="_x0000_i1030" type="#_x0000_t75" style="width:15pt;height:17.25pt" o:ole="">
            <v:imagedata r:id="rId17" o:title=""/>
          </v:shape>
          <o:OLEObject Type="Embed" ProgID="Equation.3" ShapeID="_x0000_i1030" DrawAspect="Content" ObjectID="_1667139619" r:id="rId18"/>
        </w:object>
      </w:r>
      <w:r w:rsidRPr="006148EB">
        <w:t xml:space="preserve"> são parâmetros</w:t>
      </w:r>
      <w:r>
        <w:t>;</w:t>
      </w:r>
    </w:p>
    <w:p w14:paraId="7139D2BA" w14:textId="77777777" w:rsidR="005F4D72" w:rsidRDefault="005F4D72" w:rsidP="005F4D72">
      <w:pPr>
        <w:spacing w:before="120"/>
        <w:ind w:firstLine="1134"/>
        <w:jc w:val="both"/>
      </w:pPr>
      <w:r w:rsidRPr="006148EB">
        <w:rPr>
          <w:position w:val="-12"/>
        </w:rPr>
        <w:object w:dxaOrig="240" w:dyaOrig="360" w14:anchorId="29C1F669">
          <v:shape id="_x0000_i1031" type="#_x0000_t75" style="width:12pt;height:18pt" o:ole="">
            <v:imagedata r:id="rId19" o:title=""/>
          </v:shape>
          <o:OLEObject Type="Embed" ProgID="Equation.3" ShapeID="_x0000_i1031" DrawAspect="Content" ObjectID="_1667139620" r:id="rId20"/>
        </w:object>
      </w:r>
      <w:r w:rsidRPr="006148EB">
        <w:t xml:space="preserve"> é o termo de erro</w:t>
      </w:r>
      <w:r>
        <w:t xml:space="preserve">; </w:t>
      </w:r>
      <w:r w:rsidRPr="006148EB">
        <w:t xml:space="preserve">e </w:t>
      </w:r>
    </w:p>
    <w:p w14:paraId="52560D00" w14:textId="77777777" w:rsidR="005F4D72" w:rsidRDefault="005F4D72" w:rsidP="005F4D72">
      <w:pPr>
        <w:spacing w:before="120"/>
        <w:ind w:firstLine="1134"/>
        <w:jc w:val="both"/>
      </w:pPr>
      <w:r w:rsidRPr="006148EB">
        <w:rPr>
          <w:i/>
        </w:rPr>
        <w:t>i</w:t>
      </w:r>
      <w:r w:rsidRPr="006148EB">
        <w:t xml:space="preserve"> é o índice referente à un</w:t>
      </w:r>
      <w:r>
        <w:t>idade de observação (economia).</w:t>
      </w:r>
    </w:p>
    <w:p w14:paraId="4A3D9456" w14:textId="77777777" w:rsidR="005F4D72" w:rsidRDefault="005F4D72" w:rsidP="005F4D72">
      <w:pPr>
        <w:spacing w:before="120"/>
        <w:ind w:firstLine="1134"/>
        <w:jc w:val="both"/>
      </w:pPr>
    </w:p>
    <w:p w14:paraId="37709131" w14:textId="77777777" w:rsidR="005F4D72" w:rsidRPr="006148EB" w:rsidRDefault="005F4D72" w:rsidP="005F4D72">
      <w:pPr>
        <w:spacing w:before="120"/>
        <w:ind w:firstLine="1134"/>
        <w:jc w:val="both"/>
      </w:pPr>
      <w:r w:rsidRPr="006148EB">
        <w:t>Caso a hipótese de</w:t>
      </w:r>
      <w:r w:rsidRPr="006148EB">
        <w:rPr>
          <w:color w:val="FF0000"/>
        </w:rPr>
        <w:t xml:space="preserve"> </w:t>
      </w:r>
      <w:r w:rsidRPr="006148EB">
        <w:rPr>
          <w:position w:val="-10"/>
        </w:rPr>
        <w:object w:dxaOrig="300" w:dyaOrig="340" w14:anchorId="1116E12E">
          <v:shape id="_x0000_i1032" type="#_x0000_t75" style="width:15pt;height:17.25pt" o:ole="">
            <v:imagedata r:id="rId17" o:title=""/>
          </v:shape>
          <o:OLEObject Type="Embed" ProgID="Equation.3" ShapeID="_x0000_i1032" DrawAspect="Content" ObjectID="_1667139621" r:id="rId21"/>
        </w:object>
      </w:r>
      <w:r w:rsidRPr="006148EB">
        <w:t xml:space="preserve"> ser negativa e estatisticamente significante seja verificada no contexto da equação (1), as economias apresentam um padrão de crescimento econômico condizente com a teoria da convergência absoluta. </w:t>
      </w:r>
    </w:p>
    <w:p w14:paraId="747ED87E" w14:textId="77777777" w:rsidR="005F4D72" w:rsidRPr="006148EB" w:rsidRDefault="005F4D72" w:rsidP="005F4D72">
      <w:pPr>
        <w:spacing w:before="120"/>
        <w:ind w:firstLine="1134"/>
        <w:jc w:val="both"/>
      </w:pPr>
      <w:r w:rsidRPr="006148EB">
        <w:t xml:space="preserve">Em estudos posteriores, o modelo empírico de crescimento tornou-se mais flexível para controlar possíveis diferenças nos níveis de PIB per capita das economias no longo prazo. Essa proposta, conhecida como regressões de Solow aumentadas, foi inicialmente discutida em Mankin, Romer e Weil (1992) e adotada por vários trabalhos seguintes na vertente de pesquisa da convergência condicional. O modelo de regressão teria a seguinte forma: </w:t>
      </w:r>
    </w:p>
    <w:p w14:paraId="414455DB" w14:textId="77777777" w:rsidR="005F4D72" w:rsidRPr="006148EB" w:rsidRDefault="005F4D72" w:rsidP="005F4D72">
      <w:pPr>
        <w:spacing w:before="120"/>
        <w:ind w:firstLine="1134"/>
      </w:pPr>
    </w:p>
    <w:p w14:paraId="759E849A" w14:textId="77777777" w:rsidR="005F4D72" w:rsidRPr="006148EB" w:rsidRDefault="005F4D72" w:rsidP="005F4D72">
      <w:pPr>
        <w:spacing w:before="120"/>
        <w:ind w:firstLine="1134"/>
      </w:pPr>
      <w:r w:rsidRPr="006148EB">
        <w:rPr>
          <w:position w:val="-14"/>
        </w:rPr>
        <w:object w:dxaOrig="3100" w:dyaOrig="380" w14:anchorId="35C95CAE">
          <v:shape id="_x0000_i1033" type="#_x0000_t75" style="width:155.25pt;height:18.75pt" o:ole="">
            <v:imagedata r:id="rId22" o:title=""/>
          </v:shape>
          <o:OLEObject Type="Embed" ProgID="Equation.3" ShapeID="_x0000_i1033" DrawAspect="Content" ObjectID="_1667139622" r:id="rId23"/>
        </w:object>
      </w:r>
      <w:r>
        <w:t>,</w:t>
      </w:r>
      <w:r>
        <w:tab/>
      </w:r>
      <w:r>
        <w:tab/>
      </w:r>
      <w:r>
        <w:tab/>
      </w:r>
      <w:r>
        <w:tab/>
      </w:r>
      <w:r w:rsidRPr="006148EB">
        <w:tab/>
      </w:r>
      <w:r>
        <w:tab/>
      </w:r>
      <w:r>
        <w:tab/>
      </w:r>
      <w:r w:rsidRPr="006148EB">
        <w:t>(2)</w:t>
      </w:r>
    </w:p>
    <w:p w14:paraId="5D52042D" w14:textId="77777777" w:rsidR="005F4D72" w:rsidRPr="006148EB" w:rsidRDefault="005F4D72" w:rsidP="005F4D72">
      <w:pPr>
        <w:spacing w:before="120"/>
        <w:ind w:firstLine="1134"/>
      </w:pPr>
    </w:p>
    <w:p w14:paraId="2E77127B" w14:textId="77777777" w:rsidR="005F4D72" w:rsidRDefault="005F4D72" w:rsidP="005F4D72">
      <w:pPr>
        <w:spacing w:before="120"/>
        <w:ind w:firstLine="1134"/>
        <w:jc w:val="both"/>
      </w:pPr>
      <w:r w:rsidRPr="006148EB">
        <w:t>onde</w:t>
      </w:r>
      <w:r>
        <w:t>:</w:t>
      </w:r>
    </w:p>
    <w:p w14:paraId="290CD43F" w14:textId="77777777" w:rsidR="005F4D72" w:rsidRDefault="005F4D72" w:rsidP="005F4D72">
      <w:pPr>
        <w:spacing w:before="120"/>
        <w:ind w:firstLine="1134"/>
        <w:jc w:val="both"/>
      </w:pPr>
      <w:r w:rsidRPr="006148EB">
        <w:rPr>
          <w:position w:val="-12"/>
        </w:rPr>
        <w:object w:dxaOrig="1400" w:dyaOrig="360" w14:anchorId="08F5572E">
          <v:shape id="_x0000_i1034" type="#_x0000_t75" style="width:69.75pt;height:18pt" o:ole="">
            <v:imagedata r:id="rId24" o:title=""/>
          </v:shape>
          <o:OLEObject Type="Embed" ProgID="Equation.3" ShapeID="_x0000_i1034" DrawAspect="Content" ObjectID="_1667139623" r:id="rId25"/>
        </w:object>
      </w:r>
      <w:r w:rsidRPr="006148EB">
        <w:t xml:space="preserve"> é um vetor com </w:t>
      </w:r>
      <w:r w:rsidRPr="006148EB">
        <w:rPr>
          <w:i/>
        </w:rPr>
        <w:t xml:space="preserve">k </w:t>
      </w:r>
      <w:r w:rsidRPr="006148EB">
        <w:t xml:space="preserve">variáveis condicionantes (de controle); </w:t>
      </w:r>
    </w:p>
    <w:p w14:paraId="6C374D60" w14:textId="77777777" w:rsidR="005F4D72" w:rsidRDefault="005F4D72" w:rsidP="005F4D72">
      <w:pPr>
        <w:spacing w:before="120"/>
        <w:ind w:firstLine="1134"/>
        <w:jc w:val="both"/>
      </w:pPr>
      <w:r w:rsidRPr="006148EB">
        <w:rPr>
          <w:position w:val="-12"/>
        </w:rPr>
        <w:object w:dxaOrig="1540" w:dyaOrig="360" w14:anchorId="471E3CA1">
          <v:shape id="_x0000_i1035" type="#_x0000_t75" style="width:77.25pt;height:18pt" o:ole="">
            <v:imagedata r:id="rId26" o:title=""/>
          </v:shape>
          <o:OLEObject Type="Embed" ProgID="Equation.3" ShapeID="_x0000_i1035" DrawAspect="Content" ObjectID="_1667139624" r:id="rId27"/>
        </w:object>
      </w:r>
      <w:r w:rsidRPr="006148EB">
        <w:t xml:space="preserve"> é o vetor de coefi</w:t>
      </w:r>
      <w:r>
        <w:t>cientes de inclinação parciais.</w:t>
      </w:r>
    </w:p>
    <w:p w14:paraId="20A04992" w14:textId="77777777" w:rsidR="005F4D72" w:rsidRDefault="005F4D72" w:rsidP="005F4D72">
      <w:pPr>
        <w:spacing w:before="120"/>
        <w:ind w:firstLine="1134"/>
        <w:jc w:val="both"/>
      </w:pPr>
    </w:p>
    <w:p w14:paraId="40333CE2" w14:textId="77777777" w:rsidR="005F4D72" w:rsidRPr="006148EB" w:rsidRDefault="005F4D72" w:rsidP="005F4D72">
      <w:pPr>
        <w:spacing w:before="120"/>
        <w:ind w:firstLine="1134"/>
        <w:jc w:val="both"/>
      </w:pPr>
      <w:r w:rsidRPr="006148EB">
        <w:t xml:space="preserve">O conjunto de regressores para compor </w:t>
      </w:r>
      <w:r w:rsidRPr="006148EB">
        <w:rPr>
          <w:i/>
        </w:rPr>
        <w:t>X</w:t>
      </w:r>
      <w:r w:rsidRPr="006148EB">
        <w:rPr>
          <w:i/>
          <w:vertAlign w:val="subscript"/>
        </w:rPr>
        <w:t>i</w:t>
      </w:r>
      <w:r w:rsidRPr="006148EB">
        <w:t xml:space="preserve"> é bem amplo e inclui variáveis que caracterizam aspectos políticos, econômicos e sociais das economias. Uma vasta lista desses possíveis regressores pode se encontrada em Durlauf e Quah (1999) e Durlauf, Johnson e Temple (200</w:t>
      </w:r>
      <w:r>
        <w:t>4</w:t>
      </w:r>
      <w:r w:rsidRPr="006148EB">
        <w:t>).</w:t>
      </w:r>
    </w:p>
    <w:p w14:paraId="08B37196" w14:textId="77777777" w:rsidR="005F4D72" w:rsidRPr="006148EB" w:rsidRDefault="005F4D72" w:rsidP="005F4D72">
      <w:pPr>
        <w:spacing w:before="120"/>
        <w:ind w:firstLine="1134"/>
        <w:jc w:val="both"/>
      </w:pPr>
      <w:r w:rsidRPr="006148EB">
        <w:t xml:space="preserve">A avaliação do efeito agregado do Fundo Constitucional </w:t>
      </w:r>
      <w:r>
        <w:t xml:space="preserve">de Financiamento </w:t>
      </w:r>
      <w:r w:rsidRPr="006148EB">
        <w:t xml:space="preserve">do Nordeste (FNE) sobre os municípios </w:t>
      </w:r>
      <w:r>
        <w:t>n</w:t>
      </w:r>
      <w:r w:rsidRPr="006148EB">
        <w:t xml:space="preserve">ordestinos adota como arcabouço inicial as seguintes modificações dos modelos de regressão (1) e (2): </w:t>
      </w:r>
    </w:p>
    <w:p w14:paraId="671945E8" w14:textId="77777777" w:rsidR="005F4D72" w:rsidRPr="006148EB" w:rsidRDefault="005F4D72" w:rsidP="005F4D72">
      <w:pPr>
        <w:spacing w:before="120"/>
        <w:ind w:firstLine="1134"/>
      </w:pPr>
    </w:p>
    <w:p w14:paraId="4F9BBAE2" w14:textId="77777777" w:rsidR="005F4D72" w:rsidRPr="006148EB" w:rsidRDefault="005F4D72" w:rsidP="005F4D72">
      <w:pPr>
        <w:spacing w:before="120"/>
        <w:ind w:firstLine="1134"/>
      </w:pPr>
      <w:r w:rsidRPr="006148EB">
        <w:rPr>
          <w:position w:val="-14"/>
        </w:rPr>
        <w:object w:dxaOrig="2920" w:dyaOrig="380" w14:anchorId="6E08B9D0">
          <v:shape id="_x0000_i1036" type="#_x0000_t75" style="width:145.5pt;height:18.75pt" o:ole="">
            <v:imagedata r:id="rId28" o:title=""/>
          </v:shape>
          <o:OLEObject Type="Embed" ProgID="Equation.3" ShapeID="_x0000_i1036" DrawAspect="Content" ObjectID="_1667139625" r:id="rId29"/>
        </w:object>
      </w:r>
      <w:r>
        <w:t>,</w:t>
      </w:r>
      <w:r>
        <w:tab/>
      </w:r>
      <w:r>
        <w:tab/>
      </w:r>
      <w:r>
        <w:tab/>
      </w:r>
      <w:r>
        <w:tab/>
      </w:r>
      <w:r>
        <w:tab/>
      </w:r>
      <w:r w:rsidRPr="006148EB">
        <w:tab/>
      </w:r>
      <w:r>
        <w:tab/>
      </w:r>
      <w:r>
        <w:tab/>
      </w:r>
      <w:r w:rsidRPr="006148EB">
        <w:t>(3)</w:t>
      </w:r>
    </w:p>
    <w:p w14:paraId="245D55A2" w14:textId="77777777" w:rsidR="005F4D72" w:rsidRPr="006148EB" w:rsidRDefault="005F4D72" w:rsidP="005F4D72">
      <w:pPr>
        <w:spacing w:before="120"/>
        <w:ind w:firstLine="1134"/>
      </w:pPr>
      <w:r w:rsidRPr="006148EB">
        <w:rPr>
          <w:position w:val="-14"/>
        </w:rPr>
        <w:object w:dxaOrig="3640" w:dyaOrig="380" w14:anchorId="5FCD4BC9">
          <v:shape id="_x0000_i1037" type="#_x0000_t75" style="width:182.25pt;height:18.75pt" o:ole="">
            <v:imagedata r:id="rId30" o:title=""/>
          </v:shape>
          <o:OLEObject Type="Embed" ProgID="Equation.3" ShapeID="_x0000_i1037" DrawAspect="Content" ObjectID="_1667139626" r:id="rId31"/>
        </w:object>
      </w:r>
      <w:r w:rsidRPr="006148EB">
        <w:t>,</w:t>
      </w:r>
      <w:r w:rsidRPr="006148EB">
        <w:tab/>
      </w:r>
      <w:r w:rsidRPr="006148EB">
        <w:tab/>
      </w:r>
      <w:r w:rsidRPr="006148EB">
        <w:tab/>
      </w:r>
      <w:r>
        <w:tab/>
      </w:r>
      <w:r w:rsidRPr="006148EB">
        <w:tab/>
      </w:r>
      <w:r>
        <w:tab/>
      </w:r>
      <w:r>
        <w:tab/>
      </w:r>
      <w:r w:rsidRPr="006148EB">
        <w:t>(4)</w:t>
      </w:r>
    </w:p>
    <w:p w14:paraId="2BAAE00D" w14:textId="77777777" w:rsidR="005F4D72" w:rsidRDefault="005F4D72" w:rsidP="005F4D72">
      <w:pPr>
        <w:spacing w:before="120"/>
        <w:ind w:firstLine="1134"/>
        <w:jc w:val="both"/>
      </w:pPr>
    </w:p>
    <w:p w14:paraId="55620F0A" w14:textId="77777777" w:rsidR="005F4D72" w:rsidRDefault="005F4D72" w:rsidP="005F4D72">
      <w:pPr>
        <w:spacing w:before="120"/>
        <w:ind w:firstLine="1134"/>
        <w:jc w:val="both"/>
      </w:pPr>
      <w:r w:rsidRPr="006148EB">
        <w:t>Onde</w:t>
      </w:r>
      <w:r>
        <w:t>:</w:t>
      </w:r>
    </w:p>
    <w:p w14:paraId="2DE7D4F1" w14:textId="77777777" w:rsidR="005F4D72" w:rsidRDefault="005F4D72" w:rsidP="005F4D72">
      <w:pPr>
        <w:spacing w:before="120"/>
        <w:ind w:firstLine="1134"/>
        <w:jc w:val="both"/>
      </w:pPr>
      <w:r w:rsidRPr="006148EB">
        <w:rPr>
          <w:position w:val="-14"/>
        </w:rPr>
        <w:object w:dxaOrig="400" w:dyaOrig="380" w14:anchorId="61E13529">
          <v:shape id="_x0000_i1038" type="#_x0000_t75" style="width:20.25pt;height:18.75pt" o:ole="">
            <v:imagedata r:id="rId32" o:title=""/>
          </v:shape>
          <o:OLEObject Type="Embed" ProgID="Equation.3" ShapeID="_x0000_i1038" DrawAspect="Content" ObjectID="_1667139627" r:id="rId33"/>
        </w:object>
      </w:r>
      <w:r w:rsidRPr="006148EB">
        <w:t xml:space="preserve"> é a taxa média de crescimento do indicador macroeconômico </w:t>
      </w:r>
      <w:r w:rsidRPr="006148EB">
        <w:rPr>
          <w:i/>
        </w:rPr>
        <w:t>w</w:t>
      </w:r>
      <w:r w:rsidRPr="006148EB">
        <w:t xml:space="preserve"> entre 2002 e 2008, </w:t>
      </w:r>
      <w:r w:rsidRPr="006148EB">
        <w:rPr>
          <w:position w:val="-14"/>
        </w:rPr>
        <w:object w:dxaOrig="400" w:dyaOrig="380" w14:anchorId="17C14941">
          <v:shape id="_x0000_i1039" type="#_x0000_t75" style="width:20.25pt;height:18.75pt" o:ole="">
            <v:imagedata r:id="rId34" o:title=""/>
          </v:shape>
          <o:OLEObject Type="Embed" ProgID="Equation.3" ShapeID="_x0000_i1039" DrawAspect="Content" ObjectID="_1667139628" r:id="rId35"/>
        </w:object>
      </w:r>
      <w:r w:rsidRPr="006148EB">
        <w:t xml:space="preserve"> seu o valor em 2000</w:t>
      </w:r>
      <w:r>
        <w:t>;</w:t>
      </w:r>
    </w:p>
    <w:p w14:paraId="31E0E104" w14:textId="77777777" w:rsidR="005F4D72" w:rsidRDefault="005F4D72" w:rsidP="005F4D72">
      <w:pPr>
        <w:spacing w:before="120"/>
        <w:ind w:firstLine="1134"/>
        <w:jc w:val="both"/>
      </w:pPr>
      <w:r w:rsidRPr="006148EB">
        <w:rPr>
          <w:position w:val="-12"/>
        </w:rPr>
        <w:object w:dxaOrig="260" w:dyaOrig="360" w14:anchorId="6D23F08B">
          <v:shape id="_x0000_i1040" type="#_x0000_t75" style="width:13.5pt;height:18pt" o:ole="">
            <v:imagedata r:id="rId36" o:title=""/>
          </v:shape>
          <o:OLEObject Type="Embed" ProgID="Equation.3" ShapeID="_x0000_i1040" DrawAspect="Content" ObjectID="_1667139629" r:id="rId37"/>
        </w:object>
      </w:r>
      <w:r w:rsidRPr="006148EB">
        <w:t xml:space="preserve"> é uma medida que capta a intensidade da política de FNE no município</w:t>
      </w:r>
      <w:r>
        <w:t>;</w:t>
      </w:r>
      <w:r w:rsidRPr="006148EB">
        <w:t xml:space="preserve"> </w:t>
      </w:r>
    </w:p>
    <w:p w14:paraId="1B252A86" w14:textId="77777777" w:rsidR="005F4D72" w:rsidRDefault="005F4D72" w:rsidP="005F4D72">
      <w:pPr>
        <w:spacing w:before="120"/>
        <w:ind w:firstLine="1134"/>
        <w:jc w:val="both"/>
      </w:pPr>
      <w:r w:rsidRPr="006148EB">
        <w:rPr>
          <w:position w:val="-10"/>
        </w:rPr>
        <w:object w:dxaOrig="240" w:dyaOrig="320" w14:anchorId="16CFEB9A">
          <v:shape id="_x0000_i1041" type="#_x0000_t75" style="width:12pt;height:16.5pt" o:ole="">
            <v:imagedata r:id="rId38" o:title=""/>
          </v:shape>
          <o:OLEObject Type="Embed" ProgID="Equation.3" ShapeID="_x0000_i1041" DrawAspect="Content" ObjectID="_1667139630" r:id="rId39"/>
        </w:object>
      </w:r>
      <w:r w:rsidRPr="006148EB">
        <w:t xml:space="preserve"> é o parâmetro que informa o efeito do FNE sobre o crescimento de </w:t>
      </w:r>
      <w:r w:rsidRPr="006148EB">
        <w:rPr>
          <w:i/>
        </w:rPr>
        <w:t>w</w:t>
      </w:r>
      <w:r>
        <w:rPr>
          <w:i/>
        </w:rPr>
        <w:t>;</w:t>
      </w:r>
      <w:r w:rsidRPr="006148EB">
        <w:t xml:space="preserve"> </w:t>
      </w:r>
    </w:p>
    <w:p w14:paraId="7BDD28DF" w14:textId="77777777" w:rsidR="005F4D72" w:rsidRDefault="005F4D72" w:rsidP="005F4D72">
      <w:pPr>
        <w:spacing w:before="120"/>
        <w:ind w:firstLine="1134"/>
        <w:jc w:val="both"/>
      </w:pPr>
      <w:r w:rsidRPr="006148EB">
        <w:rPr>
          <w:position w:val="-12"/>
        </w:rPr>
        <w:object w:dxaOrig="1719" w:dyaOrig="360" w14:anchorId="418E2406">
          <v:shape id="_x0000_i1042" type="#_x0000_t75" style="width:85.5pt;height:18pt" o:ole="">
            <v:imagedata r:id="rId40" o:title=""/>
          </v:shape>
          <o:OLEObject Type="Embed" ProgID="Equation.3" ShapeID="_x0000_i1042" DrawAspect="Content" ObjectID="_1667139631" r:id="rId41"/>
        </w:object>
      </w:r>
      <w:r w:rsidRPr="006148EB">
        <w:t xml:space="preserve"> é um vetor com </w:t>
      </w:r>
      <w:r w:rsidRPr="006148EB">
        <w:rPr>
          <w:i/>
        </w:rPr>
        <w:t xml:space="preserve">k-2 </w:t>
      </w:r>
      <w:r w:rsidRPr="006148EB">
        <w:t>variáveis condicionantes (definidas na seção seguinte)</w:t>
      </w:r>
      <w:r>
        <w:t>;</w:t>
      </w:r>
    </w:p>
    <w:p w14:paraId="6E75FD2D" w14:textId="77777777" w:rsidR="005F4D72" w:rsidRDefault="005F4D72" w:rsidP="005F4D72">
      <w:pPr>
        <w:spacing w:before="120"/>
        <w:ind w:firstLine="1134"/>
        <w:jc w:val="both"/>
      </w:pPr>
      <w:r w:rsidRPr="006148EB">
        <w:rPr>
          <w:position w:val="-12"/>
        </w:rPr>
        <w:object w:dxaOrig="1600" w:dyaOrig="360" w14:anchorId="0508D30C">
          <v:shape id="_x0000_i1043" type="#_x0000_t75" style="width:80.25pt;height:18pt" o:ole="">
            <v:imagedata r:id="rId42" o:title=""/>
          </v:shape>
          <o:OLEObject Type="Embed" ProgID="Equation.3" ShapeID="_x0000_i1043" DrawAspect="Content" ObjectID="_1667139632" r:id="rId43"/>
        </w:object>
      </w:r>
      <w:r w:rsidRPr="006148EB">
        <w:t xml:space="preserve"> é o vetor dos demais coeficientes de inclinação parc</w:t>
      </w:r>
      <w:r>
        <w:t>iais;</w:t>
      </w:r>
    </w:p>
    <w:p w14:paraId="3F7EA574" w14:textId="77777777" w:rsidR="005F4D72" w:rsidRDefault="005F4D72" w:rsidP="005F4D72">
      <w:pPr>
        <w:spacing w:before="120"/>
        <w:ind w:firstLine="1134"/>
        <w:jc w:val="both"/>
      </w:pPr>
      <w:r w:rsidRPr="006148EB">
        <w:rPr>
          <w:position w:val="-12"/>
        </w:rPr>
        <w:object w:dxaOrig="240" w:dyaOrig="360" w14:anchorId="3E95372B">
          <v:shape id="_x0000_i1044" type="#_x0000_t75" style="width:12pt;height:18pt" o:ole="">
            <v:imagedata r:id="rId19" o:title=""/>
          </v:shape>
          <o:OLEObject Type="Embed" ProgID="Equation.3" ShapeID="_x0000_i1044" DrawAspect="Content" ObjectID="_1667139633" r:id="rId44"/>
        </w:object>
      </w:r>
      <w:r w:rsidRPr="006148EB">
        <w:t xml:space="preserve"> é o termo de erro</w:t>
      </w:r>
      <w:r>
        <w:t>;</w:t>
      </w:r>
      <w:r w:rsidRPr="006148EB">
        <w:t xml:space="preserve"> e </w:t>
      </w:r>
    </w:p>
    <w:p w14:paraId="789E2196" w14:textId="77777777" w:rsidR="005F4D72" w:rsidRPr="006148EB" w:rsidRDefault="005F4D72" w:rsidP="005F4D72">
      <w:pPr>
        <w:spacing w:before="120"/>
        <w:ind w:firstLine="1134"/>
        <w:jc w:val="both"/>
      </w:pPr>
      <w:r w:rsidRPr="006148EB">
        <w:rPr>
          <w:i/>
        </w:rPr>
        <w:t>i</w:t>
      </w:r>
      <w:r w:rsidRPr="006148EB">
        <w:t xml:space="preserve"> é o índice referente ao </w:t>
      </w:r>
      <w:r w:rsidRPr="006148EB">
        <w:rPr>
          <w:i/>
        </w:rPr>
        <w:t>i-ésimo</w:t>
      </w:r>
      <w:r w:rsidRPr="006148EB">
        <w:t xml:space="preserve"> município. </w:t>
      </w:r>
    </w:p>
    <w:p w14:paraId="657B7E83" w14:textId="77777777" w:rsidR="005F4D72" w:rsidRDefault="005F4D72" w:rsidP="005F4D72">
      <w:pPr>
        <w:spacing w:before="120"/>
        <w:ind w:firstLine="1134"/>
        <w:jc w:val="both"/>
      </w:pPr>
    </w:p>
    <w:p w14:paraId="4DB14DB7" w14:textId="77777777" w:rsidR="005F4D72" w:rsidRPr="006148EB" w:rsidRDefault="005F4D72" w:rsidP="005F4D72">
      <w:pPr>
        <w:spacing w:before="120"/>
        <w:ind w:firstLine="1134"/>
        <w:jc w:val="both"/>
      </w:pPr>
      <w:r w:rsidRPr="006148EB">
        <w:t xml:space="preserve">Nas equações (3) e (4), o impacto do FNE é mensurado por sua capacidade de gerar crescimento do PIB </w:t>
      </w:r>
      <w:r w:rsidRPr="006148EB">
        <w:rPr>
          <w:i/>
        </w:rPr>
        <w:t>per capita</w:t>
      </w:r>
      <w:r w:rsidRPr="006148EB">
        <w:t xml:space="preserve">. Se </w:t>
      </w:r>
      <w:r w:rsidRPr="006148EB">
        <w:rPr>
          <w:i/>
        </w:rPr>
        <w:t>w</w:t>
      </w:r>
      <w:r w:rsidRPr="006148EB">
        <w:t xml:space="preserve"> é o PIB </w:t>
      </w:r>
      <w:r w:rsidRPr="006148EB">
        <w:rPr>
          <w:i/>
        </w:rPr>
        <w:t>per capita</w:t>
      </w:r>
      <w:r w:rsidRPr="006148EB">
        <w:t xml:space="preserve"> e </w:t>
      </w:r>
      <w:r w:rsidRPr="006148EB">
        <w:rPr>
          <w:position w:val="-4"/>
        </w:rPr>
        <w:object w:dxaOrig="260" w:dyaOrig="260" w14:anchorId="7D725538">
          <v:shape id="_x0000_i1045" type="#_x0000_t75" style="width:13.5pt;height:13.5pt" o:ole="">
            <v:imagedata r:id="rId45" o:title=""/>
          </v:shape>
          <o:OLEObject Type="Embed" ProgID="Equation.3" ShapeID="_x0000_i1045" DrawAspect="Content" ObjectID="_1667139634" r:id="rId46"/>
        </w:object>
      </w:r>
      <w:r w:rsidRPr="006148EB">
        <w:t xml:space="preserve"> é o volume de financiamentos do FNE </w:t>
      </w:r>
      <w:r w:rsidRPr="006148EB">
        <w:rPr>
          <w:i/>
        </w:rPr>
        <w:t>per capita</w:t>
      </w:r>
      <w:r w:rsidRPr="006148EB">
        <w:t xml:space="preserve">, o parâmetro </w:t>
      </w:r>
      <w:r w:rsidRPr="006148EB">
        <w:rPr>
          <w:position w:val="-10"/>
        </w:rPr>
        <w:object w:dxaOrig="240" w:dyaOrig="320" w14:anchorId="263C3510">
          <v:shape id="_x0000_i1046" type="#_x0000_t75" style="width:12pt;height:16.5pt" o:ole="">
            <v:imagedata r:id="rId38" o:title=""/>
          </v:shape>
          <o:OLEObject Type="Embed" ProgID="Equation.3" ShapeID="_x0000_i1046" DrawAspect="Content" ObjectID="_1667139635" r:id="rId47"/>
        </w:object>
      </w:r>
      <w:r w:rsidRPr="006148EB">
        <w:t xml:space="preserve"> pode ser interpretado como uma elasticidade crescimento-FNE: uma mudança de 1% em </w:t>
      </w:r>
      <w:r w:rsidRPr="006148EB">
        <w:rPr>
          <w:i/>
        </w:rPr>
        <w:t>F</w:t>
      </w:r>
      <w:r w:rsidRPr="006148EB">
        <w:t xml:space="preserve"> leva a uma mudança de </w:t>
      </w:r>
      <w:r w:rsidRPr="006148EB">
        <w:rPr>
          <w:position w:val="-10"/>
        </w:rPr>
        <w:object w:dxaOrig="240" w:dyaOrig="320" w14:anchorId="6ECC7A0E">
          <v:shape id="_x0000_i1047" type="#_x0000_t75" style="width:12pt;height:16.5pt" o:ole="">
            <v:imagedata r:id="rId38" o:title=""/>
          </v:shape>
          <o:OLEObject Type="Embed" ProgID="Equation.3" ShapeID="_x0000_i1047" DrawAspect="Content" ObjectID="_1667139636" r:id="rId48"/>
        </w:object>
      </w:r>
      <w:r w:rsidRPr="006148EB">
        <w:t xml:space="preserve"> pontos percentuais na taxa de crescimento de </w:t>
      </w:r>
      <w:r w:rsidRPr="006148EB">
        <w:rPr>
          <w:i/>
        </w:rPr>
        <w:t>w</w:t>
      </w:r>
      <w:r w:rsidRPr="006148EB">
        <w:t xml:space="preserve">. Como os recursos provenientes dos financiamentos via FNE são geralmente empregados na dinamização da economia local e na expansão de sua estrutura produtiva, espera-se </w:t>
      </w:r>
      <w:r>
        <w:t xml:space="preserve">que </w:t>
      </w:r>
      <w:r w:rsidRPr="006148EB">
        <w:t xml:space="preserve">a aplicação desses recursos em um município leve a um aumento em sua taxa de crescimento da renda, do emprego e do salário médio </w:t>
      </w:r>
      <w:r>
        <w:t>(</w:t>
      </w:r>
      <w:r w:rsidRPr="006148EB">
        <w:rPr>
          <w:position w:val="-10"/>
        </w:rPr>
        <w:object w:dxaOrig="600" w:dyaOrig="320" w14:anchorId="357363B9">
          <v:shape id="_x0000_i1048" type="#_x0000_t75" style="width:30pt;height:16.5pt" o:ole="">
            <v:imagedata r:id="rId49" o:title=""/>
          </v:shape>
          <o:OLEObject Type="Embed" ProgID="Equation.3" ShapeID="_x0000_i1048" DrawAspect="Content" ObjectID="_1667139637" r:id="rId50"/>
        </w:object>
      </w:r>
      <w:r>
        <w:t>).</w:t>
      </w:r>
    </w:p>
    <w:p w14:paraId="25FF556D" w14:textId="77777777" w:rsidR="005F4D72" w:rsidRPr="006148EB" w:rsidRDefault="005F4D72" w:rsidP="005F4D72">
      <w:pPr>
        <w:spacing w:before="120"/>
        <w:ind w:firstLine="1134"/>
        <w:jc w:val="both"/>
      </w:pPr>
      <w:r w:rsidRPr="006148EB">
        <w:t xml:space="preserve">Uma das limitações das equações (3) e (4) na análise do impacto macroeconômico do FNE é a suposição de que seus efeitos são iguais para todas as unidades de corte transversal. Ou seja, o parâmetro que reflete o impacto do FNE, </w:t>
      </w:r>
      <w:r w:rsidRPr="006148EB">
        <w:rPr>
          <w:position w:val="-10"/>
        </w:rPr>
        <w:object w:dxaOrig="240" w:dyaOrig="320" w14:anchorId="26C574C5">
          <v:shape id="_x0000_i1049" type="#_x0000_t75" style="width:12pt;height:16.5pt" o:ole="">
            <v:imagedata r:id="rId51" o:title=""/>
          </v:shape>
          <o:OLEObject Type="Embed" ProgID="Equation.3" ShapeID="_x0000_i1049" DrawAspect="Content" ObjectID="_1667139638" r:id="rId52"/>
        </w:object>
      </w:r>
      <w:r w:rsidRPr="006148EB">
        <w:t xml:space="preserve">, é o mesmo para todas as economias municipais. É possível que municípios com diferentes níveis de desenvolvimento e estruturas produtivas sejam afetados desigualmente pelo FNE. </w:t>
      </w:r>
    </w:p>
    <w:p w14:paraId="4F7CF84F" w14:textId="77777777" w:rsidR="005F4D72" w:rsidRPr="006148EB" w:rsidRDefault="005F4D72" w:rsidP="005F4D72">
      <w:pPr>
        <w:spacing w:before="120"/>
        <w:ind w:firstLine="1134"/>
        <w:jc w:val="both"/>
      </w:pPr>
      <w:r w:rsidRPr="006148EB">
        <w:t>A idéia de que os parâmetros nos modelos de crescimento econômico variam entre as economias é recente, mas já é bastante discutida. Os trabalhos de Azariadis</w:t>
      </w:r>
      <w:r>
        <w:t xml:space="preserve"> e </w:t>
      </w:r>
      <w:r w:rsidRPr="006148EB">
        <w:t xml:space="preserve">Drazen (1990) e de Durlauf </w:t>
      </w:r>
      <w:r>
        <w:t>e</w:t>
      </w:r>
      <w:r w:rsidRPr="006148EB">
        <w:t xml:space="preserve"> Johson (1995), por exemplo, modificam </w:t>
      </w:r>
      <w:r>
        <w:t xml:space="preserve">o </w:t>
      </w:r>
      <w:r w:rsidRPr="006148EB">
        <w:t xml:space="preserve">modelo de crescimento tradicional, relaxando a suposição de convexidade da função de produção, e sugerem a possibilidade de múltiplos estados estacionários para o PIB  </w:t>
      </w:r>
      <w:r w:rsidRPr="006148EB">
        <w:rPr>
          <w:i/>
        </w:rPr>
        <w:t>per capita</w:t>
      </w:r>
      <w:r w:rsidRPr="006148EB">
        <w:t>. Na trajetória temporal da renda, os efeitos dos determinantes do crescimento seriam heterogêneos, dependendo do conjunto de especificidades das economias.</w:t>
      </w:r>
    </w:p>
    <w:p w14:paraId="084ED402" w14:textId="77777777" w:rsidR="005F4D72" w:rsidRPr="006148EB" w:rsidRDefault="005F4D72" w:rsidP="005F4D72">
      <w:pPr>
        <w:spacing w:before="120"/>
        <w:ind w:firstLine="1134"/>
        <w:jc w:val="both"/>
      </w:pPr>
      <w:r w:rsidRPr="006148EB">
        <w:t xml:space="preserve">Para acomodar essa possibilidade no estudo do FNE, empregam-se transformações das equações (3) e (4) incorporando efeitos </w:t>
      </w:r>
      <w:r w:rsidRPr="006148EB">
        <w:rPr>
          <w:i/>
        </w:rPr>
        <w:t>threshold</w:t>
      </w:r>
      <w:r w:rsidRPr="006148EB">
        <w:t>, proposto por Hansen (2000):</w:t>
      </w:r>
    </w:p>
    <w:p w14:paraId="5327F404" w14:textId="77777777" w:rsidR="005F4D72" w:rsidRPr="006148EB" w:rsidRDefault="005F4D72" w:rsidP="005F4D72">
      <w:pPr>
        <w:spacing w:before="120"/>
        <w:ind w:firstLine="1134"/>
        <w:jc w:val="both"/>
      </w:pPr>
    </w:p>
    <w:p w14:paraId="3EC92C7F" w14:textId="77777777" w:rsidR="005F4D72" w:rsidRPr="006148EB" w:rsidRDefault="005F4D72" w:rsidP="005F4D72">
      <w:pPr>
        <w:spacing w:before="120"/>
      </w:pPr>
      <w:r w:rsidRPr="006148EB">
        <w:rPr>
          <w:position w:val="-14"/>
        </w:rPr>
        <w:object w:dxaOrig="8340" w:dyaOrig="380" w14:anchorId="001D64C4">
          <v:shape id="_x0000_i1050" type="#_x0000_t75" style="width:417pt;height:18.75pt" o:ole="">
            <v:imagedata r:id="rId53" o:title=""/>
          </v:shape>
          <o:OLEObject Type="Embed" ProgID="Equation.3" ShapeID="_x0000_i1050" DrawAspect="Content" ObjectID="_1667139639" r:id="rId54"/>
        </w:object>
      </w:r>
      <w:r w:rsidRPr="006148EB">
        <w:t xml:space="preserve">  </w:t>
      </w:r>
    </w:p>
    <w:p w14:paraId="46BCE552" w14:textId="77777777" w:rsidR="005F4D72" w:rsidRPr="006148EB" w:rsidRDefault="005F4D72" w:rsidP="005F4D72">
      <w:pPr>
        <w:spacing w:before="120"/>
      </w:pPr>
      <w:r w:rsidRPr="006148EB">
        <w:rPr>
          <w:position w:val="-14"/>
        </w:rPr>
        <w:object w:dxaOrig="4360" w:dyaOrig="380" w14:anchorId="02AF535A">
          <v:shape id="_x0000_i1051" type="#_x0000_t75" style="width:218.25pt;height:19.5pt" o:ole="">
            <v:imagedata r:id="rId55" o:title=""/>
          </v:shape>
          <o:OLEObject Type="Embed" ProgID="Equation.3" ShapeID="_x0000_i1051" DrawAspect="Content" ObjectID="_1667139640" r:id="rId56"/>
        </w:object>
      </w:r>
      <w:r w:rsidRPr="006148EB">
        <w:tab/>
      </w:r>
      <w:r w:rsidRPr="006148EB">
        <w:tab/>
      </w:r>
      <w:r w:rsidRPr="006148EB">
        <w:tab/>
      </w:r>
      <w:r w:rsidRPr="006148EB">
        <w:tab/>
      </w:r>
      <w:r>
        <w:tab/>
      </w:r>
      <w:r>
        <w:tab/>
      </w:r>
      <w:r>
        <w:tab/>
      </w:r>
      <w:r w:rsidRPr="006148EB">
        <w:t>(5)</w:t>
      </w:r>
    </w:p>
    <w:p w14:paraId="57B644D1" w14:textId="77777777" w:rsidR="005F4D72" w:rsidRPr="006148EB" w:rsidRDefault="005F4D72" w:rsidP="005F4D72">
      <w:pPr>
        <w:spacing w:before="120"/>
      </w:pPr>
      <w:r w:rsidRPr="006148EB">
        <w:rPr>
          <w:position w:val="-14"/>
        </w:rPr>
        <w:object w:dxaOrig="5000" w:dyaOrig="380" w14:anchorId="1B1D5441">
          <v:shape id="_x0000_i1053" type="#_x0000_t75" style="width:249.75pt;height:18.75pt" o:ole="">
            <v:imagedata r:id="rId57" o:title=""/>
          </v:shape>
          <o:OLEObject Type="Embed" ProgID="Equation.3" ShapeID="_x0000_i1053" DrawAspect="Content" ObjectID="_1667139641" r:id="rId58"/>
        </w:object>
      </w:r>
      <w:r w:rsidRPr="006148EB">
        <w:t xml:space="preserve">  ,</w:t>
      </w:r>
      <w:r w:rsidRPr="006148EB">
        <w:tab/>
      </w:r>
      <w:r w:rsidRPr="006148EB">
        <w:tab/>
      </w:r>
      <w:r w:rsidRPr="006148EB">
        <w:tab/>
      </w:r>
      <w:r w:rsidRPr="006148EB">
        <w:tab/>
      </w:r>
      <w:r w:rsidRPr="006148EB">
        <w:tab/>
      </w:r>
      <w:r w:rsidRPr="006148EB">
        <w:rPr>
          <w:position w:val="-14"/>
        </w:rPr>
        <w:object w:dxaOrig="5660" w:dyaOrig="380" w14:anchorId="4F35F813">
          <v:shape id="_x0000_i1054" type="#_x0000_t75" style="width:282.75pt;height:19.5pt" o:ole="">
            <v:imagedata r:id="rId59" o:title=""/>
          </v:shape>
          <o:OLEObject Type="Embed" ProgID="Equation.3" ShapeID="_x0000_i1054" DrawAspect="Content" ObjectID="_1667139642" r:id="rId60"/>
        </w:object>
      </w:r>
      <w:r w:rsidRPr="006148EB">
        <w:tab/>
      </w:r>
      <w:r w:rsidRPr="006148EB">
        <w:tab/>
      </w:r>
      <w:r w:rsidRPr="006148EB">
        <w:tab/>
      </w:r>
      <w:r>
        <w:tab/>
      </w:r>
      <w:r>
        <w:tab/>
      </w:r>
      <w:r w:rsidRPr="006148EB">
        <w:t>(6)</w:t>
      </w:r>
    </w:p>
    <w:p w14:paraId="067AF174" w14:textId="77777777" w:rsidR="005F4D72" w:rsidRPr="006148EB" w:rsidRDefault="005F4D72" w:rsidP="005F4D72">
      <w:pPr>
        <w:spacing w:before="120"/>
        <w:ind w:firstLine="1134"/>
      </w:pPr>
    </w:p>
    <w:p w14:paraId="358D955B" w14:textId="77777777" w:rsidR="005F4D72" w:rsidRDefault="005F4D72" w:rsidP="005F4D72">
      <w:pPr>
        <w:spacing w:before="120"/>
        <w:ind w:firstLine="1134"/>
        <w:jc w:val="both"/>
      </w:pPr>
      <w:r w:rsidRPr="006148EB">
        <w:t>onde</w:t>
      </w:r>
      <w:r>
        <w:t>:</w:t>
      </w:r>
    </w:p>
    <w:p w14:paraId="13A78FF7" w14:textId="77777777" w:rsidR="005F4D72" w:rsidRDefault="005F4D72" w:rsidP="005F4D72">
      <w:pPr>
        <w:spacing w:before="120"/>
        <w:ind w:firstLine="1134"/>
        <w:jc w:val="both"/>
      </w:pPr>
      <w:r w:rsidRPr="006148EB">
        <w:rPr>
          <w:position w:val="-14"/>
        </w:rPr>
        <w:object w:dxaOrig="2740" w:dyaOrig="380" w14:anchorId="647ACCE0">
          <v:shape id="_x0000_i1055" type="#_x0000_t75" style="width:137.25pt;height:19.5pt" o:ole="">
            <v:imagedata r:id="rId61" o:title=""/>
          </v:shape>
          <o:OLEObject Type="Embed" ProgID="Equation.3" ShapeID="_x0000_i1055" DrawAspect="Content" ObjectID="_1667139643" r:id="rId62"/>
        </w:object>
      </w:r>
      <w:r w:rsidRPr="006148EB">
        <w:t xml:space="preserve"> é um vetor de</w:t>
      </w:r>
      <w:r w:rsidRPr="006148EB">
        <w:rPr>
          <w:i/>
        </w:rPr>
        <w:t xml:space="preserve"> </w:t>
      </w:r>
      <w:r w:rsidRPr="006148EB">
        <w:t xml:space="preserve">regressores; </w:t>
      </w:r>
    </w:p>
    <w:p w14:paraId="1E4AAA49" w14:textId="77777777" w:rsidR="005F4D72" w:rsidRDefault="005F4D72" w:rsidP="005F4D72">
      <w:pPr>
        <w:spacing w:before="120"/>
        <w:ind w:firstLine="1134"/>
        <w:jc w:val="both"/>
      </w:pPr>
      <w:r w:rsidRPr="006148EB">
        <w:rPr>
          <w:position w:val="-14"/>
        </w:rPr>
        <w:object w:dxaOrig="2560" w:dyaOrig="380" w14:anchorId="561298F9">
          <v:shape id="_x0000_i1056" type="#_x0000_t75" style="width:127.5pt;height:18.75pt" o:ole="">
            <v:imagedata r:id="rId63" o:title=""/>
          </v:shape>
          <o:OLEObject Type="Embed" ProgID="Equation.3" ShapeID="_x0000_i1056" DrawAspect="Content" ObjectID="_1667139644" r:id="rId64"/>
        </w:object>
      </w:r>
      <w:r w:rsidRPr="006148EB">
        <w:t xml:space="preserve"> são vetores de parâmetros que incluem os efeitos do FNE, os interceptos e os coef</w:t>
      </w:r>
      <w:r>
        <w:t>icientes de inclinação parciais;</w:t>
      </w:r>
      <w:r w:rsidRPr="006148EB">
        <w:t xml:space="preserve"> </w:t>
      </w:r>
    </w:p>
    <w:p w14:paraId="317364CC" w14:textId="77777777" w:rsidR="005F4D72" w:rsidRDefault="005F4D72" w:rsidP="005F4D72">
      <w:pPr>
        <w:spacing w:before="120"/>
        <w:ind w:firstLine="1134"/>
        <w:jc w:val="both"/>
      </w:pPr>
      <w:r w:rsidRPr="006148EB">
        <w:rPr>
          <w:position w:val="-14"/>
        </w:rPr>
        <w:object w:dxaOrig="600" w:dyaOrig="380" w14:anchorId="22835C01">
          <v:shape id="_x0000_i1057" type="#_x0000_t75" style="width:30pt;height:19.5pt" o:ole="">
            <v:imagedata r:id="rId65" o:title=""/>
          </v:shape>
          <o:OLEObject Type="Embed" ProgID="Equation.3" ShapeID="_x0000_i1057" DrawAspect="Content" ObjectID="_1667139645" r:id="rId66"/>
        </w:object>
      </w:r>
      <w:r w:rsidRPr="006148EB">
        <w:t xml:space="preserve"> são funções indicadoras com </w:t>
      </w:r>
      <w:r w:rsidRPr="006148EB">
        <w:rPr>
          <w:position w:val="-14"/>
        </w:rPr>
        <w:object w:dxaOrig="940" w:dyaOrig="380" w14:anchorId="246D5A26">
          <v:shape id="_x0000_i1058" type="#_x0000_t75" style="width:47.25pt;height:18.75pt" o:ole="">
            <v:imagedata r:id="rId67" o:title=""/>
          </v:shape>
          <o:OLEObject Type="Embed" ProgID="Equation.3" ShapeID="_x0000_i1058" DrawAspect="Content" ObjectID="_1667139646" r:id="rId68"/>
        </w:object>
      </w:r>
      <w:r w:rsidRPr="006148EB">
        <w:t xml:space="preserve"> se </w:t>
      </w:r>
      <w:r w:rsidRPr="006148EB">
        <w:rPr>
          <w:position w:val="-4"/>
        </w:rPr>
        <w:object w:dxaOrig="279" w:dyaOrig="260" w14:anchorId="122817BC">
          <v:shape id="_x0000_i1059" type="#_x0000_t75" style="width:13.5pt;height:13.5pt" o:ole="">
            <v:imagedata r:id="rId69" o:title=""/>
          </v:shape>
          <o:OLEObject Type="Embed" ProgID="Equation.3" ShapeID="_x0000_i1059" DrawAspect="Content" ObjectID="_1667139647" r:id="rId70"/>
        </w:object>
      </w:r>
      <w:r w:rsidRPr="006148EB">
        <w:t>ocorre</w:t>
      </w:r>
      <w:r>
        <w:t>;</w:t>
      </w:r>
      <w:r w:rsidRPr="006148EB">
        <w:t xml:space="preserve"> e </w:t>
      </w:r>
    </w:p>
    <w:p w14:paraId="32EEBB61" w14:textId="77777777" w:rsidR="005F4D72" w:rsidRDefault="005F4D72" w:rsidP="005F4D72">
      <w:pPr>
        <w:spacing w:before="120"/>
        <w:ind w:firstLine="1134"/>
        <w:jc w:val="both"/>
      </w:pPr>
      <w:r w:rsidRPr="006148EB">
        <w:rPr>
          <w:position w:val="-14"/>
        </w:rPr>
        <w:object w:dxaOrig="980" w:dyaOrig="380" w14:anchorId="2723360E">
          <v:shape id="_x0000_i1060" type="#_x0000_t75" style="width:48.75pt;height:18.75pt" o:ole="">
            <v:imagedata r:id="rId71" o:title=""/>
          </v:shape>
          <o:OLEObject Type="Embed" ProgID="Equation.3" ShapeID="_x0000_i1060" DrawAspect="Content" ObjectID="_1667139648" r:id="rId72"/>
        </w:object>
      </w:r>
      <w:r w:rsidRPr="006148EB">
        <w:t xml:space="preserve"> de outra forma;</w:t>
      </w:r>
    </w:p>
    <w:p w14:paraId="0B9746D7" w14:textId="77777777" w:rsidR="005F4D72" w:rsidRDefault="005F4D72" w:rsidP="005F4D72">
      <w:pPr>
        <w:spacing w:before="120"/>
        <w:ind w:firstLine="1134"/>
        <w:jc w:val="both"/>
      </w:pPr>
      <w:r w:rsidRPr="006148EB">
        <w:rPr>
          <w:position w:val="-14"/>
        </w:rPr>
        <w:object w:dxaOrig="360" w:dyaOrig="380" w14:anchorId="0CDD77C1">
          <v:shape id="_x0000_i1061" type="#_x0000_t75" style="width:18pt;height:18.75pt" o:ole="">
            <v:imagedata r:id="rId73" o:title=""/>
          </v:shape>
          <o:OLEObject Type="Embed" ProgID="Equation.3" ShapeID="_x0000_i1061" DrawAspect="Content" ObjectID="_1667139649" r:id="rId74"/>
        </w:object>
      </w:r>
      <w:r w:rsidRPr="006148EB">
        <w:t xml:space="preserve"> é a variável </w:t>
      </w:r>
      <w:r w:rsidRPr="006148EB">
        <w:rPr>
          <w:i/>
        </w:rPr>
        <w:t>threshold</w:t>
      </w:r>
      <w:r w:rsidRPr="006148EB">
        <w:t xml:space="preserve"> que influencia mudanças nos parâmetros; valor do PIB </w:t>
      </w:r>
      <w:r w:rsidRPr="006148EB">
        <w:rPr>
          <w:i/>
        </w:rPr>
        <w:t>per capita</w:t>
      </w:r>
      <w:r w:rsidRPr="006148EB">
        <w:t xml:space="preserve"> em 2000;</w:t>
      </w:r>
    </w:p>
    <w:p w14:paraId="45856E56" w14:textId="77777777" w:rsidR="005F4D72" w:rsidRDefault="005F4D72" w:rsidP="005F4D72">
      <w:pPr>
        <w:spacing w:before="120"/>
        <w:ind w:firstLine="1134"/>
        <w:jc w:val="both"/>
      </w:pPr>
      <w:r w:rsidRPr="006148EB">
        <w:rPr>
          <w:position w:val="-14"/>
        </w:rPr>
        <w:object w:dxaOrig="279" w:dyaOrig="380" w14:anchorId="2747D13A">
          <v:shape id="_x0000_i1062" type="#_x0000_t75" style="width:13.5pt;height:19.5pt" o:ole="">
            <v:imagedata r:id="rId75" o:title=""/>
          </v:shape>
          <o:OLEObject Type="Embed" ProgID="Equation.3" ShapeID="_x0000_i1062" DrawAspect="Content" ObjectID="_1667139650" r:id="rId76"/>
        </w:object>
      </w:r>
      <w:r w:rsidRPr="006148EB">
        <w:t xml:space="preserve"> são os parâmetros </w:t>
      </w:r>
      <w:r w:rsidRPr="006148EB">
        <w:rPr>
          <w:i/>
        </w:rPr>
        <w:t>threshold</w:t>
      </w:r>
      <w:r w:rsidRPr="006148EB">
        <w:t>;</w:t>
      </w:r>
    </w:p>
    <w:p w14:paraId="2AE6B6FB" w14:textId="77777777" w:rsidR="005F4D72" w:rsidRPr="006148EB" w:rsidRDefault="005F4D72" w:rsidP="005F4D72">
      <w:pPr>
        <w:spacing w:before="120"/>
        <w:ind w:firstLine="1134"/>
        <w:jc w:val="both"/>
      </w:pPr>
      <w:r w:rsidRPr="006148EB">
        <w:rPr>
          <w:i/>
        </w:rPr>
        <w:t xml:space="preserve"> j=1,...,J</w:t>
      </w:r>
      <w:r w:rsidRPr="006148EB">
        <w:t xml:space="preserve"> é o índice referente ao regime ou grupo de municípios que compartilham os mesmos valores dos parâmetros </w:t>
      </w:r>
      <w:r w:rsidRPr="006148EB">
        <w:rPr>
          <w:position w:val="-14"/>
        </w:rPr>
        <w:object w:dxaOrig="300" w:dyaOrig="380" w14:anchorId="093254B2">
          <v:shape id="_x0000_i1063" type="#_x0000_t75" style="width:15pt;height:19.5pt" o:ole="">
            <v:imagedata r:id="rId77" o:title=""/>
          </v:shape>
          <o:OLEObject Type="Embed" ProgID="Equation.3" ShapeID="_x0000_i1063" DrawAspect="Content" ObjectID="_1667139651" r:id="rId78"/>
        </w:object>
      </w:r>
      <w:r w:rsidRPr="006148EB">
        <w:t xml:space="preserve">, e </w:t>
      </w:r>
      <w:r w:rsidRPr="006148EB">
        <w:rPr>
          <w:position w:val="-12"/>
        </w:rPr>
        <w:object w:dxaOrig="240" w:dyaOrig="360" w14:anchorId="6AE7F419">
          <v:shape id="_x0000_i1064" type="#_x0000_t75" style="width:12pt;height:18pt" o:ole="">
            <v:imagedata r:id="rId79" o:title=""/>
          </v:shape>
          <o:OLEObject Type="Embed" ProgID="Equation.3" ShapeID="_x0000_i1064" DrawAspect="Content" ObjectID="_1667139652" r:id="rId80"/>
        </w:object>
      </w:r>
      <w:r w:rsidRPr="006148EB">
        <w:t xml:space="preserve"> é o termo de erro. </w:t>
      </w:r>
    </w:p>
    <w:p w14:paraId="70067793" w14:textId="77777777" w:rsidR="005F4D72" w:rsidRDefault="005F4D72" w:rsidP="005F4D72">
      <w:pPr>
        <w:spacing w:before="120"/>
        <w:ind w:firstLine="1134"/>
        <w:jc w:val="both"/>
      </w:pPr>
    </w:p>
    <w:p w14:paraId="43262BAD" w14:textId="77777777" w:rsidR="005F4D72" w:rsidRPr="006148EB" w:rsidRDefault="005F4D72" w:rsidP="005F4D72">
      <w:pPr>
        <w:spacing w:before="120"/>
        <w:ind w:firstLine="1134"/>
        <w:jc w:val="both"/>
      </w:pPr>
      <w:r w:rsidRPr="006148EB">
        <w:t xml:space="preserve">Esses modelos permitem avaliar o impacto macroeconômico do FNE para </w:t>
      </w:r>
      <w:r w:rsidRPr="006148EB">
        <w:rPr>
          <w:i/>
        </w:rPr>
        <w:t>J</w:t>
      </w:r>
      <w:r w:rsidRPr="006148EB">
        <w:t xml:space="preserve"> possíveis grupos de municípios, selecionados de acordo com o PIB </w:t>
      </w:r>
      <w:r w:rsidRPr="006148EB">
        <w:rPr>
          <w:i/>
        </w:rPr>
        <w:t>per capita</w:t>
      </w:r>
      <w:r w:rsidRPr="006148EB">
        <w:t xml:space="preserve"> municipal em 2000 (uma </w:t>
      </w:r>
      <w:r w:rsidRPr="006148EB">
        <w:rPr>
          <w:i/>
        </w:rPr>
        <w:t>proxy</w:t>
      </w:r>
      <w:r w:rsidRPr="006148EB">
        <w:t xml:space="preserve"> para o estágio de desenvolvimento da economia). Heterogeneidade no efeito do FNE é caracterizada por variação nos coeficientes </w:t>
      </w:r>
      <w:r w:rsidRPr="006148EB">
        <w:rPr>
          <w:position w:val="-14"/>
        </w:rPr>
        <w:object w:dxaOrig="380" w:dyaOrig="380" w14:anchorId="5F8C4F34">
          <v:shape id="_x0000_i1065" type="#_x0000_t75" style="width:18.75pt;height:18.75pt" o:ole="">
            <v:imagedata r:id="rId81" o:title=""/>
          </v:shape>
          <o:OLEObject Type="Embed" ProgID="Equation.3" ShapeID="_x0000_i1065" DrawAspect="Content" ObjectID="_1667139653" r:id="rId82"/>
        </w:object>
      </w:r>
      <w:r w:rsidRPr="006148EB">
        <w:t xml:space="preserve">e, por conseguinte, nos vetores </w:t>
      </w:r>
      <w:r w:rsidRPr="006148EB">
        <w:rPr>
          <w:position w:val="-14"/>
        </w:rPr>
        <w:object w:dxaOrig="300" w:dyaOrig="380" w14:anchorId="24C75BED">
          <v:shape id="_x0000_i1066" type="#_x0000_t75" style="width:15pt;height:19.5pt" o:ole="">
            <v:imagedata r:id="rId83" o:title=""/>
          </v:shape>
          <o:OLEObject Type="Embed" ProgID="Equation.3" ShapeID="_x0000_i1066" DrawAspect="Content" ObjectID="_1667139654" r:id="rId84"/>
        </w:object>
      </w:r>
      <w:r w:rsidRPr="006148EB">
        <w:t xml:space="preserve">; ou seja, na influência de todos os determinantes de </w:t>
      </w:r>
      <w:r w:rsidRPr="006148EB">
        <w:rPr>
          <w:position w:val="-14"/>
        </w:rPr>
        <w:object w:dxaOrig="400" w:dyaOrig="380" w14:anchorId="0F1E6B5E">
          <v:shape id="_x0000_i1067" type="#_x0000_t75" style="width:20.25pt;height:18.75pt" o:ole="">
            <v:imagedata r:id="rId85" o:title=""/>
          </v:shape>
          <o:OLEObject Type="Embed" ProgID="Equation.3" ShapeID="_x0000_i1067" DrawAspect="Content" ObjectID="_1667139655" r:id="rId86"/>
        </w:object>
      </w:r>
      <w:r w:rsidRPr="006148EB">
        <w:t xml:space="preserve">. Caso haja invariabilidade nos parâmetros, </w:t>
      </w:r>
      <w:r w:rsidRPr="006148EB">
        <w:rPr>
          <w:position w:val="-12"/>
        </w:rPr>
        <w:object w:dxaOrig="1140" w:dyaOrig="360" w14:anchorId="1D09A794">
          <v:shape id="_x0000_i1068" type="#_x0000_t75" style="width:57pt;height:18pt" o:ole="">
            <v:imagedata r:id="rId87" o:title=""/>
          </v:shape>
          <o:OLEObject Type="Embed" ProgID="Equation.3" ShapeID="_x0000_i1068" DrawAspect="Content" ObjectID="_1667139656" r:id="rId88"/>
        </w:object>
      </w:r>
      <w:r w:rsidRPr="006148EB">
        <w:t>, os modelos de regressão seriam red</w:t>
      </w:r>
      <w:r>
        <w:t>uzidos para as primeiras formas</w:t>
      </w:r>
      <w:r w:rsidRPr="006148EB">
        <w:t>, dadas pelas equações (3) e (4).</w:t>
      </w:r>
    </w:p>
    <w:p w14:paraId="2A666DA1" w14:textId="77777777" w:rsidR="005F4D72" w:rsidRPr="006148EB" w:rsidRDefault="005F4D72" w:rsidP="005F4D72">
      <w:pPr>
        <w:spacing w:before="120"/>
        <w:ind w:firstLine="1134"/>
        <w:jc w:val="both"/>
      </w:pPr>
      <w:r w:rsidRPr="006148EB">
        <w:t xml:space="preserve">Observe que a variação no efeito do FNE é investigada, portanto, através de testes sobre restrições no vetor de parâmetros </w:t>
      </w:r>
      <w:r w:rsidRPr="006148EB">
        <w:rPr>
          <w:position w:val="-14"/>
        </w:rPr>
        <w:object w:dxaOrig="300" w:dyaOrig="380" w14:anchorId="166E959C">
          <v:shape id="_x0000_i1069" type="#_x0000_t75" style="width:15pt;height:19.5pt" o:ole="">
            <v:imagedata r:id="rId89" o:title=""/>
          </v:shape>
          <o:OLEObject Type="Embed" ProgID="Equation.3" ShapeID="_x0000_i1069" DrawAspect="Content" ObjectID="_1667139657" r:id="rId90"/>
        </w:object>
      </w:r>
      <w:r w:rsidRPr="006148EB">
        <w:t xml:space="preserve">, condicionados às funções indicadoras </w:t>
      </w:r>
      <w:r w:rsidRPr="006148EB">
        <w:rPr>
          <w:position w:val="-14"/>
        </w:rPr>
        <w:object w:dxaOrig="600" w:dyaOrig="380" w14:anchorId="2B6E4808">
          <v:shape id="_x0000_i1070" type="#_x0000_t75" style="width:30pt;height:19.5pt" o:ole="">
            <v:imagedata r:id="rId65" o:title=""/>
          </v:shape>
          <o:OLEObject Type="Embed" ProgID="Equation.3" ShapeID="_x0000_i1070" DrawAspect="Content" ObjectID="_1667139658" r:id="rId91"/>
        </w:object>
      </w:r>
      <w:r w:rsidRPr="006148EB">
        <w:t xml:space="preserve">. No processo de estimação dos modelos, esses testes revelam a quantidade relevante de grupos na avaliação dos impactos do FNE e determinam o(s) nível(eis) do PIB per capita inicial que define(m) cada grupo. Ou seja, são obtidos estaticamente o valor de </w:t>
      </w:r>
      <w:r w:rsidRPr="006148EB">
        <w:rPr>
          <w:i/>
        </w:rPr>
        <w:t>J</w:t>
      </w:r>
      <w:r w:rsidRPr="006148EB">
        <w:t xml:space="preserve"> juntamente com as estimativas dos parâmetros </w:t>
      </w:r>
      <w:r w:rsidRPr="006148EB">
        <w:rPr>
          <w:position w:val="-14"/>
        </w:rPr>
        <w:object w:dxaOrig="260" w:dyaOrig="380" w14:anchorId="40CE23E3">
          <v:shape id="_x0000_i1071" type="#_x0000_t75" style="width:13.5pt;height:18.75pt" o:ole="">
            <v:imagedata r:id="rId92" o:title=""/>
          </v:shape>
          <o:OLEObject Type="Embed" ProgID="Equation.3" ShapeID="_x0000_i1071" DrawAspect="Content" ObjectID="_1667139659" r:id="rId93"/>
        </w:object>
      </w:r>
      <w:r w:rsidRPr="006148EB">
        <w:t>.</w:t>
      </w:r>
    </w:p>
    <w:p w14:paraId="368894E7" w14:textId="77777777" w:rsidR="005F4D72" w:rsidRPr="006148EB" w:rsidRDefault="005F4D72" w:rsidP="005F4D72">
      <w:pPr>
        <w:spacing w:before="120"/>
        <w:ind w:firstLine="1134"/>
        <w:jc w:val="both"/>
      </w:pPr>
      <w:r w:rsidRPr="006148EB">
        <w:t xml:space="preserve">Como forma de simplificar a explicação da estimação do modelo e determinação de </w:t>
      </w:r>
      <w:r w:rsidRPr="006148EB">
        <w:rPr>
          <w:i/>
        </w:rPr>
        <w:t>J</w:t>
      </w:r>
      <w:r w:rsidRPr="006148EB">
        <w:t xml:space="preserve">, número de grupos, considere a equação (6) com apenas dois grupos possíveis. O grupo 1 seria composto por municípios com PIB </w:t>
      </w:r>
      <w:r w:rsidRPr="006148EB">
        <w:rPr>
          <w:i/>
        </w:rPr>
        <w:t>per capita</w:t>
      </w:r>
      <w:r w:rsidRPr="006148EB">
        <w:t xml:space="preserve"> inicial menor que </w:t>
      </w:r>
      <w:r w:rsidRPr="006148EB">
        <w:rPr>
          <w:position w:val="-10"/>
        </w:rPr>
        <w:object w:dxaOrig="240" w:dyaOrig="340" w14:anchorId="3F439228">
          <v:shape id="_x0000_i1072" type="#_x0000_t75" style="width:12pt;height:17.25pt" o:ole="">
            <v:imagedata r:id="rId94" o:title=""/>
          </v:shape>
          <o:OLEObject Type="Embed" ProgID="Equation.3" ShapeID="_x0000_i1072" DrawAspect="Content" ObjectID="_1667139660" r:id="rId95"/>
        </w:object>
      </w:r>
      <w:r w:rsidRPr="006148EB">
        <w:t xml:space="preserve"> e o grupo 2 por municípios com PIB </w:t>
      </w:r>
      <w:r w:rsidRPr="006148EB">
        <w:rPr>
          <w:i/>
        </w:rPr>
        <w:t>per capita</w:t>
      </w:r>
      <w:r w:rsidRPr="006148EB">
        <w:t xml:space="preserve"> inicial maior que </w:t>
      </w:r>
      <w:r w:rsidRPr="006148EB">
        <w:rPr>
          <w:position w:val="-10"/>
        </w:rPr>
        <w:object w:dxaOrig="240" w:dyaOrig="340" w14:anchorId="1E4AE871">
          <v:shape id="_x0000_i1073" type="#_x0000_t75" style="width:12pt;height:17.25pt" o:ole="">
            <v:imagedata r:id="rId94" o:title=""/>
          </v:shape>
          <o:OLEObject Type="Embed" ProgID="Equation.3" ShapeID="_x0000_i1073" DrawAspect="Content" ObjectID="_1667139661" r:id="rId96"/>
        </w:object>
      </w:r>
      <w:r w:rsidRPr="006148EB">
        <w:t>.</w:t>
      </w:r>
    </w:p>
    <w:p w14:paraId="30C52C79" w14:textId="77777777" w:rsidR="005F4D72" w:rsidRPr="006148EB" w:rsidRDefault="005F4D72" w:rsidP="005F4D72">
      <w:pPr>
        <w:spacing w:before="120"/>
        <w:ind w:firstLine="1134"/>
        <w:jc w:val="both"/>
      </w:pPr>
    </w:p>
    <w:p w14:paraId="1747ED89" w14:textId="77777777" w:rsidR="005F4D72" w:rsidRPr="006148EB" w:rsidRDefault="005F4D72" w:rsidP="005F4D72">
      <w:pPr>
        <w:spacing w:before="120"/>
        <w:ind w:firstLine="1134"/>
        <w:jc w:val="both"/>
      </w:pPr>
      <w:r w:rsidRPr="006148EB">
        <w:rPr>
          <w:position w:val="-14"/>
        </w:rPr>
        <w:object w:dxaOrig="4500" w:dyaOrig="380" w14:anchorId="3AC3FDB5">
          <v:shape id="_x0000_i1074" type="#_x0000_t75" style="width:225pt;height:18.75pt" o:ole="">
            <v:imagedata r:id="rId97" o:title=""/>
          </v:shape>
          <o:OLEObject Type="Embed" ProgID="Equation.3" ShapeID="_x0000_i1074" DrawAspect="Content" ObjectID="_1667139662" r:id="rId98"/>
        </w:object>
      </w:r>
      <w:r w:rsidRPr="006148EB">
        <w:tab/>
      </w:r>
      <w:r w:rsidRPr="006148EB">
        <w:tab/>
      </w:r>
      <w:r w:rsidRPr="006148EB">
        <w:tab/>
      </w:r>
      <w:r w:rsidRPr="006148EB">
        <w:tab/>
      </w:r>
      <w:r>
        <w:tab/>
      </w:r>
      <w:r>
        <w:tab/>
      </w:r>
      <w:r w:rsidRPr="006148EB">
        <w:t>(7)</w:t>
      </w:r>
    </w:p>
    <w:p w14:paraId="3D705080" w14:textId="77777777" w:rsidR="005F4D72" w:rsidRDefault="005F4D72" w:rsidP="005F4D72">
      <w:pPr>
        <w:spacing w:before="120"/>
        <w:ind w:firstLine="1134"/>
        <w:jc w:val="both"/>
      </w:pPr>
    </w:p>
    <w:p w14:paraId="18CD0D07" w14:textId="77777777" w:rsidR="005F4D72" w:rsidRPr="006148EB" w:rsidRDefault="005F4D72" w:rsidP="005F4D72">
      <w:pPr>
        <w:spacing w:before="120"/>
        <w:ind w:firstLine="1134"/>
        <w:jc w:val="both"/>
      </w:pPr>
      <w:r w:rsidRPr="006148EB">
        <w:t>A equação (7) pode ainda ser reescrita da seguinte forma,</w:t>
      </w:r>
    </w:p>
    <w:p w14:paraId="0D7986CF" w14:textId="77777777" w:rsidR="005F4D72" w:rsidRPr="006148EB" w:rsidRDefault="005F4D72" w:rsidP="005F4D72">
      <w:pPr>
        <w:spacing w:before="120"/>
        <w:ind w:firstLine="1134"/>
        <w:jc w:val="both"/>
      </w:pPr>
    </w:p>
    <w:p w14:paraId="0A356EB2" w14:textId="77777777" w:rsidR="005F4D72" w:rsidRPr="006148EB" w:rsidRDefault="005F4D72" w:rsidP="005F4D72">
      <w:pPr>
        <w:spacing w:before="120"/>
        <w:ind w:firstLine="1134"/>
        <w:jc w:val="both"/>
      </w:pPr>
      <w:r w:rsidRPr="006148EB">
        <w:rPr>
          <w:position w:val="-14"/>
        </w:rPr>
        <w:object w:dxaOrig="1900" w:dyaOrig="380" w14:anchorId="0BE8ED9C">
          <v:shape id="_x0000_i1075" type="#_x0000_t75" style="width:95.25pt;height:18.75pt" o:ole="">
            <v:imagedata r:id="rId99" o:title=""/>
          </v:shape>
          <o:OLEObject Type="Embed" ProgID="Equation.3" ShapeID="_x0000_i1075" DrawAspect="Content" ObjectID="_1667139663" r:id="rId100"/>
        </w:object>
      </w:r>
      <w:r w:rsidRPr="006148EB">
        <w:t>,</w:t>
      </w:r>
      <w:r w:rsidRPr="006148EB">
        <w:tab/>
      </w:r>
      <w:r w:rsidRPr="006148EB">
        <w:tab/>
      </w:r>
      <w:r w:rsidRPr="006148EB">
        <w:tab/>
      </w:r>
      <w:r w:rsidRPr="006148EB">
        <w:tab/>
      </w:r>
      <w:r w:rsidRPr="006148EB">
        <w:tab/>
      </w:r>
      <w:r w:rsidRPr="006148EB">
        <w:tab/>
      </w:r>
      <w:r w:rsidRPr="006148EB">
        <w:tab/>
      </w:r>
      <w:r>
        <w:tab/>
      </w:r>
      <w:r>
        <w:tab/>
      </w:r>
      <w:r w:rsidRPr="006148EB">
        <w:t>(8)</w:t>
      </w:r>
    </w:p>
    <w:p w14:paraId="3EE45EAF" w14:textId="77777777" w:rsidR="005F4D72" w:rsidRPr="006148EB" w:rsidRDefault="005F4D72" w:rsidP="005F4D72">
      <w:pPr>
        <w:spacing w:before="120"/>
        <w:ind w:firstLine="1134"/>
        <w:jc w:val="both"/>
      </w:pPr>
    </w:p>
    <w:p w14:paraId="5A112601" w14:textId="77777777" w:rsidR="005F4D72" w:rsidRPr="006148EB" w:rsidRDefault="005F4D72" w:rsidP="005F4D72">
      <w:pPr>
        <w:spacing w:before="120"/>
        <w:ind w:firstLine="1134"/>
        <w:jc w:val="both"/>
      </w:pPr>
      <w:r w:rsidRPr="006148EB">
        <w:lastRenderedPageBreak/>
        <w:t xml:space="preserve">com </w:t>
      </w:r>
      <w:r w:rsidRPr="006148EB">
        <w:rPr>
          <w:position w:val="-14"/>
        </w:rPr>
        <w:object w:dxaOrig="3920" w:dyaOrig="380" w14:anchorId="01F03FE2">
          <v:shape id="_x0000_i1076" type="#_x0000_t75" style="width:195.75pt;height:19.5pt" o:ole="">
            <v:imagedata r:id="rId101" o:title=""/>
          </v:shape>
          <o:OLEObject Type="Embed" ProgID="Equation.3" ShapeID="_x0000_i1076" DrawAspect="Content" ObjectID="_1667139664" r:id="rId102"/>
        </w:object>
      </w:r>
      <w:r w:rsidRPr="006148EB">
        <w:t xml:space="preserve">. </w:t>
      </w:r>
    </w:p>
    <w:p w14:paraId="5EEBEAAC" w14:textId="77777777" w:rsidR="005F4D72" w:rsidRPr="006148EB" w:rsidRDefault="005F4D72" w:rsidP="005F4D72">
      <w:pPr>
        <w:spacing w:before="120"/>
        <w:ind w:firstLine="1134"/>
        <w:jc w:val="both"/>
      </w:pPr>
    </w:p>
    <w:p w14:paraId="1B96C16C" w14:textId="77777777" w:rsidR="005F4D72" w:rsidRPr="006148EB" w:rsidRDefault="005F4D72" w:rsidP="005F4D72">
      <w:pPr>
        <w:spacing w:before="120"/>
        <w:ind w:firstLine="1134"/>
        <w:jc w:val="both"/>
      </w:pPr>
      <w:r w:rsidRPr="006148EB">
        <w:t xml:space="preserve">O procedimento de estimação da equação (8) segue a metodologia proposta em Hansen (2000). Seja </w:t>
      </w:r>
      <w:r w:rsidRPr="006148EB">
        <w:rPr>
          <w:position w:val="-4"/>
        </w:rPr>
        <w:object w:dxaOrig="240" w:dyaOrig="260" w14:anchorId="78CF7C24">
          <v:shape id="_x0000_i1077" type="#_x0000_t75" style="width:12pt;height:13.5pt" o:ole="">
            <v:imagedata r:id="rId103" o:title=""/>
          </v:shape>
          <o:OLEObject Type="Embed" ProgID="Equation.3" ShapeID="_x0000_i1077" DrawAspect="Content" ObjectID="_1667139665" r:id="rId104"/>
        </w:object>
      </w:r>
      <w:r w:rsidRPr="006148EB">
        <w:t xml:space="preserve"> o intervalo formado pelo mínimo e máximo da variável </w:t>
      </w:r>
      <w:r w:rsidRPr="006148EB">
        <w:rPr>
          <w:i/>
        </w:rPr>
        <w:t>threshold</w:t>
      </w:r>
      <w:r w:rsidRPr="006148EB">
        <w:t xml:space="preserve"> na amostra, </w:t>
      </w:r>
      <w:r w:rsidRPr="006148EB">
        <w:rPr>
          <w:position w:val="-14"/>
        </w:rPr>
        <w:object w:dxaOrig="2600" w:dyaOrig="380" w14:anchorId="4ADA7661">
          <v:shape id="_x0000_i1078" type="#_x0000_t75" style="width:129.75pt;height:19.5pt" o:ole="">
            <v:imagedata r:id="rId105" o:title=""/>
          </v:shape>
          <o:OLEObject Type="Embed" ProgID="Equation.3" ShapeID="_x0000_i1078" DrawAspect="Content" ObjectID="_1667139666" r:id="rId106"/>
        </w:object>
      </w:r>
      <w:r w:rsidRPr="006148EB">
        <w:t xml:space="preserve">. Para um </w:t>
      </w:r>
      <w:r w:rsidRPr="006148EB">
        <w:rPr>
          <w:position w:val="-10"/>
        </w:rPr>
        <w:object w:dxaOrig="859" w:dyaOrig="340" w14:anchorId="39FC370A">
          <v:shape id="_x0000_i1079" type="#_x0000_t75" style="width:43.5pt;height:17.25pt" o:ole="">
            <v:imagedata r:id="rId107" o:title=""/>
          </v:shape>
          <o:OLEObject Type="Embed" ProgID="Equation.3" ShapeID="_x0000_i1079" DrawAspect="Content" ObjectID="_1667139667" r:id="rId108"/>
        </w:object>
      </w:r>
      <w:r w:rsidRPr="006148EB">
        <w:t xml:space="preserve">, defina </w:t>
      </w:r>
      <w:r w:rsidRPr="006148EB">
        <w:rPr>
          <w:position w:val="-4"/>
        </w:rPr>
        <w:object w:dxaOrig="220" w:dyaOrig="240" w14:anchorId="1BD83F45">
          <v:shape id="_x0000_i1080" type="#_x0000_t75" style="width:11.25pt;height:12pt" o:ole="">
            <v:imagedata r:id="rId109" o:title=""/>
          </v:shape>
          <o:OLEObject Type="Embed" ProgID="Equation.3" ShapeID="_x0000_i1080" DrawAspect="Content" ObjectID="_1667139668" r:id="rId110"/>
        </w:object>
      </w:r>
      <w:r w:rsidRPr="006148EB">
        <w:t xml:space="preserve"> como a versão discreta do espaço </w:t>
      </w:r>
      <w:r w:rsidRPr="006148EB">
        <w:rPr>
          <w:i/>
        </w:rPr>
        <w:t>P</w:t>
      </w:r>
      <w:r w:rsidRPr="006148EB">
        <w:t xml:space="preserve"> com </w:t>
      </w:r>
      <w:r w:rsidRPr="006148EB">
        <w:rPr>
          <w:position w:val="-10"/>
        </w:rPr>
        <w:object w:dxaOrig="980" w:dyaOrig="320" w14:anchorId="51FFFC3A">
          <v:shape id="_x0000_i1081" type="#_x0000_t75" style="width:48.75pt;height:15.75pt" o:ole="">
            <v:imagedata r:id="rId111" o:title=""/>
          </v:shape>
          <o:OLEObject Type="Embed" ProgID="Equation.3" ShapeID="_x0000_i1081" DrawAspect="Content" ObjectID="_1667139669" r:id="rId112"/>
        </w:object>
      </w:r>
      <w:r w:rsidRPr="006148EB">
        <w:t xml:space="preserve"> de seus valores iniciais e finais excluídos simetricamente</w:t>
      </w:r>
      <w:r w:rsidRPr="006148EB">
        <w:rPr>
          <w:rStyle w:val="Refdenotaderodap"/>
        </w:rPr>
        <w:footnoteReference w:id="10"/>
      </w:r>
      <w:r w:rsidRPr="006148EB">
        <w:t xml:space="preserve">, formada por </w:t>
      </w:r>
      <w:r w:rsidRPr="006148EB">
        <w:rPr>
          <w:i/>
        </w:rPr>
        <w:t>m</w:t>
      </w:r>
      <w:r w:rsidRPr="006148EB">
        <w:t xml:space="preserve"> pontos equidistantes. Primeiramente, o vetor de parâmetros </w:t>
      </w:r>
      <w:r w:rsidRPr="006148EB">
        <w:rPr>
          <w:position w:val="-4"/>
        </w:rPr>
        <w:object w:dxaOrig="260" w:dyaOrig="240" w14:anchorId="647C25D1">
          <v:shape id="_x0000_i1082" type="#_x0000_t75" style="width:13.5pt;height:12pt" o:ole="">
            <v:imagedata r:id="rId113" o:title=""/>
          </v:shape>
          <o:OLEObject Type="Embed" ProgID="Equation.3" ShapeID="_x0000_i1082" DrawAspect="Content" ObjectID="_1667139670" r:id="rId114"/>
        </w:object>
      </w:r>
      <w:r w:rsidRPr="006148EB">
        <w:t xml:space="preserve"> é estimado por mínimos quadrados para todo </w:t>
      </w:r>
      <w:r w:rsidRPr="006148EB">
        <w:rPr>
          <w:position w:val="-10"/>
        </w:rPr>
        <w:object w:dxaOrig="620" w:dyaOrig="340" w14:anchorId="09C3C096">
          <v:shape id="_x0000_i1083" type="#_x0000_t75" style="width:31.5pt;height:17.25pt" o:ole="">
            <v:imagedata r:id="rId115" o:title=""/>
          </v:shape>
          <o:OLEObject Type="Embed" ProgID="Equation.3" ShapeID="_x0000_i1083" DrawAspect="Content" ObjectID="_1667139671" r:id="rId116"/>
        </w:object>
      </w:r>
      <w:r w:rsidRPr="006148EB">
        <w:t xml:space="preserve">, formando m valores para a soma do quadrado dos resíduos </w:t>
      </w:r>
      <w:r w:rsidRPr="006148EB">
        <w:rPr>
          <w:position w:val="-16"/>
        </w:rPr>
        <w:object w:dxaOrig="2760" w:dyaOrig="480" w14:anchorId="35BFDF0F">
          <v:shape id="_x0000_i1084" type="#_x0000_t75" style="width:138pt;height:24pt" o:ole="">
            <v:imagedata r:id="rId117" o:title=""/>
          </v:shape>
          <o:OLEObject Type="Embed" ProgID="Equation.3" ShapeID="_x0000_i1084" DrawAspect="Content" ObjectID="_1667139672" r:id="rId118"/>
        </w:object>
      </w:r>
      <w:r w:rsidRPr="006148EB">
        <w:t xml:space="preserve">. Em seguida, as estimativas de </w:t>
      </w:r>
      <w:r w:rsidRPr="006148EB">
        <w:rPr>
          <w:position w:val="-4"/>
        </w:rPr>
        <w:object w:dxaOrig="260" w:dyaOrig="240" w14:anchorId="1CDD0E81">
          <v:shape id="_x0000_i1085" type="#_x0000_t75" style="width:13.5pt;height:12pt" o:ole="">
            <v:imagedata r:id="rId119" o:title=""/>
          </v:shape>
          <o:OLEObject Type="Embed" ProgID="Equation.3" ShapeID="_x0000_i1085" DrawAspect="Content" ObjectID="_1667139673" r:id="rId120"/>
        </w:object>
      </w:r>
      <w:r w:rsidRPr="006148EB">
        <w:t xml:space="preserve"> e </w:t>
      </w:r>
      <w:r w:rsidRPr="006148EB">
        <w:rPr>
          <w:position w:val="-10"/>
        </w:rPr>
        <w:object w:dxaOrig="240" w:dyaOrig="340" w14:anchorId="67822C59">
          <v:shape id="_x0000_i1086" type="#_x0000_t75" style="width:12pt;height:17.25pt" o:ole="">
            <v:imagedata r:id="rId121" o:title=""/>
          </v:shape>
          <o:OLEObject Type="Embed" ProgID="Equation.3" ShapeID="_x0000_i1086" DrawAspect="Content" ObjectID="_1667139674" r:id="rId122"/>
        </w:object>
      </w:r>
      <w:r w:rsidRPr="006148EB">
        <w:t xml:space="preserve"> são obtidas encontrando o valor de </w:t>
      </w:r>
      <w:r w:rsidRPr="006148EB">
        <w:rPr>
          <w:position w:val="-10"/>
        </w:rPr>
        <w:object w:dxaOrig="620" w:dyaOrig="340" w14:anchorId="07EC4919">
          <v:shape id="_x0000_i1087" type="#_x0000_t75" style="width:31.5pt;height:17.25pt" o:ole="">
            <v:imagedata r:id="rId123" o:title=""/>
          </v:shape>
          <o:OLEObject Type="Embed" ProgID="Equation.3" ShapeID="_x0000_i1087" DrawAspect="Content" ObjectID="_1667139675" r:id="rId124"/>
        </w:object>
      </w:r>
      <w:r w:rsidRPr="006148EB">
        <w:t xml:space="preserve"> que minimiza a função </w:t>
      </w:r>
      <w:r w:rsidRPr="006148EB">
        <w:rPr>
          <w:position w:val="-10"/>
        </w:rPr>
        <w:object w:dxaOrig="580" w:dyaOrig="340" w14:anchorId="0EBCF3BD">
          <v:shape id="_x0000_i1088" type="#_x0000_t75" style="width:28.5pt;height:17.25pt" o:ole="">
            <v:imagedata r:id="rId125" o:title=""/>
          </v:shape>
          <o:OLEObject Type="Embed" ProgID="Equation.3" ShapeID="_x0000_i1088" DrawAspect="Content" ObjectID="_1667139676" r:id="rId126"/>
        </w:object>
      </w:r>
      <w:r w:rsidRPr="006148EB">
        <w:t xml:space="preserve">, </w:t>
      </w:r>
      <w:r w:rsidRPr="006148EB">
        <w:rPr>
          <w:position w:val="-28"/>
        </w:rPr>
        <w:object w:dxaOrig="2120" w:dyaOrig="560" w14:anchorId="01DF6139">
          <v:shape id="_x0000_i1089" type="#_x0000_t75" style="width:105.75pt;height:28.5pt" o:ole="">
            <v:imagedata r:id="rId127" o:title=""/>
          </v:shape>
          <o:OLEObject Type="Embed" ProgID="Equation.3" ShapeID="_x0000_i1089" DrawAspect="Content" ObjectID="_1667139677" r:id="rId128"/>
        </w:object>
      </w:r>
      <w:r w:rsidRPr="006148EB">
        <w:t>.</w:t>
      </w:r>
    </w:p>
    <w:p w14:paraId="01870628" w14:textId="77777777" w:rsidR="005F4D72" w:rsidRPr="006148EB" w:rsidRDefault="005F4D72" w:rsidP="005F4D72">
      <w:pPr>
        <w:spacing w:before="120"/>
        <w:ind w:firstLine="1134"/>
        <w:jc w:val="both"/>
      </w:pPr>
      <w:r w:rsidRPr="006148EB">
        <w:t xml:space="preserve">No final desse procedimento têm-se dois conjuntos de coeficientes estimados, </w:t>
      </w:r>
      <w:r w:rsidRPr="006148EB">
        <w:rPr>
          <w:position w:val="-10"/>
        </w:rPr>
        <w:object w:dxaOrig="260" w:dyaOrig="380" w14:anchorId="71A166BA">
          <v:shape id="_x0000_i1090" type="#_x0000_t75" style="width:13.5pt;height:18.75pt" o:ole="">
            <v:imagedata r:id="rId129" o:title=""/>
          </v:shape>
          <o:OLEObject Type="Embed" ProgID="Equation.3" ShapeID="_x0000_i1090" DrawAspect="Content" ObjectID="_1667139678" r:id="rId130"/>
        </w:object>
      </w:r>
      <w:r w:rsidRPr="006148EB">
        <w:t xml:space="preserve"> para os municípios com </w:t>
      </w:r>
      <w:r w:rsidRPr="006148EB">
        <w:rPr>
          <w:position w:val="-14"/>
        </w:rPr>
        <w:object w:dxaOrig="940" w:dyaOrig="380" w14:anchorId="57EECF0E">
          <v:shape id="_x0000_i1091" type="#_x0000_t75" style="width:47.25pt;height:18.75pt" o:ole="">
            <v:imagedata r:id="rId131" o:title=""/>
          </v:shape>
          <o:OLEObject Type="Embed" ProgID="Equation.3" ShapeID="_x0000_i1091" DrawAspect="Content" ObjectID="_1667139679" r:id="rId132"/>
        </w:object>
      </w:r>
      <w:r w:rsidRPr="006148EB">
        <w:t xml:space="preserve"> e </w:t>
      </w:r>
      <w:r w:rsidRPr="006148EB">
        <w:rPr>
          <w:position w:val="-10"/>
        </w:rPr>
        <w:object w:dxaOrig="300" w:dyaOrig="380" w14:anchorId="7F8A22A0">
          <v:shape id="_x0000_i1092" type="#_x0000_t75" style="width:15pt;height:18.75pt" o:ole="">
            <v:imagedata r:id="rId133" o:title=""/>
          </v:shape>
          <o:OLEObject Type="Embed" ProgID="Equation.3" ShapeID="_x0000_i1092" DrawAspect="Content" ObjectID="_1667139680" r:id="rId134"/>
        </w:object>
      </w:r>
      <w:r w:rsidRPr="006148EB">
        <w:t xml:space="preserve"> para os municípios com </w:t>
      </w:r>
      <w:r w:rsidRPr="006148EB">
        <w:rPr>
          <w:position w:val="-14"/>
        </w:rPr>
        <w:object w:dxaOrig="960" w:dyaOrig="380" w14:anchorId="715F4C75">
          <v:shape id="_x0000_i1093" type="#_x0000_t75" style="width:48pt;height:18.75pt" o:ole="">
            <v:imagedata r:id="rId135" o:title=""/>
          </v:shape>
          <o:OLEObject Type="Embed" ProgID="Equation.3" ShapeID="_x0000_i1093" DrawAspect="Content" ObjectID="_1667139681" r:id="rId136"/>
        </w:object>
      </w:r>
      <w:r w:rsidRPr="006148EB">
        <w:t xml:space="preserve">. O teste para heterogeneidade dos parâmetros sob o efeito </w:t>
      </w:r>
      <w:r w:rsidRPr="008B58DE">
        <w:rPr>
          <w:i/>
        </w:rPr>
        <w:t>threshold</w:t>
      </w:r>
      <w:r w:rsidRPr="006148EB">
        <w:t xml:space="preserve">, </w:t>
      </w:r>
      <w:r w:rsidRPr="006148EB">
        <w:rPr>
          <w:position w:val="-10"/>
        </w:rPr>
        <w:object w:dxaOrig="740" w:dyaOrig="340" w14:anchorId="700519EA">
          <v:shape id="_x0000_i1094" type="#_x0000_t75" style="width:36.75pt;height:17.25pt" o:ole="">
            <v:imagedata r:id="rId137" o:title=""/>
          </v:shape>
          <o:OLEObject Type="Embed" ProgID="Equation.3" ShapeID="_x0000_i1094" DrawAspect="Content" ObjectID="_1667139682" r:id="rId138"/>
        </w:object>
      </w:r>
      <w:r w:rsidRPr="006148EB">
        <w:t xml:space="preserve">, que informa se estatisticamente existem dois grupos de municípios distintos (pelo contexto do modelo de regressão), utiliza a estatística de teste de multiplicador de Lagrange, proposta por Hansen (1996). Tal estatística, robusta à heterocedasticidade, tem seus valores críticos determinados por um procedimento de </w:t>
      </w:r>
      <w:r w:rsidRPr="006148EB">
        <w:rPr>
          <w:i/>
        </w:rPr>
        <w:t>bootstrap</w:t>
      </w:r>
      <w:r w:rsidRPr="006148EB">
        <w:t xml:space="preserve">. Caso seja constatado que </w:t>
      </w:r>
      <w:r w:rsidRPr="006148EB">
        <w:rPr>
          <w:position w:val="-10"/>
        </w:rPr>
        <w:object w:dxaOrig="740" w:dyaOrig="340" w14:anchorId="0EC01820">
          <v:shape id="_x0000_i1095" type="#_x0000_t75" style="width:36.75pt;height:17.25pt" o:ole="">
            <v:imagedata r:id="rId139" o:title=""/>
          </v:shape>
          <o:OLEObject Type="Embed" ProgID="Equation.3" ShapeID="_x0000_i1095" DrawAspect="Content" ObjectID="_1667139683" r:id="rId140"/>
        </w:object>
      </w:r>
      <w:r w:rsidRPr="006148EB">
        <w:t xml:space="preserve">, conclui-se que existem dois grupos onde o FNE, e as ouras variáveis de controle, têm efeitos distintos sobre a taxa de crescimento de </w:t>
      </w:r>
      <w:r w:rsidRPr="006148EB">
        <w:rPr>
          <w:i/>
        </w:rPr>
        <w:t xml:space="preserve">w. </w:t>
      </w:r>
    </w:p>
    <w:p w14:paraId="3403EFAB" w14:textId="77777777" w:rsidR="005F4D72" w:rsidRPr="006148EB" w:rsidRDefault="005F4D72" w:rsidP="005F4D72">
      <w:pPr>
        <w:spacing w:before="120"/>
        <w:ind w:firstLine="1134"/>
        <w:jc w:val="both"/>
      </w:pPr>
      <w:r w:rsidRPr="006148EB">
        <w:t xml:space="preserve">Quando constatado a presença de dois grupos, a análise procede para o teste da existência de três grupos. Nesse caso, o vetor de parâmetros da equação (8) é dado por </w:t>
      </w:r>
      <w:r w:rsidRPr="006148EB">
        <w:rPr>
          <w:position w:val="-14"/>
        </w:rPr>
        <w:object w:dxaOrig="6280" w:dyaOrig="380" w14:anchorId="7A6A4FAD">
          <v:shape id="_x0000_i1096" type="#_x0000_t75" style="width:313.5pt;height:19.5pt" o:ole="">
            <v:imagedata r:id="rId141" o:title=""/>
          </v:shape>
          <o:OLEObject Type="Embed" ProgID="Equation.3" ShapeID="_x0000_i1096" DrawAspect="Content" ObjectID="_1667139684" r:id="rId142"/>
        </w:object>
      </w:r>
      <w:r w:rsidRPr="006148EB">
        <w:t xml:space="preserve"> ou por </w:t>
      </w:r>
      <w:r w:rsidRPr="006148EB">
        <w:rPr>
          <w:position w:val="-10"/>
        </w:rPr>
        <w:object w:dxaOrig="1100" w:dyaOrig="340" w14:anchorId="5B7F87B2">
          <v:shape id="_x0000_i1097" type="#_x0000_t75" style="width:54.75pt;height:17.25pt" o:ole="">
            <v:imagedata r:id="rId143" o:title=""/>
          </v:shape>
          <o:OLEObject Type="Embed" ProgID="Equation.3" ShapeID="_x0000_i1097" DrawAspect="Content" ObjectID="_1667139685" r:id="rId144"/>
        </w:object>
      </w:r>
      <w:r w:rsidRPr="006148EB">
        <w:rPr>
          <w:position w:val="-14"/>
        </w:rPr>
        <w:t xml:space="preserve"> </w:t>
      </w:r>
      <w:r w:rsidRPr="006148EB">
        <w:rPr>
          <w:position w:val="-14"/>
        </w:rPr>
        <w:object w:dxaOrig="5240" w:dyaOrig="380" w14:anchorId="4685AE93">
          <v:shape id="_x0000_i1098" type="#_x0000_t75" style="width:261.75pt;height:19.5pt" o:ole="">
            <v:imagedata r:id="rId145" o:title=""/>
          </v:shape>
          <o:OLEObject Type="Embed" ProgID="Equation.3" ShapeID="_x0000_i1098" DrawAspect="Content" ObjectID="_1667139686" r:id="rId146"/>
        </w:object>
      </w:r>
      <w:r w:rsidRPr="006148EB">
        <w:t xml:space="preserve">. O vetor de parâmetros </w:t>
      </w:r>
      <w:r w:rsidRPr="006148EB">
        <w:rPr>
          <w:position w:val="-4"/>
        </w:rPr>
        <w:object w:dxaOrig="260" w:dyaOrig="240" w14:anchorId="1187215C">
          <v:shape id="_x0000_i1099" type="#_x0000_t75" style="width:13.5pt;height:12pt" o:ole="">
            <v:imagedata r:id="rId113" o:title=""/>
          </v:shape>
          <o:OLEObject Type="Embed" ProgID="Equation.3" ShapeID="_x0000_i1099" DrawAspect="Content" ObjectID="_1667139687" r:id="rId147"/>
        </w:object>
      </w:r>
      <w:r w:rsidRPr="006148EB">
        <w:t xml:space="preserve"> é estimado por mínimos quadrados para todo </w:t>
      </w:r>
      <w:r w:rsidRPr="006148EB">
        <w:rPr>
          <w:position w:val="-10"/>
        </w:rPr>
        <w:object w:dxaOrig="660" w:dyaOrig="340" w14:anchorId="081785BD">
          <v:shape id="_x0000_i1100" type="#_x0000_t75" style="width:33pt;height:17.25pt" o:ole="">
            <v:imagedata r:id="rId148" o:title=""/>
          </v:shape>
          <o:OLEObject Type="Embed" ProgID="Equation.3" ShapeID="_x0000_i1100" DrawAspect="Content" ObjectID="_1667139688" r:id="rId149"/>
        </w:object>
      </w:r>
      <w:r w:rsidRPr="006148EB">
        <w:t xml:space="preserve">, com </w:t>
      </w:r>
      <w:r w:rsidRPr="006148EB">
        <w:rPr>
          <w:position w:val="-14"/>
        </w:rPr>
        <w:object w:dxaOrig="1480" w:dyaOrig="400" w14:anchorId="097269CC">
          <v:shape id="_x0000_i1101" type="#_x0000_t75" style="width:74.25pt;height:20.25pt" o:ole="">
            <v:imagedata r:id="rId150" o:title=""/>
          </v:shape>
          <o:OLEObject Type="Embed" ProgID="Equation.3" ShapeID="_x0000_i1101" DrawAspect="Content" ObjectID="_1667139689" r:id="rId151"/>
        </w:object>
      </w:r>
      <w:r w:rsidRPr="006148EB">
        <w:t xml:space="preserve">, formando vários valores para a soma do quadrado dos resíduos </w:t>
      </w:r>
      <w:r w:rsidRPr="006148EB">
        <w:rPr>
          <w:position w:val="-16"/>
        </w:rPr>
        <w:object w:dxaOrig="3360" w:dyaOrig="480" w14:anchorId="05516B30">
          <v:shape id="_x0000_i1102" type="#_x0000_t75" style="width:168pt;height:24pt" o:ole="">
            <v:imagedata r:id="rId152" o:title=""/>
          </v:shape>
          <o:OLEObject Type="Embed" ProgID="Equation.3" ShapeID="_x0000_i1102" DrawAspect="Content" ObjectID="_1667139690" r:id="rId153"/>
        </w:object>
      </w:r>
      <w:r w:rsidRPr="006148EB">
        <w:t xml:space="preserve"> e, similarmente, as estimativas de </w:t>
      </w:r>
      <w:r w:rsidRPr="006148EB">
        <w:rPr>
          <w:position w:val="-4"/>
        </w:rPr>
        <w:object w:dxaOrig="260" w:dyaOrig="240" w14:anchorId="1F89CD22">
          <v:shape id="_x0000_i1103" type="#_x0000_t75" style="width:13.5pt;height:12pt" o:ole="">
            <v:imagedata r:id="rId119" o:title=""/>
          </v:shape>
          <o:OLEObject Type="Embed" ProgID="Equation.3" ShapeID="_x0000_i1103" DrawAspect="Content" ObjectID="_1667139691" r:id="rId154"/>
        </w:object>
      </w:r>
      <w:r w:rsidRPr="006148EB">
        <w:t xml:space="preserve">, </w:t>
      </w:r>
      <w:r w:rsidRPr="006148EB">
        <w:rPr>
          <w:position w:val="-10"/>
        </w:rPr>
        <w:object w:dxaOrig="240" w:dyaOrig="340" w14:anchorId="048F49C7">
          <v:shape id="_x0000_i1104" type="#_x0000_t75" style="width:12pt;height:17.25pt" o:ole="">
            <v:imagedata r:id="rId155" o:title=""/>
          </v:shape>
          <o:OLEObject Type="Embed" ProgID="Equation.3" ShapeID="_x0000_i1104" DrawAspect="Content" ObjectID="_1667139692" r:id="rId156"/>
        </w:object>
      </w:r>
      <w:r w:rsidRPr="006148EB">
        <w:t xml:space="preserve"> e </w:t>
      </w:r>
      <w:r w:rsidRPr="006148EB">
        <w:rPr>
          <w:position w:val="-10"/>
        </w:rPr>
        <w:object w:dxaOrig="260" w:dyaOrig="340" w14:anchorId="080E0228">
          <v:shape id="_x0000_i1105" type="#_x0000_t75" style="width:13.5pt;height:17.25pt" o:ole="">
            <v:imagedata r:id="rId157" o:title=""/>
          </v:shape>
          <o:OLEObject Type="Embed" ProgID="Equation.3" ShapeID="_x0000_i1105" DrawAspect="Content" ObjectID="_1667139693" r:id="rId158"/>
        </w:object>
      </w:r>
      <w:r w:rsidRPr="006148EB">
        <w:t xml:space="preserve"> são obtidas através da minimização da função </w:t>
      </w:r>
      <w:r w:rsidRPr="006148EB">
        <w:rPr>
          <w:position w:val="-10"/>
        </w:rPr>
        <w:object w:dxaOrig="880" w:dyaOrig="340" w14:anchorId="1C75681D">
          <v:shape id="_x0000_i1106" type="#_x0000_t75" style="width:43.5pt;height:17.25pt" o:ole="">
            <v:imagedata r:id="rId159" o:title=""/>
          </v:shape>
          <o:OLEObject Type="Embed" ProgID="Equation.3" ShapeID="_x0000_i1106" DrawAspect="Content" ObjectID="_1667139694" r:id="rId160"/>
        </w:object>
      </w:r>
      <w:r w:rsidRPr="006148EB">
        <w:t xml:space="preserve"> no espaço de valores </w:t>
      </w:r>
      <w:r w:rsidRPr="008B58DE">
        <w:rPr>
          <w:i/>
        </w:rPr>
        <w:t>threshold</w:t>
      </w:r>
      <w:r w:rsidRPr="006148EB">
        <w:t xml:space="preserve">. Finalmente, o modelo com 3 grupos é confrontado com o modelo de 2 grupos por meio do teste de multiplicador de Lagrange. Caso o modelo com três regimes – ou dois parâmetros </w:t>
      </w:r>
      <w:r w:rsidRPr="006148EB">
        <w:rPr>
          <w:i/>
        </w:rPr>
        <w:t>thresholds</w:t>
      </w:r>
      <w:r w:rsidRPr="006148EB">
        <w:t xml:space="preserve"> – seja o mais adequado estatisticamente, esse mesmo procedimento de estimação e teste continua até que seja determinado o número de regimes do modelo.</w:t>
      </w:r>
    </w:p>
    <w:p w14:paraId="160E4360" w14:textId="77777777" w:rsidR="005F4D72" w:rsidRPr="006148EB" w:rsidRDefault="005F4D72" w:rsidP="005F4D72">
      <w:pPr>
        <w:pStyle w:val="PargrafodaLista"/>
        <w:spacing w:before="120" w:line="240" w:lineRule="auto"/>
        <w:ind w:left="0" w:firstLine="1134"/>
        <w:jc w:val="both"/>
        <w:rPr>
          <w:rFonts w:cs="Times New Roman"/>
          <w:b/>
          <w:color w:val="auto"/>
          <w:szCs w:val="24"/>
          <w:u w:val="single"/>
        </w:rPr>
      </w:pPr>
    </w:p>
    <w:p w14:paraId="3C3B6718" w14:textId="77777777" w:rsidR="005F4D72" w:rsidRPr="006148EB" w:rsidRDefault="005F4D72" w:rsidP="005F4D72">
      <w:pPr>
        <w:pStyle w:val="PargrafodaLista"/>
        <w:spacing w:before="120" w:line="240" w:lineRule="auto"/>
        <w:ind w:left="0" w:firstLine="0"/>
        <w:jc w:val="both"/>
        <w:rPr>
          <w:rFonts w:cs="Times New Roman"/>
          <w:b/>
          <w:color w:val="auto"/>
          <w:szCs w:val="24"/>
        </w:rPr>
      </w:pPr>
      <w:r w:rsidRPr="006148EB">
        <w:rPr>
          <w:rFonts w:cs="Times New Roman"/>
          <w:b/>
          <w:color w:val="auto"/>
          <w:szCs w:val="24"/>
        </w:rPr>
        <w:t>3.2 Dados</w:t>
      </w:r>
    </w:p>
    <w:p w14:paraId="4DEEE22A" w14:textId="77777777" w:rsidR="005F4D72" w:rsidRPr="006148EB" w:rsidRDefault="005F4D72" w:rsidP="005F4D72">
      <w:pPr>
        <w:pStyle w:val="PargrafodaLista"/>
        <w:spacing w:before="120" w:line="240" w:lineRule="auto"/>
        <w:ind w:left="0" w:firstLine="1134"/>
        <w:jc w:val="both"/>
        <w:rPr>
          <w:rFonts w:cs="Times New Roman"/>
          <w:color w:val="auto"/>
          <w:szCs w:val="24"/>
        </w:rPr>
      </w:pPr>
    </w:p>
    <w:p w14:paraId="606750B4" w14:textId="77777777" w:rsidR="005F4D72" w:rsidRPr="006148EB" w:rsidRDefault="005F4D72" w:rsidP="005F4D72">
      <w:pPr>
        <w:pStyle w:val="PargrafodaLista"/>
        <w:spacing w:before="120" w:line="240" w:lineRule="auto"/>
        <w:ind w:left="0" w:firstLine="1134"/>
        <w:contextualSpacing w:val="0"/>
        <w:jc w:val="both"/>
        <w:rPr>
          <w:rFonts w:cs="Times New Roman"/>
          <w:color w:val="auto"/>
          <w:szCs w:val="24"/>
        </w:rPr>
      </w:pPr>
      <w:r w:rsidRPr="006148EB">
        <w:rPr>
          <w:rFonts w:cs="Times New Roman"/>
          <w:color w:val="auto"/>
          <w:szCs w:val="24"/>
        </w:rPr>
        <w:t xml:space="preserve">A amostra empregada nesse estudo contém informações sobre </w:t>
      </w:r>
      <w:r>
        <w:rPr>
          <w:rFonts w:cs="Times New Roman"/>
          <w:color w:val="auto"/>
          <w:szCs w:val="24"/>
        </w:rPr>
        <w:t xml:space="preserve">o PIB per capita </w:t>
      </w:r>
      <w:r w:rsidRPr="006148EB">
        <w:rPr>
          <w:rFonts w:cs="Times New Roman"/>
          <w:color w:val="auto"/>
          <w:szCs w:val="24"/>
        </w:rPr>
        <w:t>dos municípios</w:t>
      </w:r>
      <w:r>
        <w:rPr>
          <w:rFonts w:cs="Times New Roman"/>
          <w:color w:val="auto"/>
          <w:szCs w:val="24"/>
        </w:rPr>
        <w:t xml:space="preserve"> do</w:t>
      </w:r>
      <w:r w:rsidRPr="006148EB">
        <w:rPr>
          <w:rFonts w:cs="Times New Roman"/>
          <w:color w:val="auto"/>
          <w:szCs w:val="24"/>
        </w:rPr>
        <w:t xml:space="preserve"> Nordeste, </w:t>
      </w:r>
      <w:r>
        <w:rPr>
          <w:rFonts w:cs="Times New Roman"/>
          <w:color w:val="auto"/>
          <w:szCs w:val="24"/>
        </w:rPr>
        <w:t xml:space="preserve">sobre </w:t>
      </w:r>
      <w:r w:rsidRPr="006148EB">
        <w:rPr>
          <w:rFonts w:cs="Times New Roman"/>
          <w:color w:val="auto"/>
          <w:szCs w:val="24"/>
        </w:rPr>
        <w:t>o</w:t>
      </w:r>
      <w:r>
        <w:rPr>
          <w:rFonts w:cs="Times New Roman"/>
          <w:color w:val="auto"/>
          <w:szCs w:val="24"/>
        </w:rPr>
        <w:t>s</w:t>
      </w:r>
      <w:r w:rsidRPr="006148EB">
        <w:rPr>
          <w:rFonts w:cs="Times New Roman"/>
          <w:color w:val="auto"/>
          <w:szCs w:val="24"/>
        </w:rPr>
        <w:t xml:space="preserve"> montante</w:t>
      </w:r>
      <w:r>
        <w:rPr>
          <w:rFonts w:cs="Times New Roman"/>
          <w:color w:val="auto"/>
          <w:szCs w:val="24"/>
        </w:rPr>
        <w:t>s</w:t>
      </w:r>
      <w:r w:rsidRPr="006148EB">
        <w:rPr>
          <w:rFonts w:cs="Times New Roman"/>
          <w:color w:val="auto"/>
          <w:szCs w:val="24"/>
        </w:rPr>
        <w:t xml:space="preserve"> </w:t>
      </w:r>
      <w:r>
        <w:rPr>
          <w:rFonts w:cs="Times New Roman"/>
          <w:color w:val="auto"/>
          <w:szCs w:val="24"/>
        </w:rPr>
        <w:t xml:space="preserve">aplicados de recursos oriundos de todos </w:t>
      </w:r>
      <w:r w:rsidRPr="006148EB">
        <w:rPr>
          <w:rFonts w:cs="Times New Roman"/>
          <w:color w:val="auto"/>
          <w:szCs w:val="24"/>
        </w:rPr>
        <w:t xml:space="preserve">os programas </w:t>
      </w:r>
      <w:r>
        <w:rPr>
          <w:rFonts w:cs="Times New Roman"/>
          <w:color w:val="auto"/>
          <w:szCs w:val="24"/>
        </w:rPr>
        <w:t>d</w:t>
      </w:r>
      <w:r w:rsidRPr="006148EB">
        <w:rPr>
          <w:rFonts w:cs="Times New Roman"/>
          <w:color w:val="auto"/>
          <w:szCs w:val="24"/>
        </w:rPr>
        <w:t>o FNE nessas localidade</w:t>
      </w:r>
      <w:r>
        <w:rPr>
          <w:rFonts w:cs="Times New Roman"/>
          <w:color w:val="auto"/>
          <w:szCs w:val="24"/>
        </w:rPr>
        <w:t>s,</w:t>
      </w:r>
      <w:r w:rsidRPr="006148EB">
        <w:rPr>
          <w:rFonts w:cs="Times New Roman"/>
          <w:color w:val="auto"/>
          <w:szCs w:val="24"/>
        </w:rPr>
        <w:t xml:space="preserve"> e variáveis</w:t>
      </w:r>
      <w:r>
        <w:rPr>
          <w:rFonts w:cs="Times New Roman"/>
          <w:color w:val="auto"/>
          <w:szCs w:val="24"/>
        </w:rPr>
        <w:t xml:space="preserve"> (co-fatores)</w:t>
      </w:r>
      <w:r w:rsidRPr="006148EB">
        <w:rPr>
          <w:rFonts w:cs="Times New Roman"/>
          <w:color w:val="auto"/>
          <w:szCs w:val="24"/>
        </w:rPr>
        <w:t xml:space="preserve"> que caracterizam </w:t>
      </w:r>
      <w:r>
        <w:rPr>
          <w:rFonts w:cs="Times New Roman"/>
          <w:color w:val="auto"/>
          <w:szCs w:val="24"/>
        </w:rPr>
        <w:t xml:space="preserve">e influenciam </w:t>
      </w:r>
      <w:r w:rsidRPr="006148EB">
        <w:rPr>
          <w:rFonts w:cs="Times New Roman"/>
          <w:color w:val="auto"/>
          <w:szCs w:val="24"/>
        </w:rPr>
        <w:t>a</w:t>
      </w:r>
      <w:r>
        <w:rPr>
          <w:rFonts w:cs="Times New Roman"/>
          <w:color w:val="auto"/>
          <w:szCs w:val="24"/>
        </w:rPr>
        <w:t>s</w:t>
      </w:r>
      <w:r w:rsidRPr="006148EB">
        <w:rPr>
          <w:rFonts w:cs="Times New Roman"/>
          <w:color w:val="auto"/>
          <w:szCs w:val="24"/>
        </w:rPr>
        <w:t xml:space="preserve"> composiç</w:t>
      </w:r>
      <w:r>
        <w:rPr>
          <w:rFonts w:cs="Times New Roman"/>
          <w:color w:val="auto"/>
          <w:szCs w:val="24"/>
        </w:rPr>
        <w:t xml:space="preserve">ões econômicas dos municípios, em </w:t>
      </w:r>
      <w:r w:rsidRPr="006148EB">
        <w:rPr>
          <w:rFonts w:cs="Times New Roman"/>
          <w:color w:val="auto"/>
          <w:szCs w:val="24"/>
        </w:rPr>
        <w:t>acordo com a proposta do modelo de crescimento (4)</w:t>
      </w:r>
      <w:r>
        <w:rPr>
          <w:rFonts w:cs="Times New Roman"/>
          <w:color w:val="auto"/>
          <w:szCs w:val="24"/>
        </w:rPr>
        <w:t xml:space="preserve">. </w:t>
      </w:r>
      <w:r w:rsidRPr="006148EB">
        <w:rPr>
          <w:rFonts w:cs="Times New Roman"/>
          <w:color w:val="auto"/>
          <w:szCs w:val="24"/>
        </w:rPr>
        <w:t>Todas as variáveis monetárias são deflacionadas com o IGP-DI base em 2007.</w:t>
      </w:r>
    </w:p>
    <w:p w14:paraId="768FF55C" w14:textId="77777777" w:rsidR="005F4D72" w:rsidRPr="00584282" w:rsidRDefault="005F4D72" w:rsidP="005F4D72">
      <w:pPr>
        <w:pStyle w:val="PargrafodaLista"/>
        <w:spacing w:before="120" w:line="240" w:lineRule="auto"/>
        <w:ind w:left="0" w:firstLine="1134"/>
        <w:contextualSpacing w:val="0"/>
        <w:jc w:val="both"/>
        <w:rPr>
          <w:rFonts w:cs="Times New Roman"/>
          <w:color w:val="auto"/>
          <w:szCs w:val="24"/>
        </w:rPr>
      </w:pPr>
      <w:r w:rsidRPr="006148EB">
        <w:rPr>
          <w:rFonts w:cs="Times New Roman"/>
          <w:color w:val="auto"/>
          <w:szCs w:val="24"/>
        </w:rPr>
        <w:t xml:space="preserve">Nas equações de regressão, </w:t>
      </w:r>
      <w:r w:rsidRPr="006148EB">
        <w:rPr>
          <w:position w:val="-14"/>
          <w:szCs w:val="24"/>
        </w:rPr>
        <w:object w:dxaOrig="400" w:dyaOrig="380" w14:anchorId="5F27E11F">
          <v:shape id="_x0000_i1107" type="#_x0000_t75" style="width:20.25pt;height:18.75pt" o:ole="">
            <v:imagedata r:id="rId161" o:title=""/>
          </v:shape>
          <o:OLEObject Type="Embed" ProgID="Equation.3" ShapeID="_x0000_i1107" DrawAspect="Content" ObjectID="_1667139695" r:id="rId162"/>
        </w:object>
      </w:r>
      <w:r w:rsidRPr="006148EB">
        <w:rPr>
          <w:szCs w:val="24"/>
        </w:rPr>
        <w:t xml:space="preserve"> e </w:t>
      </w:r>
      <w:r w:rsidRPr="006148EB">
        <w:rPr>
          <w:position w:val="-14"/>
          <w:szCs w:val="24"/>
        </w:rPr>
        <w:object w:dxaOrig="400" w:dyaOrig="380" w14:anchorId="17F45222">
          <v:shape id="_x0000_i1108" type="#_x0000_t75" style="width:20.25pt;height:18.75pt" o:ole="">
            <v:imagedata r:id="rId163" o:title=""/>
          </v:shape>
          <o:OLEObject Type="Embed" ProgID="Equation.3" ShapeID="_x0000_i1108" DrawAspect="Content" ObjectID="_1667139696" r:id="rId164"/>
        </w:object>
      </w:r>
      <w:r w:rsidRPr="006148EB">
        <w:rPr>
          <w:szCs w:val="24"/>
        </w:rPr>
        <w:t xml:space="preserve"> </w:t>
      </w:r>
      <w:r>
        <w:rPr>
          <w:szCs w:val="24"/>
        </w:rPr>
        <w:t xml:space="preserve">referem-se </w:t>
      </w:r>
      <w:r w:rsidRPr="006148EB">
        <w:rPr>
          <w:szCs w:val="24"/>
        </w:rPr>
        <w:t>então a taxa média de crescimento d</w:t>
      </w:r>
      <w:r>
        <w:rPr>
          <w:szCs w:val="24"/>
        </w:rPr>
        <w:t xml:space="preserve">os PIBs </w:t>
      </w:r>
      <w:r w:rsidRPr="00DE3C5C">
        <w:rPr>
          <w:i/>
          <w:szCs w:val="24"/>
        </w:rPr>
        <w:t>per capita</w:t>
      </w:r>
      <w:r>
        <w:rPr>
          <w:szCs w:val="24"/>
        </w:rPr>
        <w:t xml:space="preserve"> municipais </w:t>
      </w:r>
      <w:r w:rsidRPr="006148EB">
        <w:rPr>
          <w:szCs w:val="24"/>
        </w:rPr>
        <w:t>no período 2002-2008</w:t>
      </w:r>
      <w:r>
        <w:rPr>
          <w:szCs w:val="24"/>
        </w:rPr>
        <w:t>,</w:t>
      </w:r>
      <w:r w:rsidRPr="006148EB">
        <w:rPr>
          <w:szCs w:val="24"/>
        </w:rPr>
        <w:t xml:space="preserve"> e</w:t>
      </w:r>
      <w:r>
        <w:rPr>
          <w:szCs w:val="24"/>
        </w:rPr>
        <w:t xml:space="preserve"> os</w:t>
      </w:r>
      <w:r w:rsidRPr="006148EB">
        <w:rPr>
          <w:szCs w:val="24"/>
        </w:rPr>
        <w:t xml:space="preserve"> </w:t>
      </w:r>
      <w:r>
        <w:rPr>
          <w:szCs w:val="24"/>
        </w:rPr>
        <w:t xml:space="preserve">PIBs </w:t>
      </w:r>
      <w:r w:rsidRPr="00DE3C5C">
        <w:rPr>
          <w:i/>
          <w:szCs w:val="24"/>
        </w:rPr>
        <w:t>per capita</w:t>
      </w:r>
      <w:r>
        <w:rPr>
          <w:szCs w:val="24"/>
        </w:rPr>
        <w:t xml:space="preserve"> municipais para o ano de </w:t>
      </w:r>
      <w:r w:rsidRPr="006148EB">
        <w:rPr>
          <w:szCs w:val="24"/>
        </w:rPr>
        <w:t>2002.</w:t>
      </w:r>
      <w:r w:rsidRPr="006148EB">
        <w:rPr>
          <w:rFonts w:cs="Times New Roman"/>
          <w:color w:val="auto"/>
          <w:szCs w:val="24"/>
        </w:rPr>
        <w:t xml:space="preserve"> Vale </w:t>
      </w:r>
      <w:r w:rsidRPr="006148EB">
        <w:rPr>
          <w:rFonts w:cs="Times New Roman"/>
          <w:color w:val="auto"/>
          <w:szCs w:val="24"/>
        </w:rPr>
        <w:lastRenderedPageBreak/>
        <w:t xml:space="preserve">ressaltar que o valor do PIB </w:t>
      </w:r>
      <w:r w:rsidRPr="006148EB">
        <w:rPr>
          <w:rFonts w:cs="Times New Roman"/>
          <w:i/>
          <w:color w:val="auto"/>
          <w:szCs w:val="24"/>
        </w:rPr>
        <w:t>per capita</w:t>
      </w:r>
      <w:r w:rsidRPr="006148EB">
        <w:rPr>
          <w:rFonts w:cs="Times New Roman"/>
          <w:color w:val="auto"/>
          <w:szCs w:val="24"/>
        </w:rPr>
        <w:t xml:space="preserve"> em 2002 também é empregado como variável </w:t>
      </w:r>
      <w:r w:rsidRPr="006148EB">
        <w:rPr>
          <w:rFonts w:cs="Times New Roman"/>
          <w:i/>
          <w:color w:val="auto"/>
          <w:szCs w:val="24"/>
        </w:rPr>
        <w:t>threshold</w:t>
      </w:r>
      <w:r>
        <w:rPr>
          <w:rFonts w:cs="Times New Roman"/>
          <w:color w:val="auto"/>
          <w:szCs w:val="24"/>
        </w:rPr>
        <w:t xml:space="preserve">, ou seja, a variável, sobre a qual se formarão (ou não) grupos de municípios com padrões de crescimento parecidos. </w:t>
      </w:r>
    </w:p>
    <w:p w14:paraId="0BC4C0D0" w14:textId="77777777" w:rsidR="005F4D72" w:rsidRPr="006148EB" w:rsidRDefault="005F4D72" w:rsidP="005F4D72">
      <w:pPr>
        <w:pStyle w:val="PargrafodaLista"/>
        <w:spacing w:before="120" w:line="240" w:lineRule="auto"/>
        <w:ind w:left="0" w:firstLine="1134"/>
        <w:contextualSpacing w:val="0"/>
        <w:jc w:val="both"/>
        <w:rPr>
          <w:rFonts w:cs="Times New Roman"/>
          <w:color w:val="auto"/>
          <w:szCs w:val="24"/>
        </w:rPr>
      </w:pPr>
      <w:r w:rsidRPr="006148EB">
        <w:rPr>
          <w:rFonts w:cs="Times New Roman"/>
          <w:color w:val="auto"/>
          <w:szCs w:val="24"/>
        </w:rPr>
        <w:t>A variável sobre a qual será avaliado o efeito do</w:t>
      </w:r>
      <w:r>
        <w:rPr>
          <w:rFonts w:cs="Times New Roman"/>
          <w:color w:val="auto"/>
          <w:szCs w:val="24"/>
        </w:rPr>
        <w:t>s</w:t>
      </w:r>
      <w:r w:rsidRPr="006148EB">
        <w:rPr>
          <w:rFonts w:cs="Times New Roman"/>
          <w:color w:val="auto"/>
          <w:szCs w:val="24"/>
        </w:rPr>
        <w:t xml:space="preserve"> recursos do FNE no crescimento desses indicadores, </w:t>
      </w:r>
      <w:r w:rsidRPr="006148EB">
        <w:rPr>
          <w:rFonts w:cs="Times New Roman"/>
          <w:i/>
          <w:color w:val="auto"/>
          <w:szCs w:val="24"/>
        </w:rPr>
        <w:t>F</w:t>
      </w:r>
      <w:r w:rsidRPr="006148EB">
        <w:rPr>
          <w:rFonts w:cs="Times New Roman"/>
          <w:i/>
          <w:color w:val="auto"/>
          <w:szCs w:val="24"/>
          <w:vertAlign w:val="subscript"/>
        </w:rPr>
        <w:t>i</w:t>
      </w:r>
      <w:r w:rsidRPr="006148EB">
        <w:rPr>
          <w:rFonts w:cs="Times New Roman"/>
          <w:color w:val="auto"/>
          <w:szCs w:val="24"/>
        </w:rPr>
        <w:t xml:space="preserve">, é a média do total de financiamentos do FNE </w:t>
      </w:r>
      <w:r w:rsidRPr="006148EB">
        <w:rPr>
          <w:rFonts w:cs="Times New Roman"/>
          <w:i/>
          <w:color w:val="auto"/>
          <w:szCs w:val="24"/>
        </w:rPr>
        <w:t>per capita</w:t>
      </w:r>
      <w:r w:rsidRPr="006148EB">
        <w:rPr>
          <w:rFonts w:cs="Times New Roman"/>
          <w:color w:val="auto"/>
          <w:szCs w:val="24"/>
        </w:rPr>
        <w:t xml:space="preserve"> no período 2002-2006. </w:t>
      </w:r>
      <w:r>
        <w:rPr>
          <w:rFonts w:cs="Times New Roman"/>
          <w:color w:val="auto"/>
          <w:szCs w:val="24"/>
        </w:rPr>
        <w:t xml:space="preserve">Deixa-se, assim, pelo menos dois anos de folga para que a maturação dos investimentos seja capturada no crescimento do município. Evita-se ainda, do ponto de vista metodológico, </w:t>
      </w:r>
      <w:r w:rsidRPr="006148EB">
        <w:rPr>
          <w:rFonts w:cs="Times New Roman"/>
          <w:color w:val="auto"/>
          <w:szCs w:val="24"/>
        </w:rPr>
        <w:t>problemas de endogeneidade da política nas estimações do modelo</w:t>
      </w:r>
      <w:r w:rsidRPr="006148EB">
        <w:rPr>
          <w:rStyle w:val="Refdenotaderodap"/>
          <w:color w:val="auto"/>
          <w:szCs w:val="24"/>
        </w:rPr>
        <w:footnoteReference w:id="11"/>
      </w:r>
      <w:r w:rsidRPr="006148EB">
        <w:rPr>
          <w:rFonts w:cs="Times New Roman"/>
          <w:color w:val="auto"/>
          <w:szCs w:val="24"/>
        </w:rPr>
        <w:t>.</w:t>
      </w:r>
      <w:r>
        <w:rPr>
          <w:rFonts w:cs="Times New Roman"/>
          <w:color w:val="auto"/>
          <w:szCs w:val="24"/>
        </w:rPr>
        <w:t xml:space="preserve">  </w:t>
      </w:r>
    </w:p>
    <w:p w14:paraId="16259EBE" w14:textId="77777777" w:rsidR="005F4D72" w:rsidRPr="006148EB" w:rsidRDefault="005F4D72" w:rsidP="005F4D72">
      <w:pPr>
        <w:spacing w:before="120"/>
        <w:ind w:firstLine="1134"/>
        <w:jc w:val="both"/>
      </w:pPr>
      <w:r w:rsidRPr="006148EB">
        <w:t>Como o FNE é formado por vários programas de financiamentos que focam diferentes aspectos mercadológicos, é possível que o efeito que o FNE produz no município dependa do tipo de município e do tipo específico de programa que está municiando com mais intensidade aquele município. Programas como o PRONAF (para agricultores familiares) e o FNE</w:t>
      </w:r>
      <w:r>
        <w:t>-</w:t>
      </w:r>
      <w:r w:rsidRPr="006148EB">
        <w:t>Industrial possuem clientes diferenciados cuja atuação e contribuição para o crescimento do mercado ocorre por mecanismos distintos. O primeiro, por exemplo, é mais fácil de ocasionar efeitos de demanda, pois a economia de subsistência não implicaria em um avanço na estrutura produtiva, embora a soma dos pequenos agricultores familiares potencialize a formação de cadeias produtivas organizadas. Já o FNE-</w:t>
      </w:r>
      <w:r>
        <w:t>I</w:t>
      </w:r>
      <w:r w:rsidRPr="006148EB">
        <w:t xml:space="preserve">ndustrial teria efeitos de oferta, pois representa em muitos casos a própria expansão da estrutura produtiva. Embora este último programa tenha seus efeitos multiplicadores acentuados, não se pode desconsiderar a participação do primeiro no crescimento das economias locais. Desta forma, </w:t>
      </w:r>
      <w:r>
        <w:t>utilizou-se</w:t>
      </w:r>
      <w:r w:rsidRPr="006148EB">
        <w:t xml:space="preserve"> o total do FNE e não apenas os recursos providos pelos programas Industriais, para representar a variável de política. </w:t>
      </w:r>
    </w:p>
    <w:p w14:paraId="3C4794D3" w14:textId="1DD8BBB4" w:rsidR="005F4D72" w:rsidRDefault="005F4D72" w:rsidP="005F4D72">
      <w:pPr>
        <w:pStyle w:val="PargrafodaLista"/>
        <w:spacing w:before="120" w:line="240" w:lineRule="auto"/>
        <w:ind w:left="0" w:firstLine="1134"/>
        <w:contextualSpacing w:val="0"/>
        <w:jc w:val="both"/>
        <w:rPr>
          <w:rFonts w:cs="Times New Roman"/>
          <w:color w:val="auto"/>
          <w:szCs w:val="24"/>
        </w:rPr>
      </w:pPr>
      <w:r w:rsidRPr="006148EB">
        <w:rPr>
          <w:rFonts w:cs="Times New Roman"/>
          <w:color w:val="auto"/>
          <w:szCs w:val="24"/>
        </w:rPr>
        <w:t xml:space="preserve">As variáveis </w:t>
      </w:r>
      <w:r w:rsidRPr="006148EB">
        <w:rPr>
          <w:position w:val="-12"/>
          <w:szCs w:val="24"/>
        </w:rPr>
        <w:object w:dxaOrig="1080" w:dyaOrig="360" w14:anchorId="7FE71BA2">
          <v:shape id="_x0000_i1109" type="#_x0000_t75" style="width:54pt;height:18pt" o:ole="">
            <v:imagedata r:id="rId165" o:title=""/>
          </v:shape>
          <o:OLEObject Type="Embed" ProgID="Equation.3" ShapeID="_x0000_i1109" DrawAspect="Content" ObjectID="_1667139697" r:id="rId166"/>
        </w:object>
      </w:r>
      <w:r w:rsidRPr="006148EB">
        <w:rPr>
          <w:rFonts w:cs="Times New Roman"/>
          <w:color w:val="auto"/>
          <w:szCs w:val="24"/>
        </w:rPr>
        <w:t>, apresentada na seção anterior, são determinantes outros do crescimento econômico ou variáveis de controle utilizadas em diversos estudos empíricos nessa vertente de pesquisa</w:t>
      </w:r>
      <w:r w:rsidRPr="006148EB">
        <w:rPr>
          <w:rStyle w:val="Refdenotaderodap"/>
          <w:color w:val="auto"/>
          <w:szCs w:val="24"/>
        </w:rPr>
        <w:footnoteReference w:id="12"/>
      </w:r>
      <w:r w:rsidRPr="006148EB">
        <w:rPr>
          <w:rFonts w:cs="Times New Roman"/>
          <w:color w:val="auto"/>
          <w:szCs w:val="24"/>
        </w:rPr>
        <w:t xml:space="preserve">. Elas são </w:t>
      </w:r>
      <w:r>
        <w:rPr>
          <w:rFonts w:cs="Times New Roman"/>
          <w:color w:val="auto"/>
          <w:szCs w:val="24"/>
        </w:rPr>
        <w:t>escolhidas</w:t>
      </w:r>
      <w:r w:rsidRPr="006148EB">
        <w:rPr>
          <w:rFonts w:cs="Times New Roman"/>
          <w:color w:val="auto"/>
          <w:szCs w:val="24"/>
        </w:rPr>
        <w:t xml:space="preserve"> por sua adequabilidade ao estudo e sua disponibilidade para todos os municípios no período 2002-2008. Como resultado, as variáveis selecionadas são: o logaritmo da média das razões entre despesa corrente e PIB municipal em 2002 (</w:t>
      </w:r>
      <w:r w:rsidRPr="006148EB">
        <w:rPr>
          <w:rFonts w:cs="Times New Roman"/>
          <w:i/>
          <w:color w:val="auto"/>
          <w:szCs w:val="24"/>
        </w:rPr>
        <w:t>gov</w:t>
      </w:r>
      <w:r w:rsidRPr="006148EB">
        <w:rPr>
          <w:rFonts w:cs="Times New Roman"/>
          <w:color w:val="auto"/>
          <w:szCs w:val="24"/>
        </w:rPr>
        <w:t xml:space="preserve">), representando o tamanho do governo; o logaritmo da média de anos de estudo </w:t>
      </w:r>
      <w:r w:rsidRPr="006148EB">
        <w:rPr>
          <w:rFonts w:cs="Times New Roman"/>
          <w:bCs/>
          <w:color w:val="auto"/>
          <w:szCs w:val="24"/>
        </w:rPr>
        <w:t>de pessoas com 25 anos ou mais</w:t>
      </w:r>
      <w:r w:rsidRPr="006148EB">
        <w:rPr>
          <w:rFonts w:cs="Times New Roman"/>
          <w:color w:val="auto"/>
          <w:szCs w:val="24"/>
        </w:rPr>
        <w:t xml:space="preserve"> do município em 2000 (</w:t>
      </w:r>
      <w:r w:rsidRPr="006148EB">
        <w:rPr>
          <w:rFonts w:cs="Times New Roman"/>
          <w:i/>
          <w:color w:val="auto"/>
          <w:szCs w:val="24"/>
        </w:rPr>
        <w:t>edu</w:t>
      </w:r>
      <w:r w:rsidRPr="006148EB">
        <w:rPr>
          <w:rFonts w:cs="Times New Roman"/>
          <w:color w:val="auto"/>
          <w:szCs w:val="24"/>
        </w:rPr>
        <w:t xml:space="preserve">), que representa as condições </w:t>
      </w:r>
      <w:r>
        <w:rPr>
          <w:rFonts w:cs="Times New Roman"/>
          <w:color w:val="auto"/>
          <w:szCs w:val="24"/>
        </w:rPr>
        <w:t xml:space="preserve">de </w:t>
      </w:r>
      <w:r w:rsidRPr="006148EB">
        <w:rPr>
          <w:rFonts w:cs="Times New Roman"/>
          <w:color w:val="auto"/>
          <w:szCs w:val="24"/>
        </w:rPr>
        <w:t xml:space="preserve">educação e capital humano dos municípios; o logaritmo da soma da taxa média de crescimento populacional dos municípios no período de </w:t>
      </w:r>
      <w:smartTag w:uri="urn:schemas-microsoft-com:office:smarttags" w:element="metricconverter">
        <w:smartTagPr>
          <w:attr w:name="ProductID" w:val="2002 a"/>
        </w:smartTagPr>
        <w:r w:rsidRPr="006148EB">
          <w:rPr>
            <w:rFonts w:cs="Times New Roman"/>
            <w:color w:val="auto"/>
            <w:szCs w:val="24"/>
          </w:rPr>
          <w:t>2002 a</w:t>
        </w:r>
      </w:smartTag>
      <w:r w:rsidRPr="006148EB">
        <w:rPr>
          <w:rFonts w:cs="Times New Roman"/>
          <w:color w:val="auto"/>
          <w:szCs w:val="24"/>
        </w:rPr>
        <w:t xml:space="preserve"> 2008 mais uma taxa de crescimento da tecnologia</w:t>
      </w:r>
      <w:r w:rsidRPr="006148EB">
        <w:rPr>
          <w:rFonts w:cs="Times New Roman"/>
          <w:color w:val="auto"/>
          <w:position w:val="-10"/>
          <w:szCs w:val="24"/>
        </w:rPr>
        <w:object w:dxaOrig="900" w:dyaOrig="320" w14:anchorId="601C11EE">
          <v:shape id="_x0000_i1110" type="#_x0000_t75" style="width:45pt;height:16.5pt" o:ole="">
            <v:imagedata r:id="rId167" o:title=""/>
          </v:shape>
          <o:OLEObject Type="Embed" ProgID="Equation.3" ShapeID="_x0000_i1110" DrawAspect="Content" ObjectID="_1667139698" r:id="rId168"/>
        </w:object>
      </w:r>
      <w:r w:rsidRPr="006148EB">
        <w:rPr>
          <w:rFonts w:cs="Times New Roman"/>
          <w:color w:val="auto"/>
          <w:szCs w:val="24"/>
        </w:rPr>
        <w:t xml:space="preserve"> e uma taxa de depreciação </w:t>
      </w:r>
      <w:r w:rsidRPr="006148EB">
        <w:rPr>
          <w:rFonts w:cs="Times New Roman"/>
          <w:color w:val="auto"/>
          <w:position w:val="-10"/>
          <w:szCs w:val="24"/>
        </w:rPr>
        <w:object w:dxaOrig="900" w:dyaOrig="320" w14:anchorId="2FE8CFDF">
          <v:shape id="_x0000_i1111" type="#_x0000_t75" style="width:45pt;height:16.5pt" o:ole="">
            <v:imagedata r:id="rId169" o:title=""/>
          </v:shape>
          <o:OLEObject Type="Embed" ProgID="Equation.3" ShapeID="_x0000_i1111" DrawAspect="Content" ObjectID="_1667139699" r:id="rId170"/>
        </w:object>
      </w:r>
      <w:r w:rsidRPr="006148EB">
        <w:rPr>
          <w:rFonts w:cs="Times New Roman"/>
          <w:color w:val="auto"/>
          <w:szCs w:val="24"/>
        </w:rPr>
        <w:t xml:space="preserve"> (</w:t>
      </w:r>
      <w:r w:rsidRPr="006148EB">
        <w:rPr>
          <w:rFonts w:cs="Times New Roman"/>
          <w:i/>
          <w:color w:val="auto"/>
          <w:szCs w:val="24"/>
        </w:rPr>
        <w:t>n+δ</w:t>
      </w:r>
      <w:r w:rsidRPr="006148EB">
        <w:rPr>
          <w:rFonts w:cs="Times New Roman"/>
          <w:color w:val="auto"/>
          <w:szCs w:val="24"/>
        </w:rPr>
        <w:fldChar w:fldCharType="begin"/>
      </w:r>
      <w:r w:rsidRPr="006148EB">
        <w:rPr>
          <w:rFonts w:cs="Times New Roman"/>
          <w:color w:val="auto"/>
          <w:szCs w:val="24"/>
        </w:rPr>
        <w:instrText xml:space="preserve"> QUOTE </w:instrText>
      </w:r>
      <m:oMath>
        <m:acc>
          <m:accPr>
            <m:chr m:val="̇"/>
            <m:ctrlPr>
              <w:rPr>
                <w:rFonts w:ascii="Cambria Math" w:hAnsi="Cambria Math"/>
                <w:i/>
                <w:sz w:val="20"/>
                <w:szCs w:val="20"/>
              </w:rPr>
            </m:ctrlPr>
          </m:accPr>
          <m:e>
            <m:r>
              <m:rPr>
                <m:sty m:val="p"/>
              </m:rPr>
              <w:rPr>
                <w:rFonts w:ascii="Cambria Math" w:hAnsi="Cambria Math"/>
                <w:sz w:val="20"/>
                <w:szCs w:val="20"/>
              </w:rPr>
              <m:t>n</m:t>
            </m:r>
          </m:e>
        </m:acc>
        <m:r>
          <m:rPr>
            <m:sty m:val="p"/>
          </m:rPr>
          <w:rPr>
            <w:rFonts w:ascii="Cambria Math"/>
            <w:sz w:val="20"/>
            <w:szCs w:val="20"/>
          </w:rPr>
          <m:t>+</m:t>
        </m:r>
        <m:r>
          <m:rPr>
            <m:sty m:val="p"/>
          </m:rPr>
          <w:rPr>
            <w:rFonts w:ascii="Cambria Math" w:hAnsi="Cambria Math"/>
            <w:sz w:val="20"/>
            <w:szCs w:val="20"/>
          </w:rPr>
          <m:t>δ</m:t>
        </m:r>
      </m:oMath>
      <w:r w:rsidRPr="006148EB">
        <w:rPr>
          <w:rFonts w:cs="Times New Roman"/>
          <w:color w:val="auto"/>
          <w:szCs w:val="24"/>
        </w:rPr>
        <w:instrText xml:space="preserve"> </w:instrText>
      </w:r>
      <w:r w:rsidRPr="006148EB">
        <w:rPr>
          <w:rFonts w:cs="Times New Roman"/>
          <w:color w:val="auto"/>
          <w:szCs w:val="24"/>
        </w:rPr>
        <w:fldChar w:fldCharType="end"/>
      </w:r>
      <w:r w:rsidRPr="006148EB">
        <w:rPr>
          <w:rFonts w:cs="Times New Roman"/>
          <w:color w:val="auto"/>
          <w:szCs w:val="24"/>
        </w:rPr>
        <w:t>); a proporção de domicílios com água encanada (</w:t>
      </w:r>
      <w:r w:rsidRPr="006148EB">
        <w:rPr>
          <w:rFonts w:cs="Times New Roman"/>
          <w:i/>
          <w:color w:val="auto"/>
          <w:szCs w:val="24"/>
        </w:rPr>
        <w:t>infra</w:t>
      </w:r>
      <w:r w:rsidRPr="006148EB">
        <w:rPr>
          <w:rFonts w:cs="Times New Roman"/>
          <w:color w:val="auto"/>
          <w:szCs w:val="24"/>
        </w:rPr>
        <w:t xml:space="preserve">), que é uma medida de infraestrutura; o </w:t>
      </w:r>
      <w:r>
        <w:rPr>
          <w:rFonts w:cs="Times New Roman"/>
          <w:color w:val="auto"/>
          <w:szCs w:val="24"/>
        </w:rPr>
        <w:t xml:space="preserve">total do </w:t>
      </w:r>
      <w:r w:rsidRPr="006148EB">
        <w:rPr>
          <w:rFonts w:cs="Times New Roman"/>
          <w:color w:val="auto"/>
          <w:szCs w:val="24"/>
        </w:rPr>
        <w:t>volume de operações de crédito (</w:t>
      </w:r>
      <w:r w:rsidRPr="006148EB">
        <w:rPr>
          <w:rFonts w:cs="Times New Roman"/>
          <w:i/>
          <w:color w:val="auto"/>
          <w:szCs w:val="24"/>
        </w:rPr>
        <w:t>opc</w:t>
      </w:r>
      <w:r w:rsidRPr="006148EB">
        <w:rPr>
          <w:rFonts w:cs="Times New Roman"/>
          <w:color w:val="auto"/>
          <w:szCs w:val="24"/>
        </w:rPr>
        <w:t>); a distância do município para capital do respectivo estado (</w:t>
      </w:r>
      <w:r w:rsidRPr="006148EB">
        <w:rPr>
          <w:rFonts w:cs="Times New Roman"/>
          <w:i/>
          <w:color w:val="auto"/>
          <w:szCs w:val="24"/>
        </w:rPr>
        <w:t>dist</w:t>
      </w:r>
      <w:r w:rsidRPr="006148EB">
        <w:rPr>
          <w:rFonts w:cs="Times New Roman"/>
          <w:color w:val="auto"/>
          <w:szCs w:val="24"/>
        </w:rPr>
        <w:t>), que capta efeitos geográficos e de transbordamento econômico; e uma variável binária indicando se o município se localiza em região semiárida (</w:t>
      </w:r>
      <w:r w:rsidRPr="006148EB">
        <w:rPr>
          <w:rFonts w:cs="Times New Roman"/>
          <w:i/>
          <w:color w:val="auto"/>
          <w:szCs w:val="24"/>
        </w:rPr>
        <w:t>semi</w:t>
      </w:r>
      <w:r w:rsidRPr="006148EB">
        <w:rPr>
          <w:rFonts w:cs="Times New Roman"/>
          <w:color w:val="auto"/>
          <w:szCs w:val="24"/>
        </w:rPr>
        <w:t>).</w:t>
      </w:r>
      <w:r>
        <w:rPr>
          <w:rFonts w:cs="Times New Roman"/>
          <w:color w:val="auto"/>
          <w:szCs w:val="24"/>
        </w:rPr>
        <w:t xml:space="preserve"> As descrições mais detalhadas destas variáveis estão na Tabela A1 do anexo. </w:t>
      </w:r>
    </w:p>
    <w:p w14:paraId="2125262A" w14:textId="77777777" w:rsidR="005F4D72" w:rsidRDefault="005F4D72" w:rsidP="005F4D72">
      <w:pPr>
        <w:pStyle w:val="PargrafodaLista"/>
        <w:spacing w:before="120" w:line="240" w:lineRule="auto"/>
        <w:ind w:left="0" w:firstLine="1134"/>
        <w:contextualSpacing w:val="0"/>
        <w:jc w:val="both"/>
        <w:rPr>
          <w:rFonts w:cs="Times New Roman"/>
          <w:color w:val="auto"/>
          <w:szCs w:val="24"/>
        </w:rPr>
      </w:pPr>
      <w:r>
        <w:rPr>
          <w:rFonts w:cs="Times New Roman"/>
          <w:color w:val="auto"/>
          <w:szCs w:val="24"/>
        </w:rPr>
        <w:t xml:space="preserve">Vale destacar que a variável do total de operações de crédito é um importante controle para a identificação do efeito do FNE no crescimento dos municípios. Ou seja, ao controlar pelos possíveis efeitos do total de crédito direcionado aos municípios, o efeito do FNE torna-se líquido de outras possibilidades de financiamentos bancários. </w:t>
      </w:r>
    </w:p>
    <w:p w14:paraId="2935E5FC" w14:textId="77777777" w:rsidR="005F4D72" w:rsidRPr="006148EB" w:rsidRDefault="005F4D72" w:rsidP="005F4D72">
      <w:pPr>
        <w:pStyle w:val="PargrafodaLista"/>
        <w:spacing w:before="120" w:line="240" w:lineRule="auto"/>
        <w:ind w:left="0" w:firstLine="1134"/>
        <w:contextualSpacing w:val="0"/>
        <w:jc w:val="both"/>
        <w:rPr>
          <w:rFonts w:cs="Times New Roman"/>
          <w:color w:val="auto"/>
          <w:szCs w:val="24"/>
        </w:rPr>
      </w:pPr>
    </w:p>
    <w:p w14:paraId="13C4CE64" w14:textId="77777777" w:rsidR="005F4D72" w:rsidRPr="006148EB" w:rsidRDefault="005F4D72" w:rsidP="005F4D72">
      <w:pPr>
        <w:ind w:firstLine="720"/>
        <w:jc w:val="both"/>
        <w:rPr>
          <w:b/>
          <w:bCs/>
        </w:rPr>
      </w:pPr>
    </w:p>
    <w:p w14:paraId="002E7DA4" w14:textId="77777777" w:rsidR="005F4D72" w:rsidRPr="00047E4C" w:rsidRDefault="005F4D72" w:rsidP="005F4D72">
      <w:pPr>
        <w:rPr>
          <w:b/>
          <w:bCs/>
        </w:rPr>
      </w:pPr>
      <w:r w:rsidRPr="00047E4C">
        <w:rPr>
          <w:b/>
          <w:bCs/>
        </w:rPr>
        <w:t>4. Resultados</w:t>
      </w:r>
    </w:p>
    <w:p w14:paraId="1296AF9B" w14:textId="77777777" w:rsidR="005F4D72" w:rsidRPr="006148EB" w:rsidRDefault="005F4D72" w:rsidP="005F4D72">
      <w:pPr>
        <w:rPr>
          <w:b/>
          <w:bCs/>
        </w:rPr>
      </w:pPr>
    </w:p>
    <w:p w14:paraId="39DB9B89" w14:textId="77777777" w:rsidR="005F4D72" w:rsidRPr="006148EB" w:rsidRDefault="005F4D72" w:rsidP="005F4D72">
      <w:pPr>
        <w:spacing w:before="120"/>
        <w:ind w:firstLine="1134"/>
        <w:jc w:val="both"/>
      </w:pPr>
      <w:r w:rsidRPr="006148EB">
        <w:t>Nessa seção são apresentados os principais resultados para os modelos lineares (</w:t>
      </w:r>
      <w:r>
        <w:t>1</w:t>
      </w:r>
      <w:r w:rsidRPr="006148EB">
        <w:t>) e (</w:t>
      </w:r>
      <w:r>
        <w:t>2</w:t>
      </w:r>
      <w:r w:rsidRPr="006148EB">
        <w:t xml:space="preserve">), denominado de </w:t>
      </w:r>
      <w:r w:rsidRPr="006148EB">
        <w:rPr>
          <w:i/>
        </w:rPr>
        <w:t>global</w:t>
      </w:r>
      <w:r w:rsidRPr="006148EB">
        <w:t xml:space="preserve">, e modelos com efeito </w:t>
      </w:r>
      <w:r w:rsidRPr="006148EB">
        <w:rPr>
          <w:i/>
        </w:rPr>
        <w:t>threshold</w:t>
      </w:r>
      <w:r w:rsidRPr="006148EB">
        <w:t xml:space="preserve"> (</w:t>
      </w:r>
      <w:r>
        <w:t>3</w:t>
      </w:r>
      <w:r w:rsidRPr="006148EB">
        <w:t>) e (</w:t>
      </w:r>
      <w:r>
        <w:t>4</w:t>
      </w:r>
      <w:r w:rsidRPr="006148EB">
        <w:t>). O processo de estimação desses modelos se baseou na metodologia descrita na seção anterior, empregando-se ainda estatísticas de teste e estimativas de desvios padrões robustas à heterocedasticidade em virtude da rejeição da hipótese de homecedasticidade dos resíduos</w:t>
      </w:r>
      <w:r w:rsidRPr="006148EB">
        <w:rPr>
          <w:rStyle w:val="Refdenotaderodap"/>
        </w:rPr>
        <w:footnoteReference w:id="13"/>
      </w:r>
      <w:r w:rsidRPr="006148EB">
        <w:t xml:space="preserve">. Apesar dos modelos lineares serem apresentados, os mesmos são rejeitados pelo teste do </w:t>
      </w:r>
      <w:r w:rsidRPr="006148EB">
        <w:lastRenderedPageBreak/>
        <w:t xml:space="preserve">multiplicador de Lagrange quando contrastados com os modelos com efeito </w:t>
      </w:r>
      <w:r w:rsidRPr="006148EB">
        <w:rPr>
          <w:i/>
        </w:rPr>
        <w:t>threshold</w:t>
      </w:r>
      <w:r w:rsidRPr="006148EB">
        <w:t>; ou seja, esse</w:t>
      </w:r>
      <w:r>
        <w:t>s</w:t>
      </w:r>
      <w:r w:rsidRPr="006148EB">
        <w:t xml:space="preserve"> últimos são estatisticamente mais adequados para descrição dos dados.</w:t>
      </w:r>
    </w:p>
    <w:p w14:paraId="38EAB0E4" w14:textId="77777777" w:rsidR="005F4D72" w:rsidRPr="006148EB" w:rsidRDefault="005F4D72" w:rsidP="005F4D72">
      <w:pPr>
        <w:spacing w:before="120"/>
        <w:ind w:firstLine="1134"/>
        <w:jc w:val="both"/>
      </w:pPr>
      <w:r w:rsidRPr="006148EB">
        <w:t>Os resultados completos dos modelos estão no a</w:t>
      </w:r>
      <w:r>
        <w:t>nexo (Tabelas A2 e A3)</w:t>
      </w:r>
      <w:r w:rsidRPr="006148EB">
        <w:t>, enquanto que as tabelas abaixo mostram apenas as estimativas dos efeitos do FNE sobre a taxa média de crescimento do</w:t>
      </w:r>
      <w:r>
        <w:t xml:space="preserve"> </w:t>
      </w:r>
      <w:r w:rsidRPr="006148EB">
        <w:t xml:space="preserve">PIB </w:t>
      </w:r>
      <w:r w:rsidRPr="006148EB">
        <w:rPr>
          <w:i/>
        </w:rPr>
        <w:t>per capita</w:t>
      </w:r>
      <w:r>
        <w:rPr>
          <w:i/>
        </w:rPr>
        <w:t xml:space="preserve">. </w:t>
      </w:r>
      <w:r>
        <w:t xml:space="preserve">Os modelos possuem um número diferente de observações (municípios) dado que a </w:t>
      </w:r>
      <w:r w:rsidRPr="006148EB">
        <w:t xml:space="preserve">seleção da amostra é feita com base na disponibilidade de informações para todas as variáveis na equação de regressão estimada. </w:t>
      </w:r>
    </w:p>
    <w:p w14:paraId="1E90E9E1" w14:textId="77777777" w:rsidR="005F4D72" w:rsidRPr="006148EB" w:rsidRDefault="005F4D72" w:rsidP="005F4D72">
      <w:pPr>
        <w:spacing w:before="120"/>
        <w:ind w:firstLine="1134"/>
        <w:jc w:val="both"/>
      </w:pPr>
      <w:r w:rsidRPr="006148EB">
        <w:t xml:space="preserve">Vale lembrar que a variável </w:t>
      </w:r>
      <w:r w:rsidRPr="006148EB">
        <w:rPr>
          <w:i/>
        </w:rPr>
        <w:t>threshold</w:t>
      </w:r>
      <w:r w:rsidRPr="006148EB">
        <w:t xml:space="preserve"> utilizada na análise é o logaritmo natural do </w:t>
      </w:r>
      <w:bookmarkStart w:id="0" w:name="OLE_LINK3"/>
      <w:r w:rsidRPr="006148EB">
        <w:t xml:space="preserve">PIB </w:t>
      </w:r>
      <w:r w:rsidRPr="006148EB">
        <w:rPr>
          <w:i/>
        </w:rPr>
        <w:t xml:space="preserve">per capita </w:t>
      </w:r>
      <w:r w:rsidRPr="006148EB">
        <w:t>inicial</w:t>
      </w:r>
      <w:bookmarkEnd w:id="0"/>
      <w:r w:rsidRPr="006148EB">
        <w:t xml:space="preserve">, o qual corresponde ao ano de 2002 neste estudo. O uso do PIB </w:t>
      </w:r>
      <w:r w:rsidRPr="006148EB">
        <w:rPr>
          <w:i/>
        </w:rPr>
        <w:t xml:space="preserve">per capita </w:t>
      </w:r>
      <w:r w:rsidRPr="006148EB">
        <w:t xml:space="preserve">inicial como variável </w:t>
      </w:r>
      <w:r w:rsidRPr="006148EB">
        <w:rPr>
          <w:i/>
        </w:rPr>
        <w:t>threshold</w:t>
      </w:r>
      <w:r w:rsidRPr="006148EB">
        <w:t xml:space="preserve"> é muito comum em trabalhos similares e, no contexto dos modelos empíricos, serve como uma </w:t>
      </w:r>
      <w:r w:rsidRPr="006148EB">
        <w:rPr>
          <w:i/>
        </w:rPr>
        <w:t>proxy</w:t>
      </w:r>
      <w:r w:rsidRPr="006148EB">
        <w:t xml:space="preserve"> para dividir os municípios em grupos de acordo com o estado de desenvolvimento de suas economias no início do processo de crescimento</w:t>
      </w:r>
      <w:r>
        <w:t xml:space="preserve"> analisado</w:t>
      </w:r>
      <w:r w:rsidRPr="006148EB">
        <w:t>. Assim, no caso dos modelos (5) e (6), poderia se interpretar que os efeitos do FNE são separados em grupos de municípios com níveis de desenvolvimento distintos.</w:t>
      </w:r>
    </w:p>
    <w:p w14:paraId="3869286B" w14:textId="77777777" w:rsidR="005F4D72" w:rsidRDefault="005F4D72" w:rsidP="005F4D72">
      <w:pPr>
        <w:spacing w:before="120"/>
        <w:ind w:firstLine="1134"/>
        <w:jc w:val="both"/>
      </w:pPr>
      <w:r w:rsidRPr="006148EB">
        <w:t xml:space="preserve">As Tabelas 1 e 2 apresentam os tamanhos da amostra (número de municípios) e as estimativas dos efeitos do FNE sobre a taxa média de crescimento do PIB </w:t>
      </w:r>
      <w:r w:rsidRPr="006148EB">
        <w:rPr>
          <w:i/>
        </w:rPr>
        <w:t>per capita</w:t>
      </w:r>
      <w:r w:rsidRPr="006148EB">
        <w:t xml:space="preserve">, para o modelo global e o modelo com efeito </w:t>
      </w:r>
      <w:r w:rsidRPr="006148EB">
        <w:rPr>
          <w:i/>
        </w:rPr>
        <w:t>threshold</w:t>
      </w:r>
      <w:r w:rsidRPr="006148EB">
        <w:t xml:space="preserve">, respectivamente, nos casos em que se utiliza </w:t>
      </w:r>
      <w:r>
        <w:t>ou</w:t>
      </w:r>
      <w:r w:rsidRPr="006148EB">
        <w:t xml:space="preserve"> não as variáveis de controle </w:t>
      </w:r>
      <w:r w:rsidRPr="006148EB">
        <w:rPr>
          <w:b/>
          <w:i/>
        </w:rPr>
        <w:t>X</w:t>
      </w:r>
      <w:r w:rsidRPr="006148EB">
        <w:rPr>
          <w:b/>
          <w:i/>
          <w:vertAlign w:val="subscript"/>
        </w:rPr>
        <w:t>i</w:t>
      </w:r>
      <w:r w:rsidRPr="006148EB">
        <w:t xml:space="preserve">. Observe que a amostra passa de 1790 para 1228 municípios quando os controles são incluídos, já que muitos municípios não possuem essas informações no período. </w:t>
      </w:r>
    </w:p>
    <w:p w14:paraId="354055E2" w14:textId="77777777" w:rsidR="005F4D72" w:rsidRPr="00450CAB" w:rsidRDefault="005F4D72" w:rsidP="005F4D72">
      <w:pPr>
        <w:pStyle w:val="msonormalcxspmiddle"/>
        <w:spacing w:after="0" w:afterAutospacing="0"/>
        <w:contextualSpacing/>
        <w:jc w:val="both"/>
        <w:rPr>
          <w:b/>
        </w:rPr>
      </w:pPr>
      <w:r w:rsidRPr="00450CAB">
        <w:rPr>
          <w:b/>
        </w:rPr>
        <w:t xml:space="preserve">Tabela 1 – Estimativas para o Modelo </w:t>
      </w:r>
      <w:r w:rsidRPr="00450CAB">
        <w:rPr>
          <w:b/>
          <w:i/>
        </w:rPr>
        <w:t>Global</w:t>
      </w:r>
      <w:r w:rsidRPr="00450CAB">
        <w:rPr>
          <w:b/>
        </w:rPr>
        <w:t xml:space="preserve"> (PIB </w:t>
      </w:r>
      <w:r w:rsidRPr="00450CAB">
        <w:rPr>
          <w:b/>
          <w:i/>
        </w:rPr>
        <w:t>per capita</w:t>
      </w:r>
      <w:r w:rsidRPr="00450CAB">
        <w:rPr>
          <w:b/>
        </w:rPr>
        <w:t>)</w:t>
      </w:r>
    </w:p>
    <w:tbl>
      <w:tblPr>
        <w:tblW w:w="5000" w:type="pct"/>
        <w:tblLook w:val="04A0" w:firstRow="1" w:lastRow="0" w:firstColumn="1" w:lastColumn="0" w:noHBand="0" w:noVBand="1"/>
      </w:tblPr>
      <w:tblGrid>
        <w:gridCol w:w="3264"/>
        <w:gridCol w:w="4175"/>
        <w:gridCol w:w="2765"/>
      </w:tblGrid>
      <w:tr w:rsidR="005F4D72" w:rsidRPr="00450CAB" w14:paraId="13F0D518" w14:textId="77777777" w:rsidTr="008B5F05">
        <w:trPr>
          <w:trHeight w:val="470"/>
        </w:trPr>
        <w:tc>
          <w:tcPr>
            <w:tcW w:w="1599" w:type="pct"/>
            <w:tcBorders>
              <w:top w:val="single" w:sz="4" w:space="0" w:color="auto"/>
              <w:left w:val="nil"/>
              <w:bottom w:val="single" w:sz="4" w:space="0" w:color="auto"/>
              <w:right w:val="nil"/>
            </w:tcBorders>
            <w:vAlign w:val="center"/>
          </w:tcPr>
          <w:p w14:paraId="002B7DBF" w14:textId="77777777" w:rsidR="005F4D72" w:rsidRPr="00450CAB" w:rsidRDefault="005F4D72" w:rsidP="008B5F05">
            <w:pPr>
              <w:pStyle w:val="msonormalcxspmiddle"/>
              <w:spacing w:after="0" w:afterAutospacing="0"/>
              <w:contextualSpacing/>
              <w:jc w:val="center"/>
              <w:rPr>
                <w:b/>
                <w:sz w:val="20"/>
                <w:szCs w:val="20"/>
              </w:rPr>
            </w:pPr>
          </w:p>
        </w:tc>
        <w:tc>
          <w:tcPr>
            <w:tcW w:w="2046" w:type="pct"/>
            <w:tcBorders>
              <w:top w:val="single" w:sz="4" w:space="0" w:color="auto"/>
              <w:left w:val="nil"/>
              <w:bottom w:val="single" w:sz="4" w:space="0" w:color="auto"/>
              <w:right w:val="nil"/>
            </w:tcBorders>
            <w:vAlign w:val="center"/>
          </w:tcPr>
          <w:p w14:paraId="1F83B62C" w14:textId="77777777" w:rsidR="005F4D72" w:rsidRPr="00450CAB" w:rsidRDefault="005F4D72" w:rsidP="008B5F05">
            <w:pPr>
              <w:pStyle w:val="msonormalcxspmiddle"/>
              <w:spacing w:after="0" w:afterAutospacing="0"/>
              <w:contextualSpacing/>
              <w:jc w:val="center"/>
              <w:rPr>
                <w:b/>
                <w:sz w:val="20"/>
                <w:szCs w:val="20"/>
              </w:rPr>
            </w:pPr>
            <w:r w:rsidRPr="00450CAB">
              <w:rPr>
                <w:b/>
                <w:sz w:val="20"/>
                <w:szCs w:val="20"/>
              </w:rPr>
              <w:t>Número de Municípios</w:t>
            </w:r>
          </w:p>
        </w:tc>
        <w:tc>
          <w:tcPr>
            <w:tcW w:w="1355" w:type="pct"/>
            <w:tcBorders>
              <w:top w:val="single" w:sz="4" w:space="0" w:color="auto"/>
              <w:left w:val="nil"/>
              <w:bottom w:val="single" w:sz="4" w:space="0" w:color="auto"/>
              <w:right w:val="nil"/>
            </w:tcBorders>
            <w:vAlign w:val="center"/>
          </w:tcPr>
          <w:p w14:paraId="1AF068CA" w14:textId="77777777" w:rsidR="005F4D72" w:rsidRPr="00450CAB" w:rsidRDefault="005F4D72" w:rsidP="008B5F05">
            <w:pPr>
              <w:pStyle w:val="msonormalcxspmiddle"/>
              <w:spacing w:after="0" w:afterAutospacing="0"/>
              <w:contextualSpacing/>
              <w:jc w:val="center"/>
              <w:rPr>
                <w:b/>
                <w:sz w:val="20"/>
                <w:szCs w:val="20"/>
              </w:rPr>
            </w:pPr>
            <w:r w:rsidRPr="00450CAB">
              <w:rPr>
                <w:b/>
                <w:sz w:val="20"/>
                <w:szCs w:val="20"/>
              </w:rPr>
              <w:t>Efeito do FNE</w:t>
            </w:r>
          </w:p>
        </w:tc>
      </w:tr>
      <w:tr w:rsidR="005F4D72" w:rsidRPr="00450CAB" w14:paraId="6C9D6BEF" w14:textId="77777777" w:rsidTr="008B5F05">
        <w:tc>
          <w:tcPr>
            <w:tcW w:w="1599" w:type="pct"/>
          </w:tcPr>
          <w:p w14:paraId="192BA6AE" w14:textId="77777777" w:rsidR="005F4D72" w:rsidRPr="00450CAB" w:rsidRDefault="005F4D72" w:rsidP="008B5F05">
            <w:pPr>
              <w:pStyle w:val="msonormalcxspmiddle"/>
              <w:spacing w:after="0" w:afterAutospacing="0"/>
              <w:contextualSpacing/>
              <w:jc w:val="center"/>
              <w:rPr>
                <w:sz w:val="20"/>
                <w:szCs w:val="20"/>
              </w:rPr>
            </w:pPr>
            <w:r w:rsidRPr="00450CAB">
              <w:rPr>
                <w:b/>
                <w:sz w:val="20"/>
                <w:szCs w:val="20"/>
              </w:rPr>
              <w:t>Resultado sem controles (</w:t>
            </w:r>
            <w:r w:rsidRPr="00450CAB">
              <w:rPr>
                <w:b/>
                <w:i/>
                <w:sz w:val="20"/>
                <w:szCs w:val="20"/>
              </w:rPr>
              <w:t>X</w:t>
            </w:r>
            <w:r w:rsidRPr="00450CAB">
              <w:rPr>
                <w:b/>
                <w:i/>
                <w:sz w:val="20"/>
                <w:szCs w:val="20"/>
                <w:vertAlign w:val="subscript"/>
              </w:rPr>
              <w:t>i</w:t>
            </w:r>
            <w:r w:rsidRPr="00450CAB">
              <w:rPr>
                <w:b/>
                <w:sz w:val="20"/>
                <w:szCs w:val="20"/>
              </w:rPr>
              <w:t>) (Modelo 1)</w:t>
            </w:r>
          </w:p>
        </w:tc>
        <w:tc>
          <w:tcPr>
            <w:tcW w:w="2046" w:type="pct"/>
          </w:tcPr>
          <w:p w14:paraId="3AA61417" w14:textId="77777777" w:rsidR="005F4D72" w:rsidRPr="00450CAB" w:rsidRDefault="005F4D72" w:rsidP="008B5F05">
            <w:pPr>
              <w:pStyle w:val="msonormalcxspmiddle"/>
              <w:spacing w:after="0" w:afterAutospacing="0"/>
              <w:contextualSpacing/>
              <w:jc w:val="center"/>
              <w:rPr>
                <w:sz w:val="20"/>
                <w:szCs w:val="20"/>
              </w:rPr>
            </w:pPr>
            <w:r w:rsidRPr="00450CAB">
              <w:rPr>
                <w:sz w:val="20"/>
                <w:szCs w:val="20"/>
              </w:rPr>
              <w:t>1790</w:t>
            </w:r>
          </w:p>
        </w:tc>
        <w:tc>
          <w:tcPr>
            <w:tcW w:w="1355" w:type="pct"/>
          </w:tcPr>
          <w:p w14:paraId="105D76A6" w14:textId="77777777" w:rsidR="005F4D72" w:rsidRPr="00450CAB" w:rsidRDefault="005F4D72" w:rsidP="008B5F05">
            <w:pPr>
              <w:pStyle w:val="msonormalcxspmiddle"/>
              <w:spacing w:after="0" w:afterAutospacing="0"/>
              <w:contextualSpacing/>
              <w:jc w:val="center"/>
              <w:rPr>
                <w:sz w:val="20"/>
                <w:szCs w:val="20"/>
              </w:rPr>
            </w:pPr>
            <w:r w:rsidRPr="00450CAB">
              <w:rPr>
                <w:sz w:val="20"/>
                <w:szCs w:val="20"/>
              </w:rPr>
              <w:t>0,082*</w:t>
            </w:r>
          </w:p>
        </w:tc>
      </w:tr>
      <w:tr w:rsidR="005F4D72" w:rsidRPr="00450CAB" w14:paraId="7DA6EC11" w14:textId="77777777" w:rsidTr="008B5F05">
        <w:tc>
          <w:tcPr>
            <w:tcW w:w="1599" w:type="pct"/>
            <w:tcBorders>
              <w:bottom w:val="single" w:sz="4" w:space="0" w:color="auto"/>
            </w:tcBorders>
          </w:tcPr>
          <w:p w14:paraId="6E42A16A" w14:textId="77777777" w:rsidR="005F4D72" w:rsidRPr="00450CAB" w:rsidRDefault="005F4D72" w:rsidP="008B5F05">
            <w:pPr>
              <w:pStyle w:val="msonormalcxspmiddle"/>
              <w:spacing w:after="0" w:afterAutospacing="0"/>
              <w:contextualSpacing/>
              <w:jc w:val="center"/>
              <w:rPr>
                <w:b/>
                <w:sz w:val="20"/>
                <w:szCs w:val="20"/>
              </w:rPr>
            </w:pPr>
            <w:r w:rsidRPr="00450CAB">
              <w:rPr>
                <w:b/>
                <w:sz w:val="20"/>
                <w:szCs w:val="20"/>
              </w:rPr>
              <w:t>Resultado com controles (</w:t>
            </w:r>
            <w:r w:rsidRPr="00450CAB">
              <w:rPr>
                <w:b/>
                <w:i/>
                <w:sz w:val="20"/>
                <w:szCs w:val="20"/>
              </w:rPr>
              <w:t>X</w:t>
            </w:r>
            <w:r w:rsidRPr="00450CAB">
              <w:rPr>
                <w:b/>
                <w:i/>
                <w:sz w:val="20"/>
                <w:szCs w:val="20"/>
                <w:vertAlign w:val="subscript"/>
              </w:rPr>
              <w:t>i</w:t>
            </w:r>
            <w:r w:rsidRPr="00450CAB">
              <w:rPr>
                <w:b/>
                <w:sz w:val="20"/>
                <w:szCs w:val="20"/>
              </w:rPr>
              <w:t>) (Modelo 2)</w:t>
            </w:r>
          </w:p>
        </w:tc>
        <w:tc>
          <w:tcPr>
            <w:tcW w:w="2046" w:type="pct"/>
            <w:tcBorders>
              <w:bottom w:val="single" w:sz="4" w:space="0" w:color="auto"/>
            </w:tcBorders>
          </w:tcPr>
          <w:p w14:paraId="0D374770" w14:textId="77777777" w:rsidR="005F4D72" w:rsidRPr="00450CAB" w:rsidRDefault="005F4D72" w:rsidP="008B5F05">
            <w:pPr>
              <w:pStyle w:val="msonormalcxspmiddle"/>
              <w:spacing w:after="0" w:afterAutospacing="0"/>
              <w:contextualSpacing/>
              <w:jc w:val="center"/>
              <w:rPr>
                <w:sz w:val="20"/>
                <w:szCs w:val="20"/>
              </w:rPr>
            </w:pPr>
            <w:r w:rsidRPr="00450CAB">
              <w:rPr>
                <w:sz w:val="20"/>
                <w:szCs w:val="20"/>
              </w:rPr>
              <w:t>1228</w:t>
            </w:r>
          </w:p>
        </w:tc>
        <w:tc>
          <w:tcPr>
            <w:tcW w:w="1355" w:type="pct"/>
            <w:tcBorders>
              <w:bottom w:val="single" w:sz="4" w:space="0" w:color="auto"/>
            </w:tcBorders>
          </w:tcPr>
          <w:p w14:paraId="1CBC44C5" w14:textId="77777777" w:rsidR="005F4D72" w:rsidRPr="00450CAB" w:rsidRDefault="005F4D72" w:rsidP="008B5F05">
            <w:pPr>
              <w:pStyle w:val="msonormalcxspmiddle"/>
              <w:spacing w:after="0" w:afterAutospacing="0"/>
              <w:contextualSpacing/>
              <w:jc w:val="center"/>
              <w:rPr>
                <w:sz w:val="20"/>
                <w:szCs w:val="20"/>
              </w:rPr>
            </w:pPr>
            <w:r w:rsidRPr="00450CAB">
              <w:rPr>
                <w:sz w:val="20"/>
                <w:szCs w:val="20"/>
              </w:rPr>
              <w:t>0,085*</w:t>
            </w:r>
          </w:p>
        </w:tc>
      </w:tr>
    </w:tbl>
    <w:p w14:paraId="07BB325A" w14:textId="77777777" w:rsidR="005F4D72" w:rsidRPr="00450CAB" w:rsidRDefault="005F4D72" w:rsidP="005F4D72">
      <w:pPr>
        <w:pStyle w:val="msonormalcxspmiddle"/>
        <w:spacing w:before="0" w:beforeAutospacing="0" w:after="0" w:afterAutospacing="0"/>
        <w:contextualSpacing/>
        <w:rPr>
          <w:sz w:val="16"/>
          <w:szCs w:val="16"/>
        </w:rPr>
      </w:pPr>
      <w:r w:rsidRPr="00450CAB">
        <w:rPr>
          <w:sz w:val="16"/>
          <w:szCs w:val="16"/>
        </w:rPr>
        <w:t>Fonte: Elaboração própria</w:t>
      </w:r>
    </w:p>
    <w:p w14:paraId="33876902" w14:textId="77777777" w:rsidR="005F4D72" w:rsidRPr="00450CAB" w:rsidRDefault="005F4D72" w:rsidP="005F4D72">
      <w:pPr>
        <w:rPr>
          <w:sz w:val="16"/>
          <w:szCs w:val="16"/>
        </w:rPr>
      </w:pPr>
      <w:r w:rsidRPr="00450CAB">
        <w:rPr>
          <w:sz w:val="16"/>
          <w:szCs w:val="16"/>
          <w:vertAlign w:val="superscript"/>
        </w:rPr>
        <w:t>*</w:t>
      </w:r>
      <w:r w:rsidRPr="00450CAB">
        <w:rPr>
          <w:sz w:val="16"/>
          <w:szCs w:val="16"/>
        </w:rPr>
        <w:t xml:space="preserve"> significantes a 5%; </w:t>
      </w:r>
    </w:p>
    <w:p w14:paraId="6CD4420C" w14:textId="77777777" w:rsidR="005F4D72" w:rsidRDefault="005F4D72" w:rsidP="005F4D72">
      <w:pPr>
        <w:pStyle w:val="msonormalcxspmiddle"/>
        <w:spacing w:before="0" w:beforeAutospacing="0" w:after="0" w:afterAutospacing="0"/>
        <w:ind w:firstLine="1134"/>
        <w:jc w:val="both"/>
      </w:pPr>
    </w:p>
    <w:p w14:paraId="25F6BBC6" w14:textId="77777777" w:rsidR="005F4D72" w:rsidRDefault="005F4D72" w:rsidP="005F4D72">
      <w:pPr>
        <w:pStyle w:val="msonormalcxspmiddle"/>
        <w:spacing w:before="0" w:beforeAutospacing="0" w:after="0" w:afterAutospacing="0"/>
        <w:ind w:firstLine="1134"/>
        <w:jc w:val="both"/>
      </w:pPr>
    </w:p>
    <w:p w14:paraId="058E66B0" w14:textId="77777777" w:rsidR="005F4D72" w:rsidRDefault="005F4D72" w:rsidP="005F4D72">
      <w:pPr>
        <w:pStyle w:val="msonormalcxspmiddle"/>
        <w:spacing w:before="0" w:beforeAutospacing="0" w:after="0" w:afterAutospacing="0"/>
        <w:ind w:firstLine="1134"/>
        <w:jc w:val="both"/>
      </w:pPr>
      <w:r>
        <w:t xml:space="preserve">Interessante observar que nestes modelos tradicionais o efeito do FNE foi positivo e significante, com ou sem os controles para co-fatores determinantes do crescimento econômico, o que é um resultado qualitativo diferente do observado em Resende (2010). </w:t>
      </w:r>
    </w:p>
    <w:p w14:paraId="4306138D" w14:textId="77777777" w:rsidR="005F4D72" w:rsidRDefault="005F4D72" w:rsidP="005F4D72">
      <w:pPr>
        <w:pStyle w:val="msonormalcxspmiddle"/>
        <w:spacing w:before="0" w:beforeAutospacing="0" w:after="0" w:afterAutospacing="0"/>
        <w:ind w:firstLine="1134"/>
        <w:jc w:val="both"/>
      </w:pPr>
    </w:p>
    <w:p w14:paraId="5B28E91B" w14:textId="77777777" w:rsidR="005F4D72" w:rsidRPr="00F47DE3" w:rsidRDefault="005F4D72" w:rsidP="005F4D72">
      <w:pPr>
        <w:pStyle w:val="msonormalcxspmiddle"/>
        <w:spacing w:after="0" w:afterAutospacing="0"/>
        <w:contextualSpacing/>
        <w:jc w:val="both"/>
      </w:pPr>
      <w:r w:rsidRPr="00F47DE3">
        <w:rPr>
          <w:b/>
        </w:rPr>
        <w:t xml:space="preserve">Tabela 2 – Estimativas para o Modelo com Efeito </w:t>
      </w:r>
      <w:r w:rsidRPr="00F47DE3">
        <w:rPr>
          <w:b/>
          <w:i/>
        </w:rPr>
        <w:t>Threshold</w:t>
      </w:r>
      <w:r w:rsidRPr="00F47DE3">
        <w:rPr>
          <w:b/>
        </w:rPr>
        <w:t xml:space="preserve"> (PIB </w:t>
      </w:r>
      <w:r w:rsidRPr="00F47DE3">
        <w:rPr>
          <w:b/>
          <w:i/>
        </w:rPr>
        <w:t>per capita</w:t>
      </w:r>
      <w:r w:rsidRPr="00F47DE3">
        <w:rPr>
          <w:b/>
        </w:rPr>
        <w:t>)</w:t>
      </w:r>
    </w:p>
    <w:tbl>
      <w:tblPr>
        <w:tblW w:w="5000" w:type="pct"/>
        <w:tblLook w:val="04A0" w:firstRow="1" w:lastRow="0" w:firstColumn="1" w:lastColumn="0" w:noHBand="0" w:noVBand="1"/>
      </w:tblPr>
      <w:tblGrid>
        <w:gridCol w:w="4131"/>
        <w:gridCol w:w="3653"/>
        <w:gridCol w:w="2420"/>
      </w:tblGrid>
      <w:tr w:rsidR="005F4D72" w:rsidRPr="00F47DE3" w14:paraId="38B86272" w14:textId="77777777" w:rsidTr="008B5F05">
        <w:trPr>
          <w:trHeight w:val="470"/>
        </w:trPr>
        <w:tc>
          <w:tcPr>
            <w:tcW w:w="2024" w:type="pct"/>
            <w:tcBorders>
              <w:top w:val="single" w:sz="4" w:space="0" w:color="auto"/>
              <w:left w:val="nil"/>
              <w:bottom w:val="single" w:sz="4" w:space="0" w:color="auto"/>
              <w:right w:val="nil"/>
            </w:tcBorders>
            <w:vAlign w:val="center"/>
          </w:tcPr>
          <w:p w14:paraId="4B838554" w14:textId="77777777" w:rsidR="005F4D72" w:rsidRPr="008C672D" w:rsidRDefault="005F4D72" w:rsidP="008B5F05">
            <w:pPr>
              <w:pStyle w:val="msonormalcxspmiddle"/>
              <w:spacing w:after="0" w:afterAutospacing="0"/>
              <w:contextualSpacing/>
              <w:jc w:val="center"/>
              <w:rPr>
                <w:b/>
                <w:sz w:val="20"/>
                <w:szCs w:val="20"/>
              </w:rPr>
            </w:pPr>
            <w:r w:rsidRPr="008C672D">
              <w:rPr>
                <w:b/>
                <w:sz w:val="20"/>
                <w:szCs w:val="20"/>
              </w:rPr>
              <w:t xml:space="preserve">Grupo (intervalo para </w:t>
            </w:r>
            <w:r w:rsidRPr="008C672D">
              <w:rPr>
                <w:b/>
                <w:i/>
                <w:sz w:val="20"/>
                <w:szCs w:val="20"/>
              </w:rPr>
              <w:t>y</w:t>
            </w:r>
            <w:r w:rsidRPr="008C672D">
              <w:rPr>
                <w:b/>
                <w:i/>
                <w:sz w:val="20"/>
                <w:szCs w:val="20"/>
                <w:vertAlign w:val="subscript"/>
              </w:rPr>
              <w:t>i,0</w:t>
            </w:r>
            <w:r w:rsidRPr="008C672D">
              <w:rPr>
                <w:b/>
                <w:sz w:val="20"/>
                <w:szCs w:val="20"/>
              </w:rPr>
              <w:t>)</w:t>
            </w:r>
          </w:p>
        </w:tc>
        <w:tc>
          <w:tcPr>
            <w:tcW w:w="1790" w:type="pct"/>
            <w:tcBorders>
              <w:top w:val="single" w:sz="4" w:space="0" w:color="auto"/>
              <w:left w:val="nil"/>
              <w:bottom w:val="single" w:sz="4" w:space="0" w:color="auto"/>
              <w:right w:val="nil"/>
            </w:tcBorders>
            <w:vAlign w:val="center"/>
          </w:tcPr>
          <w:p w14:paraId="0F9EBD29" w14:textId="77777777" w:rsidR="005F4D72" w:rsidRPr="008C672D" w:rsidRDefault="005F4D72" w:rsidP="008B5F05">
            <w:pPr>
              <w:pStyle w:val="msonormalcxspmiddle"/>
              <w:spacing w:after="0" w:afterAutospacing="0"/>
              <w:contextualSpacing/>
              <w:jc w:val="center"/>
              <w:rPr>
                <w:b/>
                <w:sz w:val="20"/>
                <w:szCs w:val="20"/>
              </w:rPr>
            </w:pPr>
            <w:r w:rsidRPr="008C672D">
              <w:rPr>
                <w:b/>
                <w:sz w:val="20"/>
                <w:szCs w:val="20"/>
              </w:rPr>
              <w:t>Número de Municípios</w:t>
            </w:r>
          </w:p>
        </w:tc>
        <w:tc>
          <w:tcPr>
            <w:tcW w:w="1186" w:type="pct"/>
            <w:tcBorders>
              <w:top w:val="single" w:sz="4" w:space="0" w:color="auto"/>
              <w:left w:val="nil"/>
              <w:bottom w:val="single" w:sz="4" w:space="0" w:color="auto"/>
              <w:right w:val="nil"/>
            </w:tcBorders>
            <w:vAlign w:val="center"/>
          </w:tcPr>
          <w:p w14:paraId="57CB98F9" w14:textId="77777777" w:rsidR="005F4D72" w:rsidRPr="008C672D" w:rsidRDefault="005F4D72" w:rsidP="008B5F05">
            <w:pPr>
              <w:pStyle w:val="msonormalcxspmiddle"/>
              <w:spacing w:after="0" w:afterAutospacing="0"/>
              <w:contextualSpacing/>
              <w:jc w:val="center"/>
              <w:rPr>
                <w:b/>
                <w:sz w:val="20"/>
                <w:szCs w:val="20"/>
              </w:rPr>
            </w:pPr>
            <w:r w:rsidRPr="008C672D">
              <w:rPr>
                <w:b/>
                <w:sz w:val="20"/>
                <w:szCs w:val="20"/>
              </w:rPr>
              <w:t>Efeito do FNE</w:t>
            </w:r>
          </w:p>
        </w:tc>
      </w:tr>
      <w:tr w:rsidR="005F4D72" w:rsidRPr="00F47DE3" w14:paraId="3B2AD17C" w14:textId="77777777" w:rsidTr="008B5F05">
        <w:tc>
          <w:tcPr>
            <w:tcW w:w="2024" w:type="pct"/>
          </w:tcPr>
          <w:p w14:paraId="14A58F07" w14:textId="77777777" w:rsidR="005F4D72" w:rsidRPr="008C672D" w:rsidRDefault="005F4D72" w:rsidP="008B5F05">
            <w:pPr>
              <w:pStyle w:val="msonormalcxspmiddle"/>
              <w:spacing w:after="0" w:afterAutospacing="0"/>
              <w:contextualSpacing/>
              <w:jc w:val="center"/>
              <w:rPr>
                <w:b/>
                <w:sz w:val="20"/>
                <w:szCs w:val="20"/>
              </w:rPr>
            </w:pPr>
            <w:r w:rsidRPr="008C672D">
              <w:rPr>
                <w:b/>
                <w:sz w:val="20"/>
                <w:szCs w:val="20"/>
              </w:rPr>
              <w:t>Resultado sem controles (</w:t>
            </w:r>
            <w:r w:rsidRPr="008C672D">
              <w:rPr>
                <w:b/>
                <w:i/>
                <w:sz w:val="20"/>
                <w:szCs w:val="20"/>
              </w:rPr>
              <w:t>X</w:t>
            </w:r>
            <w:r w:rsidRPr="008C672D">
              <w:rPr>
                <w:b/>
                <w:i/>
                <w:sz w:val="20"/>
                <w:szCs w:val="20"/>
                <w:vertAlign w:val="subscript"/>
              </w:rPr>
              <w:t>i</w:t>
            </w:r>
            <w:r w:rsidRPr="008C672D">
              <w:rPr>
                <w:b/>
                <w:sz w:val="20"/>
                <w:szCs w:val="20"/>
              </w:rPr>
              <w:t>) (Modelo 3)</w:t>
            </w:r>
          </w:p>
        </w:tc>
        <w:tc>
          <w:tcPr>
            <w:tcW w:w="1790" w:type="pct"/>
          </w:tcPr>
          <w:p w14:paraId="2E6CAA54" w14:textId="77777777" w:rsidR="005F4D72" w:rsidRPr="008C672D" w:rsidRDefault="005F4D72" w:rsidP="008B5F05">
            <w:pPr>
              <w:pStyle w:val="msonormalcxspmiddle"/>
              <w:spacing w:after="0" w:afterAutospacing="0"/>
              <w:contextualSpacing/>
              <w:jc w:val="center"/>
              <w:rPr>
                <w:sz w:val="20"/>
                <w:szCs w:val="20"/>
              </w:rPr>
            </w:pPr>
          </w:p>
        </w:tc>
        <w:tc>
          <w:tcPr>
            <w:tcW w:w="1186" w:type="pct"/>
          </w:tcPr>
          <w:p w14:paraId="19CF277E" w14:textId="77777777" w:rsidR="005F4D72" w:rsidRPr="008C672D" w:rsidRDefault="005F4D72" w:rsidP="008B5F05">
            <w:pPr>
              <w:pStyle w:val="msonormalcxspmiddle"/>
              <w:spacing w:after="0" w:afterAutospacing="0"/>
              <w:contextualSpacing/>
              <w:jc w:val="center"/>
              <w:rPr>
                <w:sz w:val="20"/>
                <w:szCs w:val="20"/>
              </w:rPr>
            </w:pPr>
          </w:p>
        </w:tc>
      </w:tr>
      <w:tr w:rsidR="005F4D72" w:rsidRPr="00F47DE3" w14:paraId="3E1961B0" w14:textId="77777777" w:rsidTr="008B5F05">
        <w:tc>
          <w:tcPr>
            <w:tcW w:w="2024" w:type="pct"/>
          </w:tcPr>
          <w:p w14:paraId="74B34B2D"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Menor que R$ 4.105</w:t>
            </w:r>
          </w:p>
        </w:tc>
        <w:tc>
          <w:tcPr>
            <w:tcW w:w="1790" w:type="pct"/>
          </w:tcPr>
          <w:p w14:paraId="1D57E1FB"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1493</w:t>
            </w:r>
          </w:p>
        </w:tc>
        <w:tc>
          <w:tcPr>
            <w:tcW w:w="1186" w:type="pct"/>
          </w:tcPr>
          <w:p w14:paraId="4F850B90"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0,067*</w:t>
            </w:r>
          </w:p>
        </w:tc>
      </w:tr>
      <w:tr w:rsidR="005F4D72" w:rsidRPr="00F47DE3" w14:paraId="78406514" w14:textId="77777777" w:rsidTr="008B5F05">
        <w:tc>
          <w:tcPr>
            <w:tcW w:w="2024" w:type="pct"/>
          </w:tcPr>
          <w:p w14:paraId="6EC576A0"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Maior que R$ 4.105</w:t>
            </w:r>
          </w:p>
        </w:tc>
        <w:tc>
          <w:tcPr>
            <w:tcW w:w="1790" w:type="pct"/>
          </w:tcPr>
          <w:p w14:paraId="2864C23A"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297</w:t>
            </w:r>
          </w:p>
        </w:tc>
        <w:tc>
          <w:tcPr>
            <w:tcW w:w="1186" w:type="pct"/>
          </w:tcPr>
          <w:p w14:paraId="3C7BE657"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0,117*</w:t>
            </w:r>
          </w:p>
        </w:tc>
      </w:tr>
      <w:tr w:rsidR="005F4D72" w:rsidRPr="00F47DE3" w14:paraId="7A7164C5" w14:textId="77777777" w:rsidTr="008B5F05">
        <w:tc>
          <w:tcPr>
            <w:tcW w:w="2024" w:type="pct"/>
          </w:tcPr>
          <w:p w14:paraId="5972A96C" w14:textId="77777777" w:rsidR="005F4D72" w:rsidRPr="008C672D" w:rsidRDefault="005F4D72" w:rsidP="008B5F05">
            <w:pPr>
              <w:pStyle w:val="msonormalcxspmiddle"/>
              <w:spacing w:after="0" w:afterAutospacing="0"/>
              <w:contextualSpacing/>
              <w:jc w:val="center"/>
              <w:rPr>
                <w:b/>
                <w:sz w:val="20"/>
                <w:szCs w:val="20"/>
              </w:rPr>
            </w:pPr>
            <w:r w:rsidRPr="008C672D">
              <w:rPr>
                <w:b/>
                <w:sz w:val="20"/>
                <w:szCs w:val="20"/>
              </w:rPr>
              <w:t>Resultado com controles (</w:t>
            </w:r>
            <w:r w:rsidRPr="008C672D">
              <w:rPr>
                <w:b/>
                <w:i/>
                <w:sz w:val="20"/>
                <w:szCs w:val="20"/>
              </w:rPr>
              <w:t>X</w:t>
            </w:r>
            <w:r w:rsidRPr="008C672D">
              <w:rPr>
                <w:b/>
                <w:i/>
                <w:sz w:val="20"/>
                <w:szCs w:val="20"/>
                <w:vertAlign w:val="subscript"/>
              </w:rPr>
              <w:t>i</w:t>
            </w:r>
            <w:r w:rsidRPr="008C672D">
              <w:rPr>
                <w:b/>
                <w:sz w:val="20"/>
                <w:szCs w:val="20"/>
              </w:rPr>
              <w:t>) (Modelo 4)</w:t>
            </w:r>
          </w:p>
        </w:tc>
        <w:tc>
          <w:tcPr>
            <w:tcW w:w="1790" w:type="pct"/>
          </w:tcPr>
          <w:p w14:paraId="1EDA8980" w14:textId="77777777" w:rsidR="005F4D72" w:rsidRPr="008C672D" w:rsidRDefault="005F4D72" w:rsidP="008B5F05">
            <w:pPr>
              <w:pStyle w:val="msonormalcxspmiddle"/>
              <w:spacing w:after="0" w:afterAutospacing="0"/>
              <w:contextualSpacing/>
              <w:jc w:val="center"/>
              <w:rPr>
                <w:sz w:val="20"/>
                <w:szCs w:val="20"/>
              </w:rPr>
            </w:pPr>
          </w:p>
        </w:tc>
        <w:tc>
          <w:tcPr>
            <w:tcW w:w="1186" w:type="pct"/>
          </w:tcPr>
          <w:p w14:paraId="40D9B13E" w14:textId="77777777" w:rsidR="005F4D72" w:rsidRPr="008C672D" w:rsidRDefault="005F4D72" w:rsidP="008B5F05">
            <w:pPr>
              <w:pStyle w:val="msonormalcxspmiddle"/>
              <w:spacing w:after="0" w:afterAutospacing="0"/>
              <w:contextualSpacing/>
              <w:jc w:val="center"/>
              <w:rPr>
                <w:sz w:val="20"/>
                <w:szCs w:val="20"/>
              </w:rPr>
            </w:pPr>
          </w:p>
        </w:tc>
      </w:tr>
      <w:tr w:rsidR="005F4D72" w:rsidRPr="00F47DE3" w14:paraId="50B0A449" w14:textId="77777777" w:rsidTr="008B5F05">
        <w:tc>
          <w:tcPr>
            <w:tcW w:w="2024" w:type="pct"/>
          </w:tcPr>
          <w:p w14:paraId="6B33E42E"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 xml:space="preserve">Menor que R$ </w:t>
            </w:r>
            <w:r w:rsidRPr="008C672D">
              <w:rPr>
                <w:bCs/>
                <w:color w:val="000000"/>
                <w:sz w:val="20"/>
                <w:szCs w:val="20"/>
              </w:rPr>
              <w:t>2.143</w:t>
            </w:r>
          </w:p>
        </w:tc>
        <w:tc>
          <w:tcPr>
            <w:tcW w:w="1790" w:type="pct"/>
          </w:tcPr>
          <w:p w14:paraId="40C5BA69"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204</w:t>
            </w:r>
          </w:p>
        </w:tc>
        <w:tc>
          <w:tcPr>
            <w:tcW w:w="1186" w:type="pct"/>
          </w:tcPr>
          <w:p w14:paraId="7C8D382A"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-0,007</w:t>
            </w:r>
          </w:p>
        </w:tc>
      </w:tr>
      <w:tr w:rsidR="005F4D72" w:rsidRPr="00F47DE3" w14:paraId="1B901D80" w14:textId="77777777" w:rsidTr="008B5F05">
        <w:tc>
          <w:tcPr>
            <w:tcW w:w="2024" w:type="pct"/>
          </w:tcPr>
          <w:p w14:paraId="239B5645"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 xml:space="preserve">Entre R$ </w:t>
            </w:r>
            <w:r w:rsidRPr="008C672D">
              <w:rPr>
                <w:bCs/>
                <w:color w:val="000000"/>
                <w:sz w:val="20"/>
                <w:szCs w:val="20"/>
              </w:rPr>
              <w:t>2.143</w:t>
            </w:r>
            <w:r w:rsidRPr="008C672D">
              <w:rPr>
                <w:sz w:val="20"/>
                <w:szCs w:val="20"/>
              </w:rPr>
              <w:t xml:space="preserve"> e R$ </w:t>
            </w:r>
            <w:r w:rsidRPr="008C672D">
              <w:rPr>
                <w:bCs/>
                <w:color w:val="000000"/>
                <w:sz w:val="20"/>
                <w:szCs w:val="20"/>
              </w:rPr>
              <w:t>3.866</w:t>
            </w:r>
          </w:p>
        </w:tc>
        <w:tc>
          <w:tcPr>
            <w:tcW w:w="1790" w:type="pct"/>
          </w:tcPr>
          <w:p w14:paraId="19494F10"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794</w:t>
            </w:r>
          </w:p>
        </w:tc>
        <w:tc>
          <w:tcPr>
            <w:tcW w:w="1186" w:type="pct"/>
          </w:tcPr>
          <w:p w14:paraId="2C6AE2EB"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0,078*</w:t>
            </w:r>
          </w:p>
        </w:tc>
      </w:tr>
      <w:tr w:rsidR="005F4D72" w:rsidRPr="00F47DE3" w14:paraId="77307242" w14:textId="77777777" w:rsidTr="008B5F05">
        <w:tc>
          <w:tcPr>
            <w:tcW w:w="2024" w:type="pct"/>
          </w:tcPr>
          <w:p w14:paraId="02C87FF6"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 xml:space="preserve">Entre R$ </w:t>
            </w:r>
            <w:r w:rsidRPr="008C672D">
              <w:rPr>
                <w:bCs/>
                <w:color w:val="000000"/>
                <w:sz w:val="20"/>
                <w:szCs w:val="20"/>
              </w:rPr>
              <w:t>3.866</w:t>
            </w:r>
            <w:r w:rsidRPr="008C672D">
              <w:rPr>
                <w:sz w:val="20"/>
                <w:szCs w:val="20"/>
              </w:rPr>
              <w:t xml:space="preserve"> e R$ </w:t>
            </w:r>
            <w:r w:rsidRPr="008C672D">
              <w:rPr>
                <w:bCs/>
                <w:color w:val="000000"/>
                <w:sz w:val="20"/>
                <w:szCs w:val="20"/>
              </w:rPr>
              <w:t>7.406</w:t>
            </w:r>
          </w:p>
        </w:tc>
        <w:tc>
          <w:tcPr>
            <w:tcW w:w="1790" w:type="pct"/>
          </w:tcPr>
          <w:p w14:paraId="60E1A647"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177</w:t>
            </w:r>
          </w:p>
        </w:tc>
        <w:tc>
          <w:tcPr>
            <w:tcW w:w="1186" w:type="pct"/>
          </w:tcPr>
          <w:p w14:paraId="4BB4EE8D" w14:textId="77777777" w:rsidR="005F4D72" w:rsidRPr="008C672D" w:rsidRDefault="005F4D72" w:rsidP="008B5F05">
            <w:pPr>
              <w:pStyle w:val="msonormalcxspmiddle"/>
              <w:spacing w:after="0" w:afterAutospacing="0"/>
              <w:contextualSpacing/>
              <w:jc w:val="center"/>
              <w:rPr>
                <w:sz w:val="20"/>
                <w:szCs w:val="20"/>
                <w:vertAlign w:val="superscript"/>
              </w:rPr>
            </w:pPr>
            <w:r w:rsidRPr="008C672D">
              <w:rPr>
                <w:sz w:val="20"/>
                <w:szCs w:val="20"/>
              </w:rPr>
              <w:t>0,109</w:t>
            </w:r>
            <w:r w:rsidRPr="008C672D">
              <w:rPr>
                <w:sz w:val="20"/>
                <w:szCs w:val="20"/>
                <w:vertAlign w:val="superscript"/>
              </w:rPr>
              <w:t>+</w:t>
            </w:r>
          </w:p>
        </w:tc>
      </w:tr>
      <w:tr w:rsidR="005F4D72" w:rsidRPr="00F47DE3" w14:paraId="5CF85672" w14:textId="77777777" w:rsidTr="008B5F05">
        <w:tc>
          <w:tcPr>
            <w:tcW w:w="2024" w:type="pct"/>
            <w:tcBorders>
              <w:bottom w:val="single" w:sz="4" w:space="0" w:color="auto"/>
            </w:tcBorders>
          </w:tcPr>
          <w:p w14:paraId="189C426B"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 xml:space="preserve">Maior que R$ </w:t>
            </w:r>
            <w:r w:rsidRPr="008C672D">
              <w:rPr>
                <w:bCs/>
                <w:color w:val="000000"/>
                <w:sz w:val="20"/>
                <w:szCs w:val="20"/>
              </w:rPr>
              <w:t>7.406</w:t>
            </w:r>
          </w:p>
        </w:tc>
        <w:tc>
          <w:tcPr>
            <w:tcW w:w="1790" w:type="pct"/>
            <w:tcBorders>
              <w:bottom w:val="single" w:sz="4" w:space="0" w:color="auto"/>
            </w:tcBorders>
          </w:tcPr>
          <w:p w14:paraId="3DACC0D6"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55</w:t>
            </w:r>
          </w:p>
        </w:tc>
        <w:tc>
          <w:tcPr>
            <w:tcW w:w="1186" w:type="pct"/>
            <w:tcBorders>
              <w:bottom w:val="single" w:sz="4" w:space="0" w:color="auto"/>
            </w:tcBorders>
          </w:tcPr>
          <w:p w14:paraId="276EB3E6" w14:textId="77777777" w:rsidR="005F4D72" w:rsidRPr="008C672D" w:rsidRDefault="005F4D72" w:rsidP="008B5F05">
            <w:pPr>
              <w:pStyle w:val="msonormalcxspmiddle"/>
              <w:spacing w:after="0" w:afterAutospacing="0"/>
              <w:contextualSpacing/>
              <w:jc w:val="center"/>
              <w:rPr>
                <w:sz w:val="20"/>
                <w:szCs w:val="20"/>
              </w:rPr>
            </w:pPr>
            <w:r w:rsidRPr="008C672D">
              <w:rPr>
                <w:sz w:val="20"/>
                <w:szCs w:val="20"/>
              </w:rPr>
              <w:t>0,173</w:t>
            </w:r>
          </w:p>
        </w:tc>
      </w:tr>
    </w:tbl>
    <w:p w14:paraId="3E192FBA" w14:textId="77777777" w:rsidR="005F4D72" w:rsidRPr="008C672D" w:rsidRDefault="005F4D72" w:rsidP="005F4D72">
      <w:pPr>
        <w:rPr>
          <w:rFonts w:eastAsia="Calibri"/>
          <w:sz w:val="16"/>
          <w:szCs w:val="16"/>
        </w:rPr>
      </w:pPr>
      <w:r w:rsidRPr="008C672D">
        <w:rPr>
          <w:sz w:val="16"/>
          <w:szCs w:val="16"/>
        </w:rPr>
        <w:t>Fonte: Elaboração própria</w:t>
      </w:r>
    </w:p>
    <w:p w14:paraId="6748C404" w14:textId="77777777" w:rsidR="005F4D72" w:rsidRPr="008C672D" w:rsidRDefault="005F4D72" w:rsidP="005F4D72">
      <w:pPr>
        <w:rPr>
          <w:sz w:val="16"/>
          <w:szCs w:val="16"/>
        </w:rPr>
      </w:pPr>
      <w:r w:rsidRPr="008C672D">
        <w:rPr>
          <w:sz w:val="16"/>
          <w:szCs w:val="16"/>
          <w:vertAlign w:val="superscript"/>
        </w:rPr>
        <w:t>*</w:t>
      </w:r>
      <w:r w:rsidRPr="008C672D">
        <w:rPr>
          <w:sz w:val="16"/>
          <w:szCs w:val="16"/>
        </w:rPr>
        <w:t xml:space="preserve"> significantes a 5%; +</w:t>
      </w:r>
      <w:r w:rsidRPr="008C672D">
        <w:rPr>
          <w:sz w:val="16"/>
          <w:szCs w:val="16"/>
          <w:vertAlign w:val="superscript"/>
        </w:rPr>
        <w:t xml:space="preserve"> </w:t>
      </w:r>
      <w:r w:rsidRPr="008C672D">
        <w:rPr>
          <w:sz w:val="16"/>
          <w:szCs w:val="16"/>
        </w:rPr>
        <w:t>significantes a 10%</w:t>
      </w:r>
    </w:p>
    <w:p w14:paraId="6D94B84C" w14:textId="77777777" w:rsidR="005F4D72" w:rsidRDefault="005F4D72" w:rsidP="005F4D72">
      <w:pPr>
        <w:pStyle w:val="msonormalcxspmiddle"/>
        <w:spacing w:before="0" w:beforeAutospacing="0" w:after="0" w:afterAutospacing="0"/>
        <w:ind w:firstLine="1134"/>
        <w:jc w:val="both"/>
      </w:pPr>
    </w:p>
    <w:p w14:paraId="7D6F3C8F" w14:textId="77777777" w:rsidR="005F4D72" w:rsidRDefault="005F4D72" w:rsidP="005F4D72">
      <w:pPr>
        <w:pStyle w:val="msonormalcxspmiddle"/>
        <w:spacing w:before="120" w:beforeAutospacing="0"/>
        <w:ind w:firstLine="1134"/>
        <w:jc w:val="both"/>
      </w:pPr>
      <w:r>
        <w:t>No entanto, o</w:t>
      </w:r>
      <w:r w:rsidRPr="006148EB">
        <w:t xml:space="preserve">s testes do multiplicador de Lagrange indicaram rejeição dos modelos </w:t>
      </w:r>
      <w:r w:rsidRPr="006148EB">
        <w:rPr>
          <w:i/>
        </w:rPr>
        <w:t>globais</w:t>
      </w:r>
      <w:r w:rsidRPr="006148EB">
        <w:t xml:space="preserve"> em favor do modelo com efeito </w:t>
      </w:r>
      <w:r w:rsidRPr="006148EB">
        <w:rPr>
          <w:i/>
        </w:rPr>
        <w:t>threshold</w:t>
      </w:r>
      <w:r w:rsidRPr="006148EB">
        <w:t xml:space="preserve"> com 2 grupos, sem</w:t>
      </w:r>
      <w:r>
        <w:t xml:space="preserve"> os controles (</w:t>
      </w:r>
      <w:r w:rsidRPr="006148EB">
        <w:rPr>
          <w:b/>
          <w:i/>
        </w:rPr>
        <w:t>X</w:t>
      </w:r>
      <w:r w:rsidRPr="006148EB">
        <w:rPr>
          <w:b/>
          <w:i/>
          <w:vertAlign w:val="subscript"/>
        </w:rPr>
        <w:t>i</w:t>
      </w:r>
      <w:r>
        <w:rPr>
          <w:b/>
        </w:rPr>
        <w:t>)</w:t>
      </w:r>
      <w:r>
        <w:t xml:space="preserve">, e 4 grupos, incluindo-os. </w:t>
      </w:r>
      <w:r w:rsidRPr="006148EB">
        <w:t xml:space="preserve">No primeiro caso, temos um grupo formado por municípios com PIB </w:t>
      </w:r>
      <w:r w:rsidRPr="006148EB">
        <w:rPr>
          <w:i/>
        </w:rPr>
        <w:t xml:space="preserve">per capita </w:t>
      </w:r>
      <w:r w:rsidRPr="006148EB">
        <w:t>inicial menor do que R$ 4.105 (1</w:t>
      </w:r>
      <w:r>
        <w:t>.</w:t>
      </w:r>
      <w:r w:rsidRPr="006148EB">
        <w:t xml:space="preserve">493 municípios) e outro com PIB </w:t>
      </w:r>
      <w:r w:rsidRPr="006148EB">
        <w:rPr>
          <w:i/>
        </w:rPr>
        <w:t xml:space="preserve">per capita </w:t>
      </w:r>
      <w:r w:rsidRPr="006148EB">
        <w:t xml:space="preserve">inicial maior que esse valor (297 municípios). Os efeitos do FNE sobre o crescimento, estatisticamente significantes, são 0,067 para o grupo de menor renda e 0,117 </w:t>
      </w:r>
      <w:r w:rsidRPr="006148EB">
        <w:lastRenderedPageBreak/>
        <w:t xml:space="preserve">para o de maior renda. Ou seja, aparentemente o volume </w:t>
      </w:r>
      <w:r w:rsidRPr="006148EB">
        <w:rPr>
          <w:i/>
        </w:rPr>
        <w:t>per capita</w:t>
      </w:r>
      <w:r w:rsidRPr="006148EB">
        <w:t xml:space="preserve"> de recursos do FNE tem um impacto maior sobre o crescimento da renda nos municípios que se encontram em um maior nível de desenvolvimento econômico. Nos municípios do primeiro grupo, cada 10% de aumento nos financiamentos per capita do FNE leva a um aumento de 0,67 pontos percentuais na taxa média de crescimento do PIB </w:t>
      </w:r>
      <w:r w:rsidRPr="006148EB">
        <w:rPr>
          <w:i/>
        </w:rPr>
        <w:t>per capita</w:t>
      </w:r>
      <w:r w:rsidRPr="006148EB">
        <w:t xml:space="preserve">, enquanto que no segundo esse aumento é de 1,17 pontos percentuais. </w:t>
      </w:r>
    </w:p>
    <w:p w14:paraId="2F732B04" w14:textId="77777777" w:rsidR="005F4D72" w:rsidRPr="006148EB" w:rsidRDefault="005F4D72" w:rsidP="005F4D72">
      <w:pPr>
        <w:pStyle w:val="msonormalcxspmiddle"/>
        <w:spacing w:before="120" w:beforeAutospacing="0" w:after="0" w:afterAutospacing="0"/>
        <w:ind w:firstLine="1134"/>
        <w:jc w:val="both"/>
      </w:pPr>
      <w:r w:rsidRPr="006148EB">
        <w:t xml:space="preserve">Note que no modelo </w:t>
      </w:r>
      <w:r w:rsidRPr="006148EB">
        <w:rPr>
          <w:i/>
        </w:rPr>
        <w:t>global</w:t>
      </w:r>
      <w:r w:rsidRPr="006148EB">
        <w:t xml:space="preserve"> sem controles (Tabela 1), esse aumento seria 0,8</w:t>
      </w:r>
      <w:r>
        <w:t>2</w:t>
      </w:r>
      <w:r w:rsidRPr="006148EB">
        <w:t xml:space="preserve"> pontos percentuais para todos os municípios. Em contraste, uma das vantagens do modelo com efeito </w:t>
      </w:r>
      <w:r w:rsidRPr="006148EB">
        <w:rPr>
          <w:i/>
        </w:rPr>
        <w:t>threshold</w:t>
      </w:r>
      <w:r w:rsidRPr="006148EB">
        <w:t xml:space="preserve"> em relação a esse modelo é a possibilidade de revelar diferenças no impacto do FNE e qual variável estaria balizando essa diferenciação. No presente estudo, os resultados </w:t>
      </w:r>
      <w:r>
        <w:t xml:space="preserve">do modelo </w:t>
      </w:r>
      <w:r w:rsidRPr="006148EB">
        <w:t xml:space="preserve">com efeito </w:t>
      </w:r>
      <w:r w:rsidRPr="006148EB">
        <w:rPr>
          <w:i/>
        </w:rPr>
        <w:t>threshold</w:t>
      </w:r>
      <w:r w:rsidRPr="006148EB">
        <w:t xml:space="preserve"> </w:t>
      </w:r>
      <w:r>
        <w:t xml:space="preserve">sem controle </w:t>
      </w:r>
      <w:r w:rsidRPr="006148EB">
        <w:t xml:space="preserve">sugerem que um município com maior renda </w:t>
      </w:r>
      <w:r w:rsidRPr="006148EB">
        <w:rPr>
          <w:i/>
        </w:rPr>
        <w:t>per capita</w:t>
      </w:r>
      <w:r w:rsidRPr="006148EB">
        <w:t xml:space="preserve"> é influenciado mais intensamente, em termos de crescimento econômico, pela aplicação dos recursos do FNE. Isso </w:t>
      </w:r>
      <w:r>
        <w:t>poderia ser resultante do</w:t>
      </w:r>
      <w:r w:rsidRPr="006148EB">
        <w:t xml:space="preserve"> maior dinamismo de sua atividade econômica e </w:t>
      </w:r>
      <w:r>
        <w:t xml:space="preserve">da </w:t>
      </w:r>
      <w:r w:rsidRPr="006148EB">
        <w:t>maior maturidade de seus empreendedores.</w:t>
      </w:r>
    </w:p>
    <w:p w14:paraId="70461609" w14:textId="77777777" w:rsidR="005F4D72" w:rsidRPr="006148EB" w:rsidRDefault="005F4D72" w:rsidP="005F4D72">
      <w:pPr>
        <w:pStyle w:val="msonormalcxspmiddle"/>
        <w:spacing w:before="120" w:beforeAutospacing="0" w:after="0" w:afterAutospacing="0"/>
        <w:ind w:firstLine="1134"/>
        <w:jc w:val="both"/>
      </w:pPr>
      <w:r>
        <w:t>Quando se controla para outros co-fatores do crescimento</w:t>
      </w:r>
      <w:r w:rsidRPr="006148EB">
        <w:t xml:space="preserve">, o primeiro grupo é composto por municípios que apresentam PIB </w:t>
      </w:r>
      <w:r w:rsidRPr="006148EB">
        <w:rPr>
          <w:i/>
        </w:rPr>
        <w:t xml:space="preserve">per capita </w:t>
      </w:r>
      <w:r w:rsidRPr="006148EB">
        <w:t>inicial menor do que R$ 2.143 (20</w:t>
      </w:r>
      <w:r>
        <w:t>4</w:t>
      </w:r>
      <w:r w:rsidRPr="006148EB">
        <w:t xml:space="preserve"> municípios), o segundo por municípios com o PIB </w:t>
      </w:r>
      <w:r w:rsidRPr="006148EB">
        <w:rPr>
          <w:i/>
        </w:rPr>
        <w:t xml:space="preserve">per capita </w:t>
      </w:r>
      <w:r w:rsidRPr="006148EB">
        <w:t xml:space="preserve">inicial maior ou igual a R$ 2.143 e menor do que R$ </w:t>
      </w:r>
      <w:r w:rsidRPr="006148EB">
        <w:rPr>
          <w:bCs/>
        </w:rPr>
        <w:t xml:space="preserve">3.866 </w:t>
      </w:r>
      <w:r w:rsidRPr="006148EB">
        <w:t>(79</w:t>
      </w:r>
      <w:r>
        <w:t>4</w:t>
      </w:r>
      <w:r w:rsidRPr="006148EB">
        <w:t xml:space="preserve"> municípios)</w:t>
      </w:r>
      <w:r w:rsidRPr="006148EB">
        <w:rPr>
          <w:bCs/>
        </w:rPr>
        <w:t xml:space="preserve">, o terceiro por aqueles que apresentam </w:t>
      </w:r>
      <w:r w:rsidRPr="006148EB">
        <w:t xml:space="preserve">PIB </w:t>
      </w:r>
      <w:r w:rsidRPr="006148EB">
        <w:rPr>
          <w:i/>
        </w:rPr>
        <w:t xml:space="preserve">per capita </w:t>
      </w:r>
      <w:r w:rsidRPr="006148EB">
        <w:t xml:space="preserve">inicial maior ou igual a R$ 3.866 e menor do que R$ </w:t>
      </w:r>
      <w:r w:rsidRPr="006148EB">
        <w:rPr>
          <w:bCs/>
        </w:rPr>
        <w:t xml:space="preserve">7.406 </w:t>
      </w:r>
      <w:r w:rsidRPr="006148EB">
        <w:t>(17</w:t>
      </w:r>
      <w:r>
        <w:t>7</w:t>
      </w:r>
      <w:r w:rsidRPr="006148EB">
        <w:t xml:space="preserve"> municípios) </w:t>
      </w:r>
      <w:r w:rsidRPr="006148EB">
        <w:rPr>
          <w:bCs/>
        </w:rPr>
        <w:t xml:space="preserve">e o quarto por aqueles com o valor do </w:t>
      </w:r>
      <w:r w:rsidRPr="006148EB">
        <w:t xml:space="preserve">PIB </w:t>
      </w:r>
      <w:r w:rsidRPr="006148EB">
        <w:rPr>
          <w:i/>
        </w:rPr>
        <w:t xml:space="preserve">per capita </w:t>
      </w:r>
      <w:r w:rsidRPr="006148EB">
        <w:t>inicial maior ou igual a R$ 7.406 (5</w:t>
      </w:r>
      <w:r>
        <w:t>5</w:t>
      </w:r>
      <w:r w:rsidRPr="006148EB">
        <w:t xml:space="preserve"> municípios).</w:t>
      </w:r>
    </w:p>
    <w:p w14:paraId="4BC85274" w14:textId="77777777" w:rsidR="005F4D72" w:rsidRDefault="005F4D72" w:rsidP="005F4D72">
      <w:pPr>
        <w:pStyle w:val="msonormalcxspmiddle"/>
        <w:spacing w:before="120" w:beforeAutospacing="0" w:after="0" w:afterAutospacing="0"/>
        <w:ind w:firstLine="1134"/>
        <w:jc w:val="both"/>
      </w:pPr>
      <w:r w:rsidRPr="006148EB">
        <w:t>Exceto nos grupos intermediários, segundo e terceiro, a estimativa do impacto do FN</w:t>
      </w:r>
      <w:r>
        <w:t>E</w:t>
      </w:r>
      <w:r w:rsidRPr="006148EB">
        <w:t xml:space="preserve"> sobre o crescimento do PIB </w:t>
      </w:r>
      <w:r w:rsidRPr="008B58DE">
        <w:rPr>
          <w:i/>
        </w:rPr>
        <w:t>per capita</w:t>
      </w:r>
      <w:r w:rsidRPr="006148EB">
        <w:t xml:space="preserve"> não são estatisticamente significantes. No entanto, o quadro geral é bastante similar ao caso onde não se usa controles no modelo de regressão. No</w:t>
      </w:r>
      <w:r>
        <w:t xml:space="preserve"> segundo</w:t>
      </w:r>
      <w:r w:rsidRPr="006148EB">
        <w:t xml:space="preserve"> grupo, cada 10% de aumento nos financiamentos per capita do FNE leva a um aumento de 0,78 pontos percentuais na taxa média de crescimento do PIB </w:t>
      </w:r>
      <w:r w:rsidRPr="006148EB">
        <w:rPr>
          <w:i/>
        </w:rPr>
        <w:t>per capita</w:t>
      </w:r>
      <w:r w:rsidRPr="006148EB">
        <w:t xml:space="preserve"> de seus municípios, enquanto que no </w:t>
      </w:r>
      <w:r>
        <w:t>terceiro</w:t>
      </w:r>
      <w:r w:rsidRPr="006148EB">
        <w:t xml:space="preserve"> o aumento é de 1,09 pontos percentuais. Ou seja, ainda permanece a evidência de que financiamentos do FNE têm efeito crescente de acordo com o nível de renda inicial dos municípios.</w:t>
      </w:r>
    </w:p>
    <w:p w14:paraId="5F0FF74B" w14:textId="77777777" w:rsidR="005F4D72" w:rsidRDefault="005F4D72" w:rsidP="005F4D72">
      <w:pPr>
        <w:pStyle w:val="msonormalcxspmiddle"/>
        <w:spacing w:before="120" w:beforeAutospacing="0" w:after="0" w:afterAutospacing="0"/>
        <w:ind w:firstLine="1134"/>
        <w:jc w:val="both"/>
      </w:pPr>
      <w:r>
        <w:t xml:space="preserve">Outra constatação importante é que a grande maioria dos municípios da amostra encontra-se classificado em situação de sofrer efeito do FNE. Estes são os municípios que compõem o segundo e terceiro grupos, que contabilizam aproximadamente 79% do total da amostra. Esta divisão endógena de municípios que recebem ou não efeitos significantes do FNE permite uma análise de eficácia para os grupos de municípios classificados segundo a PNDR (Ministério da Integração, 2005). </w:t>
      </w:r>
    </w:p>
    <w:p w14:paraId="028ED935" w14:textId="77777777" w:rsidR="005F4D72" w:rsidRDefault="005F4D72" w:rsidP="005F4D72">
      <w:pPr>
        <w:pStyle w:val="msonormalcxspmiddle"/>
        <w:spacing w:before="120" w:beforeAutospacing="0" w:after="0" w:afterAutospacing="0"/>
        <w:ind w:firstLine="1134"/>
        <w:jc w:val="both"/>
      </w:pPr>
      <w:r>
        <w:t xml:space="preserve">Os quatro grupos formados neste trabalho podem ser chamados de clubes de crescimento, pois os municípios que os compõem possuem padrões similares de crescimento do PIB per capita, considerando a influência conjunta de todos os outros co-fatores do modelo. Assim, pode-se esperar que o financiamento do FNE tenha efeito diferenciado em municípios com diferentes níveis de PIB per capita inicial. O contraste entre os municípios que compõem os clubes definidos neste trabalho com os que são classificados segundo a PNDR formam a Tabela 3 abaixo.     </w:t>
      </w:r>
    </w:p>
    <w:p w14:paraId="3D2F7B61" w14:textId="77777777" w:rsidR="005F4D72" w:rsidRDefault="005F4D72" w:rsidP="005F4D72">
      <w:pPr>
        <w:pStyle w:val="msonormalcxspmiddle"/>
        <w:spacing w:before="120" w:beforeAutospacing="0" w:after="0" w:afterAutospacing="0"/>
        <w:ind w:firstLine="1134"/>
        <w:jc w:val="both"/>
      </w:pPr>
    </w:p>
    <w:p w14:paraId="619D09C3" w14:textId="77777777" w:rsidR="005F4D72" w:rsidRPr="00D36992" w:rsidRDefault="005F4D72" w:rsidP="005F4D72">
      <w:pPr>
        <w:ind w:left="709"/>
        <w:jc w:val="both"/>
        <w:rPr>
          <w:b/>
          <w:bCs/>
        </w:rPr>
      </w:pPr>
      <w:r w:rsidRPr="00D36992">
        <w:rPr>
          <w:b/>
          <w:bCs/>
        </w:rPr>
        <w:t>Tabela 3 – Classificação dos Municípios</w:t>
      </w:r>
      <w:r>
        <w:rPr>
          <w:b/>
          <w:bCs/>
        </w:rPr>
        <w:t xml:space="preserve"> – </w:t>
      </w:r>
      <w:r w:rsidRPr="00D36992">
        <w:rPr>
          <w:b/>
          <w:bCs/>
        </w:rPr>
        <w:t>Clubes de Crescimento x PNDR</w:t>
      </w:r>
    </w:p>
    <w:tbl>
      <w:tblPr>
        <w:tblW w:w="0" w:type="auto"/>
        <w:jc w:val="center"/>
        <w:tblLayout w:type="fixed"/>
        <w:tblLook w:val="04A0" w:firstRow="1" w:lastRow="0" w:firstColumn="1" w:lastColumn="0" w:noHBand="0" w:noVBand="1"/>
      </w:tblPr>
      <w:tblGrid>
        <w:gridCol w:w="2049"/>
        <w:gridCol w:w="1359"/>
        <w:gridCol w:w="1360"/>
        <w:gridCol w:w="1360"/>
        <w:gridCol w:w="1360"/>
        <w:gridCol w:w="1232"/>
      </w:tblGrid>
      <w:tr w:rsidR="005F4D72" w:rsidRPr="00F47DE3" w14:paraId="012FA531" w14:textId="77777777" w:rsidTr="008B5F05">
        <w:trPr>
          <w:jc w:val="center"/>
        </w:trPr>
        <w:tc>
          <w:tcPr>
            <w:tcW w:w="2049" w:type="dxa"/>
            <w:vMerge w:val="restart"/>
            <w:tcBorders>
              <w:top w:val="single" w:sz="4" w:space="0" w:color="auto"/>
            </w:tcBorders>
            <w:vAlign w:val="bottom"/>
          </w:tcPr>
          <w:p w14:paraId="608C604B" w14:textId="77777777" w:rsidR="005F4D72" w:rsidRPr="00637386" w:rsidRDefault="005F4D72" w:rsidP="008B5F05">
            <w:pPr>
              <w:jc w:val="center"/>
              <w:rPr>
                <w:sz w:val="20"/>
                <w:szCs w:val="20"/>
              </w:rPr>
            </w:pPr>
            <w:r w:rsidRPr="00637386">
              <w:rPr>
                <w:sz w:val="20"/>
                <w:szCs w:val="20"/>
              </w:rPr>
              <w:t>Clubes</w:t>
            </w:r>
          </w:p>
          <w:p w14:paraId="04571104" w14:textId="77777777" w:rsidR="005F4D72" w:rsidRPr="00637386" w:rsidRDefault="005F4D72" w:rsidP="008B5F05">
            <w:pPr>
              <w:jc w:val="center"/>
              <w:rPr>
                <w:sz w:val="20"/>
                <w:szCs w:val="20"/>
              </w:rPr>
            </w:pPr>
            <w:r w:rsidRPr="00637386">
              <w:rPr>
                <w:sz w:val="20"/>
                <w:szCs w:val="20"/>
              </w:rPr>
              <w:t xml:space="preserve">(PIB </w:t>
            </w:r>
            <w:r w:rsidRPr="00637386">
              <w:rPr>
                <w:i/>
                <w:iCs/>
                <w:sz w:val="20"/>
                <w:szCs w:val="20"/>
              </w:rPr>
              <w:t>per capita</w:t>
            </w:r>
            <w:r w:rsidRPr="00637386">
              <w:rPr>
                <w:sz w:val="20"/>
                <w:szCs w:val="20"/>
              </w:rPr>
              <w:t>)</w:t>
            </w:r>
          </w:p>
        </w:tc>
        <w:tc>
          <w:tcPr>
            <w:tcW w:w="5439" w:type="dxa"/>
            <w:gridSpan w:val="4"/>
            <w:tcBorders>
              <w:top w:val="single" w:sz="4" w:space="0" w:color="auto"/>
              <w:bottom w:val="single" w:sz="4" w:space="0" w:color="auto"/>
            </w:tcBorders>
          </w:tcPr>
          <w:p w14:paraId="1B346BEB" w14:textId="77777777" w:rsidR="005F4D72" w:rsidRPr="00637386" w:rsidRDefault="005F4D72" w:rsidP="008B5F05">
            <w:pPr>
              <w:jc w:val="center"/>
              <w:rPr>
                <w:sz w:val="20"/>
                <w:szCs w:val="20"/>
              </w:rPr>
            </w:pPr>
            <w:r w:rsidRPr="00637386">
              <w:rPr>
                <w:sz w:val="20"/>
                <w:szCs w:val="20"/>
              </w:rPr>
              <w:t>PNDR</w:t>
            </w:r>
          </w:p>
        </w:tc>
        <w:tc>
          <w:tcPr>
            <w:tcW w:w="1232" w:type="dxa"/>
            <w:tcBorders>
              <w:top w:val="single" w:sz="4" w:space="0" w:color="auto"/>
            </w:tcBorders>
          </w:tcPr>
          <w:p w14:paraId="451CE951" w14:textId="77777777" w:rsidR="005F4D72" w:rsidRPr="00637386" w:rsidRDefault="005F4D72" w:rsidP="008B5F05">
            <w:pPr>
              <w:jc w:val="center"/>
              <w:rPr>
                <w:sz w:val="20"/>
                <w:szCs w:val="20"/>
              </w:rPr>
            </w:pPr>
          </w:p>
        </w:tc>
      </w:tr>
      <w:tr w:rsidR="005F4D72" w:rsidRPr="00F47DE3" w14:paraId="16793047" w14:textId="77777777" w:rsidTr="008B5F05">
        <w:trPr>
          <w:jc w:val="center"/>
        </w:trPr>
        <w:tc>
          <w:tcPr>
            <w:tcW w:w="2049" w:type="dxa"/>
            <w:vMerge/>
            <w:tcBorders>
              <w:bottom w:val="single" w:sz="4" w:space="0" w:color="auto"/>
            </w:tcBorders>
          </w:tcPr>
          <w:p w14:paraId="1BE0F755" w14:textId="77777777" w:rsidR="005F4D72" w:rsidRPr="00637386" w:rsidRDefault="005F4D72" w:rsidP="008B5F05">
            <w:pPr>
              <w:jc w:val="center"/>
              <w:rPr>
                <w:sz w:val="20"/>
                <w:szCs w:val="20"/>
              </w:rPr>
            </w:pPr>
          </w:p>
        </w:tc>
        <w:tc>
          <w:tcPr>
            <w:tcW w:w="1359" w:type="dxa"/>
            <w:tcBorders>
              <w:top w:val="single" w:sz="4" w:space="0" w:color="auto"/>
              <w:bottom w:val="single" w:sz="4" w:space="0" w:color="auto"/>
            </w:tcBorders>
          </w:tcPr>
          <w:p w14:paraId="207D4A01" w14:textId="77777777" w:rsidR="005F4D72" w:rsidRPr="00637386" w:rsidRDefault="005F4D72" w:rsidP="008B5F05">
            <w:pPr>
              <w:jc w:val="center"/>
              <w:rPr>
                <w:sz w:val="20"/>
                <w:szCs w:val="20"/>
              </w:rPr>
            </w:pPr>
            <w:r w:rsidRPr="00637386">
              <w:rPr>
                <w:sz w:val="20"/>
                <w:szCs w:val="20"/>
              </w:rPr>
              <w:t>Baixa Renda</w:t>
            </w:r>
          </w:p>
        </w:tc>
        <w:tc>
          <w:tcPr>
            <w:tcW w:w="1360" w:type="dxa"/>
            <w:tcBorders>
              <w:top w:val="single" w:sz="4" w:space="0" w:color="auto"/>
              <w:bottom w:val="single" w:sz="4" w:space="0" w:color="auto"/>
            </w:tcBorders>
          </w:tcPr>
          <w:p w14:paraId="018CCA57" w14:textId="77777777" w:rsidR="005F4D72" w:rsidRPr="00637386" w:rsidRDefault="005F4D72" w:rsidP="008B5F05">
            <w:pPr>
              <w:jc w:val="center"/>
              <w:rPr>
                <w:sz w:val="20"/>
                <w:szCs w:val="20"/>
              </w:rPr>
            </w:pPr>
            <w:r w:rsidRPr="00637386">
              <w:rPr>
                <w:sz w:val="20"/>
                <w:szCs w:val="20"/>
              </w:rPr>
              <w:t>Estagnada</w:t>
            </w:r>
          </w:p>
        </w:tc>
        <w:tc>
          <w:tcPr>
            <w:tcW w:w="1360" w:type="dxa"/>
            <w:tcBorders>
              <w:top w:val="single" w:sz="4" w:space="0" w:color="auto"/>
              <w:bottom w:val="single" w:sz="4" w:space="0" w:color="auto"/>
            </w:tcBorders>
          </w:tcPr>
          <w:p w14:paraId="113B2FC2" w14:textId="77777777" w:rsidR="005F4D72" w:rsidRPr="00637386" w:rsidRDefault="005F4D72" w:rsidP="008B5F05">
            <w:pPr>
              <w:jc w:val="center"/>
              <w:rPr>
                <w:sz w:val="20"/>
                <w:szCs w:val="20"/>
              </w:rPr>
            </w:pPr>
            <w:r w:rsidRPr="00637386">
              <w:rPr>
                <w:sz w:val="20"/>
                <w:szCs w:val="20"/>
              </w:rPr>
              <w:t>Dinâmica</w:t>
            </w:r>
          </w:p>
        </w:tc>
        <w:tc>
          <w:tcPr>
            <w:tcW w:w="1360" w:type="dxa"/>
            <w:tcBorders>
              <w:top w:val="single" w:sz="4" w:space="0" w:color="auto"/>
              <w:bottom w:val="single" w:sz="4" w:space="0" w:color="auto"/>
            </w:tcBorders>
          </w:tcPr>
          <w:p w14:paraId="26A3CD87" w14:textId="77777777" w:rsidR="005F4D72" w:rsidRPr="00637386" w:rsidRDefault="005F4D72" w:rsidP="008B5F05">
            <w:pPr>
              <w:jc w:val="center"/>
              <w:rPr>
                <w:sz w:val="20"/>
                <w:szCs w:val="20"/>
              </w:rPr>
            </w:pPr>
            <w:r w:rsidRPr="00637386">
              <w:rPr>
                <w:sz w:val="20"/>
                <w:szCs w:val="20"/>
              </w:rPr>
              <w:t>Alta Renda</w:t>
            </w:r>
          </w:p>
        </w:tc>
        <w:tc>
          <w:tcPr>
            <w:tcW w:w="1232" w:type="dxa"/>
            <w:tcBorders>
              <w:bottom w:val="single" w:sz="4" w:space="0" w:color="auto"/>
            </w:tcBorders>
          </w:tcPr>
          <w:p w14:paraId="75108989" w14:textId="77777777" w:rsidR="005F4D72" w:rsidRPr="00637386" w:rsidRDefault="005F4D72" w:rsidP="008B5F05">
            <w:pPr>
              <w:jc w:val="center"/>
              <w:rPr>
                <w:sz w:val="20"/>
                <w:szCs w:val="20"/>
              </w:rPr>
            </w:pPr>
            <w:r w:rsidRPr="00637386">
              <w:rPr>
                <w:sz w:val="20"/>
                <w:szCs w:val="20"/>
              </w:rPr>
              <w:t xml:space="preserve">Total </w:t>
            </w:r>
          </w:p>
        </w:tc>
      </w:tr>
      <w:tr w:rsidR="005F4D72" w:rsidRPr="00F47DE3" w14:paraId="03D12491" w14:textId="77777777" w:rsidTr="008B5F05">
        <w:trPr>
          <w:jc w:val="center"/>
        </w:trPr>
        <w:tc>
          <w:tcPr>
            <w:tcW w:w="2049" w:type="dxa"/>
            <w:tcBorders>
              <w:top w:val="single" w:sz="4" w:space="0" w:color="auto"/>
            </w:tcBorders>
          </w:tcPr>
          <w:p w14:paraId="423DCFA9" w14:textId="77777777" w:rsidR="005F4D72" w:rsidRPr="00637386" w:rsidRDefault="005F4D72" w:rsidP="008B5F05">
            <w:pPr>
              <w:pStyle w:val="msonormalcxspmiddle"/>
              <w:spacing w:after="0" w:afterAutospacing="0"/>
              <w:contextualSpacing/>
              <w:jc w:val="center"/>
              <w:rPr>
                <w:bCs/>
                <w:color w:val="000000"/>
                <w:sz w:val="20"/>
                <w:szCs w:val="20"/>
              </w:rPr>
            </w:pPr>
            <w:r w:rsidRPr="00637386">
              <w:rPr>
                <w:sz w:val="20"/>
                <w:szCs w:val="20"/>
              </w:rPr>
              <w:t xml:space="preserve"> −  R$ </w:t>
            </w:r>
            <w:r w:rsidRPr="00637386">
              <w:rPr>
                <w:bCs/>
                <w:color w:val="000000"/>
                <w:sz w:val="20"/>
                <w:szCs w:val="20"/>
              </w:rPr>
              <w:t>2.143            (1)</w:t>
            </w:r>
          </w:p>
        </w:tc>
        <w:tc>
          <w:tcPr>
            <w:tcW w:w="1359" w:type="dxa"/>
            <w:tcBorders>
              <w:top w:val="single" w:sz="4" w:space="0" w:color="auto"/>
            </w:tcBorders>
          </w:tcPr>
          <w:p w14:paraId="58546541" w14:textId="77777777" w:rsidR="005F4D72" w:rsidRPr="00637386" w:rsidRDefault="005F4D72" w:rsidP="008B5F05">
            <w:pPr>
              <w:jc w:val="center"/>
              <w:rPr>
                <w:sz w:val="20"/>
                <w:szCs w:val="20"/>
              </w:rPr>
            </w:pPr>
            <w:r w:rsidRPr="00637386">
              <w:rPr>
                <w:sz w:val="20"/>
                <w:szCs w:val="20"/>
              </w:rPr>
              <w:t>74 (36,3%)</w:t>
            </w:r>
          </w:p>
          <w:p w14:paraId="38BD46CE" w14:textId="77777777" w:rsidR="005F4D72" w:rsidRPr="00637386" w:rsidRDefault="005F4D72" w:rsidP="008B5F05">
            <w:pPr>
              <w:rPr>
                <w:sz w:val="20"/>
                <w:szCs w:val="20"/>
              </w:rPr>
            </w:pPr>
            <w:r w:rsidRPr="00637386">
              <w:rPr>
                <w:sz w:val="20"/>
                <w:szCs w:val="20"/>
              </w:rPr>
              <w:t>(19,5%)</w:t>
            </w:r>
          </w:p>
        </w:tc>
        <w:tc>
          <w:tcPr>
            <w:tcW w:w="1360" w:type="dxa"/>
            <w:tcBorders>
              <w:top w:val="single" w:sz="4" w:space="0" w:color="auto"/>
            </w:tcBorders>
          </w:tcPr>
          <w:p w14:paraId="50521EA8" w14:textId="77777777" w:rsidR="005F4D72" w:rsidRPr="00637386" w:rsidRDefault="005F4D72" w:rsidP="008B5F05">
            <w:pPr>
              <w:jc w:val="center"/>
              <w:rPr>
                <w:sz w:val="20"/>
                <w:szCs w:val="20"/>
              </w:rPr>
            </w:pPr>
            <w:r w:rsidRPr="00637386">
              <w:rPr>
                <w:sz w:val="20"/>
                <w:szCs w:val="20"/>
              </w:rPr>
              <w:t>54 (26,5%)</w:t>
            </w:r>
          </w:p>
          <w:p w14:paraId="796EFA5B" w14:textId="77777777" w:rsidR="005F4D72" w:rsidRPr="00637386" w:rsidRDefault="005F4D72" w:rsidP="008B5F05">
            <w:pPr>
              <w:rPr>
                <w:sz w:val="20"/>
                <w:szCs w:val="20"/>
              </w:rPr>
            </w:pPr>
            <w:r w:rsidRPr="00637386">
              <w:rPr>
                <w:sz w:val="20"/>
                <w:szCs w:val="20"/>
              </w:rPr>
              <w:t>(13,2%)</w:t>
            </w:r>
          </w:p>
        </w:tc>
        <w:tc>
          <w:tcPr>
            <w:tcW w:w="1360" w:type="dxa"/>
            <w:tcBorders>
              <w:top w:val="single" w:sz="4" w:space="0" w:color="auto"/>
            </w:tcBorders>
          </w:tcPr>
          <w:p w14:paraId="31876168" w14:textId="77777777" w:rsidR="005F4D72" w:rsidRPr="00637386" w:rsidRDefault="005F4D72" w:rsidP="008B5F05">
            <w:pPr>
              <w:jc w:val="center"/>
              <w:rPr>
                <w:sz w:val="20"/>
                <w:szCs w:val="20"/>
              </w:rPr>
            </w:pPr>
            <w:r w:rsidRPr="00637386">
              <w:rPr>
                <w:sz w:val="20"/>
                <w:szCs w:val="20"/>
              </w:rPr>
              <w:t>76 (37,3%)</w:t>
            </w:r>
          </w:p>
          <w:p w14:paraId="31B09F6F" w14:textId="77777777" w:rsidR="005F4D72" w:rsidRPr="00637386" w:rsidRDefault="005F4D72" w:rsidP="008B5F05">
            <w:pPr>
              <w:rPr>
                <w:sz w:val="20"/>
                <w:szCs w:val="20"/>
              </w:rPr>
            </w:pPr>
            <w:r w:rsidRPr="00637386">
              <w:rPr>
                <w:sz w:val="20"/>
                <w:szCs w:val="20"/>
              </w:rPr>
              <w:t>(18,6%)</w:t>
            </w:r>
          </w:p>
        </w:tc>
        <w:tc>
          <w:tcPr>
            <w:tcW w:w="1360" w:type="dxa"/>
            <w:tcBorders>
              <w:top w:val="single" w:sz="4" w:space="0" w:color="auto"/>
            </w:tcBorders>
          </w:tcPr>
          <w:p w14:paraId="5FE13831" w14:textId="77777777" w:rsidR="005F4D72" w:rsidRPr="00637386" w:rsidRDefault="005F4D72" w:rsidP="008B5F05">
            <w:pPr>
              <w:jc w:val="center"/>
              <w:rPr>
                <w:sz w:val="20"/>
                <w:szCs w:val="20"/>
              </w:rPr>
            </w:pPr>
            <w:r w:rsidRPr="00637386">
              <w:rPr>
                <w:sz w:val="20"/>
                <w:szCs w:val="20"/>
              </w:rPr>
              <w:t>0 (0%)</w:t>
            </w:r>
          </w:p>
          <w:p w14:paraId="5E35ABF5" w14:textId="77777777" w:rsidR="005F4D72" w:rsidRPr="00637386" w:rsidRDefault="005F4D72" w:rsidP="008B5F05">
            <w:pPr>
              <w:rPr>
                <w:sz w:val="20"/>
                <w:szCs w:val="20"/>
              </w:rPr>
            </w:pPr>
            <w:r w:rsidRPr="00637386">
              <w:rPr>
                <w:sz w:val="20"/>
                <w:szCs w:val="20"/>
              </w:rPr>
              <w:t>(0%)</w:t>
            </w:r>
          </w:p>
        </w:tc>
        <w:tc>
          <w:tcPr>
            <w:tcW w:w="1232" w:type="dxa"/>
            <w:tcBorders>
              <w:top w:val="single" w:sz="4" w:space="0" w:color="auto"/>
            </w:tcBorders>
          </w:tcPr>
          <w:p w14:paraId="4C12AF05" w14:textId="77777777" w:rsidR="005F4D72" w:rsidRPr="00637386" w:rsidRDefault="005F4D72" w:rsidP="008B5F05">
            <w:pPr>
              <w:jc w:val="center"/>
              <w:rPr>
                <w:sz w:val="20"/>
                <w:szCs w:val="20"/>
              </w:rPr>
            </w:pPr>
            <w:r w:rsidRPr="00637386">
              <w:rPr>
                <w:sz w:val="20"/>
                <w:szCs w:val="20"/>
              </w:rPr>
              <w:t>204</w:t>
            </w:r>
          </w:p>
        </w:tc>
      </w:tr>
      <w:tr w:rsidR="005F4D72" w:rsidRPr="00F47DE3" w14:paraId="5633C8BC" w14:textId="77777777" w:rsidTr="008B5F05">
        <w:trPr>
          <w:jc w:val="center"/>
        </w:trPr>
        <w:tc>
          <w:tcPr>
            <w:tcW w:w="2049" w:type="dxa"/>
          </w:tcPr>
          <w:p w14:paraId="097488AD" w14:textId="77777777" w:rsidR="005F4D72" w:rsidRPr="00637386" w:rsidRDefault="005F4D72" w:rsidP="008B5F05">
            <w:pPr>
              <w:pStyle w:val="msonormalcxspmiddle"/>
              <w:spacing w:after="0" w:afterAutospacing="0"/>
              <w:contextualSpacing/>
              <w:jc w:val="center"/>
              <w:rPr>
                <w:sz w:val="20"/>
                <w:szCs w:val="20"/>
              </w:rPr>
            </w:pPr>
            <w:r w:rsidRPr="00637386">
              <w:rPr>
                <w:sz w:val="20"/>
                <w:szCs w:val="20"/>
              </w:rPr>
              <w:t xml:space="preserve">R$ </w:t>
            </w:r>
            <w:r w:rsidRPr="00637386">
              <w:rPr>
                <w:bCs/>
                <w:color w:val="000000"/>
                <w:sz w:val="20"/>
                <w:szCs w:val="20"/>
              </w:rPr>
              <w:t>2.143</w:t>
            </w:r>
            <w:r w:rsidRPr="00637386">
              <w:rPr>
                <w:sz w:val="20"/>
                <w:szCs w:val="20"/>
              </w:rPr>
              <w:t xml:space="preserve"> − R$ </w:t>
            </w:r>
            <w:r w:rsidRPr="00637386">
              <w:rPr>
                <w:bCs/>
                <w:color w:val="000000"/>
                <w:sz w:val="20"/>
                <w:szCs w:val="20"/>
              </w:rPr>
              <w:t>3.866 (2)</w:t>
            </w:r>
          </w:p>
        </w:tc>
        <w:tc>
          <w:tcPr>
            <w:tcW w:w="1359" w:type="dxa"/>
          </w:tcPr>
          <w:p w14:paraId="56ABF896" w14:textId="77777777" w:rsidR="005F4D72" w:rsidRPr="00637386" w:rsidRDefault="005F4D72" w:rsidP="008B5F05">
            <w:pPr>
              <w:rPr>
                <w:sz w:val="20"/>
                <w:szCs w:val="20"/>
              </w:rPr>
            </w:pPr>
            <w:r w:rsidRPr="00637386">
              <w:rPr>
                <w:sz w:val="20"/>
                <w:szCs w:val="20"/>
              </w:rPr>
              <w:t>270 (34,1%)</w:t>
            </w:r>
          </w:p>
          <w:p w14:paraId="1E6C84FC" w14:textId="77777777" w:rsidR="005F4D72" w:rsidRPr="00637386" w:rsidRDefault="005F4D72" w:rsidP="008B5F05">
            <w:pPr>
              <w:rPr>
                <w:sz w:val="20"/>
                <w:szCs w:val="20"/>
              </w:rPr>
            </w:pPr>
            <w:r w:rsidRPr="00637386">
              <w:rPr>
                <w:sz w:val="20"/>
                <w:szCs w:val="20"/>
              </w:rPr>
              <w:t>(71,2%)</w:t>
            </w:r>
          </w:p>
        </w:tc>
        <w:tc>
          <w:tcPr>
            <w:tcW w:w="1360" w:type="dxa"/>
          </w:tcPr>
          <w:p w14:paraId="44368001" w14:textId="77777777" w:rsidR="005F4D72" w:rsidRPr="00637386" w:rsidRDefault="005F4D72" w:rsidP="008B5F05">
            <w:pPr>
              <w:jc w:val="center"/>
              <w:rPr>
                <w:sz w:val="20"/>
                <w:szCs w:val="20"/>
              </w:rPr>
            </w:pPr>
            <w:r w:rsidRPr="00637386">
              <w:rPr>
                <w:sz w:val="20"/>
                <w:szCs w:val="20"/>
              </w:rPr>
              <w:t>262 (33,1%)</w:t>
            </w:r>
          </w:p>
          <w:p w14:paraId="79D972A3" w14:textId="77777777" w:rsidR="005F4D72" w:rsidRPr="00637386" w:rsidRDefault="005F4D72" w:rsidP="008B5F05">
            <w:pPr>
              <w:rPr>
                <w:sz w:val="20"/>
                <w:szCs w:val="20"/>
              </w:rPr>
            </w:pPr>
            <w:r w:rsidRPr="00637386">
              <w:rPr>
                <w:sz w:val="20"/>
                <w:szCs w:val="20"/>
              </w:rPr>
              <w:t>(64,1%)</w:t>
            </w:r>
          </w:p>
        </w:tc>
        <w:tc>
          <w:tcPr>
            <w:tcW w:w="1360" w:type="dxa"/>
          </w:tcPr>
          <w:p w14:paraId="260FD3F9" w14:textId="77777777" w:rsidR="005F4D72" w:rsidRPr="00637386" w:rsidRDefault="005F4D72" w:rsidP="008B5F05">
            <w:pPr>
              <w:jc w:val="center"/>
              <w:rPr>
                <w:sz w:val="20"/>
                <w:szCs w:val="20"/>
              </w:rPr>
            </w:pPr>
            <w:r w:rsidRPr="00637386">
              <w:rPr>
                <w:sz w:val="20"/>
                <w:szCs w:val="20"/>
              </w:rPr>
              <w:t>253 (31,9%)</w:t>
            </w:r>
          </w:p>
          <w:p w14:paraId="4843BB91" w14:textId="77777777" w:rsidR="005F4D72" w:rsidRPr="00637386" w:rsidRDefault="005F4D72" w:rsidP="008B5F05">
            <w:pPr>
              <w:rPr>
                <w:sz w:val="20"/>
                <w:szCs w:val="20"/>
              </w:rPr>
            </w:pPr>
            <w:r w:rsidRPr="00637386">
              <w:rPr>
                <w:sz w:val="20"/>
                <w:szCs w:val="20"/>
              </w:rPr>
              <w:t>(62,0%)</w:t>
            </w:r>
          </w:p>
        </w:tc>
        <w:tc>
          <w:tcPr>
            <w:tcW w:w="1360" w:type="dxa"/>
          </w:tcPr>
          <w:p w14:paraId="697F87C9" w14:textId="77777777" w:rsidR="005F4D72" w:rsidRPr="00637386" w:rsidRDefault="005F4D72" w:rsidP="008B5F05">
            <w:pPr>
              <w:jc w:val="center"/>
              <w:rPr>
                <w:sz w:val="20"/>
                <w:szCs w:val="20"/>
              </w:rPr>
            </w:pPr>
            <w:r w:rsidRPr="00637386">
              <w:rPr>
                <w:sz w:val="20"/>
                <w:szCs w:val="20"/>
              </w:rPr>
              <w:t>7 (0,9%)</w:t>
            </w:r>
          </w:p>
          <w:p w14:paraId="5C890941" w14:textId="77777777" w:rsidR="005F4D72" w:rsidRPr="00637386" w:rsidRDefault="005F4D72" w:rsidP="008B5F05">
            <w:pPr>
              <w:rPr>
                <w:sz w:val="20"/>
                <w:szCs w:val="20"/>
              </w:rPr>
            </w:pPr>
            <w:r w:rsidRPr="00637386">
              <w:rPr>
                <w:sz w:val="20"/>
                <w:szCs w:val="20"/>
              </w:rPr>
              <w:t>(21,9%)</w:t>
            </w:r>
          </w:p>
        </w:tc>
        <w:tc>
          <w:tcPr>
            <w:tcW w:w="1232" w:type="dxa"/>
          </w:tcPr>
          <w:p w14:paraId="1034D749" w14:textId="77777777" w:rsidR="005F4D72" w:rsidRPr="00637386" w:rsidRDefault="005F4D72" w:rsidP="008B5F05">
            <w:pPr>
              <w:jc w:val="center"/>
              <w:rPr>
                <w:sz w:val="20"/>
                <w:szCs w:val="20"/>
              </w:rPr>
            </w:pPr>
            <w:r w:rsidRPr="00637386">
              <w:rPr>
                <w:sz w:val="20"/>
                <w:szCs w:val="20"/>
              </w:rPr>
              <w:t>792</w:t>
            </w:r>
          </w:p>
        </w:tc>
      </w:tr>
      <w:tr w:rsidR="005F4D72" w:rsidRPr="00F47DE3" w14:paraId="6A2010E1" w14:textId="77777777" w:rsidTr="008B5F05">
        <w:trPr>
          <w:jc w:val="center"/>
        </w:trPr>
        <w:tc>
          <w:tcPr>
            <w:tcW w:w="2049" w:type="dxa"/>
          </w:tcPr>
          <w:p w14:paraId="1BA8BD80" w14:textId="77777777" w:rsidR="005F4D72" w:rsidRPr="00637386" w:rsidRDefault="005F4D72" w:rsidP="008B5F05">
            <w:pPr>
              <w:pStyle w:val="msonormalcxspmiddle"/>
              <w:spacing w:after="0" w:afterAutospacing="0"/>
              <w:contextualSpacing/>
              <w:jc w:val="center"/>
              <w:rPr>
                <w:sz w:val="20"/>
                <w:szCs w:val="20"/>
              </w:rPr>
            </w:pPr>
            <w:r w:rsidRPr="00637386">
              <w:rPr>
                <w:sz w:val="20"/>
                <w:szCs w:val="20"/>
              </w:rPr>
              <w:t xml:space="preserve">R$ </w:t>
            </w:r>
            <w:r w:rsidRPr="00637386">
              <w:rPr>
                <w:bCs/>
                <w:color w:val="000000"/>
                <w:sz w:val="20"/>
                <w:szCs w:val="20"/>
              </w:rPr>
              <w:t>3.866</w:t>
            </w:r>
            <w:r w:rsidRPr="00637386">
              <w:rPr>
                <w:sz w:val="20"/>
                <w:szCs w:val="20"/>
              </w:rPr>
              <w:t xml:space="preserve"> − R$ </w:t>
            </w:r>
            <w:r w:rsidRPr="00637386">
              <w:rPr>
                <w:bCs/>
                <w:color w:val="000000"/>
                <w:sz w:val="20"/>
                <w:szCs w:val="20"/>
              </w:rPr>
              <w:t xml:space="preserve">7.406  (3)   </w:t>
            </w:r>
          </w:p>
        </w:tc>
        <w:tc>
          <w:tcPr>
            <w:tcW w:w="1359" w:type="dxa"/>
          </w:tcPr>
          <w:p w14:paraId="337A8BE0" w14:textId="77777777" w:rsidR="005F4D72" w:rsidRPr="00637386" w:rsidRDefault="005F4D72" w:rsidP="008B5F05">
            <w:pPr>
              <w:jc w:val="center"/>
              <w:rPr>
                <w:sz w:val="20"/>
                <w:szCs w:val="20"/>
              </w:rPr>
            </w:pPr>
            <w:r w:rsidRPr="00637386">
              <w:rPr>
                <w:sz w:val="20"/>
                <w:szCs w:val="20"/>
              </w:rPr>
              <w:t>30 (16,9%)</w:t>
            </w:r>
          </w:p>
          <w:p w14:paraId="7F54E8F0" w14:textId="77777777" w:rsidR="005F4D72" w:rsidRPr="00637386" w:rsidRDefault="005F4D72" w:rsidP="008B5F05">
            <w:pPr>
              <w:rPr>
                <w:sz w:val="20"/>
                <w:szCs w:val="20"/>
              </w:rPr>
            </w:pPr>
            <w:r w:rsidRPr="00637386">
              <w:rPr>
                <w:sz w:val="20"/>
                <w:szCs w:val="20"/>
              </w:rPr>
              <w:t>(7,9%)</w:t>
            </w:r>
          </w:p>
        </w:tc>
        <w:tc>
          <w:tcPr>
            <w:tcW w:w="1360" w:type="dxa"/>
          </w:tcPr>
          <w:p w14:paraId="777933D9" w14:textId="77777777" w:rsidR="005F4D72" w:rsidRPr="00637386" w:rsidRDefault="005F4D72" w:rsidP="008B5F05">
            <w:pPr>
              <w:jc w:val="center"/>
              <w:rPr>
                <w:sz w:val="20"/>
                <w:szCs w:val="20"/>
              </w:rPr>
            </w:pPr>
            <w:r w:rsidRPr="00637386">
              <w:rPr>
                <w:sz w:val="20"/>
                <w:szCs w:val="20"/>
              </w:rPr>
              <w:t>79 (44,6%)</w:t>
            </w:r>
          </w:p>
          <w:p w14:paraId="7FC704FD" w14:textId="77777777" w:rsidR="005F4D72" w:rsidRPr="00637386" w:rsidRDefault="005F4D72" w:rsidP="008B5F05">
            <w:pPr>
              <w:rPr>
                <w:sz w:val="20"/>
                <w:szCs w:val="20"/>
              </w:rPr>
            </w:pPr>
            <w:r w:rsidRPr="00637386">
              <w:rPr>
                <w:sz w:val="20"/>
                <w:szCs w:val="20"/>
              </w:rPr>
              <w:t>(19,3%)</w:t>
            </w:r>
          </w:p>
        </w:tc>
        <w:tc>
          <w:tcPr>
            <w:tcW w:w="1360" w:type="dxa"/>
          </w:tcPr>
          <w:p w14:paraId="1117532D" w14:textId="77777777" w:rsidR="005F4D72" w:rsidRPr="00637386" w:rsidRDefault="005F4D72" w:rsidP="008B5F05">
            <w:pPr>
              <w:jc w:val="center"/>
              <w:rPr>
                <w:sz w:val="20"/>
                <w:szCs w:val="20"/>
              </w:rPr>
            </w:pPr>
            <w:r w:rsidRPr="00637386">
              <w:rPr>
                <w:sz w:val="20"/>
                <w:szCs w:val="20"/>
              </w:rPr>
              <w:t>56 (31,6%)</w:t>
            </w:r>
          </w:p>
          <w:p w14:paraId="46DEA32A" w14:textId="77777777" w:rsidR="005F4D72" w:rsidRPr="00637386" w:rsidRDefault="005F4D72" w:rsidP="008B5F05">
            <w:pPr>
              <w:rPr>
                <w:sz w:val="20"/>
                <w:szCs w:val="20"/>
              </w:rPr>
            </w:pPr>
            <w:r w:rsidRPr="00637386">
              <w:rPr>
                <w:sz w:val="20"/>
                <w:szCs w:val="20"/>
              </w:rPr>
              <w:t>(13,7%)</w:t>
            </w:r>
          </w:p>
        </w:tc>
        <w:tc>
          <w:tcPr>
            <w:tcW w:w="1360" w:type="dxa"/>
          </w:tcPr>
          <w:p w14:paraId="6626567A" w14:textId="77777777" w:rsidR="005F4D72" w:rsidRPr="00637386" w:rsidRDefault="005F4D72" w:rsidP="008B5F05">
            <w:pPr>
              <w:jc w:val="center"/>
              <w:rPr>
                <w:sz w:val="20"/>
                <w:szCs w:val="20"/>
              </w:rPr>
            </w:pPr>
            <w:r w:rsidRPr="00637386">
              <w:rPr>
                <w:sz w:val="20"/>
                <w:szCs w:val="20"/>
              </w:rPr>
              <w:t>12 (6,8%)</w:t>
            </w:r>
          </w:p>
          <w:p w14:paraId="67D06674" w14:textId="77777777" w:rsidR="005F4D72" w:rsidRPr="00637386" w:rsidRDefault="005F4D72" w:rsidP="008B5F05">
            <w:pPr>
              <w:rPr>
                <w:sz w:val="20"/>
                <w:szCs w:val="20"/>
              </w:rPr>
            </w:pPr>
            <w:r w:rsidRPr="00637386">
              <w:rPr>
                <w:sz w:val="20"/>
                <w:szCs w:val="20"/>
              </w:rPr>
              <w:t>(37,5%)</w:t>
            </w:r>
          </w:p>
        </w:tc>
        <w:tc>
          <w:tcPr>
            <w:tcW w:w="1232" w:type="dxa"/>
          </w:tcPr>
          <w:p w14:paraId="40F74BB4" w14:textId="77777777" w:rsidR="005F4D72" w:rsidRPr="00637386" w:rsidRDefault="005F4D72" w:rsidP="008B5F05">
            <w:pPr>
              <w:jc w:val="center"/>
              <w:rPr>
                <w:sz w:val="20"/>
                <w:szCs w:val="20"/>
              </w:rPr>
            </w:pPr>
            <w:r w:rsidRPr="00637386">
              <w:rPr>
                <w:sz w:val="20"/>
                <w:szCs w:val="20"/>
              </w:rPr>
              <w:t>177</w:t>
            </w:r>
          </w:p>
        </w:tc>
      </w:tr>
      <w:tr w:rsidR="005F4D72" w:rsidRPr="00F47DE3" w14:paraId="796F252A" w14:textId="77777777" w:rsidTr="008B5F05">
        <w:trPr>
          <w:jc w:val="center"/>
        </w:trPr>
        <w:tc>
          <w:tcPr>
            <w:tcW w:w="2049" w:type="dxa"/>
            <w:tcBorders>
              <w:bottom w:val="single" w:sz="4" w:space="0" w:color="auto"/>
            </w:tcBorders>
          </w:tcPr>
          <w:p w14:paraId="6B34756E" w14:textId="77777777" w:rsidR="005F4D72" w:rsidRPr="00637386" w:rsidRDefault="005F4D72" w:rsidP="008B5F05">
            <w:pPr>
              <w:pStyle w:val="msonormalcxspmiddle"/>
              <w:spacing w:after="0" w:afterAutospacing="0"/>
              <w:contextualSpacing/>
              <w:jc w:val="center"/>
              <w:rPr>
                <w:sz w:val="20"/>
                <w:szCs w:val="20"/>
              </w:rPr>
            </w:pPr>
            <w:r w:rsidRPr="00637386">
              <w:rPr>
                <w:sz w:val="20"/>
                <w:szCs w:val="20"/>
              </w:rPr>
              <w:t xml:space="preserve">R$ </w:t>
            </w:r>
            <w:r w:rsidRPr="00637386">
              <w:rPr>
                <w:bCs/>
                <w:color w:val="000000"/>
                <w:sz w:val="20"/>
                <w:szCs w:val="20"/>
              </w:rPr>
              <w:t>7.406 −                 (4)</w:t>
            </w:r>
          </w:p>
        </w:tc>
        <w:tc>
          <w:tcPr>
            <w:tcW w:w="1359" w:type="dxa"/>
            <w:tcBorders>
              <w:bottom w:val="single" w:sz="4" w:space="0" w:color="auto"/>
            </w:tcBorders>
          </w:tcPr>
          <w:p w14:paraId="5689FA2A" w14:textId="77777777" w:rsidR="005F4D72" w:rsidRPr="00637386" w:rsidRDefault="005F4D72" w:rsidP="008B5F05">
            <w:pPr>
              <w:jc w:val="center"/>
              <w:rPr>
                <w:sz w:val="20"/>
                <w:szCs w:val="20"/>
              </w:rPr>
            </w:pPr>
            <w:r w:rsidRPr="00637386">
              <w:rPr>
                <w:sz w:val="20"/>
                <w:szCs w:val="20"/>
              </w:rPr>
              <w:t>5 (9,1%)</w:t>
            </w:r>
          </w:p>
          <w:p w14:paraId="064F0B2E" w14:textId="77777777" w:rsidR="005F4D72" w:rsidRPr="00637386" w:rsidRDefault="005F4D72" w:rsidP="008B5F05">
            <w:pPr>
              <w:rPr>
                <w:sz w:val="20"/>
                <w:szCs w:val="20"/>
              </w:rPr>
            </w:pPr>
            <w:r w:rsidRPr="00637386">
              <w:rPr>
                <w:sz w:val="20"/>
                <w:szCs w:val="20"/>
              </w:rPr>
              <w:t>(1,3%)</w:t>
            </w:r>
          </w:p>
        </w:tc>
        <w:tc>
          <w:tcPr>
            <w:tcW w:w="1360" w:type="dxa"/>
            <w:tcBorders>
              <w:bottom w:val="single" w:sz="4" w:space="0" w:color="auto"/>
            </w:tcBorders>
          </w:tcPr>
          <w:p w14:paraId="216CA919" w14:textId="77777777" w:rsidR="005F4D72" w:rsidRPr="00637386" w:rsidRDefault="005F4D72" w:rsidP="008B5F05">
            <w:pPr>
              <w:jc w:val="center"/>
              <w:rPr>
                <w:sz w:val="20"/>
                <w:szCs w:val="20"/>
              </w:rPr>
            </w:pPr>
            <w:r w:rsidRPr="00637386">
              <w:rPr>
                <w:sz w:val="20"/>
                <w:szCs w:val="20"/>
              </w:rPr>
              <w:t>14 (25,5%)</w:t>
            </w:r>
          </w:p>
          <w:p w14:paraId="609FDF33" w14:textId="77777777" w:rsidR="005F4D72" w:rsidRPr="00637386" w:rsidRDefault="005F4D72" w:rsidP="008B5F05">
            <w:pPr>
              <w:rPr>
                <w:sz w:val="20"/>
                <w:szCs w:val="20"/>
              </w:rPr>
            </w:pPr>
            <w:r w:rsidRPr="00637386">
              <w:rPr>
                <w:sz w:val="20"/>
                <w:szCs w:val="20"/>
              </w:rPr>
              <w:t>(3,4%)</w:t>
            </w:r>
          </w:p>
        </w:tc>
        <w:tc>
          <w:tcPr>
            <w:tcW w:w="1360" w:type="dxa"/>
            <w:tcBorders>
              <w:bottom w:val="single" w:sz="4" w:space="0" w:color="auto"/>
            </w:tcBorders>
          </w:tcPr>
          <w:p w14:paraId="70428D6D" w14:textId="77777777" w:rsidR="005F4D72" w:rsidRPr="00637386" w:rsidRDefault="005F4D72" w:rsidP="008B5F05">
            <w:pPr>
              <w:jc w:val="center"/>
              <w:rPr>
                <w:sz w:val="20"/>
                <w:szCs w:val="20"/>
              </w:rPr>
            </w:pPr>
            <w:r w:rsidRPr="00637386">
              <w:rPr>
                <w:sz w:val="20"/>
                <w:szCs w:val="20"/>
              </w:rPr>
              <w:t>23 (41,8%)</w:t>
            </w:r>
          </w:p>
          <w:p w14:paraId="44389000" w14:textId="77777777" w:rsidR="005F4D72" w:rsidRPr="00637386" w:rsidRDefault="005F4D72" w:rsidP="008B5F05">
            <w:pPr>
              <w:rPr>
                <w:sz w:val="20"/>
                <w:szCs w:val="20"/>
              </w:rPr>
            </w:pPr>
            <w:r w:rsidRPr="00637386">
              <w:rPr>
                <w:sz w:val="20"/>
                <w:szCs w:val="20"/>
              </w:rPr>
              <w:t>(5,6%)</w:t>
            </w:r>
          </w:p>
        </w:tc>
        <w:tc>
          <w:tcPr>
            <w:tcW w:w="1360" w:type="dxa"/>
            <w:tcBorders>
              <w:bottom w:val="single" w:sz="4" w:space="0" w:color="auto"/>
            </w:tcBorders>
          </w:tcPr>
          <w:p w14:paraId="48F91E26" w14:textId="77777777" w:rsidR="005F4D72" w:rsidRPr="00637386" w:rsidRDefault="005F4D72" w:rsidP="008B5F05">
            <w:pPr>
              <w:jc w:val="center"/>
              <w:rPr>
                <w:sz w:val="20"/>
                <w:szCs w:val="20"/>
              </w:rPr>
            </w:pPr>
            <w:r w:rsidRPr="00637386">
              <w:rPr>
                <w:sz w:val="20"/>
                <w:szCs w:val="20"/>
              </w:rPr>
              <w:t>13 (23,6%)</w:t>
            </w:r>
          </w:p>
          <w:p w14:paraId="180682F4" w14:textId="77777777" w:rsidR="005F4D72" w:rsidRPr="00637386" w:rsidRDefault="005F4D72" w:rsidP="008B5F05">
            <w:pPr>
              <w:rPr>
                <w:sz w:val="20"/>
                <w:szCs w:val="20"/>
              </w:rPr>
            </w:pPr>
            <w:r w:rsidRPr="00637386">
              <w:rPr>
                <w:sz w:val="20"/>
                <w:szCs w:val="20"/>
              </w:rPr>
              <w:t>(40,6%)</w:t>
            </w:r>
          </w:p>
        </w:tc>
        <w:tc>
          <w:tcPr>
            <w:tcW w:w="1232" w:type="dxa"/>
            <w:tcBorders>
              <w:bottom w:val="single" w:sz="4" w:space="0" w:color="auto"/>
            </w:tcBorders>
          </w:tcPr>
          <w:p w14:paraId="4CDA9ABD" w14:textId="77777777" w:rsidR="005F4D72" w:rsidRPr="00637386" w:rsidRDefault="005F4D72" w:rsidP="008B5F05">
            <w:pPr>
              <w:jc w:val="center"/>
              <w:rPr>
                <w:sz w:val="20"/>
                <w:szCs w:val="20"/>
              </w:rPr>
            </w:pPr>
            <w:r w:rsidRPr="00637386">
              <w:rPr>
                <w:sz w:val="20"/>
                <w:szCs w:val="20"/>
              </w:rPr>
              <w:t>55</w:t>
            </w:r>
          </w:p>
        </w:tc>
      </w:tr>
      <w:tr w:rsidR="005F4D72" w:rsidRPr="00F47DE3" w14:paraId="3B508EF8" w14:textId="77777777" w:rsidTr="008B5F05">
        <w:trPr>
          <w:jc w:val="center"/>
        </w:trPr>
        <w:tc>
          <w:tcPr>
            <w:tcW w:w="2049" w:type="dxa"/>
            <w:tcBorders>
              <w:top w:val="single" w:sz="4" w:space="0" w:color="auto"/>
              <w:bottom w:val="single" w:sz="4" w:space="0" w:color="auto"/>
            </w:tcBorders>
          </w:tcPr>
          <w:p w14:paraId="37F1BAAA" w14:textId="77777777" w:rsidR="005F4D72" w:rsidRPr="00637386" w:rsidRDefault="005F4D72" w:rsidP="008B5F05">
            <w:pPr>
              <w:pStyle w:val="msonormalcxspmiddle"/>
              <w:spacing w:after="0" w:afterAutospacing="0"/>
              <w:contextualSpacing/>
              <w:jc w:val="center"/>
              <w:rPr>
                <w:sz w:val="20"/>
                <w:szCs w:val="20"/>
              </w:rPr>
            </w:pPr>
            <w:r w:rsidRPr="00637386">
              <w:rPr>
                <w:sz w:val="20"/>
                <w:szCs w:val="20"/>
              </w:rPr>
              <w:t xml:space="preserve">Total </w:t>
            </w:r>
          </w:p>
        </w:tc>
        <w:tc>
          <w:tcPr>
            <w:tcW w:w="1359" w:type="dxa"/>
            <w:tcBorders>
              <w:top w:val="single" w:sz="4" w:space="0" w:color="auto"/>
              <w:bottom w:val="single" w:sz="4" w:space="0" w:color="auto"/>
            </w:tcBorders>
          </w:tcPr>
          <w:p w14:paraId="4F92CFB8" w14:textId="77777777" w:rsidR="005F4D72" w:rsidRPr="00637386" w:rsidRDefault="005F4D72" w:rsidP="008B5F05">
            <w:pPr>
              <w:jc w:val="center"/>
              <w:rPr>
                <w:sz w:val="20"/>
                <w:szCs w:val="20"/>
              </w:rPr>
            </w:pPr>
            <w:r w:rsidRPr="00637386">
              <w:rPr>
                <w:sz w:val="20"/>
                <w:szCs w:val="20"/>
              </w:rPr>
              <w:t>379</w:t>
            </w:r>
          </w:p>
        </w:tc>
        <w:tc>
          <w:tcPr>
            <w:tcW w:w="1360" w:type="dxa"/>
            <w:tcBorders>
              <w:top w:val="single" w:sz="4" w:space="0" w:color="auto"/>
              <w:bottom w:val="single" w:sz="4" w:space="0" w:color="auto"/>
            </w:tcBorders>
          </w:tcPr>
          <w:p w14:paraId="4E379604" w14:textId="77777777" w:rsidR="005F4D72" w:rsidRPr="00637386" w:rsidRDefault="005F4D72" w:rsidP="008B5F05">
            <w:pPr>
              <w:jc w:val="center"/>
              <w:rPr>
                <w:sz w:val="20"/>
                <w:szCs w:val="20"/>
              </w:rPr>
            </w:pPr>
            <w:r w:rsidRPr="00637386">
              <w:rPr>
                <w:sz w:val="20"/>
                <w:szCs w:val="20"/>
              </w:rPr>
              <w:t>409</w:t>
            </w:r>
          </w:p>
        </w:tc>
        <w:tc>
          <w:tcPr>
            <w:tcW w:w="1360" w:type="dxa"/>
            <w:tcBorders>
              <w:top w:val="single" w:sz="4" w:space="0" w:color="auto"/>
              <w:bottom w:val="single" w:sz="4" w:space="0" w:color="auto"/>
            </w:tcBorders>
          </w:tcPr>
          <w:p w14:paraId="4582FEEE" w14:textId="77777777" w:rsidR="005F4D72" w:rsidRPr="00637386" w:rsidRDefault="005F4D72" w:rsidP="008B5F05">
            <w:pPr>
              <w:jc w:val="center"/>
              <w:rPr>
                <w:sz w:val="20"/>
                <w:szCs w:val="20"/>
              </w:rPr>
            </w:pPr>
            <w:r w:rsidRPr="00637386">
              <w:rPr>
                <w:sz w:val="20"/>
                <w:szCs w:val="20"/>
              </w:rPr>
              <w:t>408</w:t>
            </w:r>
          </w:p>
        </w:tc>
        <w:tc>
          <w:tcPr>
            <w:tcW w:w="1360" w:type="dxa"/>
            <w:tcBorders>
              <w:top w:val="single" w:sz="4" w:space="0" w:color="auto"/>
              <w:bottom w:val="single" w:sz="4" w:space="0" w:color="auto"/>
            </w:tcBorders>
          </w:tcPr>
          <w:p w14:paraId="4D7AC461" w14:textId="77777777" w:rsidR="005F4D72" w:rsidRPr="00637386" w:rsidRDefault="005F4D72" w:rsidP="008B5F05">
            <w:pPr>
              <w:jc w:val="center"/>
              <w:rPr>
                <w:sz w:val="20"/>
                <w:szCs w:val="20"/>
              </w:rPr>
            </w:pPr>
            <w:r w:rsidRPr="00637386">
              <w:rPr>
                <w:sz w:val="20"/>
                <w:szCs w:val="20"/>
              </w:rPr>
              <w:t>32</w:t>
            </w:r>
          </w:p>
        </w:tc>
        <w:tc>
          <w:tcPr>
            <w:tcW w:w="1232" w:type="dxa"/>
            <w:tcBorders>
              <w:top w:val="single" w:sz="4" w:space="0" w:color="auto"/>
              <w:bottom w:val="single" w:sz="4" w:space="0" w:color="auto"/>
            </w:tcBorders>
          </w:tcPr>
          <w:p w14:paraId="79CCA7DC" w14:textId="77777777" w:rsidR="005F4D72" w:rsidRPr="00637386" w:rsidRDefault="005F4D72" w:rsidP="008B5F05">
            <w:pPr>
              <w:jc w:val="center"/>
              <w:rPr>
                <w:sz w:val="20"/>
                <w:szCs w:val="20"/>
              </w:rPr>
            </w:pPr>
            <w:r w:rsidRPr="00637386">
              <w:rPr>
                <w:sz w:val="20"/>
                <w:szCs w:val="20"/>
              </w:rPr>
              <w:t>1228</w:t>
            </w:r>
          </w:p>
        </w:tc>
      </w:tr>
    </w:tbl>
    <w:p w14:paraId="1C89973D" w14:textId="77777777" w:rsidR="005F4D72" w:rsidRPr="00637386" w:rsidRDefault="005F4D72" w:rsidP="005F4D72">
      <w:pPr>
        <w:ind w:left="851"/>
        <w:rPr>
          <w:sz w:val="16"/>
          <w:szCs w:val="16"/>
        </w:rPr>
      </w:pPr>
      <w:r>
        <w:rPr>
          <w:sz w:val="16"/>
          <w:szCs w:val="16"/>
        </w:rPr>
        <w:t xml:space="preserve">Fonte: </w:t>
      </w:r>
      <w:r w:rsidRPr="00637386">
        <w:rPr>
          <w:sz w:val="16"/>
          <w:szCs w:val="16"/>
        </w:rPr>
        <w:t xml:space="preserve">Elaboração Própria     </w:t>
      </w:r>
    </w:p>
    <w:p w14:paraId="657BBC26" w14:textId="77777777" w:rsidR="005F4D72" w:rsidRDefault="005F4D72" w:rsidP="005F4D72">
      <w:pPr>
        <w:pStyle w:val="msonormalcxspmiddle"/>
        <w:spacing w:before="0" w:beforeAutospacing="0" w:after="0" w:afterAutospacing="0"/>
        <w:ind w:firstLine="1134"/>
        <w:jc w:val="both"/>
      </w:pPr>
      <w:r>
        <w:lastRenderedPageBreak/>
        <w:t xml:space="preserve">As linhas representam os clubes formados pelo PIB per capita inicial, enquanto que as colunas informam a classificação dos municípios segundo a PNDR. Estes podem ser classificados como Baixa Renda (BR), Estagnada (E), Dinâmica (D), e Alta Renda (AR) segundo a combinação tabular </w:t>
      </w:r>
      <w:r w:rsidRPr="001F6937">
        <w:rPr>
          <w:i/>
          <w:iCs/>
        </w:rPr>
        <w:t>ad hoc</w:t>
      </w:r>
      <w:r>
        <w:t xml:space="preserve"> da renda per capita inicial e do crescimento verificado na década de 1990</w:t>
      </w:r>
      <w:r>
        <w:rPr>
          <w:rStyle w:val="Refdenotaderodap"/>
        </w:rPr>
        <w:footnoteReference w:id="14"/>
      </w:r>
      <w:r>
        <w:t xml:space="preserve">. Dos 379 municípios amostrados classificados como de Baixa Renda pelo PNDR, 300 deles estão em clubes de crescimento (Grupo 2 - 270,  e Grupo 3 - 30) que mostraram ser estatisticamente sensíveis aos efeitos do FNE. Desta forma, podemos esperar uma eficácia de aproximadamente 79,1% nos municípios de Baixa Renda se os mesmos recebessem de forma linear o mesmo volume de financiamento </w:t>
      </w:r>
      <w:r w:rsidRPr="008B58DE">
        <w:rPr>
          <w:i/>
        </w:rPr>
        <w:t>per capita</w:t>
      </w:r>
      <w:r>
        <w:t xml:space="preserve">. Nesta mesma perspectiva, as estimativas de eficácia são de 83,4% para os municípios classificados como Estagnados, 75,7% para os Dinâmicos, e 59,4% para os de Alta Renda. </w:t>
      </w:r>
    </w:p>
    <w:p w14:paraId="56EDF876" w14:textId="77777777" w:rsidR="005F4D72" w:rsidRDefault="005F4D72" w:rsidP="005F4D72">
      <w:pPr>
        <w:pStyle w:val="msonormalcxspmiddle"/>
        <w:spacing w:before="120" w:beforeAutospacing="0" w:after="0" w:afterAutospacing="0"/>
        <w:ind w:firstLine="1134"/>
        <w:jc w:val="both"/>
      </w:pPr>
      <w:r>
        <w:t xml:space="preserve">Esta eficácia relativamente menor para os municípios de Alta Renda referenda uma orientação da PNDR de dar prioridade (não exclusiva, vale ressaltar) aos municípios das três primeiras classificações (BR, E, e D), já que o retorno do FNE nestes municípios seria maior. Por outro lado, a constatação de efeitos diferenciados entre os municípios com diferentes níveis econômicos, mostra que é necessário um acompanhamento mais minucioso dos municípios que não estão respondendo adequadamente aos influxos de investimentos. </w:t>
      </w:r>
    </w:p>
    <w:p w14:paraId="0261ADF9" w14:textId="77777777" w:rsidR="005F4D72" w:rsidRDefault="005F4D72" w:rsidP="005F4D72">
      <w:pPr>
        <w:pStyle w:val="msonormalcxspmiddle"/>
        <w:spacing w:before="120" w:beforeAutospacing="0" w:after="0" w:afterAutospacing="0"/>
        <w:ind w:firstLine="1134"/>
        <w:jc w:val="both"/>
      </w:pPr>
      <w:r>
        <w:t xml:space="preserve">Como nestes grupos estão tanto municípios com baixa como de alta renda </w:t>
      </w:r>
      <w:r w:rsidRPr="008B58DE">
        <w:rPr>
          <w:i/>
        </w:rPr>
        <w:t>per capita</w:t>
      </w:r>
      <w:r>
        <w:t xml:space="preserve">, deve-se ter atenção aos fatores específicos locais que formam este gargalo ao crescimento induzido por investimentos. Entre os fatores de oferta, a adequação mercadológica e o monitoramento dos projetos são fundamentais para que os mesmos possam ter a repercussão adequada. Neste aspecto, vale ressaltar que parte dos recursos do FNE destinado aos agricultores familiares (PRONAF) passaram, mais recentemente, a ter um acompanhamento sistematizado por agentes de crédito em programas de microfinanciamentos (AgroAmigo), o que pode ser um fator alentador, especialmente para os municípios de baixa renda com uma maior participação do setor agrícola. Como a consolidação deste programa ocorre após o período investigado neste trabalho, seria importante em pesquisas futuras uma atualização temporal das dinâmicas de crescimento no Nordeste. </w:t>
      </w:r>
    </w:p>
    <w:p w14:paraId="785BDA88" w14:textId="77777777" w:rsidR="005F4D72" w:rsidRDefault="005F4D72" w:rsidP="005F4D72">
      <w:pPr>
        <w:pStyle w:val="msonormalcxspmiddle"/>
        <w:spacing w:before="120" w:beforeAutospacing="0" w:after="0" w:afterAutospacing="0"/>
        <w:ind w:firstLine="1134"/>
        <w:jc w:val="both"/>
      </w:pPr>
      <w:r>
        <w:t xml:space="preserve">Pelo lado da demanda também é importante a organização estruturada dos agentes econômicos locais para que os mesmos possam desenvolver e aplicar suas capacidades empreendedoras de forma coordenada. Neste intuito, vale a interação entre governo local, agências financiadoras, e instituições de apoio técnico e científico, para que o investimento torne-se fator de produção e de produtividade sustentado, antes que um condicionante apenas replicador do contexto econômico atual.   </w:t>
      </w:r>
    </w:p>
    <w:p w14:paraId="76DB92A2" w14:textId="77777777" w:rsidR="005F4D72" w:rsidRDefault="005F4D72" w:rsidP="005F4D72">
      <w:pPr>
        <w:pStyle w:val="msonormalcxspmiddle"/>
        <w:spacing w:before="0" w:beforeAutospacing="0" w:after="0" w:afterAutospacing="0"/>
        <w:ind w:firstLine="708"/>
        <w:jc w:val="both"/>
      </w:pPr>
    </w:p>
    <w:p w14:paraId="6095521A" w14:textId="77777777" w:rsidR="005F4D72" w:rsidRDefault="005F4D72" w:rsidP="005F4D72">
      <w:pPr>
        <w:pStyle w:val="msonormalcxspmiddle"/>
        <w:spacing w:before="0" w:beforeAutospacing="0" w:after="0" w:afterAutospacing="0"/>
        <w:ind w:firstLine="708"/>
        <w:jc w:val="both"/>
      </w:pPr>
      <w:r>
        <w:t xml:space="preserve"> </w:t>
      </w:r>
    </w:p>
    <w:p w14:paraId="5B7B9605" w14:textId="77777777" w:rsidR="005F4D72" w:rsidRPr="00202415" w:rsidRDefault="005F4D72" w:rsidP="005F4D72">
      <w:pPr>
        <w:rPr>
          <w:b/>
          <w:bCs/>
        </w:rPr>
      </w:pPr>
      <w:r>
        <w:rPr>
          <w:b/>
          <w:bCs/>
        </w:rPr>
        <w:t>5. Considerações Finais</w:t>
      </w:r>
    </w:p>
    <w:p w14:paraId="2F373135" w14:textId="77777777" w:rsidR="005F4D72" w:rsidRPr="006148EB" w:rsidRDefault="005F4D72" w:rsidP="005F4D72">
      <w:pPr>
        <w:spacing w:before="120"/>
        <w:ind w:firstLine="1134"/>
      </w:pPr>
    </w:p>
    <w:p w14:paraId="73678D9A" w14:textId="77777777" w:rsidR="005F4D72" w:rsidRPr="006148EB" w:rsidRDefault="005F4D72" w:rsidP="005F4D72">
      <w:pPr>
        <w:spacing w:before="120"/>
        <w:ind w:firstLine="1134"/>
        <w:jc w:val="both"/>
      </w:pPr>
      <w:r w:rsidRPr="006148EB">
        <w:t xml:space="preserve">Neste artigo </w:t>
      </w:r>
      <w:r>
        <w:t>procurou-se</w:t>
      </w:r>
      <w:r w:rsidRPr="006148EB">
        <w:t xml:space="preserve"> verificar o impacto do Fundo Constitucional </w:t>
      </w:r>
      <w:r>
        <w:t xml:space="preserve">de Financiamento </w:t>
      </w:r>
      <w:r w:rsidRPr="006148EB">
        <w:t xml:space="preserve">do Nordeste (FNE) no crescimento econômico dos municípios do Nordeste durante a década de 2000. Para isto </w:t>
      </w:r>
      <w:r>
        <w:t>foi utilizado</w:t>
      </w:r>
      <w:r w:rsidRPr="006148EB">
        <w:t xml:space="preserve"> um referencial empírico baseado em modelos de convergência (Barro e Sala-i-Martin, 1991) com a inclusão da possibilidade de efeitos/impactos diferenciados pelo nível de desenvolvimento inicial do município (Durlauf e Johson, 1995). </w:t>
      </w:r>
    </w:p>
    <w:p w14:paraId="66B0347F" w14:textId="77777777" w:rsidR="005F4D72" w:rsidRPr="006148EB" w:rsidRDefault="005F4D72" w:rsidP="005F4D72">
      <w:pPr>
        <w:spacing w:before="120"/>
        <w:ind w:firstLine="1134"/>
        <w:jc w:val="both"/>
      </w:pPr>
      <w:r w:rsidRPr="006148EB">
        <w:t xml:space="preserve">Um diferencial da utilização de modelos não-lineares é a determinação endógena de “clubes” de municípios que apresentam padrões de crescimento similares entre si, e diferentes (estatisticamente) entre os grupos. Esta diferenciação de efeitos foi testada para </w:t>
      </w:r>
      <w:r>
        <w:t>o crescimento do PIB per capita nos municípios do Nordeste no período de 2002 a 2008, e e</w:t>
      </w:r>
      <w:r w:rsidRPr="006148EB">
        <w:t xml:space="preserve">m todos os modelos foi constatada a existência de efeitos diferenciados por nível de PIB per capita inicial dos municípios. No entanto, os resultados apresentaram padrões de efeitos do FNE diferenciados para cada variável de resultado. </w:t>
      </w:r>
    </w:p>
    <w:p w14:paraId="10DAC72E" w14:textId="77777777" w:rsidR="005F4D72" w:rsidRPr="006148EB" w:rsidRDefault="005F4D72" w:rsidP="005F4D72">
      <w:pPr>
        <w:spacing w:before="120"/>
        <w:ind w:firstLine="1134"/>
        <w:jc w:val="both"/>
      </w:pPr>
      <w:r w:rsidRPr="006148EB">
        <w:lastRenderedPageBreak/>
        <w:t xml:space="preserve">Com relação ao modelo de crescimento do PIB </w:t>
      </w:r>
      <w:r w:rsidRPr="00802316">
        <w:rPr>
          <w:i/>
        </w:rPr>
        <w:t>per capita</w:t>
      </w:r>
      <w:r w:rsidRPr="006148EB">
        <w:t xml:space="preserve">, </w:t>
      </w:r>
      <w:r>
        <w:t xml:space="preserve">foram identificados </w:t>
      </w:r>
      <w:r w:rsidRPr="006148EB">
        <w:t xml:space="preserve">quatro grupos de municípios com efeitos diferenciados. Municípios com PIB </w:t>
      </w:r>
      <w:r w:rsidRPr="00802316">
        <w:rPr>
          <w:i/>
        </w:rPr>
        <w:t>per capita</w:t>
      </w:r>
      <w:r w:rsidRPr="006148EB">
        <w:t xml:space="preserve"> até R$ 2.143 (20</w:t>
      </w:r>
      <w:r>
        <w:t>4</w:t>
      </w:r>
      <w:r w:rsidRPr="006148EB">
        <w:t xml:space="preserve"> municípios) e aqueles com valores superiores a R$ 7.406 (5</w:t>
      </w:r>
      <w:r>
        <w:t>5</w:t>
      </w:r>
      <w:r w:rsidRPr="006148EB">
        <w:t xml:space="preserve"> municípios) não mostraram efeitos estatisticamente significantes do FNE. Por outro lado, aqueles com PIB per capita intermediários com valores entre R$ 2.143 e R$ 3.866 (79</w:t>
      </w:r>
      <w:r>
        <w:t>2</w:t>
      </w:r>
      <w:r w:rsidRPr="006148EB">
        <w:t xml:space="preserve"> municípios) e entre R$ 3.866 e R$ 7.406 (17</w:t>
      </w:r>
      <w:r>
        <w:t>7</w:t>
      </w:r>
      <w:r w:rsidRPr="006148EB">
        <w:t xml:space="preserve"> municípios) mostraram ter efeitos positivos e estatisticamente significantes. No primeiro grupo, um aumento de 10% no volume de FNE </w:t>
      </w:r>
      <w:r w:rsidRPr="00802316">
        <w:rPr>
          <w:i/>
        </w:rPr>
        <w:t>per capita</w:t>
      </w:r>
      <w:r w:rsidRPr="006148EB">
        <w:t xml:space="preserve"> levaria a um aumento médio de 0,78 pontos percentuais na taxa de crescimento do PIB, enquanto que no segundo grupo o aumento seria de 1,09 pontos percentuais. Estes efeitos são bem expressivos</w:t>
      </w:r>
      <w:r>
        <w:t>,</w:t>
      </w:r>
      <w:r w:rsidRPr="006148EB">
        <w:t xml:space="preserve"> dado o histórico das taxas de crescimento da região. </w:t>
      </w:r>
    </w:p>
    <w:p w14:paraId="3417D76D" w14:textId="77777777" w:rsidR="005F4D72" w:rsidRPr="006148EB" w:rsidRDefault="005F4D72" w:rsidP="005F4D72">
      <w:pPr>
        <w:spacing w:before="120"/>
        <w:ind w:firstLine="1134"/>
        <w:jc w:val="both"/>
      </w:pPr>
      <w:r w:rsidRPr="006148EB">
        <w:t>Em conjunto os resultados apontam para um efeito médio positivo do FNE no crescimento dos municípios do Nordeste no período de 2002 a 2008. Embora o efeito positivo geral seja importante para sancionar este instrumento de política regional é preciso considerar as ressalvas específicas dos resultados e do método. A ausência de impacto no crescimento nos municípios menores economicamente reforça a necessidade de um acompanhamento melhor da quantidade e da qualidade dos recursos destinados a estes municípios</w:t>
      </w:r>
      <w:r>
        <w:t xml:space="preserve">, e como também dos fatores locais que formam os gargalos ao crescimento econômico. </w:t>
      </w:r>
      <w:r w:rsidRPr="006148EB">
        <w:t xml:space="preserve">E o mesmo deve ser dito para os municípios com maior renda. Com relação aos métodos de avaliação, seria importante referendar os efeitos do FNE em modelos de painel, onde a evolução dos valores ano a ano deve ser acompanhada </w:t>
      </w:r>
      <w:r w:rsidRPr="006148EB">
        <w:rPr>
          <w:i/>
          <w:iCs/>
        </w:rPr>
        <w:t>pari-passo</w:t>
      </w:r>
      <w:r w:rsidRPr="006148EB">
        <w:t xml:space="preserve"> pela evolução do crescimento, com uma melhor identificação deste efeito causal.   </w:t>
      </w:r>
    </w:p>
    <w:p w14:paraId="11B02E6B" w14:textId="77777777" w:rsidR="005F4D72" w:rsidRDefault="005F4D72" w:rsidP="005F4D72">
      <w:pPr>
        <w:spacing w:before="120"/>
        <w:ind w:firstLine="1134"/>
        <w:jc w:val="both"/>
        <w:rPr>
          <w:b/>
        </w:rPr>
      </w:pPr>
    </w:p>
    <w:p w14:paraId="2EF16CBB" w14:textId="77777777" w:rsidR="005F4D72" w:rsidRPr="006148EB" w:rsidRDefault="005F4D72" w:rsidP="005F4D72">
      <w:pPr>
        <w:jc w:val="both"/>
        <w:rPr>
          <w:b/>
          <w:lang w:val="en-US"/>
        </w:rPr>
      </w:pPr>
      <w:r>
        <w:rPr>
          <w:b/>
          <w:lang w:val="en-US"/>
        </w:rPr>
        <w:t>Referências</w:t>
      </w:r>
    </w:p>
    <w:p w14:paraId="7EE4FBB3" w14:textId="77777777" w:rsidR="005F4D72" w:rsidRPr="006148EB" w:rsidRDefault="005F4D72" w:rsidP="005F4D72">
      <w:pPr>
        <w:rPr>
          <w:lang w:val="en-US"/>
        </w:rPr>
      </w:pPr>
    </w:p>
    <w:p w14:paraId="319903F4" w14:textId="77777777" w:rsidR="005F4D72" w:rsidRPr="006148EB" w:rsidRDefault="005F4D72" w:rsidP="005F4D72">
      <w:pPr>
        <w:autoSpaceDE w:val="0"/>
        <w:autoSpaceDN w:val="0"/>
        <w:adjustRightInd w:val="0"/>
        <w:spacing w:before="120"/>
        <w:jc w:val="both"/>
        <w:rPr>
          <w:lang w:val="en-US"/>
        </w:rPr>
      </w:pPr>
      <w:r w:rsidRPr="006148EB">
        <w:rPr>
          <w:lang w:val="en-US"/>
        </w:rPr>
        <w:t>AZARIADIS, C.</w:t>
      </w:r>
      <w:r>
        <w:rPr>
          <w:lang w:val="en-US"/>
        </w:rPr>
        <w:t>;</w:t>
      </w:r>
      <w:r w:rsidRPr="006148EB">
        <w:rPr>
          <w:lang w:val="en-US"/>
        </w:rPr>
        <w:t xml:space="preserve"> DRAZEN, A. (1990): "Threshold Externalities in Economic Development," The Quarterly Journal of Economics, MIT Press, vol. 105(2), pages 501</w:t>
      </w:r>
      <w:r w:rsidRPr="006148EB">
        <w:rPr>
          <w:rFonts w:eastAsia="MS Gothic" w:hAnsi="MS Gothic"/>
          <w:lang w:val="en-US"/>
        </w:rPr>
        <w:t>‐</w:t>
      </w:r>
      <w:r w:rsidRPr="006148EB">
        <w:rPr>
          <w:lang w:val="en-US"/>
        </w:rPr>
        <w:t>26, May</w:t>
      </w:r>
      <w:r>
        <w:rPr>
          <w:lang w:val="en-US"/>
        </w:rPr>
        <w:t>.</w:t>
      </w:r>
    </w:p>
    <w:p w14:paraId="56398048" w14:textId="77777777" w:rsidR="005F4D72" w:rsidRPr="006148EB" w:rsidRDefault="005F4D72" w:rsidP="005F4D72">
      <w:pPr>
        <w:autoSpaceDE w:val="0"/>
        <w:autoSpaceDN w:val="0"/>
        <w:adjustRightInd w:val="0"/>
        <w:spacing w:before="120"/>
        <w:jc w:val="both"/>
        <w:rPr>
          <w:rFonts w:eastAsia="Calibri"/>
          <w:iCs/>
          <w:lang w:eastAsia="en-US"/>
        </w:rPr>
      </w:pPr>
      <w:r w:rsidRPr="006148EB">
        <w:rPr>
          <w:rFonts w:eastAsia="Calibri"/>
          <w:iCs/>
          <w:lang w:eastAsia="en-US"/>
        </w:rPr>
        <w:t xml:space="preserve">BANCO DO NORDESTE DO BRASIL (2011) – Fundo Constitucional de Financiamento do Nordeste. Relatório de Resultados e Impactos. Exercício de 2011. </w:t>
      </w:r>
    </w:p>
    <w:p w14:paraId="76FB1F6C" w14:textId="77777777" w:rsidR="005F4D72" w:rsidRPr="006148EB" w:rsidRDefault="005F4D72" w:rsidP="005F4D72">
      <w:pPr>
        <w:autoSpaceDE w:val="0"/>
        <w:autoSpaceDN w:val="0"/>
        <w:adjustRightInd w:val="0"/>
        <w:spacing w:before="120"/>
        <w:jc w:val="both"/>
        <w:rPr>
          <w:lang w:val="en-US"/>
        </w:rPr>
      </w:pPr>
      <w:r w:rsidRPr="006148EB">
        <w:t>BARRO, R.</w:t>
      </w:r>
      <w:r>
        <w:t xml:space="preserve">; </w:t>
      </w:r>
      <w:r w:rsidRPr="006148EB">
        <w:t>SALA-</w:t>
      </w:r>
      <w:r>
        <w:t>i-</w:t>
      </w:r>
      <w:r w:rsidRPr="006148EB">
        <w:t xml:space="preserve">MARTIN, X. (1992) - Convergence. </w:t>
      </w:r>
      <w:r w:rsidRPr="006148EB">
        <w:rPr>
          <w:lang w:val="en-US"/>
        </w:rPr>
        <w:t>Journal of Political Economy, v.100, p.223–51.</w:t>
      </w:r>
    </w:p>
    <w:p w14:paraId="1AF16733" w14:textId="77777777" w:rsidR="005F4D72" w:rsidRPr="006148EB" w:rsidRDefault="005F4D72" w:rsidP="005F4D72">
      <w:pPr>
        <w:autoSpaceDE w:val="0"/>
        <w:autoSpaceDN w:val="0"/>
        <w:adjustRightInd w:val="0"/>
        <w:spacing w:before="120"/>
        <w:jc w:val="both"/>
        <w:rPr>
          <w:rFonts w:eastAsia="Calibri"/>
          <w:lang w:val="en-US" w:eastAsia="en-US"/>
        </w:rPr>
      </w:pPr>
      <w:r w:rsidRPr="006148EB">
        <w:t>BARRO, R.</w:t>
      </w:r>
      <w:r>
        <w:t>;</w:t>
      </w:r>
      <w:r w:rsidRPr="006148EB">
        <w:t xml:space="preserve"> SALA</w:t>
      </w:r>
      <w:r w:rsidRPr="006148EB">
        <w:rPr>
          <w:rFonts w:eastAsia="MS Gothic" w:hAnsi="MS Gothic"/>
        </w:rPr>
        <w:t>‐</w:t>
      </w:r>
      <w:r>
        <w:t>i</w:t>
      </w:r>
      <w:r w:rsidRPr="006148EB">
        <w:rPr>
          <w:rFonts w:eastAsia="MS Gothic" w:hAnsi="MS Gothic"/>
        </w:rPr>
        <w:t>‐</w:t>
      </w:r>
      <w:r w:rsidRPr="006148EB">
        <w:t xml:space="preserve">MARTIN, X. (1991). </w:t>
      </w:r>
      <w:r w:rsidRPr="006148EB">
        <w:rPr>
          <w:lang w:val="en-US"/>
        </w:rPr>
        <w:t>“Convergence across states and regions”, Brookings Papers on Economic Activity 1, p. 107</w:t>
      </w:r>
      <w:r w:rsidRPr="006148EB">
        <w:rPr>
          <w:rFonts w:eastAsia="MS Gothic" w:hAnsi="MS Gothic"/>
          <w:lang w:val="en-US"/>
        </w:rPr>
        <w:t>‐</w:t>
      </w:r>
      <w:r w:rsidRPr="006148EB">
        <w:rPr>
          <w:lang w:val="en-US"/>
        </w:rPr>
        <w:t>182.</w:t>
      </w:r>
      <w:r w:rsidRPr="006148EB">
        <w:rPr>
          <w:rFonts w:eastAsia="Calibri"/>
          <w:lang w:val="en-US" w:eastAsia="en-US"/>
        </w:rPr>
        <w:t xml:space="preserve"> </w:t>
      </w:r>
    </w:p>
    <w:p w14:paraId="3A10D7D5" w14:textId="77777777" w:rsidR="005F4D72" w:rsidRPr="006148EB" w:rsidRDefault="005F4D72" w:rsidP="005F4D72">
      <w:pPr>
        <w:autoSpaceDE w:val="0"/>
        <w:autoSpaceDN w:val="0"/>
        <w:adjustRightInd w:val="0"/>
        <w:spacing w:before="120"/>
        <w:jc w:val="both"/>
        <w:rPr>
          <w:lang w:val="en-US"/>
        </w:rPr>
      </w:pPr>
      <w:r w:rsidRPr="006148EB">
        <w:t>BARRO, R.</w:t>
      </w:r>
      <w:r>
        <w:t>;</w:t>
      </w:r>
      <w:r w:rsidRPr="006148EB">
        <w:t xml:space="preserve"> SALA</w:t>
      </w:r>
      <w:r w:rsidRPr="006148EB">
        <w:rPr>
          <w:rFonts w:eastAsia="MS Gothic" w:hAnsi="MS Gothic"/>
        </w:rPr>
        <w:t>‐</w:t>
      </w:r>
      <w:r>
        <w:t>i</w:t>
      </w:r>
      <w:r w:rsidRPr="006148EB">
        <w:rPr>
          <w:rFonts w:eastAsia="MS Gothic" w:hAnsi="MS Gothic"/>
        </w:rPr>
        <w:t>‐</w:t>
      </w:r>
      <w:r w:rsidRPr="006148EB">
        <w:t xml:space="preserve">MARTIN, X. (1992). </w:t>
      </w:r>
      <w:r w:rsidRPr="006148EB">
        <w:rPr>
          <w:lang w:val="en-US"/>
        </w:rPr>
        <w:t>“Convergence”, Journal of Political Economy 100(2), p. 223</w:t>
      </w:r>
      <w:r w:rsidRPr="006148EB">
        <w:rPr>
          <w:rFonts w:eastAsia="MS Gothic" w:hAnsi="MS Gothic"/>
          <w:lang w:val="en-US"/>
        </w:rPr>
        <w:t>‐</w:t>
      </w:r>
      <w:r w:rsidRPr="006148EB">
        <w:rPr>
          <w:lang w:val="en-US"/>
        </w:rPr>
        <w:t>251.</w:t>
      </w:r>
    </w:p>
    <w:p w14:paraId="3334EB15" w14:textId="77777777" w:rsidR="005F4D72" w:rsidRPr="006148EB" w:rsidRDefault="005F4D72" w:rsidP="005F4D72">
      <w:pPr>
        <w:autoSpaceDE w:val="0"/>
        <w:autoSpaceDN w:val="0"/>
        <w:adjustRightInd w:val="0"/>
        <w:spacing w:before="120"/>
        <w:jc w:val="both"/>
        <w:rPr>
          <w:lang w:val="en-US"/>
        </w:rPr>
      </w:pPr>
      <w:r w:rsidRPr="006148EB">
        <w:rPr>
          <w:lang w:val="en-US"/>
        </w:rPr>
        <w:t>BAUMOL, J, W. (1986): "Productivity Growth, Convergence, and Welfare: What the Long</w:t>
      </w:r>
      <w:r w:rsidRPr="006148EB">
        <w:rPr>
          <w:rFonts w:eastAsia="MS Gothic" w:hAnsi="MS Gothic"/>
          <w:lang w:val="en-US"/>
        </w:rPr>
        <w:t>‐</w:t>
      </w:r>
      <w:r w:rsidRPr="006148EB">
        <w:rPr>
          <w:lang w:val="en-US"/>
        </w:rPr>
        <w:t>Run Data Show" The American Economic Review, vol. 76(5), pages 1072</w:t>
      </w:r>
      <w:r w:rsidRPr="006148EB">
        <w:rPr>
          <w:rFonts w:eastAsia="MS Gothic" w:hAnsi="MS Gothic"/>
          <w:lang w:val="en-US"/>
        </w:rPr>
        <w:t>‐</w:t>
      </w:r>
      <w:r w:rsidRPr="006148EB">
        <w:rPr>
          <w:lang w:val="en-US"/>
        </w:rPr>
        <w:t>1085, December.</w:t>
      </w:r>
    </w:p>
    <w:p w14:paraId="102B6344" w14:textId="77777777" w:rsidR="005F4D72" w:rsidRPr="00541040" w:rsidRDefault="005F4D72" w:rsidP="005F4D72">
      <w:pPr>
        <w:spacing w:before="120"/>
        <w:jc w:val="both"/>
      </w:pPr>
      <w:r w:rsidRPr="00541040">
        <w:t>BRASIL. Lei nº 9.808, de 20 de julho de 1999. Define diretrizes e incentivos fiscais para o desenvolvimento regional e dá outras providências. Disponível em: &lt;http://www.planalto.gov.br&gt;. Acesso em 11 jan. 2010 </w:t>
      </w:r>
    </w:p>
    <w:p w14:paraId="6B8BEAFD" w14:textId="77777777" w:rsidR="005F4D72" w:rsidRPr="00202415" w:rsidRDefault="005F4D72" w:rsidP="005F4D72">
      <w:pPr>
        <w:spacing w:before="120"/>
        <w:jc w:val="both"/>
      </w:pPr>
      <w:r w:rsidRPr="006148EB">
        <w:t xml:space="preserve">CHINELATTO NETO (2007), A. - Relações entre crédito e crescimento econômico no Brasil, </w:t>
      </w:r>
      <w:smartTag w:uri="urn:schemas-microsoft-com:office:smarttags" w:element="metricconverter">
        <w:smartTagPr>
          <w:attr w:name="ProductID" w:val="2000 a"/>
        </w:smartTagPr>
        <w:r w:rsidRPr="006148EB">
          <w:t>2000 a</w:t>
        </w:r>
      </w:smartTag>
      <w:r w:rsidRPr="006148EB">
        <w:t xml:space="preserve"> 2006 - Tese (Doutorado em Economia). </w:t>
      </w:r>
      <w:r w:rsidRPr="00202415">
        <w:t>Universidade Federal de Viçosa, MG</w:t>
      </w:r>
    </w:p>
    <w:p w14:paraId="71C2CA18" w14:textId="77777777" w:rsidR="005F4D72" w:rsidRPr="006148EB" w:rsidRDefault="005F4D72" w:rsidP="005F4D72">
      <w:pPr>
        <w:autoSpaceDE w:val="0"/>
        <w:autoSpaceDN w:val="0"/>
        <w:adjustRightInd w:val="0"/>
        <w:spacing w:before="120"/>
        <w:jc w:val="both"/>
        <w:rPr>
          <w:rFonts w:eastAsia="Calibri"/>
          <w:iCs/>
          <w:lang w:val="en-US" w:eastAsia="en-US"/>
        </w:rPr>
      </w:pPr>
      <w:r w:rsidRPr="006148EB">
        <w:rPr>
          <w:rFonts w:eastAsia="Calibri"/>
          <w:iCs/>
          <w:lang w:val="en-US" w:eastAsia="en-US"/>
        </w:rPr>
        <w:t xml:space="preserve">DALL’ERBA, S.; GUILLAIN, R. e GALLO, J. L. (2011) – Impact of Structural Funds on Regional Growth: How to Reconsider a 7 year-old Black-Box. Working Paper. </w:t>
      </w:r>
    </w:p>
    <w:p w14:paraId="58CFE0FF" w14:textId="77777777" w:rsidR="005F4D72" w:rsidRPr="006148EB" w:rsidRDefault="005F4D72" w:rsidP="005F4D72">
      <w:pPr>
        <w:autoSpaceDE w:val="0"/>
        <w:autoSpaceDN w:val="0"/>
        <w:adjustRightInd w:val="0"/>
        <w:spacing w:before="120"/>
        <w:jc w:val="both"/>
        <w:rPr>
          <w:rFonts w:eastAsia="Calibri"/>
          <w:iCs/>
          <w:lang w:val="en-US" w:eastAsia="en-US"/>
        </w:rPr>
      </w:pPr>
      <w:r w:rsidRPr="006148EB">
        <w:rPr>
          <w:rFonts w:eastAsia="Calibri"/>
          <w:iCs/>
          <w:lang w:val="en-US" w:eastAsia="en-US"/>
        </w:rPr>
        <w:t>DALL’ERBA, S.</w:t>
      </w:r>
      <w:r>
        <w:rPr>
          <w:rFonts w:eastAsia="Calibri"/>
          <w:iCs/>
          <w:lang w:val="en-US" w:eastAsia="en-US"/>
        </w:rPr>
        <w:t>;</w:t>
      </w:r>
      <w:r w:rsidRPr="006148EB">
        <w:rPr>
          <w:rFonts w:eastAsia="Calibri"/>
          <w:iCs/>
          <w:lang w:val="en-US" w:eastAsia="en-US"/>
        </w:rPr>
        <w:t xml:space="preserve"> DE GROOT, H. L. F. (2006) – A meta-analysis of EU regional policy evaluation. </w:t>
      </w:r>
      <w:smartTag w:uri="urn:schemas-microsoft-com:office:smarttags" w:element="place">
        <w:smartTag w:uri="urn:schemas-microsoft-com:office:smarttags" w:element="City">
          <w:r w:rsidRPr="006148EB">
            <w:rPr>
              <w:rFonts w:eastAsia="Calibri"/>
              <w:iCs/>
              <w:lang w:val="en-US" w:eastAsia="en-US"/>
            </w:rPr>
            <w:t>Toronto</w:t>
          </w:r>
        </w:smartTag>
      </w:smartTag>
      <w:r w:rsidRPr="006148EB">
        <w:rPr>
          <w:rFonts w:eastAsia="Calibri"/>
          <w:iCs/>
          <w:lang w:val="en-US" w:eastAsia="en-US"/>
        </w:rPr>
        <w:t xml:space="preserve">. 53rd Annual North American Meetings of the RSAI. </w:t>
      </w:r>
    </w:p>
    <w:p w14:paraId="39F76E3B" w14:textId="77777777" w:rsidR="005F4D72" w:rsidRPr="006148EB" w:rsidRDefault="005F4D72" w:rsidP="005F4D72">
      <w:pPr>
        <w:spacing w:before="120"/>
        <w:jc w:val="both"/>
        <w:rPr>
          <w:lang w:val="en-US"/>
        </w:rPr>
      </w:pPr>
      <w:r w:rsidRPr="006148EB">
        <w:rPr>
          <w:lang w:val="en-US"/>
        </w:rPr>
        <w:t>DURLAUF, S. N.</w:t>
      </w:r>
      <w:r>
        <w:rPr>
          <w:lang w:val="en-US"/>
        </w:rPr>
        <w:t>;</w:t>
      </w:r>
      <w:r w:rsidRPr="006148EB">
        <w:rPr>
          <w:lang w:val="en-US"/>
        </w:rPr>
        <w:t xml:space="preserve"> JOSHON, P. A. (1995) – Multiple regims and cross-country growth behavior – </w:t>
      </w:r>
      <w:r w:rsidRPr="006148EB">
        <w:rPr>
          <w:i/>
          <w:iCs/>
          <w:lang w:val="en-US"/>
        </w:rPr>
        <w:t>Journal of Applied Econometrics</w:t>
      </w:r>
      <w:r w:rsidRPr="006148EB">
        <w:rPr>
          <w:lang w:val="en-US"/>
        </w:rPr>
        <w:t xml:space="preserve">, v. 10 n. 4, p. 365-384. </w:t>
      </w:r>
    </w:p>
    <w:p w14:paraId="644C8DDF" w14:textId="77777777" w:rsidR="005F4D72" w:rsidRPr="006148EB" w:rsidRDefault="005F4D72" w:rsidP="005F4D72">
      <w:pPr>
        <w:autoSpaceDE w:val="0"/>
        <w:autoSpaceDN w:val="0"/>
        <w:adjustRightInd w:val="0"/>
        <w:spacing w:before="120"/>
        <w:jc w:val="both"/>
        <w:rPr>
          <w:lang w:val="en-US"/>
        </w:rPr>
      </w:pPr>
      <w:r w:rsidRPr="006148EB">
        <w:rPr>
          <w:lang w:val="en-US"/>
        </w:rPr>
        <w:lastRenderedPageBreak/>
        <w:t>DURLAUF, S. N.</w:t>
      </w:r>
      <w:r>
        <w:rPr>
          <w:lang w:val="en-US"/>
        </w:rPr>
        <w:t>;</w:t>
      </w:r>
      <w:r w:rsidRPr="006148EB">
        <w:rPr>
          <w:lang w:val="en-US"/>
        </w:rPr>
        <w:t xml:space="preserve"> QUAH, D. T. (1999): "The new empirics of economic growth," Handbook of Macroeconomics, in: J. B. Taylor &amp; M. Woodford (ed.), Handbook of Macroeconomics, edition 1, volume 1, chapter 4, pages 235</w:t>
      </w:r>
      <w:r w:rsidRPr="006148EB">
        <w:rPr>
          <w:rFonts w:eastAsia="MS Gothic" w:hAnsi="MS Gothic"/>
          <w:lang w:val="en-US"/>
        </w:rPr>
        <w:t>‐</w:t>
      </w:r>
      <w:r w:rsidRPr="006148EB">
        <w:rPr>
          <w:lang w:val="en-US"/>
        </w:rPr>
        <w:t>308 Elsevier.</w:t>
      </w:r>
    </w:p>
    <w:p w14:paraId="67EB85F1" w14:textId="77777777" w:rsidR="005F4D72" w:rsidRPr="006148EB" w:rsidRDefault="005F4D72" w:rsidP="005F4D72">
      <w:pPr>
        <w:autoSpaceDE w:val="0"/>
        <w:autoSpaceDN w:val="0"/>
        <w:adjustRightInd w:val="0"/>
        <w:spacing w:before="120"/>
        <w:rPr>
          <w:lang w:val="en-US"/>
        </w:rPr>
      </w:pPr>
      <w:r w:rsidRPr="006148EB">
        <w:rPr>
          <w:lang w:val="en-US"/>
        </w:rPr>
        <w:t xml:space="preserve">DURLAUF, S. N.; JOHNSON, P. A.; </w:t>
      </w:r>
      <w:smartTag w:uri="urn:schemas-microsoft-com:office:smarttags" w:element="place">
        <w:smartTag w:uri="urn:schemas-microsoft-com:office:smarttags" w:element="City">
          <w:r w:rsidRPr="006148EB">
            <w:rPr>
              <w:lang w:val="en-US"/>
            </w:rPr>
            <w:t>TEMPLE</w:t>
          </w:r>
        </w:smartTag>
      </w:smartTag>
      <w:r w:rsidRPr="006148EB">
        <w:rPr>
          <w:lang w:val="en-US"/>
        </w:rPr>
        <w:t>, J. R. W. (2004): "Growth econometrics." [S.l.: s.n.], 2004. (Working Paper, n. 61).</w:t>
      </w:r>
    </w:p>
    <w:p w14:paraId="517E57E6" w14:textId="77777777" w:rsidR="005F4D72" w:rsidRPr="006148EB" w:rsidRDefault="005F4D72" w:rsidP="005F4D72">
      <w:pPr>
        <w:autoSpaceDE w:val="0"/>
        <w:autoSpaceDN w:val="0"/>
        <w:adjustRightInd w:val="0"/>
        <w:spacing w:before="120"/>
        <w:rPr>
          <w:lang w:val="en-US"/>
        </w:rPr>
      </w:pPr>
      <w:r w:rsidRPr="006148EB">
        <w:rPr>
          <w:lang w:val="en-US"/>
        </w:rPr>
        <w:t>HANSEN, B. E. (1996): Inference when a nuisance parameter is not identiffed under the null hypothesis". Econometrica 64: 413</w:t>
      </w:r>
      <w:r w:rsidRPr="006148EB">
        <w:rPr>
          <w:rFonts w:eastAsia="MS Gothic" w:hAnsi="MS Gothic"/>
          <w:lang w:val="en-US"/>
        </w:rPr>
        <w:t>‐</w:t>
      </w:r>
      <w:r w:rsidRPr="006148EB">
        <w:rPr>
          <w:lang w:val="en-US"/>
        </w:rPr>
        <w:t>30.</w:t>
      </w:r>
    </w:p>
    <w:p w14:paraId="76FEFB3A" w14:textId="77777777" w:rsidR="005F4D72" w:rsidRPr="006148EB" w:rsidRDefault="005F4D72" w:rsidP="005F4D72">
      <w:pPr>
        <w:autoSpaceDE w:val="0"/>
        <w:autoSpaceDN w:val="0"/>
        <w:adjustRightInd w:val="0"/>
        <w:spacing w:before="120"/>
        <w:jc w:val="both"/>
        <w:rPr>
          <w:lang w:val="en-US"/>
        </w:rPr>
      </w:pPr>
      <w:r w:rsidRPr="006148EB">
        <w:rPr>
          <w:lang w:val="en-US"/>
        </w:rPr>
        <w:t>HANSEN, B. E. (2000) "Sample splitting and threshold estimation”. econometrica, v. 68, p. 575</w:t>
      </w:r>
      <w:r w:rsidRPr="006148EB">
        <w:rPr>
          <w:rFonts w:eastAsia="MS Gothic" w:hAnsi="MS Gothic"/>
          <w:lang w:val="en-US"/>
        </w:rPr>
        <w:t>‐</w:t>
      </w:r>
      <w:r w:rsidRPr="006148EB">
        <w:rPr>
          <w:lang w:val="en-US"/>
        </w:rPr>
        <w:t>603</w:t>
      </w:r>
      <w:r w:rsidRPr="006148EB">
        <w:rPr>
          <w:rFonts w:ascii="Calibri-Italic" w:hAnsi="Calibri-Italic" w:cs="Calibri-Italic"/>
          <w:lang w:val="en-US"/>
        </w:rPr>
        <w:t>.</w:t>
      </w:r>
    </w:p>
    <w:p w14:paraId="2EF8D6C2" w14:textId="77777777" w:rsidR="005F4D72" w:rsidRPr="006148EB" w:rsidRDefault="005F4D72" w:rsidP="005F4D72">
      <w:pPr>
        <w:autoSpaceDE w:val="0"/>
        <w:autoSpaceDN w:val="0"/>
        <w:adjustRightInd w:val="0"/>
        <w:spacing w:before="120"/>
        <w:jc w:val="both"/>
        <w:rPr>
          <w:lang w:val="en-US"/>
        </w:rPr>
      </w:pPr>
      <w:r w:rsidRPr="006148EB">
        <w:rPr>
          <w:lang w:val="en-US"/>
        </w:rPr>
        <w:t>MANKIW, N.</w:t>
      </w:r>
      <w:r>
        <w:rPr>
          <w:lang w:val="en-US"/>
        </w:rPr>
        <w:t>;</w:t>
      </w:r>
      <w:r w:rsidRPr="006148EB">
        <w:rPr>
          <w:lang w:val="en-US"/>
        </w:rPr>
        <w:t xml:space="preserve"> ROMER, G. D.</w:t>
      </w:r>
      <w:r>
        <w:rPr>
          <w:lang w:val="en-US"/>
        </w:rPr>
        <w:t xml:space="preserve">; </w:t>
      </w:r>
      <w:r w:rsidRPr="006148EB">
        <w:rPr>
          <w:lang w:val="en-US"/>
        </w:rPr>
        <w:t>WEIL, D. N. (1992) “A Contribution to the Empirics of Economics”.</w:t>
      </w:r>
    </w:p>
    <w:p w14:paraId="1B539F87" w14:textId="77777777" w:rsidR="005F4D72" w:rsidRPr="006148EB" w:rsidRDefault="005F4D72" w:rsidP="005F4D72">
      <w:pPr>
        <w:autoSpaceDE w:val="0"/>
        <w:autoSpaceDN w:val="0"/>
        <w:adjustRightInd w:val="0"/>
        <w:spacing w:before="120"/>
        <w:jc w:val="both"/>
      </w:pPr>
      <w:r w:rsidRPr="006148EB">
        <w:t>MARQUES JR., T. E.</w:t>
      </w:r>
      <w:r>
        <w:t xml:space="preserve">; </w:t>
      </w:r>
      <w:r w:rsidRPr="006148EB">
        <w:t>PORTO JR. S. S. (2004) - Desenvolvimento financeiro e crescimento econômico no Brasil – Uma avaliação econométrica. PPGE/UFRGS. Trabalho para Discussão. n. 11. 2004.</w:t>
      </w:r>
    </w:p>
    <w:p w14:paraId="721BC9B8" w14:textId="77777777" w:rsidR="005F4D72" w:rsidRPr="006148EB" w:rsidRDefault="005F4D72" w:rsidP="005F4D72">
      <w:pPr>
        <w:autoSpaceDE w:val="0"/>
        <w:autoSpaceDN w:val="0"/>
        <w:adjustRightInd w:val="0"/>
        <w:spacing w:before="120"/>
        <w:jc w:val="both"/>
      </w:pPr>
      <w:r w:rsidRPr="006148EB">
        <w:t>MATOS, O. C. (2002) - Desenvolvimento do sistema financeiro e crescimento econômico no Brasil: Evidência de causalidade - Banco Central do Brasil. Trabalho para Discussão. n. 49. 2002.</w:t>
      </w:r>
    </w:p>
    <w:p w14:paraId="2F168338" w14:textId="77777777" w:rsidR="005F4D72" w:rsidRPr="006148EB" w:rsidRDefault="005F4D72" w:rsidP="005F4D72">
      <w:pPr>
        <w:spacing w:before="120"/>
        <w:jc w:val="both"/>
      </w:pPr>
      <w:r w:rsidRPr="006148EB">
        <w:t xml:space="preserve">MESQUITA, A. M. (1996) – Avaliação Econômica do Fundo Constitucional de Financiamento do Nordeste (FNE) – Dissertação de Mestrado da Universidade Federal de Minas Gerais. </w:t>
      </w:r>
    </w:p>
    <w:p w14:paraId="0DB4BA10" w14:textId="77777777" w:rsidR="005F4D72" w:rsidRPr="006148EB" w:rsidRDefault="005F4D72" w:rsidP="005F4D72">
      <w:pPr>
        <w:spacing w:before="120"/>
        <w:jc w:val="both"/>
      </w:pPr>
      <w:r w:rsidRPr="006148EB">
        <w:t>MINISTÉRIO DA INTEGRAÇÃO NACIONAL MI (2005) – Plano Nacional de Desenvolvimento Regional. SDR/DPR Brasília.</w:t>
      </w:r>
    </w:p>
    <w:p w14:paraId="6952AC8F" w14:textId="77777777" w:rsidR="005F4D72" w:rsidRPr="006148EB" w:rsidRDefault="005F4D72" w:rsidP="005F4D72">
      <w:pPr>
        <w:autoSpaceDE w:val="0"/>
        <w:autoSpaceDN w:val="0"/>
        <w:adjustRightInd w:val="0"/>
        <w:spacing w:before="120"/>
        <w:jc w:val="both"/>
      </w:pPr>
      <w:r w:rsidRPr="006148EB">
        <w:t>OLIVEIRA, H. C.</w:t>
      </w:r>
      <w:r>
        <w:t>;</w:t>
      </w:r>
      <w:r w:rsidRPr="006148EB">
        <w:t xml:space="preserve"> DOMINGUES, E.P. (2005) – Considerações Sobre o Impacto dos Fundos Constitucionais de Financiamento do Norte e do Centro-Oeste na Redução da Desigualdade Regional no Brasil – ANPEC (2005).</w:t>
      </w:r>
    </w:p>
    <w:p w14:paraId="23B2E55C" w14:textId="77777777" w:rsidR="005F4D72" w:rsidRPr="00202415" w:rsidRDefault="005F4D72" w:rsidP="005F4D72">
      <w:pPr>
        <w:spacing w:before="120"/>
        <w:jc w:val="both"/>
      </w:pPr>
      <w:r w:rsidRPr="006148EB">
        <w:t xml:space="preserve">PENNA, C. M. (2011) – Convergência dos PIBs Estaduais Per Capita no Brasil. </w:t>
      </w:r>
      <w:r w:rsidRPr="00202415">
        <w:t xml:space="preserve">Tese Doutorado. CAEN Fortaleza, CE.  </w:t>
      </w:r>
    </w:p>
    <w:p w14:paraId="2115B41E" w14:textId="77777777" w:rsidR="005F4D72" w:rsidRPr="006148EB" w:rsidRDefault="005F4D72" w:rsidP="005F4D72">
      <w:pPr>
        <w:spacing w:before="120"/>
        <w:jc w:val="both"/>
        <w:rPr>
          <w:lang w:val="en-US"/>
        </w:rPr>
      </w:pPr>
      <w:r w:rsidRPr="006148EB">
        <w:rPr>
          <w:lang w:val="en-US"/>
        </w:rPr>
        <w:t xml:space="preserve">RESENDE, G.M. (2010) – Evaluating Micro and Macro Effects of Regional Development Policies: The Case of the Northeast Fund (FNE) in Brazil, 2000-2006. </w:t>
      </w:r>
    </w:p>
    <w:p w14:paraId="58ABB77E" w14:textId="77777777" w:rsidR="005F4D72" w:rsidRPr="006148EB" w:rsidRDefault="005F4D72" w:rsidP="005F4D72">
      <w:pPr>
        <w:spacing w:before="120"/>
        <w:jc w:val="both"/>
        <w:rPr>
          <w:color w:val="000000"/>
        </w:rPr>
      </w:pPr>
      <w:r w:rsidRPr="006148EB">
        <w:t>ROCHA, B. P.</w:t>
      </w:r>
      <w:r>
        <w:t xml:space="preserve">; </w:t>
      </w:r>
      <w:r w:rsidRPr="006148EB">
        <w:t xml:space="preserve">NAKANE, M. I. (2007) - Sistema financeiro e desenvolvimento econômico: Evidências de causalidade em um painel para o Brasil. </w:t>
      </w:r>
      <w:r w:rsidRPr="006148EB">
        <w:rPr>
          <w:color w:val="000000"/>
        </w:rPr>
        <w:t>XX</w:t>
      </w:r>
      <w:r w:rsidRPr="006148EB">
        <w:t xml:space="preserve">XV Encontro Nacional de Economia, Recife, PE, dez. </w:t>
      </w:r>
    </w:p>
    <w:p w14:paraId="4EAB3962" w14:textId="77777777" w:rsidR="005F4D72" w:rsidRPr="006148EB" w:rsidRDefault="005F4D72" w:rsidP="005F4D72">
      <w:pPr>
        <w:spacing w:before="120"/>
        <w:jc w:val="both"/>
      </w:pPr>
      <w:r w:rsidRPr="006148EB">
        <w:t>RODRIGUES, M. T. (1998) – Eficiência Alocativa do Fundo Constitucional de Financiamento do Nordeste (FNE): Uma Visão de Insumo-Produto – Dissertação de Mestrado – ESALQ/USP.</w:t>
      </w:r>
    </w:p>
    <w:p w14:paraId="19C551ED" w14:textId="77777777" w:rsidR="005F4D72" w:rsidRPr="00B17E95" w:rsidRDefault="005F4D72" w:rsidP="005F4D72">
      <w:pPr>
        <w:spacing w:before="120"/>
        <w:jc w:val="both"/>
        <w:rPr>
          <w:lang w:val="en-US"/>
        </w:rPr>
      </w:pPr>
      <w:r w:rsidRPr="00B17E95">
        <w:rPr>
          <w:color w:val="333333"/>
          <w:shd w:val="clear" w:color="auto" w:fill="EFF3F8"/>
          <w:lang w:val="en-US"/>
        </w:rPr>
        <w:t>TSANGARIDES</w:t>
      </w:r>
      <w:r w:rsidRPr="00B17E95">
        <w:rPr>
          <w:lang w:val="en-US"/>
        </w:rPr>
        <w:t xml:space="preserve">, C. G. (2005) – </w:t>
      </w:r>
      <w:r w:rsidRPr="004C62B1">
        <w:rPr>
          <w:bCs/>
          <w:color w:val="333333"/>
          <w:lang w:val="en-US"/>
        </w:rPr>
        <w:t>Growth Empirics under Model Uncertainty: Is Africa Different?</w:t>
      </w:r>
      <w:r w:rsidRPr="00B17E95">
        <w:rPr>
          <w:bCs/>
          <w:color w:val="333333"/>
          <w:lang w:val="en-US"/>
        </w:rPr>
        <w:t xml:space="preserve"> </w:t>
      </w:r>
      <w:r w:rsidRPr="004C62B1">
        <w:rPr>
          <w:lang w:val="en-US"/>
        </w:rPr>
        <w:t>IMF Working Papers</w:t>
      </w:r>
      <w:r w:rsidRPr="00B17E95">
        <w:rPr>
          <w:rStyle w:val="apple-converted-space"/>
          <w:color w:val="333333"/>
          <w:shd w:val="clear" w:color="auto" w:fill="EFF3F8"/>
          <w:lang w:val="en-US"/>
        </w:rPr>
        <w:t xml:space="preserve"> no </w:t>
      </w:r>
      <w:r w:rsidRPr="00B17E95">
        <w:rPr>
          <w:color w:val="333333"/>
          <w:shd w:val="clear" w:color="auto" w:fill="EFF3F8"/>
          <w:lang w:val="en-US"/>
        </w:rPr>
        <w:t>05/18, International Monetary Fund.</w:t>
      </w:r>
    </w:p>
    <w:p w14:paraId="41E4A519" w14:textId="77777777" w:rsidR="005F4D72" w:rsidRPr="00B17E95" w:rsidRDefault="005F4D72" w:rsidP="005F4D72">
      <w:pPr>
        <w:autoSpaceDE w:val="0"/>
        <w:autoSpaceDN w:val="0"/>
        <w:adjustRightInd w:val="0"/>
        <w:rPr>
          <w:rFonts w:eastAsia="Calibri"/>
          <w:lang w:val="en-US" w:eastAsia="en-US"/>
        </w:rPr>
      </w:pPr>
    </w:p>
    <w:p w14:paraId="7B9E8C2A" w14:textId="77777777" w:rsidR="005F4D72" w:rsidRPr="00B17E95" w:rsidRDefault="005F4D72" w:rsidP="005F4D72">
      <w:pPr>
        <w:autoSpaceDE w:val="0"/>
        <w:autoSpaceDN w:val="0"/>
        <w:adjustRightInd w:val="0"/>
        <w:rPr>
          <w:rFonts w:eastAsia="Calibri"/>
          <w:lang w:val="en-US" w:eastAsia="en-US"/>
        </w:rPr>
      </w:pPr>
    </w:p>
    <w:p w14:paraId="0C743088" w14:textId="77777777" w:rsidR="005F4D72" w:rsidRPr="00202415" w:rsidRDefault="005F4D72" w:rsidP="005F4D72">
      <w:pPr>
        <w:contextualSpacing/>
        <w:jc w:val="center"/>
        <w:rPr>
          <w:b/>
        </w:rPr>
      </w:pPr>
      <w:r>
        <w:rPr>
          <w:b/>
          <w:u w:val="single"/>
        </w:rPr>
        <w:br w:type="page"/>
      </w:r>
      <w:r w:rsidRPr="00202415">
        <w:rPr>
          <w:b/>
        </w:rPr>
        <w:lastRenderedPageBreak/>
        <w:t>ANEXO</w:t>
      </w:r>
      <w:r>
        <w:rPr>
          <w:b/>
        </w:rPr>
        <w:t>S</w:t>
      </w:r>
    </w:p>
    <w:p w14:paraId="60767BE4" w14:textId="77777777" w:rsidR="005F4D72" w:rsidRPr="006148EB" w:rsidRDefault="005F4D72" w:rsidP="005F4D72">
      <w:pPr>
        <w:contextualSpacing/>
      </w:pPr>
    </w:p>
    <w:p w14:paraId="3C7BB34B" w14:textId="77777777" w:rsidR="005F4D72" w:rsidRDefault="005F4D72" w:rsidP="005F4D72">
      <w:pPr>
        <w:contextualSpacing/>
        <w:jc w:val="center"/>
        <w:rPr>
          <w:b/>
        </w:rPr>
      </w:pPr>
    </w:p>
    <w:p w14:paraId="709A1970" w14:textId="77777777" w:rsidR="005F4D72" w:rsidRPr="00F47DE3" w:rsidRDefault="005F4D72" w:rsidP="005F4D72">
      <w:pPr>
        <w:ind w:firstLine="851"/>
        <w:jc w:val="both"/>
        <w:rPr>
          <w:b/>
          <w:bCs/>
        </w:rPr>
      </w:pPr>
      <w:r w:rsidRPr="00F47DE3">
        <w:rPr>
          <w:b/>
          <w:bCs/>
        </w:rPr>
        <w:t>Tabela A1 – Variáveis Explicativas</w:t>
      </w:r>
    </w:p>
    <w:tbl>
      <w:tblPr>
        <w:tblW w:w="0" w:type="auto"/>
        <w:jc w:val="center"/>
        <w:tblLayout w:type="fixed"/>
        <w:tblLook w:val="01E0" w:firstRow="1" w:lastRow="1" w:firstColumn="1" w:lastColumn="1" w:noHBand="0" w:noVBand="0"/>
      </w:tblPr>
      <w:tblGrid>
        <w:gridCol w:w="1008"/>
        <w:gridCol w:w="4230"/>
        <w:gridCol w:w="1260"/>
        <w:gridCol w:w="1080"/>
        <w:gridCol w:w="1066"/>
      </w:tblGrid>
      <w:tr w:rsidR="005F4D72" w:rsidRPr="00F47DE3" w14:paraId="3DBC2EB0" w14:textId="77777777" w:rsidTr="008B5F05">
        <w:trPr>
          <w:jc w:val="center"/>
        </w:trPr>
        <w:tc>
          <w:tcPr>
            <w:tcW w:w="1008" w:type="dxa"/>
            <w:tcBorders>
              <w:top w:val="single" w:sz="4" w:space="0" w:color="auto"/>
              <w:bottom w:val="single" w:sz="4" w:space="0" w:color="auto"/>
            </w:tcBorders>
          </w:tcPr>
          <w:p w14:paraId="62CECBAE" w14:textId="77777777" w:rsidR="005F4D72" w:rsidRPr="001966A5" w:rsidRDefault="005F4D72" w:rsidP="008B5F05">
            <w:pPr>
              <w:rPr>
                <w:b/>
                <w:bCs/>
                <w:sz w:val="20"/>
                <w:szCs w:val="20"/>
              </w:rPr>
            </w:pPr>
            <w:r w:rsidRPr="001966A5">
              <w:rPr>
                <w:b/>
                <w:bCs/>
                <w:sz w:val="20"/>
                <w:szCs w:val="20"/>
              </w:rPr>
              <w:t xml:space="preserve">Variável </w:t>
            </w:r>
          </w:p>
        </w:tc>
        <w:tc>
          <w:tcPr>
            <w:tcW w:w="4230" w:type="dxa"/>
            <w:tcBorders>
              <w:top w:val="single" w:sz="4" w:space="0" w:color="auto"/>
              <w:bottom w:val="single" w:sz="4" w:space="0" w:color="auto"/>
            </w:tcBorders>
          </w:tcPr>
          <w:p w14:paraId="3268C4ED" w14:textId="77777777" w:rsidR="005F4D72" w:rsidRPr="001966A5" w:rsidRDefault="005F4D72" w:rsidP="008B5F05">
            <w:pPr>
              <w:jc w:val="center"/>
              <w:rPr>
                <w:b/>
                <w:bCs/>
                <w:sz w:val="20"/>
                <w:szCs w:val="20"/>
              </w:rPr>
            </w:pPr>
            <w:r w:rsidRPr="001966A5">
              <w:rPr>
                <w:b/>
                <w:bCs/>
                <w:sz w:val="20"/>
                <w:szCs w:val="20"/>
              </w:rPr>
              <w:t>Definição</w:t>
            </w:r>
          </w:p>
        </w:tc>
        <w:tc>
          <w:tcPr>
            <w:tcW w:w="1260" w:type="dxa"/>
            <w:tcBorders>
              <w:top w:val="single" w:sz="4" w:space="0" w:color="auto"/>
              <w:bottom w:val="single" w:sz="4" w:space="0" w:color="auto"/>
            </w:tcBorders>
          </w:tcPr>
          <w:p w14:paraId="78579575" w14:textId="77777777" w:rsidR="005F4D72" w:rsidRPr="001966A5" w:rsidRDefault="005F4D72" w:rsidP="008B5F05">
            <w:pPr>
              <w:jc w:val="center"/>
              <w:rPr>
                <w:b/>
                <w:bCs/>
                <w:sz w:val="20"/>
                <w:szCs w:val="20"/>
              </w:rPr>
            </w:pPr>
            <w:r w:rsidRPr="001966A5">
              <w:rPr>
                <w:b/>
                <w:bCs/>
                <w:sz w:val="20"/>
                <w:szCs w:val="20"/>
              </w:rPr>
              <w:t>Fonte</w:t>
            </w:r>
          </w:p>
        </w:tc>
        <w:tc>
          <w:tcPr>
            <w:tcW w:w="1080" w:type="dxa"/>
            <w:tcBorders>
              <w:top w:val="single" w:sz="4" w:space="0" w:color="auto"/>
              <w:bottom w:val="single" w:sz="4" w:space="0" w:color="auto"/>
            </w:tcBorders>
          </w:tcPr>
          <w:p w14:paraId="530D8FC8" w14:textId="77777777" w:rsidR="005F4D72" w:rsidRPr="001966A5" w:rsidRDefault="005F4D72" w:rsidP="008B5F05">
            <w:pPr>
              <w:jc w:val="center"/>
              <w:rPr>
                <w:b/>
                <w:bCs/>
                <w:sz w:val="20"/>
                <w:szCs w:val="20"/>
              </w:rPr>
            </w:pPr>
            <w:r w:rsidRPr="001966A5">
              <w:rPr>
                <w:b/>
                <w:bCs/>
                <w:sz w:val="20"/>
                <w:szCs w:val="20"/>
              </w:rPr>
              <w:t>Média</w:t>
            </w:r>
          </w:p>
        </w:tc>
        <w:tc>
          <w:tcPr>
            <w:tcW w:w="1066" w:type="dxa"/>
            <w:tcBorders>
              <w:top w:val="single" w:sz="4" w:space="0" w:color="auto"/>
              <w:bottom w:val="single" w:sz="4" w:space="0" w:color="auto"/>
            </w:tcBorders>
          </w:tcPr>
          <w:p w14:paraId="4A51C33F" w14:textId="77777777" w:rsidR="005F4D72" w:rsidRPr="001966A5" w:rsidRDefault="005F4D72" w:rsidP="008B5F05">
            <w:pPr>
              <w:jc w:val="center"/>
              <w:rPr>
                <w:b/>
                <w:bCs/>
                <w:sz w:val="20"/>
                <w:szCs w:val="20"/>
              </w:rPr>
            </w:pPr>
            <w:r w:rsidRPr="001966A5">
              <w:rPr>
                <w:b/>
                <w:bCs/>
                <w:sz w:val="20"/>
                <w:szCs w:val="20"/>
              </w:rPr>
              <w:t>Desvio Padrão</w:t>
            </w:r>
          </w:p>
        </w:tc>
      </w:tr>
      <w:tr w:rsidR="005F4D72" w:rsidRPr="00F47DE3" w14:paraId="66A0E219" w14:textId="77777777" w:rsidTr="008B5F05">
        <w:trPr>
          <w:jc w:val="center"/>
        </w:trPr>
        <w:tc>
          <w:tcPr>
            <w:tcW w:w="1008" w:type="dxa"/>
            <w:tcBorders>
              <w:top w:val="single" w:sz="4" w:space="0" w:color="auto"/>
            </w:tcBorders>
          </w:tcPr>
          <w:p w14:paraId="7757F7DE" w14:textId="77777777" w:rsidR="005F4D72" w:rsidRPr="001966A5" w:rsidRDefault="005F4D72" w:rsidP="008B5F05">
            <w:pPr>
              <w:jc w:val="center"/>
              <w:rPr>
                <w:sz w:val="20"/>
                <w:szCs w:val="20"/>
              </w:rPr>
            </w:pPr>
            <w:r w:rsidRPr="001966A5">
              <w:rPr>
                <w:sz w:val="20"/>
                <w:szCs w:val="20"/>
              </w:rPr>
              <w:t>F</w:t>
            </w:r>
            <w:r w:rsidRPr="001966A5">
              <w:rPr>
                <w:sz w:val="20"/>
                <w:szCs w:val="20"/>
                <w:vertAlign w:val="subscript"/>
              </w:rPr>
              <w:t>i</w:t>
            </w:r>
          </w:p>
        </w:tc>
        <w:tc>
          <w:tcPr>
            <w:tcW w:w="4230" w:type="dxa"/>
            <w:tcBorders>
              <w:top w:val="single" w:sz="4" w:space="0" w:color="auto"/>
            </w:tcBorders>
          </w:tcPr>
          <w:p w14:paraId="04CCE900" w14:textId="77777777" w:rsidR="005F4D72" w:rsidRPr="001966A5" w:rsidRDefault="005F4D72" w:rsidP="008B5F05">
            <w:pPr>
              <w:rPr>
                <w:sz w:val="20"/>
                <w:szCs w:val="20"/>
              </w:rPr>
            </w:pPr>
            <w:r w:rsidRPr="001966A5">
              <w:rPr>
                <w:sz w:val="20"/>
                <w:szCs w:val="20"/>
              </w:rPr>
              <w:t xml:space="preserve">Média do total de financiamentos do FNE </w:t>
            </w:r>
            <w:r w:rsidRPr="001966A5">
              <w:rPr>
                <w:i/>
                <w:sz w:val="20"/>
                <w:szCs w:val="20"/>
              </w:rPr>
              <w:t>per capita</w:t>
            </w:r>
            <w:r w:rsidRPr="001966A5">
              <w:rPr>
                <w:sz w:val="20"/>
                <w:szCs w:val="20"/>
              </w:rPr>
              <w:t xml:space="preserve"> no período 2002-2006 </w:t>
            </w:r>
          </w:p>
          <w:p w14:paraId="44136776" w14:textId="77777777" w:rsidR="005F4D72" w:rsidRPr="001966A5" w:rsidRDefault="005F4D72" w:rsidP="008B5F05">
            <w:pPr>
              <w:rPr>
                <w:sz w:val="20"/>
                <w:szCs w:val="20"/>
              </w:rPr>
            </w:pPr>
            <w:r w:rsidRPr="001966A5">
              <w:rPr>
                <w:sz w:val="20"/>
                <w:szCs w:val="20"/>
              </w:rPr>
              <w:t>(R$ de 2007)</w:t>
            </w:r>
          </w:p>
        </w:tc>
        <w:tc>
          <w:tcPr>
            <w:tcW w:w="1260" w:type="dxa"/>
            <w:tcBorders>
              <w:top w:val="single" w:sz="4" w:space="0" w:color="auto"/>
            </w:tcBorders>
          </w:tcPr>
          <w:p w14:paraId="3774F821" w14:textId="77777777" w:rsidR="005F4D72" w:rsidRPr="001966A5" w:rsidRDefault="005F4D72" w:rsidP="008B5F05">
            <w:pPr>
              <w:jc w:val="center"/>
              <w:rPr>
                <w:sz w:val="20"/>
                <w:szCs w:val="20"/>
              </w:rPr>
            </w:pPr>
            <w:r w:rsidRPr="001966A5">
              <w:rPr>
                <w:sz w:val="20"/>
                <w:szCs w:val="20"/>
              </w:rPr>
              <w:t>BNB</w:t>
            </w:r>
          </w:p>
        </w:tc>
        <w:tc>
          <w:tcPr>
            <w:tcW w:w="1080" w:type="dxa"/>
            <w:tcBorders>
              <w:top w:val="single" w:sz="4" w:space="0" w:color="auto"/>
            </w:tcBorders>
          </w:tcPr>
          <w:p w14:paraId="1D5FD0CC" w14:textId="77777777" w:rsidR="005F4D72" w:rsidRPr="001966A5" w:rsidRDefault="005F4D72" w:rsidP="008B5F05">
            <w:pPr>
              <w:jc w:val="center"/>
              <w:rPr>
                <w:sz w:val="20"/>
                <w:szCs w:val="20"/>
              </w:rPr>
            </w:pPr>
            <w:r w:rsidRPr="001966A5">
              <w:rPr>
                <w:sz w:val="20"/>
                <w:szCs w:val="20"/>
              </w:rPr>
              <w:t>64,01</w:t>
            </w:r>
          </w:p>
        </w:tc>
        <w:tc>
          <w:tcPr>
            <w:tcW w:w="1066" w:type="dxa"/>
            <w:tcBorders>
              <w:top w:val="single" w:sz="4" w:space="0" w:color="auto"/>
            </w:tcBorders>
          </w:tcPr>
          <w:p w14:paraId="7FD9EE88" w14:textId="77777777" w:rsidR="005F4D72" w:rsidRPr="001966A5" w:rsidRDefault="005F4D72" w:rsidP="008B5F05">
            <w:pPr>
              <w:jc w:val="center"/>
              <w:rPr>
                <w:sz w:val="20"/>
                <w:szCs w:val="20"/>
              </w:rPr>
            </w:pPr>
            <w:r w:rsidRPr="001966A5">
              <w:rPr>
                <w:sz w:val="20"/>
                <w:szCs w:val="20"/>
              </w:rPr>
              <w:t>234,99</w:t>
            </w:r>
          </w:p>
        </w:tc>
      </w:tr>
      <w:tr w:rsidR="005F4D72" w:rsidRPr="00F47DE3" w14:paraId="39525298" w14:textId="77777777" w:rsidTr="008B5F05">
        <w:trPr>
          <w:jc w:val="center"/>
        </w:trPr>
        <w:tc>
          <w:tcPr>
            <w:tcW w:w="1008" w:type="dxa"/>
          </w:tcPr>
          <w:p w14:paraId="450EBB50" w14:textId="77777777" w:rsidR="005F4D72" w:rsidRPr="001966A5" w:rsidRDefault="005F4D72" w:rsidP="008B5F05">
            <w:pPr>
              <w:jc w:val="center"/>
              <w:rPr>
                <w:sz w:val="20"/>
                <w:szCs w:val="20"/>
                <w:vertAlign w:val="subscript"/>
              </w:rPr>
            </w:pPr>
            <w:r w:rsidRPr="001966A5">
              <w:rPr>
                <w:sz w:val="20"/>
                <w:szCs w:val="20"/>
              </w:rPr>
              <w:t>y</w:t>
            </w:r>
            <w:r w:rsidRPr="001966A5">
              <w:rPr>
                <w:sz w:val="20"/>
                <w:szCs w:val="20"/>
                <w:vertAlign w:val="subscript"/>
              </w:rPr>
              <w:t>i0</w:t>
            </w:r>
          </w:p>
        </w:tc>
        <w:tc>
          <w:tcPr>
            <w:tcW w:w="4230" w:type="dxa"/>
          </w:tcPr>
          <w:p w14:paraId="6134CAEC" w14:textId="77777777" w:rsidR="005F4D72" w:rsidRPr="001966A5" w:rsidRDefault="005F4D72" w:rsidP="008B5F05">
            <w:pPr>
              <w:rPr>
                <w:sz w:val="20"/>
                <w:szCs w:val="20"/>
              </w:rPr>
            </w:pPr>
            <w:r w:rsidRPr="001966A5">
              <w:rPr>
                <w:sz w:val="20"/>
                <w:szCs w:val="20"/>
              </w:rPr>
              <w:t xml:space="preserve">PIB per capita Municipal em 2002 </w:t>
            </w:r>
          </w:p>
          <w:p w14:paraId="415997ED" w14:textId="77777777" w:rsidR="005F4D72" w:rsidRPr="001966A5" w:rsidRDefault="005F4D72" w:rsidP="008B5F05">
            <w:pPr>
              <w:rPr>
                <w:sz w:val="20"/>
                <w:szCs w:val="20"/>
              </w:rPr>
            </w:pPr>
            <w:r w:rsidRPr="001966A5">
              <w:rPr>
                <w:sz w:val="20"/>
                <w:szCs w:val="20"/>
              </w:rPr>
              <w:t>(R$ de 2007)</w:t>
            </w:r>
          </w:p>
        </w:tc>
        <w:tc>
          <w:tcPr>
            <w:tcW w:w="1260" w:type="dxa"/>
          </w:tcPr>
          <w:p w14:paraId="252630EC" w14:textId="77777777" w:rsidR="005F4D72" w:rsidRPr="001966A5" w:rsidRDefault="005F4D72" w:rsidP="008B5F05">
            <w:pPr>
              <w:jc w:val="center"/>
              <w:rPr>
                <w:sz w:val="20"/>
                <w:szCs w:val="20"/>
              </w:rPr>
            </w:pPr>
            <w:r w:rsidRPr="001966A5">
              <w:rPr>
                <w:sz w:val="20"/>
                <w:szCs w:val="20"/>
              </w:rPr>
              <w:t>IPEADATA</w:t>
            </w:r>
          </w:p>
        </w:tc>
        <w:tc>
          <w:tcPr>
            <w:tcW w:w="1080" w:type="dxa"/>
          </w:tcPr>
          <w:p w14:paraId="452F8EB2" w14:textId="77777777" w:rsidR="005F4D72" w:rsidRPr="001966A5" w:rsidRDefault="005F4D72" w:rsidP="008B5F05">
            <w:pPr>
              <w:jc w:val="center"/>
              <w:rPr>
                <w:sz w:val="20"/>
                <w:szCs w:val="20"/>
              </w:rPr>
            </w:pPr>
            <w:r w:rsidRPr="001966A5">
              <w:rPr>
                <w:sz w:val="20"/>
                <w:szCs w:val="20"/>
              </w:rPr>
              <w:t>3.712,06</w:t>
            </w:r>
          </w:p>
        </w:tc>
        <w:tc>
          <w:tcPr>
            <w:tcW w:w="1066" w:type="dxa"/>
          </w:tcPr>
          <w:p w14:paraId="4C822F03" w14:textId="77777777" w:rsidR="005F4D72" w:rsidRPr="001966A5" w:rsidRDefault="005F4D72" w:rsidP="008B5F05">
            <w:pPr>
              <w:jc w:val="center"/>
              <w:rPr>
                <w:sz w:val="20"/>
                <w:szCs w:val="20"/>
              </w:rPr>
            </w:pPr>
            <w:r w:rsidRPr="001966A5">
              <w:rPr>
                <w:sz w:val="20"/>
                <w:szCs w:val="20"/>
              </w:rPr>
              <w:t>7.395,23</w:t>
            </w:r>
          </w:p>
        </w:tc>
      </w:tr>
      <w:tr w:rsidR="005F4D72" w:rsidRPr="00F47DE3" w14:paraId="1D082AFF" w14:textId="77777777" w:rsidTr="008B5F05">
        <w:trPr>
          <w:jc w:val="center"/>
        </w:trPr>
        <w:tc>
          <w:tcPr>
            <w:tcW w:w="1008" w:type="dxa"/>
          </w:tcPr>
          <w:p w14:paraId="26375628" w14:textId="1F1D6735" w:rsidR="005F4D72" w:rsidRPr="001966A5" w:rsidRDefault="005F4D72" w:rsidP="008B5F05">
            <w:pPr>
              <w:jc w:val="center"/>
              <w:rPr>
                <w:sz w:val="20"/>
                <w:szCs w:val="20"/>
              </w:rPr>
            </w:pPr>
            <w:r w:rsidRPr="001966A5">
              <w:rPr>
                <w:i/>
                <w:sz w:val="20"/>
                <w:szCs w:val="20"/>
              </w:rPr>
              <w:t>(</w:t>
            </w:r>
            <w:r w:rsidRPr="001966A5">
              <w:rPr>
                <w:sz w:val="20"/>
                <w:szCs w:val="20"/>
                <w:vertAlign w:val="subscript"/>
              </w:rPr>
              <w:fldChar w:fldCharType="begin"/>
            </w:r>
            <w:r w:rsidRPr="001966A5">
              <w:rPr>
                <w:sz w:val="20"/>
                <w:szCs w:val="20"/>
                <w:vertAlign w:val="subscript"/>
              </w:rPr>
              <w:instrText xml:space="preserve"> QUOTE </w:instrText>
            </w:r>
            <w:r w:rsidRPr="001966A5">
              <w:rPr>
                <w:noProof/>
                <w:position w:val="-8"/>
                <w:sz w:val="20"/>
                <w:szCs w:val="20"/>
              </w:rPr>
              <w:drawing>
                <wp:inline distT="0" distB="0" distL="0" distR="0" wp14:anchorId="1EA5A130" wp14:editId="7D040AC0">
                  <wp:extent cx="352425" cy="171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8"/>
                          <pic:cNvPicPr>
                            <a:picLocks noChangeAspect="1" noChangeArrowheads="1"/>
                          </pic:cNvPicPr>
                        </pic:nvPicPr>
                        <pic:blipFill>
                          <a:blip r:embed="rId17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1966A5">
              <w:rPr>
                <w:sz w:val="20"/>
                <w:szCs w:val="20"/>
                <w:vertAlign w:val="subscript"/>
              </w:rPr>
              <w:instrText xml:space="preserve"> </w:instrText>
            </w:r>
            <w:r w:rsidRPr="001966A5">
              <w:rPr>
                <w:sz w:val="20"/>
                <w:szCs w:val="20"/>
                <w:vertAlign w:val="subscript"/>
              </w:rPr>
              <w:fldChar w:fldCharType="separate"/>
            </w:r>
            <w:r w:rsidRPr="001966A5">
              <w:rPr>
                <w:noProof/>
                <w:position w:val="-8"/>
                <w:sz w:val="20"/>
                <w:szCs w:val="20"/>
              </w:rPr>
              <w:drawing>
                <wp:inline distT="0" distB="0" distL="0" distR="0" wp14:anchorId="53257C23" wp14:editId="72F3FDDD">
                  <wp:extent cx="352425" cy="171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9"/>
                          <pic:cNvPicPr>
                            <a:picLocks noChangeAspect="1" noChangeArrowheads="1"/>
                          </pic:cNvPicPr>
                        </pic:nvPicPr>
                        <pic:blipFill>
                          <a:blip r:embed="rId17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1966A5">
              <w:rPr>
                <w:sz w:val="20"/>
                <w:szCs w:val="20"/>
                <w:vertAlign w:val="subscript"/>
              </w:rPr>
              <w:fldChar w:fldCharType="end"/>
            </w:r>
          </w:p>
        </w:tc>
        <w:tc>
          <w:tcPr>
            <w:tcW w:w="4230" w:type="dxa"/>
          </w:tcPr>
          <w:p w14:paraId="33F0F434" w14:textId="77777777" w:rsidR="005F4D72" w:rsidRPr="001966A5" w:rsidRDefault="005F4D72" w:rsidP="008B5F05">
            <w:pPr>
              <w:rPr>
                <w:sz w:val="20"/>
                <w:szCs w:val="20"/>
              </w:rPr>
            </w:pPr>
            <w:r w:rsidRPr="001966A5">
              <w:rPr>
                <w:sz w:val="20"/>
                <w:szCs w:val="20"/>
              </w:rPr>
              <w:t>Taxa média de crescimento populacional entre 2002 e 2008 mais 0,05 de crescimento tecnológico e depreciação</w:t>
            </w:r>
          </w:p>
        </w:tc>
        <w:tc>
          <w:tcPr>
            <w:tcW w:w="1260" w:type="dxa"/>
          </w:tcPr>
          <w:p w14:paraId="3DD54728" w14:textId="77777777" w:rsidR="005F4D72" w:rsidRPr="001966A5" w:rsidRDefault="005F4D72" w:rsidP="008B5F05">
            <w:pPr>
              <w:jc w:val="center"/>
              <w:rPr>
                <w:sz w:val="20"/>
                <w:szCs w:val="20"/>
              </w:rPr>
            </w:pPr>
            <w:r w:rsidRPr="001966A5">
              <w:rPr>
                <w:sz w:val="20"/>
                <w:szCs w:val="20"/>
              </w:rPr>
              <w:t>IPEADATA</w:t>
            </w:r>
          </w:p>
        </w:tc>
        <w:tc>
          <w:tcPr>
            <w:tcW w:w="1080" w:type="dxa"/>
          </w:tcPr>
          <w:p w14:paraId="3A17A252" w14:textId="77777777" w:rsidR="005F4D72" w:rsidRPr="001966A5" w:rsidRDefault="005F4D72" w:rsidP="008B5F05">
            <w:pPr>
              <w:jc w:val="center"/>
              <w:rPr>
                <w:sz w:val="20"/>
                <w:szCs w:val="20"/>
              </w:rPr>
            </w:pPr>
            <w:r w:rsidRPr="001966A5">
              <w:rPr>
                <w:sz w:val="20"/>
                <w:szCs w:val="20"/>
              </w:rPr>
              <w:t>0,0572</w:t>
            </w:r>
          </w:p>
        </w:tc>
        <w:tc>
          <w:tcPr>
            <w:tcW w:w="1066" w:type="dxa"/>
          </w:tcPr>
          <w:p w14:paraId="37BB06FF" w14:textId="77777777" w:rsidR="005F4D72" w:rsidRPr="001966A5" w:rsidRDefault="005F4D72" w:rsidP="008B5F05">
            <w:pPr>
              <w:jc w:val="center"/>
              <w:rPr>
                <w:sz w:val="20"/>
                <w:szCs w:val="20"/>
              </w:rPr>
            </w:pPr>
            <w:r w:rsidRPr="001966A5">
              <w:rPr>
                <w:sz w:val="20"/>
                <w:szCs w:val="20"/>
              </w:rPr>
              <w:t>0,01</w:t>
            </w:r>
          </w:p>
        </w:tc>
      </w:tr>
      <w:tr w:rsidR="005F4D72" w:rsidRPr="00F47DE3" w14:paraId="60B31A00" w14:textId="77777777" w:rsidTr="008B5F05">
        <w:trPr>
          <w:jc w:val="center"/>
        </w:trPr>
        <w:tc>
          <w:tcPr>
            <w:tcW w:w="1008" w:type="dxa"/>
          </w:tcPr>
          <w:p w14:paraId="5D66419E" w14:textId="77777777" w:rsidR="005F4D72" w:rsidRPr="001966A5" w:rsidRDefault="005F4D72" w:rsidP="008B5F05">
            <w:pPr>
              <w:jc w:val="center"/>
              <w:rPr>
                <w:i/>
                <w:iCs/>
                <w:sz w:val="20"/>
                <w:szCs w:val="20"/>
              </w:rPr>
            </w:pPr>
            <w:r w:rsidRPr="001966A5">
              <w:rPr>
                <w:i/>
                <w:iCs/>
                <w:sz w:val="20"/>
                <w:szCs w:val="20"/>
              </w:rPr>
              <w:t>edu</w:t>
            </w:r>
          </w:p>
        </w:tc>
        <w:tc>
          <w:tcPr>
            <w:tcW w:w="4230" w:type="dxa"/>
          </w:tcPr>
          <w:p w14:paraId="36F02117" w14:textId="77777777" w:rsidR="005F4D72" w:rsidRPr="001966A5" w:rsidRDefault="005F4D72" w:rsidP="008B5F05">
            <w:pPr>
              <w:rPr>
                <w:sz w:val="20"/>
                <w:szCs w:val="20"/>
              </w:rPr>
            </w:pPr>
            <w:r w:rsidRPr="001966A5">
              <w:rPr>
                <w:sz w:val="20"/>
                <w:szCs w:val="20"/>
              </w:rPr>
              <w:t xml:space="preserve">Média de anos de estudo </w:t>
            </w:r>
            <w:r w:rsidRPr="001966A5">
              <w:rPr>
                <w:bCs/>
                <w:sz w:val="20"/>
                <w:szCs w:val="20"/>
              </w:rPr>
              <w:t>de pessoas com 25 anos</w:t>
            </w:r>
          </w:p>
        </w:tc>
        <w:tc>
          <w:tcPr>
            <w:tcW w:w="1260" w:type="dxa"/>
          </w:tcPr>
          <w:p w14:paraId="35324F44" w14:textId="77777777" w:rsidR="005F4D72" w:rsidRPr="001966A5" w:rsidRDefault="005F4D72" w:rsidP="008B5F05">
            <w:pPr>
              <w:jc w:val="center"/>
              <w:rPr>
                <w:sz w:val="20"/>
                <w:szCs w:val="20"/>
              </w:rPr>
            </w:pPr>
            <w:r w:rsidRPr="001966A5">
              <w:rPr>
                <w:sz w:val="20"/>
                <w:szCs w:val="20"/>
              </w:rPr>
              <w:t>IPEADATA</w:t>
            </w:r>
          </w:p>
        </w:tc>
        <w:tc>
          <w:tcPr>
            <w:tcW w:w="1080" w:type="dxa"/>
          </w:tcPr>
          <w:p w14:paraId="6617AA5C" w14:textId="77777777" w:rsidR="005F4D72" w:rsidRPr="001966A5" w:rsidRDefault="005F4D72" w:rsidP="008B5F05">
            <w:pPr>
              <w:jc w:val="center"/>
              <w:rPr>
                <w:sz w:val="20"/>
                <w:szCs w:val="20"/>
              </w:rPr>
            </w:pPr>
            <w:r w:rsidRPr="001966A5">
              <w:rPr>
                <w:sz w:val="20"/>
                <w:szCs w:val="20"/>
              </w:rPr>
              <w:t>2,90</w:t>
            </w:r>
          </w:p>
        </w:tc>
        <w:tc>
          <w:tcPr>
            <w:tcW w:w="1066" w:type="dxa"/>
          </w:tcPr>
          <w:p w14:paraId="34EF7047" w14:textId="77777777" w:rsidR="005F4D72" w:rsidRPr="001966A5" w:rsidRDefault="005F4D72" w:rsidP="008B5F05">
            <w:pPr>
              <w:jc w:val="center"/>
              <w:rPr>
                <w:sz w:val="20"/>
                <w:szCs w:val="20"/>
              </w:rPr>
            </w:pPr>
            <w:r w:rsidRPr="001966A5">
              <w:rPr>
                <w:sz w:val="20"/>
                <w:szCs w:val="20"/>
              </w:rPr>
              <w:t>0,83</w:t>
            </w:r>
          </w:p>
        </w:tc>
      </w:tr>
      <w:tr w:rsidR="005F4D72" w:rsidRPr="00F47DE3" w14:paraId="0853749A" w14:textId="77777777" w:rsidTr="008B5F05">
        <w:trPr>
          <w:jc w:val="center"/>
        </w:trPr>
        <w:tc>
          <w:tcPr>
            <w:tcW w:w="1008" w:type="dxa"/>
          </w:tcPr>
          <w:p w14:paraId="51F95368" w14:textId="77777777" w:rsidR="005F4D72" w:rsidRPr="001966A5" w:rsidRDefault="005F4D72" w:rsidP="008B5F05">
            <w:pPr>
              <w:jc w:val="center"/>
              <w:rPr>
                <w:i/>
                <w:iCs/>
                <w:sz w:val="20"/>
                <w:szCs w:val="20"/>
              </w:rPr>
            </w:pPr>
            <w:r w:rsidRPr="001966A5">
              <w:rPr>
                <w:i/>
                <w:iCs/>
                <w:sz w:val="20"/>
                <w:szCs w:val="20"/>
              </w:rPr>
              <w:t>infra</w:t>
            </w:r>
          </w:p>
        </w:tc>
        <w:tc>
          <w:tcPr>
            <w:tcW w:w="4230" w:type="dxa"/>
          </w:tcPr>
          <w:p w14:paraId="65019BB7" w14:textId="77777777" w:rsidR="005F4D72" w:rsidRPr="001966A5" w:rsidRDefault="005F4D72" w:rsidP="008B5F05">
            <w:pPr>
              <w:rPr>
                <w:sz w:val="20"/>
                <w:szCs w:val="20"/>
              </w:rPr>
            </w:pPr>
            <w:r w:rsidRPr="001966A5">
              <w:rPr>
                <w:sz w:val="20"/>
                <w:szCs w:val="20"/>
              </w:rPr>
              <w:t>Proporção de domicílios com água encanada (%)</w:t>
            </w:r>
          </w:p>
        </w:tc>
        <w:tc>
          <w:tcPr>
            <w:tcW w:w="1260" w:type="dxa"/>
          </w:tcPr>
          <w:p w14:paraId="09BF9AA5" w14:textId="77777777" w:rsidR="005F4D72" w:rsidRPr="001966A5" w:rsidRDefault="005F4D72" w:rsidP="008B5F05">
            <w:pPr>
              <w:jc w:val="center"/>
              <w:rPr>
                <w:sz w:val="20"/>
                <w:szCs w:val="20"/>
              </w:rPr>
            </w:pPr>
            <w:r w:rsidRPr="001966A5">
              <w:rPr>
                <w:sz w:val="20"/>
                <w:szCs w:val="20"/>
              </w:rPr>
              <w:t>IPEADATA</w:t>
            </w:r>
          </w:p>
        </w:tc>
        <w:tc>
          <w:tcPr>
            <w:tcW w:w="1080" w:type="dxa"/>
          </w:tcPr>
          <w:p w14:paraId="169C5348" w14:textId="77777777" w:rsidR="005F4D72" w:rsidRPr="001966A5" w:rsidRDefault="005F4D72" w:rsidP="008B5F05">
            <w:pPr>
              <w:jc w:val="center"/>
              <w:rPr>
                <w:sz w:val="20"/>
                <w:szCs w:val="20"/>
              </w:rPr>
            </w:pPr>
            <w:r w:rsidRPr="001966A5">
              <w:rPr>
                <w:sz w:val="20"/>
                <w:szCs w:val="20"/>
              </w:rPr>
              <w:t>42,95</w:t>
            </w:r>
          </w:p>
        </w:tc>
        <w:tc>
          <w:tcPr>
            <w:tcW w:w="1066" w:type="dxa"/>
          </w:tcPr>
          <w:p w14:paraId="0633B27F" w14:textId="77777777" w:rsidR="005F4D72" w:rsidRPr="001966A5" w:rsidRDefault="005F4D72" w:rsidP="008B5F05">
            <w:pPr>
              <w:jc w:val="center"/>
              <w:rPr>
                <w:sz w:val="20"/>
                <w:szCs w:val="20"/>
              </w:rPr>
            </w:pPr>
            <w:r w:rsidRPr="001966A5">
              <w:rPr>
                <w:sz w:val="20"/>
                <w:szCs w:val="20"/>
              </w:rPr>
              <w:t>19,47</w:t>
            </w:r>
          </w:p>
        </w:tc>
      </w:tr>
      <w:tr w:rsidR="005F4D72" w:rsidRPr="00F47DE3" w14:paraId="4D4EA378" w14:textId="77777777" w:rsidTr="008B5F05">
        <w:trPr>
          <w:jc w:val="center"/>
        </w:trPr>
        <w:tc>
          <w:tcPr>
            <w:tcW w:w="1008" w:type="dxa"/>
          </w:tcPr>
          <w:p w14:paraId="04ACEFD9" w14:textId="77777777" w:rsidR="005F4D72" w:rsidRPr="001966A5" w:rsidRDefault="005F4D72" w:rsidP="008B5F05">
            <w:pPr>
              <w:jc w:val="center"/>
              <w:rPr>
                <w:i/>
                <w:iCs/>
                <w:sz w:val="20"/>
                <w:szCs w:val="20"/>
              </w:rPr>
            </w:pPr>
            <w:r w:rsidRPr="001966A5">
              <w:rPr>
                <w:i/>
                <w:iCs/>
                <w:sz w:val="20"/>
                <w:szCs w:val="20"/>
              </w:rPr>
              <w:t>gov</w:t>
            </w:r>
          </w:p>
        </w:tc>
        <w:tc>
          <w:tcPr>
            <w:tcW w:w="4230" w:type="dxa"/>
          </w:tcPr>
          <w:p w14:paraId="7979F846" w14:textId="77777777" w:rsidR="005F4D72" w:rsidRPr="001966A5" w:rsidRDefault="005F4D72" w:rsidP="008B5F05">
            <w:pPr>
              <w:rPr>
                <w:sz w:val="20"/>
                <w:szCs w:val="20"/>
              </w:rPr>
            </w:pPr>
            <w:r w:rsidRPr="001966A5">
              <w:rPr>
                <w:sz w:val="20"/>
                <w:szCs w:val="20"/>
              </w:rPr>
              <w:t>Média da razão entre despesa corrente e PIB municipal em 2002</w:t>
            </w:r>
          </w:p>
        </w:tc>
        <w:tc>
          <w:tcPr>
            <w:tcW w:w="1260" w:type="dxa"/>
          </w:tcPr>
          <w:p w14:paraId="57368838" w14:textId="77777777" w:rsidR="005F4D72" w:rsidRPr="001966A5" w:rsidRDefault="005F4D72" w:rsidP="008B5F05">
            <w:pPr>
              <w:jc w:val="center"/>
              <w:rPr>
                <w:sz w:val="20"/>
                <w:szCs w:val="20"/>
              </w:rPr>
            </w:pPr>
            <w:r w:rsidRPr="001966A5">
              <w:rPr>
                <w:sz w:val="20"/>
                <w:szCs w:val="20"/>
              </w:rPr>
              <w:t>IPEADATA</w:t>
            </w:r>
          </w:p>
        </w:tc>
        <w:tc>
          <w:tcPr>
            <w:tcW w:w="1080" w:type="dxa"/>
          </w:tcPr>
          <w:p w14:paraId="6214B0AC" w14:textId="77777777" w:rsidR="005F4D72" w:rsidRPr="001966A5" w:rsidRDefault="005F4D72" w:rsidP="008B5F05">
            <w:pPr>
              <w:jc w:val="center"/>
              <w:rPr>
                <w:sz w:val="20"/>
                <w:szCs w:val="20"/>
              </w:rPr>
            </w:pPr>
            <w:r w:rsidRPr="001966A5">
              <w:rPr>
                <w:sz w:val="20"/>
                <w:szCs w:val="20"/>
              </w:rPr>
              <w:t>45,59</w:t>
            </w:r>
          </w:p>
        </w:tc>
        <w:tc>
          <w:tcPr>
            <w:tcW w:w="1066" w:type="dxa"/>
          </w:tcPr>
          <w:p w14:paraId="4ECA98A4" w14:textId="77777777" w:rsidR="005F4D72" w:rsidRPr="001966A5" w:rsidRDefault="005F4D72" w:rsidP="008B5F05">
            <w:pPr>
              <w:jc w:val="center"/>
              <w:rPr>
                <w:sz w:val="20"/>
                <w:szCs w:val="20"/>
              </w:rPr>
            </w:pPr>
            <w:r w:rsidRPr="001966A5">
              <w:rPr>
                <w:sz w:val="20"/>
                <w:szCs w:val="20"/>
              </w:rPr>
              <w:t>19,32</w:t>
            </w:r>
          </w:p>
        </w:tc>
      </w:tr>
      <w:tr w:rsidR="005F4D72" w:rsidRPr="00F47DE3" w14:paraId="53639BAE" w14:textId="77777777" w:rsidTr="008B5F05">
        <w:trPr>
          <w:jc w:val="center"/>
        </w:trPr>
        <w:tc>
          <w:tcPr>
            <w:tcW w:w="1008" w:type="dxa"/>
          </w:tcPr>
          <w:p w14:paraId="5CE20EE7" w14:textId="77777777" w:rsidR="005F4D72" w:rsidRPr="001966A5" w:rsidRDefault="005F4D72" w:rsidP="008B5F05">
            <w:pPr>
              <w:jc w:val="center"/>
              <w:rPr>
                <w:i/>
                <w:iCs/>
                <w:sz w:val="20"/>
                <w:szCs w:val="20"/>
              </w:rPr>
            </w:pPr>
            <w:r w:rsidRPr="001966A5">
              <w:rPr>
                <w:i/>
                <w:iCs/>
                <w:sz w:val="20"/>
                <w:szCs w:val="20"/>
              </w:rPr>
              <w:t>dist</w:t>
            </w:r>
          </w:p>
        </w:tc>
        <w:tc>
          <w:tcPr>
            <w:tcW w:w="4230" w:type="dxa"/>
          </w:tcPr>
          <w:p w14:paraId="6762ABBA" w14:textId="77777777" w:rsidR="005F4D72" w:rsidRPr="001966A5" w:rsidRDefault="005F4D72" w:rsidP="008B5F05">
            <w:pPr>
              <w:rPr>
                <w:sz w:val="20"/>
                <w:szCs w:val="20"/>
              </w:rPr>
            </w:pPr>
            <w:r w:rsidRPr="001966A5">
              <w:rPr>
                <w:sz w:val="20"/>
                <w:szCs w:val="20"/>
              </w:rPr>
              <w:t>Distância do município para capital do respectivo estado</w:t>
            </w:r>
          </w:p>
        </w:tc>
        <w:tc>
          <w:tcPr>
            <w:tcW w:w="1260" w:type="dxa"/>
          </w:tcPr>
          <w:p w14:paraId="4F62E96B" w14:textId="77777777" w:rsidR="005F4D72" w:rsidRPr="001966A5" w:rsidRDefault="005F4D72" w:rsidP="008B5F05">
            <w:pPr>
              <w:jc w:val="center"/>
              <w:rPr>
                <w:sz w:val="20"/>
                <w:szCs w:val="20"/>
              </w:rPr>
            </w:pPr>
            <w:r w:rsidRPr="001966A5">
              <w:rPr>
                <w:sz w:val="20"/>
                <w:szCs w:val="20"/>
              </w:rPr>
              <w:t>IPEADATA</w:t>
            </w:r>
          </w:p>
        </w:tc>
        <w:tc>
          <w:tcPr>
            <w:tcW w:w="1080" w:type="dxa"/>
          </w:tcPr>
          <w:p w14:paraId="20A18876" w14:textId="77777777" w:rsidR="005F4D72" w:rsidRPr="001966A5" w:rsidRDefault="005F4D72" w:rsidP="008B5F05">
            <w:pPr>
              <w:jc w:val="center"/>
              <w:rPr>
                <w:sz w:val="20"/>
                <w:szCs w:val="20"/>
              </w:rPr>
            </w:pPr>
            <w:r w:rsidRPr="001966A5">
              <w:rPr>
                <w:sz w:val="20"/>
                <w:szCs w:val="20"/>
              </w:rPr>
              <w:t>226,58</w:t>
            </w:r>
          </w:p>
        </w:tc>
        <w:tc>
          <w:tcPr>
            <w:tcW w:w="1066" w:type="dxa"/>
          </w:tcPr>
          <w:p w14:paraId="6FFCE17E" w14:textId="77777777" w:rsidR="005F4D72" w:rsidRPr="001966A5" w:rsidRDefault="005F4D72" w:rsidP="008B5F05">
            <w:pPr>
              <w:jc w:val="center"/>
              <w:rPr>
                <w:sz w:val="20"/>
                <w:szCs w:val="20"/>
              </w:rPr>
            </w:pPr>
            <w:r w:rsidRPr="001966A5">
              <w:rPr>
                <w:sz w:val="20"/>
                <w:szCs w:val="20"/>
              </w:rPr>
              <w:t>148,89</w:t>
            </w:r>
          </w:p>
        </w:tc>
      </w:tr>
      <w:tr w:rsidR="005F4D72" w:rsidRPr="00F47DE3" w14:paraId="326FEAD9" w14:textId="77777777" w:rsidTr="008B5F05">
        <w:trPr>
          <w:jc w:val="center"/>
        </w:trPr>
        <w:tc>
          <w:tcPr>
            <w:tcW w:w="1008" w:type="dxa"/>
          </w:tcPr>
          <w:p w14:paraId="2F583442" w14:textId="77777777" w:rsidR="005F4D72" w:rsidRPr="001966A5" w:rsidRDefault="005F4D72" w:rsidP="008B5F05">
            <w:pPr>
              <w:jc w:val="center"/>
              <w:rPr>
                <w:i/>
                <w:iCs/>
                <w:sz w:val="20"/>
                <w:szCs w:val="20"/>
              </w:rPr>
            </w:pPr>
            <w:r w:rsidRPr="001966A5">
              <w:rPr>
                <w:i/>
                <w:iCs/>
                <w:sz w:val="20"/>
                <w:szCs w:val="20"/>
              </w:rPr>
              <w:t>opc</w:t>
            </w:r>
          </w:p>
        </w:tc>
        <w:tc>
          <w:tcPr>
            <w:tcW w:w="4230" w:type="dxa"/>
          </w:tcPr>
          <w:p w14:paraId="65D99DD8" w14:textId="77777777" w:rsidR="005F4D72" w:rsidRPr="001966A5" w:rsidRDefault="005F4D72" w:rsidP="008B5F05">
            <w:pPr>
              <w:rPr>
                <w:sz w:val="20"/>
                <w:szCs w:val="20"/>
              </w:rPr>
            </w:pPr>
            <w:r w:rsidRPr="001966A5">
              <w:rPr>
                <w:sz w:val="20"/>
                <w:szCs w:val="20"/>
              </w:rPr>
              <w:t xml:space="preserve">Total de operações de crédito per capita em 2002 (R$ 2007) </w:t>
            </w:r>
          </w:p>
        </w:tc>
        <w:tc>
          <w:tcPr>
            <w:tcW w:w="1260" w:type="dxa"/>
          </w:tcPr>
          <w:p w14:paraId="68894773" w14:textId="77777777" w:rsidR="005F4D72" w:rsidRPr="001966A5" w:rsidRDefault="005F4D72" w:rsidP="008B5F05">
            <w:pPr>
              <w:jc w:val="center"/>
              <w:rPr>
                <w:sz w:val="20"/>
                <w:szCs w:val="20"/>
              </w:rPr>
            </w:pPr>
            <w:r w:rsidRPr="001966A5">
              <w:rPr>
                <w:sz w:val="20"/>
                <w:szCs w:val="20"/>
              </w:rPr>
              <w:t xml:space="preserve">Banco Central </w:t>
            </w:r>
          </w:p>
        </w:tc>
        <w:tc>
          <w:tcPr>
            <w:tcW w:w="1080" w:type="dxa"/>
          </w:tcPr>
          <w:p w14:paraId="7586FAC3" w14:textId="77777777" w:rsidR="005F4D72" w:rsidRPr="001966A5" w:rsidRDefault="005F4D72" w:rsidP="008B5F05">
            <w:pPr>
              <w:jc w:val="center"/>
              <w:rPr>
                <w:sz w:val="20"/>
                <w:szCs w:val="20"/>
              </w:rPr>
            </w:pPr>
            <w:r w:rsidRPr="001966A5">
              <w:rPr>
                <w:sz w:val="20"/>
                <w:szCs w:val="20"/>
              </w:rPr>
              <w:t>436,86</w:t>
            </w:r>
          </w:p>
        </w:tc>
        <w:tc>
          <w:tcPr>
            <w:tcW w:w="1066" w:type="dxa"/>
          </w:tcPr>
          <w:p w14:paraId="564F11EF" w14:textId="77777777" w:rsidR="005F4D72" w:rsidRPr="001966A5" w:rsidRDefault="005F4D72" w:rsidP="008B5F05">
            <w:pPr>
              <w:jc w:val="center"/>
              <w:rPr>
                <w:sz w:val="20"/>
                <w:szCs w:val="20"/>
              </w:rPr>
            </w:pPr>
            <w:r w:rsidRPr="001966A5">
              <w:rPr>
                <w:sz w:val="20"/>
                <w:szCs w:val="20"/>
              </w:rPr>
              <w:t>4258,79</w:t>
            </w:r>
          </w:p>
        </w:tc>
      </w:tr>
      <w:tr w:rsidR="005F4D72" w:rsidRPr="00F47DE3" w14:paraId="137DD7B0" w14:textId="77777777" w:rsidTr="008B5F05">
        <w:trPr>
          <w:jc w:val="center"/>
        </w:trPr>
        <w:tc>
          <w:tcPr>
            <w:tcW w:w="1008" w:type="dxa"/>
            <w:tcBorders>
              <w:bottom w:val="single" w:sz="4" w:space="0" w:color="auto"/>
            </w:tcBorders>
          </w:tcPr>
          <w:p w14:paraId="0A914553" w14:textId="77777777" w:rsidR="005F4D72" w:rsidRPr="001966A5" w:rsidRDefault="005F4D72" w:rsidP="008B5F05">
            <w:pPr>
              <w:jc w:val="center"/>
              <w:rPr>
                <w:i/>
                <w:iCs/>
                <w:sz w:val="20"/>
                <w:szCs w:val="20"/>
              </w:rPr>
            </w:pPr>
            <w:r w:rsidRPr="001966A5">
              <w:rPr>
                <w:i/>
                <w:iCs/>
                <w:sz w:val="20"/>
                <w:szCs w:val="20"/>
              </w:rPr>
              <w:t>semi</w:t>
            </w:r>
          </w:p>
        </w:tc>
        <w:tc>
          <w:tcPr>
            <w:tcW w:w="4230" w:type="dxa"/>
            <w:tcBorders>
              <w:bottom w:val="single" w:sz="4" w:space="0" w:color="auto"/>
            </w:tcBorders>
          </w:tcPr>
          <w:p w14:paraId="021D475D" w14:textId="77777777" w:rsidR="005F4D72" w:rsidRPr="001966A5" w:rsidRDefault="005F4D72" w:rsidP="008B5F05">
            <w:pPr>
              <w:rPr>
                <w:sz w:val="20"/>
                <w:szCs w:val="20"/>
              </w:rPr>
            </w:pPr>
            <w:r w:rsidRPr="001966A5">
              <w:rPr>
                <w:sz w:val="20"/>
                <w:szCs w:val="20"/>
              </w:rPr>
              <w:t>Variável igual a 1 se for Semi-árido, 0 de outra forma.</w:t>
            </w:r>
          </w:p>
        </w:tc>
        <w:tc>
          <w:tcPr>
            <w:tcW w:w="1260" w:type="dxa"/>
            <w:tcBorders>
              <w:bottom w:val="single" w:sz="4" w:space="0" w:color="auto"/>
            </w:tcBorders>
          </w:tcPr>
          <w:p w14:paraId="384775D4" w14:textId="77777777" w:rsidR="005F4D72" w:rsidRPr="001966A5" w:rsidRDefault="005F4D72" w:rsidP="008B5F05">
            <w:pPr>
              <w:jc w:val="center"/>
              <w:rPr>
                <w:sz w:val="20"/>
                <w:szCs w:val="20"/>
              </w:rPr>
            </w:pPr>
            <w:r w:rsidRPr="001966A5">
              <w:rPr>
                <w:sz w:val="20"/>
                <w:szCs w:val="20"/>
              </w:rPr>
              <w:t>IPEADATA</w:t>
            </w:r>
          </w:p>
        </w:tc>
        <w:tc>
          <w:tcPr>
            <w:tcW w:w="1080" w:type="dxa"/>
            <w:tcBorders>
              <w:bottom w:val="single" w:sz="4" w:space="0" w:color="auto"/>
            </w:tcBorders>
          </w:tcPr>
          <w:p w14:paraId="288024F4" w14:textId="77777777" w:rsidR="005F4D72" w:rsidRPr="001966A5" w:rsidRDefault="005F4D72" w:rsidP="008B5F05">
            <w:pPr>
              <w:jc w:val="center"/>
              <w:rPr>
                <w:sz w:val="20"/>
                <w:szCs w:val="20"/>
              </w:rPr>
            </w:pPr>
            <w:r w:rsidRPr="001966A5">
              <w:rPr>
                <w:sz w:val="20"/>
                <w:szCs w:val="20"/>
              </w:rPr>
              <w:t>0,63</w:t>
            </w:r>
          </w:p>
        </w:tc>
        <w:tc>
          <w:tcPr>
            <w:tcW w:w="1066" w:type="dxa"/>
            <w:tcBorders>
              <w:bottom w:val="single" w:sz="4" w:space="0" w:color="auto"/>
            </w:tcBorders>
          </w:tcPr>
          <w:p w14:paraId="57167470" w14:textId="77777777" w:rsidR="005F4D72" w:rsidRPr="001966A5" w:rsidRDefault="005F4D72" w:rsidP="008B5F05">
            <w:pPr>
              <w:jc w:val="center"/>
              <w:rPr>
                <w:sz w:val="20"/>
                <w:szCs w:val="20"/>
              </w:rPr>
            </w:pPr>
            <w:r w:rsidRPr="001966A5">
              <w:rPr>
                <w:sz w:val="20"/>
                <w:szCs w:val="20"/>
              </w:rPr>
              <w:t>0,48</w:t>
            </w:r>
          </w:p>
        </w:tc>
      </w:tr>
    </w:tbl>
    <w:p w14:paraId="5DC83D19" w14:textId="77777777" w:rsidR="005F4D72" w:rsidRPr="001966A5" w:rsidRDefault="005F4D72" w:rsidP="005F4D72">
      <w:pPr>
        <w:ind w:firstLine="851"/>
        <w:rPr>
          <w:sz w:val="16"/>
          <w:szCs w:val="16"/>
        </w:rPr>
      </w:pPr>
      <w:r>
        <w:rPr>
          <w:sz w:val="16"/>
          <w:szCs w:val="16"/>
        </w:rPr>
        <w:t xml:space="preserve">Fonte: </w:t>
      </w:r>
      <w:r w:rsidRPr="001966A5">
        <w:rPr>
          <w:sz w:val="16"/>
          <w:szCs w:val="16"/>
        </w:rPr>
        <w:t>Elaboração Própria</w:t>
      </w:r>
    </w:p>
    <w:p w14:paraId="65DCD0D4" w14:textId="77777777" w:rsidR="005F4D72" w:rsidRDefault="005F4D72" w:rsidP="005F4D72">
      <w:pPr>
        <w:contextualSpacing/>
        <w:jc w:val="center"/>
        <w:rPr>
          <w:b/>
        </w:rPr>
      </w:pPr>
    </w:p>
    <w:p w14:paraId="634452AB" w14:textId="77777777" w:rsidR="005F4D72" w:rsidRDefault="005F4D72" w:rsidP="005F4D72">
      <w:pPr>
        <w:contextualSpacing/>
        <w:jc w:val="center"/>
        <w:rPr>
          <w:b/>
        </w:rPr>
      </w:pPr>
    </w:p>
    <w:p w14:paraId="4F245B69" w14:textId="77777777" w:rsidR="005F4D72" w:rsidRDefault="005F4D72" w:rsidP="005F4D72">
      <w:pPr>
        <w:contextualSpacing/>
        <w:jc w:val="center"/>
        <w:rPr>
          <w:b/>
        </w:rPr>
      </w:pPr>
    </w:p>
    <w:p w14:paraId="40D3BD8F" w14:textId="77777777" w:rsidR="005F4D72" w:rsidRPr="006148EB" w:rsidRDefault="005F4D72" w:rsidP="005F4D72">
      <w:pPr>
        <w:contextualSpacing/>
        <w:jc w:val="both"/>
      </w:pPr>
      <w:r w:rsidRPr="006148EB">
        <w:rPr>
          <w:b/>
        </w:rPr>
        <w:t>Tabela A</w:t>
      </w:r>
      <w:r>
        <w:rPr>
          <w:b/>
        </w:rPr>
        <w:t>2</w:t>
      </w:r>
      <w:r w:rsidRPr="006148EB">
        <w:rPr>
          <w:b/>
        </w:rPr>
        <w:t xml:space="preserve"> – Estimativas para os Modelos </w:t>
      </w:r>
      <w:r w:rsidRPr="006148EB">
        <w:rPr>
          <w:b/>
          <w:i/>
        </w:rPr>
        <w:t>Global</w:t>
      </w:r>
      <w:r w:rsidRPr="006148EB">
        <w:rPr>
          <w:b/>
        </w:rPr>
        <w:t xml:space="preserve"> e com Efeito </w:t>
      </w:r>
      <w:r w:rsidRPr="006148EB">
        <w:rPr>
          <w:b/>
          <w:i/>
        </w:rPr>
        <w:t>Threshold</w:t>
      </w:r>
      <w:r w:rsidRPr="006148EB">
        <w:rPr>
          <w:b/>
        </w:rPr>
        <w:t xml:space="preserve"> sem as Variáveis de Controle (PIB </w:t>
      </w:r>
      <w:r w:rsidRPr="006148EB">
        <w:rPr>
          <w:b/>
          <w:i/>
        </w:rPr>
        <w:t>per capita</w:t>
      </w:r>
      <w:r w:rsidRPr="006148EB">
        <w:rPr>
          <w:b/>
        </w:rPr>
        <w:t>)</w:t>
      </w:r>
    </w:p>
    <w:tbl>
      <w:tblPr>
        <w:tblW w:w="5000" w:type="pct"/>
        <w:jc w:val="center"/>
        <w:tblCellMar>
          <w:left w:w="70" w:type="dxa"/>
          <w:right w:w="70" w:type="dxa"/>
        </w:tblCellMar>
        <w:tblLook w:val="04A0" w:firstRow="1" w:lastRow="0" w:firstColumn="1" w:lastColumn="0" w:noHBand="0" w:noVBand="1"/>
      </w:tblPr>
      <w:tblGrid>
        <w:gridCol w:w="2435"/>
        <w:gridCol w:w="373"/>
        <w:gridCol w:w="1751"/>
        <w:gridCol w:w="373"/>
        <w:gridCol w:w="2639"/>
        <w:gridCol w:w="2633"/>
      </w:tblGrid>
      <w:tr w:rsidR="005F4D72" w:rsidRPr="006148EB" w14:paraId="300FF777" w14:textId="77777777" w:rsidTr="008B5F05">
        <w:trPr>
          <w:trHeight w:val="300"/>
          <w:jc w:val="center"/>
        </w:trPr>
        <w:tc>
          <w:tcPr>
            <w:tcW w:w="1193" w:type="pct"/>
            <w:tcBorders>
              <w:top w:val="single" w:sz="4" w:space="0" w:color="auto"/>
              <w:bottom w:val="single" w:sz="4" w:space="0" w:color="auto"/>
            </w:tcBorders>
            <w:shd w:val="clear" w:color="auto" w:fill="auto"/>
            <w:noWrap/>
            <w:vAlign w:val="center"/>
          </w:tcPr>
          <w:p w14:paraId="161BFECD" w14:textId="77777777" w:rsidR="005F4D72" w:rsidRPr="006148EB" w:rsidRDefault="005F4D72" w:rsidP="008B5F05">
            <w:pPr>
              <w:contextualSpacing/>
              <w:jc w:val="center"/>
              <w:rPr>
                <w:b/>
              </w:rPr>
            </w:pPr>
            <w:r w:rsidRPr="006148EB">
              <w:rPr>
                <w:b/>
              </w:rPr>
              <w:t>Variáveis</w:t>
            </w:r>
          </w:p>
        </w:tc>
        <w:tc>
          <w:tcPr>
            <w:tcW w:w="183" w:type="pct"/>
            <w:tcBorders>
              <w:top w:val="single" w:sz="4" w:space="0" w:color="auto"/>
              <w:bottom w:val="single" w:sz="4" w:space="0" w:color="auto"/>
            </w:tcBorders>
          </w:tcPr>
          <w:p w14:paraId="4B0ACEDF" w14:textId="77777777" w:rsidR="005F4D72" w:rsidRPr="006148EB" w:rsidRDefault="005F4D72" w:rsidP="008B5F05">
            <w:pPr>
              <w:contextualSpacing/>
              <w:jc w:val="center"/>
              <w:rPr>
                <w:b/>
              </w:rPr>
            </w:pPr>
          </w:p>
        </w:tc>
        <w:tc>
          <w:tcPr>
            <w:tcW w:w="858" w:type="pct"/>
            <w:tcBorders>
              <w:top w:val="single" w:sz="4" w:space="0" w:color="auto"/>
              <w:bottom w:val="single" w:sz="4" w:space="0" w:color="auto"/>
            </w:tcBorders>
            <w:shd w:val="clear" w:color="auto" w:fill="auto"/>
            <w:noWrap/>
            <w:vAlign w:val="center"/>
          </w:tcPr>
          <w:p w14:paraId="78AF1707" w14:textId="77777777" w:rsidR="005F4D72" w:rsidRPr="006148EB" w:rsidRDefault="005F4D72" w:rsidP="008B5F05">
            <w:pPr>
              <w:contextualSpacing/>
              <w:jc w:val="center"/>
              <w:rPr>
                <w:b/>
              </w:rPr>
            </w:pPr>
          </w:p>
        </w:tc>
        <w:tc>
          <w:tcPr>
            <w:tcW w:w="183" w:type="pct"/>
            <w:tcBorders>
              <w:top w:val="single" w:sz="4" w:space="0" w:color="auto"/>
              <w:bottom w:val="single" w:sz="4" w:space="0" w:color="auto"/>
            </w:tcBorders>
          </w:tcPr>
          <w:p w14:paraId="70135576" w14:textId="77777777" w:rsidR="005F4D72" w:rsidRPr="006148EB" w:rsidRDefault="005F4D72" w:rsidP="008B5F05">
            <w:pPr>
              <w:contextualSpacing/>
              <w:jc w:val="center"/>
              <w:rPr>
                <w:b/>
              </w:rPr>
            </w:pPr>
          </w:p>
        </w:tc>
        <w:tc>
          <w:tcPr>
            <w:tcW w:w="2584" w:type="pct"/>
            <w:gridSpan w:val="2"/>
            <w:tcBorders>
              <w:top w:val="single" w:sz="4" w:space="0" w:color="auto"/>
              <w:bottom w:val="single" w:sz="4" w:space="0" w:color="auto"/>
            </w:tcBorders>
          </w:tcPr>
          <w:p w14:paraId="30C27BB1" w14:textId="77777777" w:rsidR="005F4D72" w:rsidRPr="006148EB" w:rsidRDefault="005F4D72" w:rsidP="008B5F05">
            <w:pPr>
              <w:contextualSpacing/>
              <w:jc w:val="center"/>
              <w:rPr>
                <w:b/>
              </w:rPr>
            </w:pPr>
            <w:r w:rsidRPr="006148EB">
              <w:rPr>
                <w:b/>
              </w:rPr>
              <w:t>Grupos</w:t>
            </w:r>
          </w:p>
        </w:tc>
      </w:tr>
      <w:tr w:rsidR="005F4D72" w:rsidRPr="00F47DE3" w14:paraId="0D14E23C" w14:textId="77777777" w:rsidTr="008B5F05">
        <w:trPr>
          <w:trHeight w:val="300"/>
          <w:jc w:val="center"/>
        </w:trPr>
        <w:tc>
          <w:tcPr>
            <w:tcW w:w="1193" w:type="pct"/>
            <w:tcBorders>
              <w:top w:val="single" w:sz="4" w:space="0" w:color="auto"/>
            </w:tcBorders>
            <w:shd w:val="clear" w:color="auto" w:fill="auto"/>
            <w:noWrap/>
            <w:vAlign w:val="center"/>
          </w:tcPr>
          <w:p w14:paraId="6F95529D" w14:textId="77777777" w:rsidR="005F4D72" w:rsidRPr="001966A5" w:rsidRDefault="005F4D72" w:rsidP="008B5F05">
            <w:pPr>
              <w:contextualSpacing/>
              <w:rPr>
                <w:sz w:val="20"/>
                <w:szCs w:val="20"/>
              </w:rPr>
            </w:pPr>
          </w:p>
        </w:tc>
        <w:tc>
          <w:tcPr>
            <w:tcW w:w="183" w:type="pct"/>
            <w:tcBorders>
              <w:top w:val="single" w:sz="4" w:space="0" w:color="auto"/>
            </w:tcBorders>
          </w:tcPr>
          <w:p w14:paraId="4E8F4EB0" w14:textId="77777777" w:rsidR="005F4D72" w:rsidRPr="001966A5" w:rsidRDefault="005F4D72" w:rsidP="008B5F05">
            <w:pPr>
              <w:contextualSpacing/>
              <w:rPr>
                <w:sz w:val="20"/>
                <w:szCs w:val="20"/>
              </w:rPr>
            </w:pPr>
          </w:p>
        </w:tc>
        <w:tc>
          <w:tcPr>
            <w:tcW w:w="858" w:type="pct"/>
            <w:tcBorders>
              <w:top w:val="single" w:sz="4" w:space="0" w:color="auto"/>
            </w:tcBorders>
            <w:shd w:val="clear" w:color="auto" w:fill="auto"/>
            <w:noWrap/>
            <w:vAlign w:val="center"/>
          </w:tcPr>
          <w:p w14:paraId="6ACAA74D" w14:textId="77777777" w:rsidR="005F4D72" w:rsidRPr="001966A5" w:rsidRDefault="005F4D72" w:rsidP="008B5F05">
            <w:pPr>
              <w:contextualSpacing/>
              <w:jc w:val="center"/>
              <w:rPr>
                <w:sz w:val="20"/>
                <w:szCs w:val="20"/>
              </w:rPr>
            </w:pPr>
            <w:r w:rsidRPr="001966A5">
              <w:rPr>
                <w:sz w:val="20"/>
                <w:szCs w:val="20"/>
              </w:rPr>
              <w:t>Global</w:t>
            </w:r>
          </w:p>
        </w:tc>
        <w:tc>
          <w:tcPr>
            <w:tcW w:w="183" w:type="pct"/>
            <w:tcBorders>
              <w:top w:val="single" w:sz="4" w:space="0" w:color="auto"/>
            </w:tcBorders>
          </w:tcPr>
          <w:p w14:paraId="7B812E5A" w14:textId="77777777" w:rsidR="005F4D72" w:rsidRPr="001966A5" w:rsidRDefault="005F4D72" w:rsidP="008B5F05">
            <w:pPr>
              <w:contextualSpacing/>
              <w:jc w:val="center"/>
              <w:rPr>
                <w:sz w:val="20"/>
                <w:szCs w:val="20"/>
              </w:rPr>
            </w:pPr>
          </w:p>
        </w:tc>
        <w:tc>
          <w:tcPr>
            <w:tcW w:w="2584" w:type="pct"/>
            <w:gridSpan w:val="2"/>
            <w:tcBorders>
              <w:top w:val="single" w:sz="4" w:space="0" w:color="auto"/>
            </w:tcBorders>
          </w:tcPr>
          <w:p w14:paraId="25DC3CCA" w14:textId="77777777" w:rsidR="005F4D72" w:rsidRPr="001966A5" w:rsidRDefault="005F4D72" w:rsidP="008B5F05">
            <w:pPr>
              <w:contextualSpacing/>
              <w:jc w:val="center"/>
              <w:rPr>
                <w:i/>
                <w:position w:val="-14"/>
                <w:sz w:val="20"/>
                <w:szCs w:val="20"/>
              </w:rPr>
            </w:pPr>
            <w:r w:rsidRPr="001966A5">
              <w:rPr>
                <w:i/>
                <w:position w:val="-14"/>
                <w:sz w:val="20"/>
                <w:szCs w:val="20"/>
              </w:rPr>
              <w:t>Threshold</w:t>
            </w:r>
          </w:p>
        </w:tc>
      </w:tr>
      <w:tr w:rsidR="005F4D72" w:rsidRPr="00F47DE3" w14:paraId="679B72A4" w14:textId="77777777" w:rsidTr="008B5F05">
        <w:trPr>
          <w:trHeight w:val="300"/>
          <w:jc w:val="center"/>
        </w:trPr>
        <w:tc>
          <w:tcPr>
            <w:tcW w:w="1193" w:type="pct"/>
            <w:tcBorders>
              <w:bottom w:val="single" w:sz="4" w:space="0" w:color="auto"/>
            </w:tcBorders>
            <w:shd w:val="clear" w:color="auto" w:fill="auto"/>
            <w:noWrap/>
            <w:vAlign w:val="center"/>
          </w:tcPr>
          <w:p w14:paraId="7537CAE5" w14:textId="77777777" w:rsidR="005F4D72" w:rsidRPr="001966A5" w:rsidRDefault="005F4D72" w:rsidP="008B5F05">
            <w:pPr>
              <w:contextualSpacing/>
              <w:rPr>
                <w:sz w:val="20"/>
                <w:szCs w:val="20"/>
              </w:rPr>
            </w:pPr>
          </w:p>
        </w:tc>
        <w:tc>
          <w:tcPr>
            <w:tcW w:w="183" w:type="pct"/>
            <w:tcBorders>
              <w:bottom w:val="single" w:sz="4" w:space="0" w:color="auto"/>
            </w:tcBorders>
          </w:tcPr>
          <w:p w14:paraId="786FAEBF" w14:textId="77777777" w:rsidR="005F4D72" w:rsidRPr="001966A5" w:rsidRDefault="005F4D72" w:rsidP="008B5F05">
            <w:pPr>
              <w:contextualSpacing/>
              <w:rPr>
                <w:sz w:val="20"/>
                <w:szCs w:val="20"/>
              </w:rPr>
            </w:pPr>
          </w:p>
        </w:tc>
        <w:tc>
          <w:tcPr>
            <w:tcW w:w="858" w:type="pct"/>
            <w:tcBorders>
              <w:bottom w:val="single" w:sz="4" w:space="0" w:color="auto"/>
            </w:tcBorders>
            <w:shd w:val="clear" w:color="auto" w:fill="auto"/>
            <w:noWrap/>
            <w:vAlign w:val="center"/>
          </w:tcPr>
          <w:p w14:paraId="6F8FC374" w14:textId="77777777" w:rsidR="005F4D72" w:rsidRPr="001966A5" w:rsidRDefault="005F4D72" w:rsidP="008B5F05">
            <w:pPr>
              <w:contextualSpacing/>
              <w:jc w:val="center"/>
              <w:rPr>
                <w:sz w:val="20"/>
                <w:szCs w:val="20"/>
              </w:rPr>
            </w:pPr>
          </w:p>
        </w:tc>
        <w:tc>
          <w:tcPr>
            <w:tcW w:w="183" w:type="pct"/>
            <w:tcBorders>
              <w:bottom w:val="single" w:sz="4" w:space="0" w:color="auto"/>
            </w:tcBorders>
          </w:tcPr>
          <w:p w14:paraId="794A32E5" w14:textId="77777777" w:rsidR="005F4D72" w:rsidRPr="001966A5" w:rsidRDefault="005F4D72" w:rsidP="008B5F05">
            <w:pPr>
              <w:contextualSpacing/>
              <w:jc w:val="center"/>
              <w:rPr>
                <w:sz w:val="20"/>
                <w:szCs w:val="20"/>
              </w:rPr>
            </w:pPr>
          </w:p>
        </w:tc>
        <w:tc>
          <w:tcPr>
            <w:tcW w:w="1293" w:type="pct"/>
            <w:tcBorders>
              <w:bottom w:val="single" w:sz="4" w:space="0" w:color="auto"/>
            </w:tcBorders>
          </w:tcPr>
          <w:p w14:paraId="2E8F81D7" w14:textId="77777777" w:rsidR="005F4D72" w:rsidRPr="001966A5" w:rsidRDefault="005F4D72" w:rsidP="008B5F05">
            <w:pPr>
              <w:contextualSpacing/>
              <w:jc w:val="center"/>
              <w:rPr>
                <w:sz w:val="20"/>
                <w:szCs w:val="20"/>
              </w:rPr>
            </w:pPr>
            <w:r w:rsidRPr="001966A5">
              <w:rPr>
                <w:position w:val="-14"/>
                <w:sz w:val="20"/>
                <w:szCs w:val="20"/>
              </w:rPr>
              <w:object w:dxaOrig="380" w:dyaOrig="380" w14:anchorId="6018326A">
                <v:shape id="_x0000_i1121" type="#_x0000_t75" style="width:19.5pt;height:19.5pt" o:ole="">
                  <v:imagedata r:id="rId172" o:title=""/>
                </v:shape>
                <o:OLEObject Type="Embed" ProgID="Equation.3" ShapeID="_x0000_i1121" DrawAspect="Content" ObjectID="_1667139700" r:id="rId173"/>
              </w:object>
            </w:r>
            <w:r w:rsidRPr="001966A5">
              <w:rPr>
                <w:sz w:val="20"/>
                <w:szCs w:val="20"/>
              </w:rPr>
              <w:t>&lt; 8.32</w:t>
            </w:r>
          </w:p>
        </w:tc>
        <w:tc>
          <w:tcPr>
            <w:tcW w:w="1291" w:type="pct"/>
            <w:tcBorders>
              <w:bottom w:val="single" w:sz="4" w:space="0" w:color="auto"/>
            </w:tcBorders>
            <w:vAlign w:val="center"/>
          </w:tcPr>
          <w:p w14:paraId="5274D851" w14:textId="77777777" w:rsidR="005F4D72" w:rsidRPr="001966A5" w:rsidRDefault="005F4D72" w:rsidP="008B5F05">
            <w:pPr>
              <w:contextualSpacing/>
              <w:jc w:val="center"/>
              <w:rPr>
                <w:sz w:val="20"/>
                <w:szCs w:val="20"/>
              </w:rPr>
            </w:pPr>
            <w:r w:rsidRPr="001966A5">
              <w:rPr>
                <w:position w:val="-14"/>
                <w:sz w:val="20"/>
                <w:szCs w:val="20"/>
              </w:rPr>
              <w:object w:dxaOrig="380" w:dyaOrig="380" w14:anchorId="1B52F556">
                <v:shape id="_x0000_i1122" type="#_x0000_t75" style="width:19.5pt;height:19.5pt" o:ole="">
                  <v:imagedata r:id="rId174" o:title=""/>
                </v:shape>
                <o:OLEObject Type="Embed" ProgID="Equation.3" ShapeID="_x0000_i1122" DrawAspect="Content" ObjectID="_1667139701" r:id="rId175"/>
              </w:object>
            </w:r>
            <w:r w:rsidRPr="001966A5">
              <w:rPr>
                <w:sz w:val="20"/>
                <w:szCs w:val="20"/>
              </w:rPr>
              <w:t>&gt; 8.32</w:t>
            </w:r>
          </w:p>
        </w:tc>
      </w:tr>
      <w:tr w:rsidR="005F4D72" w:rsidRPr="00F47DE3" w14:paraId="15BC23AE" w14:textId="77777777" w:rsidTr="008B5F05">
        <w:trPr>
          <w:trHeight w:val="300"/>
          <w:jc w:val="center"/>
        </w:trPr>
        <w:tc>
          <w:tcPr>
            <w:tcW w:w="1193" w:type="pct"/>
            <w:shd w:val="clear" w:color="auto" w:fill="auto"/>
            <w:noWrap/>
            <w:vAlign w:val="center"/>
          </w:tcPr>
          <w:p w14:paraId="5189E7E7" w14:textId="77777777" w:rsidR="005F4D72" w:rsidRPr="001966A5" w:rsidRDefault="005F4D72" w:rsidP="008B5F05">
            <w:pPr>
              <w:contextualSpacing/>
              <w:rPr>
                <w:i/>
                <w:sz w:val="20"/>
                <w:szCs w:val="20"/>
              </w:rPr>
            </w:pPr>
            <w:r w:rsidRPr="001966A5">
              <w:rPr>
                <w:i/>
                <w:sz w:val="20"/>
                <w:szCs w:val="20"/>
              </w:rPr>
              <w:t>intercepto</w:t>
            </w:r>
          </w:p>
        </w:tc>
        <w:tc>
          <w:tcPr>
            <w:tcW w:w="183" w:type="pct"/>
          </w:tcPr>
          <w:p w14:paraId="32925918" w14:textId="77777777" w:rsidR="005F4D72" w:rsidRPr="001966A5" w:rsidRDefault="005F4D72" w:rsidP="008B5F05">
            <w:pPr>
              <w:contextualSpacing/>
              <w:rPr>
                <w:sz w:val="20"/>
                <w:szCs w:val="20"/>
              </w:rPr>
            </w:pPr>
          </w:p>
        </w:tc>
        <w:tc>
          <w:tcPr>
            <w:tcW w:w="858" w:type="pct"/>
            <w:shd w:val="clear" w:color="auto" w:fill="auto"/>
            <w:noWrap/>
            <w:vAlign w:val="bottom"/>
          </w:tcPr>
          <w:p w14:paraId="3370AED5" w14:textId="77777777" w:rsidR="005F4D72" w:rsidRPr="001966A5" w:rsidRDefault="005F4D72" w:rsidP="008B5F05">
            <w:pPr>
              <w:contextualSpacing/>
              <w:jc w:val="center"/>
              <w:rPr>
                <w:sz w:val="20"/>
                <w:szCs w:val="20"/>
              </w:rPr>
            </w:pPr>
            <w:r w:rsidRPr="001966A5">
              <w:rPr>
                <w:sz w:val="20"/>
                <w:szCs w:val="20"/>
              </w:rPr>
              <w:t>1.282</w:t>
            </w:r>
          </w:p>
        </w:tc>
        <w:tc>
          <w:tcPr>
            <w:tcW w:w="183" w:type="pct"/>
          </w:tcPr>
          <w:p w14:paraId="04EFF54D" w14:textId="77777777" w:rsidR="005F4D72" w:rsidRPr="001966A5" w:rsidRDefault="005F4D72" w:rsidP="008B5F05">
            <w:pPr>
              <w:contextualSpacing/>
              <w:jc w:val="center"/>
              <w:rPr>
                <w:sz w:val="20"/>
                <w:szCs w:val="20"/>
              </w:rPr>
            </w:pPr>
          </w:p>
        </w:tc>
        <w:tc>
          <w:tcPr>
            <w:tcW w:w="1293" w:type="pct"/>
          </w:tcPr>
          <w:p w14:paraId="04A24F3C" w14:textId="77777777" w:rsidR="005F4D72" w:rsidRPr="001966A5" w:rsidRDefault="005F4D72" w:rsidP="008B5F05">
            <w:pPr>
              <w:contextualSpacing/>
              <w:jc w:val="center"/>
              <w:rPr>
                <w:sz w:val="20"/>
                <w:szCs w:val="20"/>
              </w:rPr>
            </w:pPr>
            <w:r w:rsidRPr="001966A5">
              <w:rPr>
                <w:sz w:val="20"/>
                <w:szCs w:val="20"/>
              </w:rPr>
              <w:t>3.701</w:t>
            </w:r>
          </w:p>
        </w:tc>
        <w:tc>
          <w:tcPr>
            <w:tcW w:w="1291" w:type="pct"/>
            <w:vAlign w:val="bottom"/>
          </w:tcPr>
          <w:p w14:paraId="61C6767A" w14:textId="77777777" w:rsidR="005F4D72" w:rsidRPr="001966A5" w:rsidRDefault="005F4D72" w:rsidP="008B5F05">
            <w:pPr>
              <w:contextualSpacing/>
              <w:jc w:val="center"/>
              <w:rPr>
                <w:sz w:val="20"/>
                <w:szCs w:val="20"/>
              </w:rPr>
            </w:pPr>
            <w:r w:rsidRPr="001966A5">
              <w:rPr>
                <w:sz w:val="20"/>
                <w:szCs w:val="20"/>
              </w:rPr>
              <w:t>-0.209</w:t>
            </w:r>
          </w:p>
        </w:tc>
      </w:tr>
      <w:tr w:rsidR="005F4D72" w:rsidRPr="00F47DE3" w14:paraId="4D8FDCB0" w14:textId="77777777" w:rsidTr="008B5F05">
        <w:trPr>
          <w:trHeight w:val="300"/>
          <w:jc w:val="center"/>
        </w:trPr>
        <w:tc>
          <w:tcPr>
            <w:tcW w:w="1193" w:type="pct"/>
            <w:shd w:val="clear" w:color="auto" w:fill="auto"/>
            <w:noWrap/>
          </w:tcPr>
          <w:p w14:paraId="6DB17943" w14:textId="77777777" w:rsidR="005F4D72" w:rsidRPr="001966A5" w:rsidRDefault="005F4D72" w:rsidP="008B5F05">
            <w:pPr>
              <w:contextualSpacing/>
              <w:rPr>
                <w:sz w:val="20"/>
                <w:szCs w:val="20"/>
              </w:rPr>
            </w:pPr>
          </w:p>
        </w:tc>
        <w:tc>
          <w:tcPr>
            <w:tcW w:w="183" w:type="pct"/>
          </w:tcPr>
          <w:p w14:paraId="4C86023D" w14:textId="77777777" w:rsidR="005F4D72" w:rsidRPr="001966A5" w:rsidRDefault="005F4D72" w:rsidP="008B5F05">
            <w:pPr>
              <w:contextualSpacing/>
              <w:rPr>
                <w:sz w:val="20"/>
                <w:szCs w:val="20"/>
              </w:rPr>
            </w:pPr>
          </w:p>
        </w:tc>
        <w:tc>
          <w:tcPr>
            <w:tcW w:w="858" w:type="pct"/>
            <w:shd w:val="clear" w:color="auto" w:fill="auto"/>
            <w:noWrap/>
          </w:tcPr>
          <w:p w14:paraId="4C10C496" w14:textId="77777777" w:rsidR="005F4D72" w:rsidRPr="001966A5" w:rsidRDefault="005F4D72" w:rsidP="008B5F05">
            <w:pPr>
              <w:contextualSpacing/>
              <w:jc w:val="center"/>
              <w:rPr>
                <w:sz w:val="20"/>
                <w:szCs w:val="20"/>
              </w:rPr>
            </w:pPr>
            <w:r w:rsidRPr="001966A5">
              <w:rPr>
                <w:sz w:val="20"/>
                <w:szCs w:val="20"/>
              </w:rPr>
              <w:t>[5.317]</w:t>
            </w:r>
          </w:p>
        </w:tc>
        <w:tc>
          <w:tcPr>
            <w:tcW w:w="183" w:type="pct"/>
          </w:tcPr>
          <w:p w14:paraId="3A5293F2" w14:textId="77777777" w:rsidR="005F4D72" w:rsidRPr="001966A5" w:rsidRDefault="005F4D72" w:rsidP="008B5F05">
            <w:pPr>
              <w:contextualSpacing/>
              <w:jc w:val="center"/>
              <w:rPr>
                <w:sz w:val="20"/>
                <w:szCs w:val="20"/>
              </w:rPr>
            </w:pPr>
          </w:p>
        </w:tc>
        <w:tc>
          <w:tcPr>
            <w:tcW w:w="1293" w:type="pct"/>
          </w:tcPr>
          <w:p w14:paraId="0D028282" w14:textId="77777777" w:rsidR="005F4D72" w:rsidRPr="001966A5" w:rsidRDefault="005F4D72" w:rsidP="008B5F05">
            <w:pPr>
              <w:contextualSpacing/>
              <w:jc w:val="center"/>
              <w:rPr>
                <w:sz w:val="20"/>
                <w:szCs w:val="20"/>
              </w:rPr>
            </w:pPr>
            <w:r w:rsidRPr="001966A5">
              <w:rPr>
                <w:sz w:val="20"/>
                <w:szCs w:val="20"/>
              </w:rPr>
              <w:t>[11.569]</w:t>
            </w:r>
          </w:p>
        </w:tc>
        <w:tc>
          <w:tcPr>
            <w:tcW w:w="1291" w:type="pct"/>
          </w:tcPr>
          <w:p w14:paraId="345575AA" w14:textId="77777777" w:rsidR="005F4D72" w:rsidRPr="001966A5" w:rsidRDefault="005F4D72" w:rsidP="008B5F05">
            <w:pPr>
              <w:contextualSpacing/>
              <w:jc w:val="center"/>
              <w:rPr>
                <w:sz w:val="20"/>
                <w:szCs w:val="20"/>
              </w:rPr>
            </w:pPr>
            <w:r w:rsidRPr="001966A5">
              <w:rPr>
                <w:sz w:val="20"/>
                <w:szCs w:val="20"/>
              </w:rPr>
              <w:t>[-0.373]</w:t>
            </w:r>
          </w:p>
        </w:tc>
      </w:tr>
      <w:tr w:rsidR="005F4D72" w:rsidRPr="00F47DE3" w14:paraId="14E740F4" w14:textId="77777777" w:rsidTr="008B5F05">
        <w:trPr>
          <w:trHeight w:val="300"/>
          <w:jc w:val="center"/>
        </w:trPr>
        <w:tc>
          <w:tcPr>
            <w:tcW w:w="1193" w:type="pct"/>
            <w:shd w:val="clear" w:color="auto" w:fill="auto"/>
            <w:noWrap/>
            <w:vAlign w:val="center"/>
          </w:tcPr>
          <w:p w14:paraId="2312354A" w14:textId="77777777" w:rsidR="005F4D72" w:rsidRPr="001966A5" w:rsidRDefault="005F4D72" w:rsidP="008B5F05">
            <w:pPr>
              <w:contextualSpacing/>
              <w:rPr>
                <w:b/>
                <w:i/>
                <w:sz w:val="20"/>
                <w:szCs w:val="20"/>
              </w:rPr>
            </w:pPr>
            <w:r w:rsidRPr="001966A5">
              <w:rPr>
                <w:b/>
                <w:i/>
                <w:sz w:val="20"/>
                <w:szCs w:val="20"/>
              </w:rPr>
              <w:t>F</w:t>
            </w:r>
            <w:r w:rsidRPr="001966A5">
              <w:rPr>
                <w:b/>
                <w:i/>
                <w:sz w:val="20"/>
                <w:szCs w:val="20"/>
                <w:vertAlign w:val="subscript"/>
              </w:rPr>
              <w:t>i</w:t>
            </w:r>
          </w:p>
        </w:tc>
        <w:tc>
          <w:tcPr>
            <w:tcW w:w="183" w:type="pct"/>
          </w:tcPr>
          <w:p w14:paraId="0C931A33" w14:textId="77777777" w:rsidR="005F4D72" w:rsidRPr="001966A5" w:rsidRDefault="005F4D72" w:rsidP="008B5F05">
            <w:pPr>
              <w:contextualSpacing/>
              <w:rPr>
                <w:b/>
                <w:sz w:val="20"/>
                <w:szCs w:val="20"/>
              </w:rPr>
            </w:pPr>
          </w:p>
        </w:tc>
        <w:tc>
          <w:tcPr>
            <w:tcW w:w="858" w:type="pct"/>
            <w:shd w:val="clear" w:color="auto" w:fill="auto"/>
            <w:noWrap/>
            <w:vAlign w:val="bottom"/>
          </w:tcPr>
          <w:p w14:paraId="0260C07E" w14:textId="77777777" w:rsidR="005F4D72" w:rsidRPr="001966A5" w:rsidRDefault="005F4D72" w:rsidP="008B5F05">
            <w:pPr>
              <w:contextualSpacing/>
              <w:jc w:val="center"/>
              <w:rPr>
                <w:b/>
                <w:sz w:val="20"/>
                <w:szCs w:val="20"/>
              </w:rPr>
            </w:pPr>
            <w:r w:rsidRPr="001966A5">
              <w:rPr>
                <w:b/>
                <w:sz w:val="20"/>
                <w:szCs w:val="20"/>
              </w:rPr>
              <w:t>0.082</w:t>
            </w:r>
          </w:p>
        </w:tc>
        <w:tc>
          <w:tcPr>
            <w:tcW w:w="183" w:type="pct"/>
          </w:tcPr>
          <w:p w14:paraId="54C54A75" w14:textId="77777777" w:rsidR="005F4D72" w:rsidRPr="001966A5" w:rsidRDefault="005F4D72" w:rsidP="008B5F05">
            <w:pPr>
              <w:contextualSpacing/>
              <w:jc w:val="center"/>
              <w:rPr>
                <w:b/>
                <w:sz w:val="20"/>
                <w:szCs w:val="20"/>
              </w:rPr>
            </w:pPr>
          </w:p>
        </w:tc>
        <w:tc>
          <w:tcPr>
            <w:tcW w:w="1293" w:type="pct"/>
          </w:tcPr>
          <w:p w14:paraId="2FC65C8C" w14:textId="77777777" w:rsidR="005F4D72" w:rsidRPr="001966A5" w:rsidRDefault="005F4D72" w:rsidP="008B5F05">
            <w:pPr>
              <w:contextualSpacing/>
              <w:jc w:val="center"/>
              <w:rPr>
                <w:b/>
                <w:sz w:val="20"/>
                <w:szCs w:val="20"/>
              </w:rPr>
            </w:pPr>
            <w:r w:rsidRPr="001966A5">
              <w:rPr>
                <w:b/>
                <w:sz w:val="20"/>
                <w:szCs w:val="20"/>
              </w:rPr>
              <w:t>0.067</w:t>
            </w:r>
          </w:p>
        </w:tc>
        <w:tc>
          <w:tcPr>
            <w:tcW w:w="1291" w:type="pct"/>
            <w:vAlign w:val="bottom"/>
          </w:tcPr>
          <w:p w14:paraId="67D942DF" w14:textId="77777777" w:rsidR="005F4D72" w:rsidRPr="001966A5" w:rsidRDefault="005F4D72" w:rsidP="008B5F05">
            <w:pPr>
              <w:contextualSpacing/>
              <w:jc w:val="center"/>
              <w:rPr>
                <w:b/>
                <w:sz w:val="20"/>
                <w:szCs w:val="20"/>
              </w:rPr>
            </w:pPr>
            <w:r w:rsidRPr="001966A5">
              <w:rPr>
                <w:b/>
                <w:sz w:val="20"/>
                <w:szCs w:val="20"/>
              </w:rPr>
              <w:t>0.117</w:t>
            </w:r>
          </w:p>
        </w:tc>
      </w:tr>
      <w:tr w:rsidR="005F4D72" w:rsidRPr="00F47DE3" w14:paraId="7A048522" w14:textId="77777777" w:rsidTr="008B5F05">
        <w:trPr>
          <w:trHeight w:val="300"/>
          <w:jc w:val="center"/>
        </w:trPr>
        <w:tc>
          <w:tcPr>
            <w:tcW w:w="1193" w:type="pct"/>
            <w:shd w:val="clear" w:color="auto" w:fill="auto"/>
            <w:noWrap/>
          </w:tcPr>
          <w:p w14:paraId="06B37F40" w14:textId="77777777" w:rsidR="005F4D72" w:rsidRPr="001966A5" w:rsidRDefault="005F4D72" w:rsidP="008B5F05">
            <w:pPr>
              <w:contextualSpacing/>
              <w:rPr>
                <w:b/>
                <w:sz w:val="20"/>
                <w:szCs w:val="20"/>
              </w:rPr>
            </w:pPr>
          </w:p>
        </w:tc>
        <w:tc>
          <w:tcPr>
            <w:tcW w:w="183" w:type="pct"/>
          </w:tcPr>
          <w:p w14:paraId="2F256CFA" w14:textId="77777777" w:rsidR="005F4D72" w:rsidRPr="001966A5" w:rsidRDefault="005F4D72" w:rsidP="008B5F05">
            <w:pPr>
              <w:contextualSpacing/>
              <w:rPr>
                <w:b/>
                <w:sz w:val="20"/>
                <w:szCs w:val="20"/>
              </w:rPr>
            </w:pPr>
          </w:p>
        </w:tc>
        <w:tc>
          <w:tcPr>
            <w:tcW w:w="858" w:type="pct"/>
            <w:shd w:val="clear" w:color="auto" w:fill="auto"/>
            <w:noWrap/>
          </w:tcPr>
          <w:p w14:paraId="49D28B89" w14:textId="77777777" w:rsidR="005F4D72" w:rsidRPr="001966A5" w:rsidRDefault="005F4D72" w:rsidP="008B5F05">
            <w:pPr>
              <w:contextualSpacing/>
              <w:jc w:val="center"/>
              <w:rPr>
                <w:b/>
                <w:sz w:val="20"/>
                <w:szCs w:val="20"/>
              </w:rPr>
            </w:pPr>
            <w:r w:rsidRPr="001966A5">
              <w:rPr>
                <w:b/>
                <w:sz w:val="20"/>
                <w:szCs w:val="20"/>
              </w:rPr>
              <w:t>[4.457]</w:t>
            </w:r>
          </w:p>
        </w:tc>
        <w:tc>
          <w:tcPr>
            <w:tcW w:w="183" w:type="pct"/>
          </w:tcPr>
          <w:p w14:paraId="2D3FE302" w14:textId="77777777" w:rsidR="005F4D72" w:rsidRPr="001966A5" w:rsidRDefault="005F4D72" w:rsidP="008B5F05">
            <w:pPr>
              <w:contextualSpacing/>
              <w:jc w:val="center"/>
              <w:rPr>
                <w:b/>
                <w:sz w:val="20"/>
                <w:szCs w:val="20"/>
              </w:rPr>
            </w:pPr>
          </w:p>
        </w:tc>
        <w:tc>
          <w:tcPr>
            <w:tcW w:w="1293" w:type="pct"/>
          </w:tcPr>
          <w:p w14:paraId="06F48E36" w14:textId="77777777" w:rsidR="005F4D72" w:rsidRPr="001966A5" w:rsidRDefault="005F4D72" w:rsidP="008B5F05">
            <w:pPr>
              <w:contextualSpacing/>
              <w:jc w:val="center"/>
              <w:rPr>
                <w:b/>
                <w:sz w:val="20"/>
                <w:szCs w:val="20"/>
              </w:rPr>
            </w:pPr>
            <w:r w:rsidRPr="001966A5">
              <w:rPr>
                <w:b/>
                <w:sz w:val="20"/>
                <w:szCs w:val="20"/>
              </w:rPr>
              <w:t>[4.918]</w:t>
            </w:r>
          </w:p>
        </w:tc>
        <w:tc>
          <w:tcPr>
            <w:tcW w:w="1291" w:type="pct"/>
          </w:tcPr>
          <w:p w14:paraId="6F004FDB" w14:textId="77777777" w:rsidR="005F4D72" w:rsidRPr="001966A5" w:rsidRDefault="005F4D72" w:rsidP="008B5F05">
            <w:pPr>
              <w:contextualSpacing/>
              <w:jc w:val="center"/>
              <w:rPr>
                <w:b/>
                <w:sz w:val="20"/>
                <w:szCs w:val="20"/>
              </w:rPr>
            </w:pPr>
            <w:r w:rsidRPr="001966A5">
              <w:rPr>
                <w:b/>
                <w:sz w:val="20"/>
                <w:szCs w:val="20"/>
              </w:rPr>
              <w:t>[2.085]</w:t>
            </w:r>
          </w:p>
        </w:tc>
      </w:tr>
      <w:tr w:rsidR="005F4D72" w:rsidRPr="00F47DE3" w14:paraId="24148255" w14:textId="77777777" w:rsidTr="008B5F05">
        <w:trPr>
          <w:trHeight w:val="300"/>
          <w:jc w:val="center"/>
        </w:trPr>
        <w:tc>
          <w:tcPr>
            <w:tcW w:w="1193" w:type="pct"/>
            <w:shd w:val="clear" w:color="auto" w:fill="auto"/>
            <w:noWrap/>
            <w:vAlign w:val="center"/>
          </w:tcPr>
          <w:p w14:paraId="1A745DDE" w14:textId="77777777" w:rsidR="005F4D72" w:rsidRPr="001966A5" w:rsidRDefault="005F4D72" w:rsidP="008B5F05">
            <w:pPr>
              <w:contextualSpacing/>
              <w:rPr>
                <w:sz w:val="20"/>
                <w:szCs w:val="20"/>
              </w:rPr>
            </w:pPr>
            <w:r w:rsidRPr="001966A5">
              <w:rPr>
                <w:sz w:val="20"/>
                <w:szCs w:val="20"/>
              </w:rPr>
              <w:t>ln(</w:t>
            </w:r>
            <w:r w:rsidRPr="001966A5">
              <w:rPr>
                <w:i/>
                <w:sz w:val="20"/>
                <w:szCs w:val="20"/>
              </w:rPr>
              <w:t>y</w:t>
            </w:r>
            <w:r w:rsidRPr="001966A5">
              <w:rPr>
                <w:i/>
                <w:sz w:val="20"/>
                <w:szCs w:val="20"/>
                <w:vertAlign w:val="subscript"/>
              </w:rPr>
              <w:t>i,0</w:t>
            </w:r>
            <w:r w:rsidRPr="001966A5">
              <w:rPr>
                <w:sz w:val="20"/>
                <w:szCs w:val="20"/>
              </w:rPr>
              <w:t>)</w:t>
            </w:r>
          </w:p>
        </w:tc>
        <w:tc>
          <w:tcPr>
            <w:tcW w:w="183" w:type="pct"/>
          </w:tcPr>
          <w:p w14:paraId="7D41D281" w14:textId="77777777" w:rsidR="005F4D72" w:rsidRPr="001966A5" w:rsidRDefault="005F4D72" w:rsidP="008B5F05">
            <w:pPr>
              <w:contextualSpacing/>
              <w:rPr>
                <w:sz w:val="20"/>
                <w:szCs w:val="20"/>
              </w:rPr>
            </w:pPr>
          </w:p>
        </w:tc>
        <w:tc>
          <w:tcPr>
            <w:tcW w:w="858" w:type="pct"/>
            <w:shd w:val="clear" w:color="auto" w:fill="auto"/>
            <w:noWrap/>
            <w:vAlign w:val="bottom"/>
          </w:tcPr>
          <w:p w14:paraId="61359C4B" w14:textId="77777777" w:rsidR="005F4D72" w:rsidRPr="001966A5" w:rsidRDefault="005F4D72" w:rsidP="008B5F05">
            <w:pPr>
              <w:contextualSpacing/>
              <w:jc w:val="center"/>
              <w:rPr>
                <w:sz w:val="20"/>
                <w:szCs w:val="20"/>
              </w:rPr>
            </w:pPr>
            <w:r w:rsidRPr="001966A5">
              <w:rPr>
                <w:sz w:val="20"/>
                <w:szCs w:val="20"/>
              </w:rPr>
              <w:t>-0.160</w:t>
            </w:r>
          </w:p>
        </w:tc>
        <w:tc>
          <w:tcPr>
            <w:tcW w:w="183" w:type="pct"/>
          </w:tcPr>
          <w:p w14:paraId="60B9C5C8" w14:textId="77777777" w:rsidR="005F4D72" w:rsidRPr="001966A5" w:rsidRDefault="005F4D72" w:rsidP="008B5F05">
            <w:pPr>
              <w:contextualSpacing/>
              <w:jc w:val="center"/>
              <w:rPr>
                <w:sz w:val="20"/>
                <w:szCs w:val="20"/>
              </w:rPr>
            </w:pPr>
          </w:p>
        </w:tc>
        <w:tc>
          <w:tcPr>
            <w:tcW w:w="1293" w:type="pct"/>
          </w:tcPr>
          <w:p w14:paraId="51E57002" w14:textId="77777777" w:rsidR="005F4D72" w:rsidRPr="001966A5" w:rsidRDefault="005F4D72" w:rsidP="008B5F05">
            <w:pPr>
              <w:contextualSpacing/>
              <w:jc w:val="center"/>
              <w:rPr>
                <w:sz w:val="20"/>
                <w:szCs w:val="20"/>
              </w:rPr>
            </w:pPr>
            <w:r w:rsidRPr="001966A5">
              <w:rPr>
                <w:sz w:val="20"/>
                <w:szCs w:val="20"/>
              </w:rPr>
              <w:t>-0.462</w:t>
            </w:r>
          </w:p>
        </w:tc>
        <w:tc>
          <w:tcPr>
            <w:tcW w:w="1291" w:type="pct"/>
            <w:vAlign w:val="bottom"/>
          </w:tcPr>
          <w:p w14:paraId="6A06DB35" w14:textId="77777777" w:rsidR="005F4D72" w:rsidRPr="001966A5" w:rsidRDefault="005F4D72" w:rsidP="008B5F05">
            <w:pPr>
              <w:contextualSpacing/>
              <w:jc w:val="center"/>
              <w:rPr>
                <w:sz w:val="20"/>
                <w:szCs w:val="20"/>
              </w:rPr>
            </w:pPr>
            <w:r w:rsidRPr="001966A5">
              <w:rPr>
                <w:sz w:val="20"/>
                <w:szCs w:val="20"/>
              </w:rPr>
              <w:t>-0.002</w:t>
            </w:r>
          </w:p>
        </w:tc>
      </w:tr>
      <w:tr w:rsidR="005F4D72" w:rsidRPr="00F47DE3" w14:paraId="6F4AB514" w14:textId="77777777" w:rsidTr="008B5F05">
        <w:trPr>
          <w:trHeight w:val="300"/>
          <w:jc w:val="center"/>
        </w:trPr>
        <w:tc>
          <w:tcPr>
            <w:tcW w:w="1193" w:type="pct"/>
            <w:tcBorders>
              <w:bottom w:val="single" w:sz="4" w:space="0" w:color="auto"/>
            </w:tcBorders>
            <w:shd w:val="clear" w:color="auto" w:fill="auto"/>
            <w:noWrap/>
          </w:tcPr>
          <w:p w14:paraId="41D8B6F1" w14:textId="77777777" w:rsidR="005F4D72" w:rsidRPr="001966A5" w:rsidRDefault="005F4D72" w:rsidP="008B5F05">
            <w:pPr>
              <w:contextualSpacing/>
              <w:rPr>
                <w:sz w:val="20"/>
                <w:szCs w:val="20"/>
              </w:rPr>
            </w:pPr>
          </w:p>
        </w:tc>
        <w:tc>
          <w:tcPr>
            <w:tcW w:w="183" w:type="pct"/>
            <w:tcBorders>
              <w:bottom w:val="single" w:sz="4" w:space="0" w:color="auto"/>
            </w:tcBorders>
          </w:tcPr>
          <w:p w14:paraId="31EF2101" w14:textId="77777777" w:rsidR="005F4D72" w:rsidRPr="001966A5" w:rsidRDefault="005F4D72" w:rsidP="008B5F05">
            <w:pPr>
              <w:contextualSpacing/>
              <w:rPr>
                <w:sz w:val="20"/>
                <w:szCs w:val="20"/>
              </w:rPr>
            </w:pPr>
          </w:p>
        </w:tc>
        <w:tc>
          <w:tcPr>
            <w:tcW w:w="858" w:type="pct"/>
            <w:tcBorders>
              <w:bottom w:val="single" w:sz="4" w:space="0" w:color="auto"/>
            </w:tcBorders>
            <w:shd w:val="clear" w:color="auto" w:fill="auto"/>
            <w:noWrap/>
          </w:tcPr>
          <w:p w14:paraId="3DD1FAF4" w14:textId="77777777" w:rsidR="005F4D72" w:rsidRPr="001966A5" w:rsidRDefault="005F4D72" w:rsidP="008B5F05">
            <w:pPr>
              <w:contextualSpacing/>
              <w:jc w:val="center"/>
              <w:rPr>
                <w:sz w:val="20"/>
                <w:szCs w:val="20"/>
              </w:rPr>
            </w:pPr>
            <w:r w:rsidRPr="001966A5">
              <w:rPr>
                <w:sz w:val="20"/>
                <w:szCs w:val="20"/>
              </w:rPr>
              <w:t>[-5.458]</w:t>
            </w:r>
          </w:p>
        </w:tc>
        <w:tc>
          <w:tcPr>
            <w:tcW w:w="183" w:type="pct"/>
            <w:tcBorders>
              <w:bottom w:val="single" w:sz="4" w:space="0" w:color="auto"/>
            </w:tcBorders>
          </w:tcPr>
          <w:p w14:paraId="3B954971" w14:textId="77777777" w:rsidR="005F4D72" w:rsidRPr="001966A5" w:rsidRDefault="005F4D72" w:rsidP="008B5F05">
            <w:pPr>
              <w:contextualSpacing/>
              <w:jc w:val="center"/>
              <w:rPr>
                <w:sz w:val="20"/>
                <w:szCs w:val="20"/>
              </w:rPr>
            </w:pPr>
          </w:p>
        </w:tc>
        <w:tc>
          <w:tcPr>
            <w:tcW w:w="1293" w:type="pct"/>
            <w:tcBorders>
              <w:bottom w:val="single" w:sz="4" w:space="0" w:color="auto"/>
            </w:tcBorders>
          </w:tcPr>
          <w:p w14:paraId="692F55FB" w14:textId="77777777" w:rsidR="005F4D72" w:rsidRPr="001966A5" w:rsidRDefault="005F4D72" w:rsidP="008B5F05">
            <w:pPr>
              <w:contextualSpacing/>
              <w:jc w:val="center"/>
              <w:rPr>
                <w:sz w:val="20"/>
                <w:szCs w:val="20"/>
              </w:rPr>
            </w:pPr>
            <w:r w:rsidRPr="001966A5">
              <w:rPr>
                <w:sz w:val="20"/>
                <w:szCs w:val="20"/>
              </w:rPr>
              <w:t>[-11.449]</w:t>
            </w:r>
          </w:p>
        </w:tc>
        <w:tc>
          <w:tcPr>
            <w:tcW w:w="1291" w:type="pct"/>
            <w:tcBorders>
              <w:bottom w:val="single" w:sz="4" w:space="0" w:color="auto"/>
            </w:tcBorders>
          </w:tcPr>
          <w:p w14:paraId="58026788" w14:textId="77777777" w:rsidR="005F4D72" w:rsidRPr="001966A5" w:rsidRDefault="005F4D72" w:rsidP="008B5F05">
            <w:pPr>
              <w:contextualSpacing/>
              <w:jc w:val="center"/>
              <w:rPr>
                <w:sz w:val="20"/>
                <w:szCs w:val="20"/>
              </w:rPr>
            </w:pPr>
            <w:r w:rsidRPr="001966A5">
              <w:rPr>
                <w:sz w:val="20"/>
                <w:szCs w:val="20"/>
              </w:rPr>
              <w:t>[-0.031]</w:t>
            </w:r>
          </w:p>
        </w:tc>
      </w:tr>
      <w:tr w:rsidR="005F4D72" w:rsidRPr="00F47DE3" w14:paraId="48FD0059" w14:textId="77777777" w:rsidTr="008B5F05">
        <w:trPr>
          <w:trHeight w:val="300"/>
          <w:jc w:val="center"/>
        </w:trPr>
        <w:tc>
          <w:tcPr>
            <w:tcW w:w="1193" w:type="pct"/>
            <w:shd w:val="clear" w:color="auto" w:fill="auto"/>
            <w:noWrap/>
            <w:vAlign w:val="center"/>
          </w:tcPr>
          <w:p w14:paraId="2011B6F4" w14:textId="77777777" w:rsidR="005F4D72" w:rsidRPr="001966A5" w:rsidRDefault="005F4D72" w:rsidP="008B5F05">
            <w:pPr>
              <w:contextualSpacing/>
              <w:rPr>
                <w:i/>
                <w:sz w:val="20"/>
                <w:szCs w:val="20"/>
              </w:rPr>
            </w:pPr>
            <w:r w:rsidRPr="001966A5">
              <w:rPr>
                <w:i/>
                <w:sz w:val="20"/>
                <w:szCs w:val="20"/>
              </w:rPr>
              <w:t>N</w:t>
            </w:r>
          </w:p>
        </w:tc>
        <w:tc>
          <w:tcPr>
            <w:tcW w:w="183" w:type="pct"/>
          </w:tcPr>
          <w:p w14:paraId="62A47DB0" w14:textId="77777777" w:rsidR="005F4D72" w:rsidRPr="001966A5" w:rsidRDefault="005F4D72" w:rsidP="008B5F05">
            <w:pPr>
              <w:contextualSpacing/>
              <w:rPr>
                <w:sz w:val="20"/>
                <w:szCs w:val="20"/>
              </w:rPr>
            </w:pPr>
          </w:p>
        </w:tc>
        <w:tc>
          <w:tcPr>
            <w:tcW w:w="858" w:type="pct"/>
            <w:shd w:val="clear" w:color="auto" w:fill="auto"/>
            <w:noWrap/>
            <w:vAlign w:val="center"/>
          </w:tcPr>
          <w:p w14:paraId="5B76BAFA" w14:textId="77777777" w:rsidR="005F4D72" w:rsidRPr="001966A5" w:rsidRDefault="005F4D72" w:rsidP="008B5F05">
            <w:pPr>
              <w:contextualSpacing/>
              <w:jc w:val="center"/>
              <w:rPr>
                <w:sz w:val="20"/>
                <w:szCs w:val="20"/>
              </w:rPr>
            </w:pPr>
            <w:r w:rsidRPr="001966A5">
              <w:rPr>
                <w:sz w:val="20"/>
                <w:szCs w:val="20"/>
              </w:rPr>
              <w:t>1790</w:t>
            </w:r>
          </w:p>
        </w:tc>
        <w:tc>
          <w:tcPr>
            <w:tcW w:w="183" w:type="pct"/>
          </w:tcPr>
          <w:p w14:paraId="74EFF431" w14:textId="77777777" w:rsidR="005F4D72" w:rsidRPr="001966A5" w:rsidRDefault="005F4D72" w:rsidP="008B5F05">
            <w:pPr>
              <w:contextualSpacing/>
              <w:jc w:val="center"/>
              <w:rPr>
                <w:sz w:val="20"/>
                <w:szCs w:val="20"/>
              </w:rPr>
            </w:pPr>
          </w:p>
        </w:tc>
        <w:tc>
          <w:tcPr>
            <w:tcW w:w="1293" w:type="pct"/>
          </w:tcPr>
          <w:p w14:paraId="3477E0CE" w14:textId="77777777" w:rsidR="005F4D72" w:rsidRPr="001966A5" w:rsidRDefault="005F4D72" w:rsidP="008B5F05">
            <w:pPr>
              <w:contextualSpacing/>
              <w:jc w:val="center"/>
              <w:rPr>
                <w:sz w:val="20"/>
                <w:szCs w:val="20"/>
              </w:rPr>
            </w:pPr>
            <w:r w:rsidRPr="001966A5">
              <w:rPr>
                <w:sz w:val="20"/>
                <w:szCs w:val="20"/>
              </w:rPr>
              <w:t>1493</w:t>
            </w:r>
          </w:p>
        </w:tc>
        <w:tc>
          <w:tcPr>
            <w:tcW w:w="1291" w:type="pct"/>
            <w:vAlign w:val="center"/>
          </w:tcPr>
          <w:p w14:paraId="75F812FA" w14:textId="77777777" w:rsidR="005F4D72" w:rsidRPr="001966A5" w:rsidRDefault="005F4D72" w:rsidP="008B5F05">
            <w:pPr>
              <w:contextualSpacing/>
              <w:jc w:val="center"/>
              <w:rPr>
                <w:sz w:val="20"/>
                <w:szCs w:val="20"/>
              </w:rPr>
            </w:pPr>
            <w:r w:rsidRPr="001966A5">
              <w:rPr>
                <w:sz w:val="20"/>
                <w:szCs w:val="20"/>
              </w:rPr>
              <w:t>297</w:t>
            </w:r>
          </w:p>
        </w:tc>
      </w:tr>
      <w:tr w:rsidR="005F4D72" w:rsidRPr="00F47DE3" w14:paraId="38EAE4B7" w14:textId="77777777" w:rsidTr="008B5F05">
        <w:trPr>
          <w:trHeight w:val="300"/>
          <w:jc w:val="center"/>
        </w:trPr>
        <w:tc>
          <w:tcPr>
            <w:tcW w:w="1193" w:type="pct"/>
            <w:tcBorders>
              <w:bottom w:val="single" w:sz="4" w:space="0" w:color="auto"/>
            </w:tcBorders>
            <w:shd w:val="clear" w:color="auto" w:fill="auto"/>
            <w:noWrap/>
            <w:vAlign w:val="center"/>
          </w:tcPr>
          <w:p w14:paraId="2D03362B" w14:textId="77777777" w:rsidR="005F4D72" w:rsidRPr="001966A5" w:rsidRDefault="005F4D72" w:rsidP="008B5F05">
            <w:pPr>
              <w:contextualSpacing/>
              <w:rPr>
                <w:i/>
                <w:sz w:val="20"/>
                <w:szCs w:val="20"/>
              </w:rPr>
            </w:pPr>
            <w:r w:rsidRPr="001966A5">
              <w:rPr>
                <w:i/>
                <w:sz w:val="20"/>
                <w:szCs w:val="20"/>
              </w:rPr>
              <w:t>S</w:t>
            </w:r>
            <w:r w:rsidRPr="001966A5">
              <w:rPr>
                <w:i/>
                <w:sz w:val="20"/>
                <w:szCs w:val="20"/>
                <w:vertAlign w:val="superscript"/>
              </w:rPr>
              <w:t>2</w:t>
            </w:r>
          </w:p>
        </w:tc>
        <w:tc>
          <w:tcPr>
            <w:tcW w:w="183" w:type="pct"/>
            <w:tcBorders>
              <w:bottom w:val="single" w:sz="4" w:space="0" w:color="auto"/>
            </w:tcBorders>
          </w:tcPr>
          <w:p w14:paraId="6F41CF4F" w14:textId="77777777" w:rsidR="005F4D72" w:rsidRPr="001966A5" w:rsidRDefault="005F4D72" w:rsidP="008B5F05">
            <w:pPr>
              <w:contextualSpacing/>
              <w:rPr>
                <w:sz w:val="20"/>
                <w:szCs w:val="20"/>
              </w:rPr>
            </w:pPr>
          </w:p>
        </w:tc>
        <w:tc>
          <w:tcPr>
            <w:tcW w:w="858" w:type="pct"/>
            <w:tcBorders>
              <w:bottom w:val="single" w:sz="4" w:space="0" w:color="auto"/>
            </w:tcBorders>
            <w:shd w:val="clear" w:color="auto" w:fill="auto"/>
            <w:noWrap/>
            <w:vAlign w:val="center"/>
          </w:tcPr>
          <w:p w14:paraId="4ABAF2AC" w14:textId="77777777" w:rsidR="005F4D72" w:rsidRPr="001966A5" w:rsidRDefault="005F4D72" w:rsidP="008B5F05">
            <w:pPr>
              <w:contextualSpacing/>
              <w:jc w:val="center"/>
              <w:rPr>
                <w:sz w:val="20"/>
                <w:szCs w:val="20"/>
              </w:rPr>
            </w:pPr>
            <w:r w:rsidRPr="001966A5">
              <w:rPr>
                <w:sz w:val="20"/>
                <w:szCs w:val="20"/>
              </w:rPr>
              <w:t>0.126</w:t>
            </w:r>
          </w:p>
        </w:tc>
        <w:tc>
          <w:tcPr>
            <w:tcW w:w="183" w:type="pct"/>
            <w:tcBorders>
              <w:bottom w:val="single" w:sz="4" w:space="0" w:color="auto"/>
            </w:tcBorders>
          </w:tcPr>
          <w:p w14:paraId="00FC9CC3" w14:textId="77777777" w:rsidR="005F4D72" w:rsidRPr="001966A5" w:rsidRDefault="005F4D72" w:rsidP="008B5F05">
            <w:pPr>
              <w:contextualSpacing/>
              <w:jc w:val="center"/>
              <w:rPr>
                <w:sz w:val="20"/>
                <w:szCs w:val="20"/>
              </w:rPr>
            </w:pPr>
          </w:p>
        </w:tc>
        <w:tc>
          <w:tcPr>
            <w:tcW w:w="1293" w:type="pct"/>
            <w:tcBorders>
              <w:bottom w:val="single" w:sz="4" w:space="0" w:color="auto"/>
            </w:tcBorders>
          </w:tcPr>
          <w:p w14:paraId="76168402" w14:textId="77777777" w:rsidR="005F4D72" w:rsidRPr="001966A5" w:rsidRDefault="005F4D72" w:rsidP="008B5F05">
            <w:pPr>
              <w:contextualSpacing/>
              <w:jc w:val="center"/>
              <w:rPr>
                <w:sz w:val="20"/>
                <w:szCs w:val="20"/>
              </w:rPr>
            </w:pPr>
            <w:r w:rsidRPr="001966A5">
              <w:rPr>
                <w:sz w:val="20"/>
                <w:szCs w:val="20"/>
              </w:rPr>
              <w:t>0.088</w:t>
            </w:r>
          </w:p>
        </w:tc>
        <w:tc>
          <w:tcPr>
            <w:tcW w:w="1291" w:type="pct"/>
            <w:tcBorders>
              <w:bottom w:val="single" w:sz="4" w:space="0" w:color="auto"/>
            </w:tcBorders>
            <w:vAlign w:val="center"/>
          </w:tcPr>
          <w:p w14:paraId="58D33025" w14:textId="77777777" w:rsidR="005F4D72" w:rsidRPr="001966A5" w:rsidRDefault="005F4D72" w:rsidP="008B5F05">
            <w:pPr>
              <w:contextualSpacing/>
              <w:jc w:val="center"/>
              <w:rPr>
                <w:sz w:val="20"/>
                <w:szCs w:val="20"/>
              </w:rPr>
            </w:pPr>
            <w:r w:rsidRPr="001966A5">
              <w:rPr>
                <w:sz w:val="20"/>
                <w:szCs w:val="20"/>
              </w:rPr>
              <w:t>0.28</w:t>
            </w:r>
          </w:p>
        </w:tc>
      </w:tr>
    </w:tbl>
    <w:p w14:paraId="26552230" w14:textId="77777777" w:rsidR="005F4D72" w:rsidRPr="001966A5" w:rsidRDefault="005F4D72" w:rsidP="005F4D72">
      <w:pPr>
        <w:contextualSpacing/>
        <w:rPr>
          <w:sz w:val="16"/>
          <w:szCs w:val="16"/>
        </w:rPr>
      </w:pPr>
      <w:r w:rsidRPr="001966A5">
        <w:rPr>
          <w:sz w:val="16"/>
          <w:szCs w:val="16"/>
        </w:rPr>
        <w:t>Fonte: Elaboração própria</w:t>
      </w:r>
    </w:p>
    <w:p w14:paraId="2B0D5FE2" w14:textId="77777777" w:rsidR="005F4D72" w:rsidRPr="006148EB" w:rsidRDefault="005F4D72" w:rsidP="005F4D72">
      <w:pPr>
        <w:contextualSpacing/>
      </w:pPr>
    </w:p>
    <w:p w14:paraId="3B242FC7" w14:textId="77777777" w:rsidR="005F4D72" w:rsidRPr="006148EB" w:rsidRDefault="005F4D72" w:rsidP="005F4D72">
      <w:pPr>
        <w:contextualSpacing/>
        <w:jc w:val="both"/>
      </w:pPr>
      <w:r>
        <w:rPr>
          <w:b/>
        </w:rPr>
        <w:br w:type="page"/>
      </w:r>
      <w:r w:rsidRPr="006148EB">
        <w:rPr>
          <w:b/>
        </w:rPr>
        <w:lastRenderedPageBreak/>
        <w:t>Tabela A</w:t>
      </w:r>
      <w:r>
        <w:rPr>
          <w:b/>
        </w:rPr>
        <w:t>3</w:t>
      </w:r>
      <w:r w:rsidRPr="006148EB">
        <w:rPr>
          <w:b/>
        </w:rPr>
        <w:t xml:space="preserve"> – Estimativas para os Modelos </w:t>
      </w:r>
      <w:r w:rsidRPr="006148EB">
        <w:rPr>
          <w:b/>
          <w:i/>
        </w:rPr>
        <w:t>Global</w:t>
      </w:r>
      <w:r w:rsidRPr="006148EB">
        <w:rPr>
          <w:b/>
        </w:rPr>
        <w:t xml:space="preserve"> e com Efeito </w:t>
      </w:r>
      <w:r w:rsidRPr="006148EB">
        <w:rPr>
          <w:b/>
          <w:i/>
        </w:rPr>
        <w:t>Threshold</w:t>
      </w:r>
      <w:r w:rsidRPr="006148EB">
        <w:rPr>
          <w:b/>
        </w:rPr>
        <w:t xml:space="preserve"> com as Variáveis de Controle (PIB </w:t>
      </w:r>
      <w:r w:rsidRPr="006148EB">
        <w:rPr>
          <w:b/>
          <w:i/>
        </w:rPr>
        <w:t>per capita</w:t>
      </w:r>
      <w:r w:rsidRPr="006148EB">
        <w:rPr>
          <w:b/>
        </w:rPr>
        <w:t>)</w:t>
      </w:r>
    </w:p>
    <w:tbl>
      <w:tblPr>
        <w:tblW w:w="5000" w:type="pct"/>
        <w:jc w:val="center"/>
        <w:tblCellMar>
          <w:left w:w="70" w:type="dxa"/>
          <w:right w:w="70" w:type="dxa"/>
        </w:tblCellMar>
        <w:tblLook w:val="04A0" w:firstRow="1" w:lastRow="0" w:firstColumn="1" w:lastColumn="0" w:noHBand="0" w:noVBand="1"/>
      </w:tblPr>
      <w:tblGrid>
        <w:gridCol w:w="1410"/>
        <w:gridCol w:w="216"/>
        <w:gridCol w:w="1016"/>
        <w:gridCol w:w="216"/>
        <w:gridCol w:w="1533"/>
        <w:gridCol w:w="2141"/>
        <w:gridCol w:w="2141"/>
        <w:gridCol w:w="1531"/>
      </w:tblGrid>
      <w:tr w:rsidR="005F4D72" w:rsidRPr="001966A5" w14:paraId="6A61C2C4" w14:textId="77777777" w:rsidTr="008B5F05">
        <w:trPr>
          <w:trHeight w:val="300"/>
          <w:jc w:val="center"/>
        </w:trPr>
        <w:tc>
          <w:tcPr>
            <w:tcW w:w="691" w:type="pct"/>
            <w:tcBorders>
              <w:top w:val="single" w:sz="4" w:space="0" w:color="auto"/>
              <w:bottom w:val="single" w:sz="4" w:space="0" w:color="auto"/>
            </w:tcBorders>
            <w:shd w:val="clear" w:color="auto" w:fill="auto"/>
            <w:noWrap/>
            <w:vAlign w:val="center"/>
          </w:tcPr>
          <w:p w14:paraId="7649B47D" w14:textId="77777777" w:rsidR="005F4D72" w:rsidRPr="001966A5" w:rsidRDefault="005F4D72" w:rsidP="008B5F05">
            <w:pPr>
              <w:contextualSpacing/>
              <w:jc w:val="center"/>
              <w:rPr>
                <w:b/>
                <w:sz w:val="20"/>
                <w:szCs w:val="20"/>
              </w:rPr>
            </w:pPr>
            <w:r w:rsidRPr="001966A5">
              <w:rPr>
                <w:b/>
                <w:sz w:val="20"/>
                <w:szCs w:val="20"/>
              </w:rPr>
              <w:t>Variáveis</w:t>
            </w:r>
          </w:p>
        </w:tc>
        <w:tc>
          <w:tcPr>
            <w:tcW w:w="106" w:type="pct"/>
            <w:tcBorders>
              <w:top w:val="single" w:sz="4" w:space="0" w:color="auto"/>
              <w:bottom w:val="single" w:sz="4" w:space="0" w:color="auto"/>
            </w:tcBorders>
          </w:tcPr>
          <w:p w14:paraId="049E1F64" w14:textId="77777777" w:rsidR="005F4D72" w:rsidRPr="001966A5" w:rsidRDefault="005F4D72" w:rsidP="008B5F05">
            <w:pPr>
              <w:contextualSpacing/>
              <w:jc w:val="center"/>
              <w:rPr>
                <w:b/>
                <w:sz w:val="20"/>
                <w:szCs w:val="20"/>
              </w:rPr>
            </w:pPr>
          </w:p>
        </w:tc>
        <w:tc>
          <w:tcPr>
            <w:tcW w:w="498" w:type="pct"/>
            <w:tcBorders>
              <w:top w:val="single" w:sz="4" w:space="0" w:color="auto"/>
              <w:bottom w:val="single" w:sz="4" w:space="0" w:color="auto"/>
            </w:tcBorders>
            <w:shd w:val="clear" w:color="auto" w:fill="auto"/>
            <w:noWrap/>
            <w:vAlign w:val="center"/>
          </w:tcPr>
          <w:p w14:paraId="4126FC18" w14:textId="77777777" w:rsidR="005F4D72" w:rsidRPr="001966A5" w:rsidRDefault="005F4D72" w:rsidP="008B5F05">
            <w:pPr>
              <w:contextualSpacing/>
              <w:jc w:val="center"/>
              <w:rPr>
                <w:b/>
                <w:sz w:val="20"/>
                <w:szCs w:val="20"/>
              </w:rPr>
            </w:pPr>
          </w:p>
        </w:tc>
        <w:tc>
          <w:tcPr>
            <w:tcW w:w="106" w:type="pct"/>
            <w:tcBorders>
              <w:top w:val="single" w:sz="4" w:space="0" w:color="auto"/>
              <w:bottom w:val="single" w:sz="4" w:space="0" w:color="auto"/>
            </w:tcBorders>
          </w:tcPr>
          <w:p w14:paraId="0FA20A7A" w14:textId="77777777" w:rsidR="005F4D72" w:rsidRPr="001966A5" w:rsidRDefault="005F4D72" w:rsidP="008B5F05">
            <w:pPr>
              <w:contextualSpacing/>
              <w:jc w:val="center"/>
              <w:rPr>
                <w:b/>
                <w:sz w:val="20"/>
                <w:szCs w:val="20"/>
              </w:rPr>
            </w:pPr>
          </w:p>
        </w:tc>
        <w:tc>
          <w:tcPr>
            <w:tcW w:w="3600" w:type="pct"/>
            <w:gridSpan w:val="4"/>
            <w:tcBorders>
              <w:top w:val="single" w:sz="4" w:space="0" w:color="auto"/>
              <w:bottom w:val="single" w:sz="4" w:space="0" w:color="auto"/>
            </w:tcBorders>
          </w:tcPr>
          <w:p w14:paraId="5678910F" w14:textId="77777777" w:rsidR="005F4D72" w:rsidRPr="001966A5" w:rsidRDefault="005F4D72" w:rsidP="008B5F05">
            <w:pPr>
              <w:contextualSpacing/>
              <w:jc w:val="center"/>
              <w:rPr>
                <w:b/>
                <w:sz w:val="20"/>
                <w:szCs w:val="20"/>
              </w:rPr>
            </w:pPr>
            <w:r w:rsidRPr="001966A5">
              <w:rPr>
                <w:b/>
                <w:sz w:val="20"/>
                <w:szCs w:val="20"/>
              </w:rPr>
              <w:t>Grupos</w:t>
            </w:r>
          </w:p>
        </w:tc>
      </w:tr>
      <w:tr w:rsidR="005F4D72" w:rsidRPr="001966A5" w14:paraId="407E46B5" w14:textId="77777777" w:rsidTr="008B5F05">
        <w:trPr>
          <w:trHeight w:val="300"/>
          <w:jc w:val="center"/>
        </w:trPr>
        <w:tc>
          <w:tcPr>
            <w:tcW w:w="691" w:type="pct"/>
            <w:tcBorders>
              <w:top w:val="single" w:sz="4" w:space="0" w:color="auto"/>
              <w:bottom w:val="single" w:sz="4" w:space="0" w:color="auto"/>
            </w:tcBorders>
            <w:shd w:val="clear" w:color="auto" w:fill="auto"/>
            <w:noWrap/>
            <w:vAlign w:val="center"/>
          </w:tcPr>
          <w:p w14:paraId="4379BCA2" w14:textId="77777777" w:rsidR="005F4D72" w:rsidRPr="001966A5" w:rsidRDefault="005F4D72" w:rsidP="008B5F05">
            <w:pPr>
              <w:contextualSpacing/>
              <w:jc w:val="center"/>
              <w:rPr>
                <w:sz w:val="20"/>
                <w:szCs w:val="20"/>
              </w:rPr>
            </w:pPr>
          </w:p>
        </w:tc>
        <w:tc>
          <w:tcPr>
            <w:tcW w:w="106" w:type="pct"/>
            <w:tcBorders>
              <w:top w:val="single" w:sz="4" w:space="0" w:color="auto"/>
              <w:bottom w:val="single" w:sz="4" w:space="0" w:color="auto"/>
            </w:tcBorders>
            <w:vAlign w:val="center"/>
          </w:tcPr>
          <w:p w14:paraId="30466E1E" w14:textId="77777777" w:rsidR="005F4D72" w:rsidRPr="001966A5" w:rsidRDefault="005F4D72" w:rsidP="008B5F05">
            <w:pPr>
              <w:contextualSpacing/>
              <w:jc w:val="center"/>
              <w:rPr>
                <w:sz w:val="20"/>
                <w:szCs w:val="20"/>
              </w:rPr>
            </w:pPr>
          </w:p>
        </w:tc>
        <w:tc>
          <w:tcPr>
            <w:tcW w:w="498" w:type="pct"/>
            <w:tcBorders>
              <w:top w:val="single" w:sz="4" w:space="0" w:color="auto"/>
              <w:bottom w:val="single" w:sz="4" w:space="0" w:color="auto"/>
            </w:tcBorders>
            <w:shd w:val="clear" w:color="auto" w:fill="auto"/>
            <w:noWrap/>
            <w:vAlign w:val="center"/>
          </w:tcPr>
          <w:p w14:paraId="18FB3185" w14:textId="77777777" w:rsidR="005F4D72" w:rsidRPr="001966A5" w:rsidRDefault="005F4D72" w:rsidP="008B5F05">
            <w:pPr>
              <w:contextualSpacing/>
              <w:jc w:val="center"/>
              <w:rPr>
                <w:sz w:val="20"/>
                <w:szCs w:val="20"/>
              </w:rPr>
            </w:pPr>
            <w:r w:rsidRPr="001966A5">
              <w:rPr>
                <w:sz w:val="20"/>
                <w:szCs w:val="20"/>
              </w:rPr>
              <w:t>Global</w:t>
            </w:r>
          </w:p>
        </w:tc>
        <w:tc>
          <w:tcPr>
            <w:tcW w:w="106" w:type="pct"/>
            <w:tcBorders>
              <w:top w:val="single" w:sz="4" w:space="0" w:color="auto"/>
              <w:bottom w:val="single" w:sz="4" w:space="0" w:color="auto"/>
            </w:tcBorders>
            <w:vAlign w:val="center"/>
          </w:tcPr>
          <w:p w14:paraId="77A76CC4" w14:textId="77777777" w:rsidR="005F4D72" w:rsidRPr="001966A5" w:rsidRDefault="005F4D72" w:rsidP="008B5F05">
            <w:pPr>
              <w:contextualSpacing/>
              <w:jc w:val="center"/>
              <w:rPr>
                <w:sz w:val="20"/>
                <w:szCs w:val="20"/>
              </w:rPr>
            </w:pPr>
          </w:p>
        </w:tc>
        <w:tc>
          <w:tcPr>
            <w:tcW w:w="751" w:type="pct"/>
            <w:tcBorders>
              <w:top w:val="single" w:sz="4" w:space="0" w:color="auto"/>
              <w:bottom w:val="single" w:sz="4" w:space="0" w:color="auto"/>
            </w:tcBorders>
            <w:vAlign w:val="center"/>
          </w:tcPr>
          <w:p w14:paraId="6D0496E8" w14:textId="77777777" w:rsidR="005F4D72" w:rsidRPr="001966A5" w:rsidRDefault="005F4D72" w:rsidP="008B5F05">
            <w:pPr>
              <w:contextualSpacing/>
              <w:jc w:val="center"/>
              <w:rPr>
                <w:sz w:val="20"/>
                <w:szCs w:val="20"/>
              </w:rPr>
            </w:pPr>
            <w:r w:rsidRPr="001966A5">
              <w:rPr>
                <w:position w:val="-14"/>
                <w:sz w:val="20"/>
                <w:szCs w:val="20"/>
              </w:rPr>
              <w:object w:dxaOrig="380" w:dyaOrig="380" w14:anchorId="589A9C23">
                <v:shape id="_x0000_i1123" type="#_x0000_t75" style="width:19.5pt;height:19.5pt" o:ole="">
                  <v:imagedata r:id="rId172" o:title=""/>
                </v:shape>
                <o:OLEObject Type="Embed" ProgID="Equation.3" ShapeID="_x0000_i1123" DrawAspect="Content" ObjectID="_1667139702" r:id="rId176"/>
              </w:object>
            </w:r>
            <w:r w:rsidRPr="001966A5">
              <w:rPr>
                <w:sz w:val="20"/>
                <w:szCs w:val="20"/>
              </w:rPr>
              <w:t>&lt; 7.67</w:t>
            </w:r>
          </w:p>
        </w:tc>
        <w:tc>
          <w:tcPr>
            <w:tcW w:w="1049" w:type="pct"/>
            <w:tcBorders>
              <w:top w:val="single" w:sz="4" w:space="0" w:color="auto"/>
              <w:bottom w:val="single" w:sz="4" w:space="0" w:color="auto"/>
            </w:tcBorders>
            <w:vAlign w:val="center"/>
          </w:tcPr>
          <w:p w14:paraId="641E3E49" w14:textId="77777777" w:rsidR="005F4D72" w:rsidRPr="001966A5" w:rsidRDefault="005F4D72" w:rsidP="008B5F05">
            <w:pPr>
              <w:contextualSpacing/>
              <w:jc w:val="center"/>
              <w:rPr>
                <w:sz w:val="20"/>
                <w:szCs w:val="20"/>
              </w:rPr>
            </w:pPr>
            <w:r w:rsidRPr="001966A5">
              <w:rPr>
                <w:sz w:val="20"/>
                <w:szCs w:val="20"/>
              </w:rPr>
              <w:t>7.67≤</w:t>
            </w:r>
            <w:r w:rsidRPr="001966A5">
              <w:rPr>
                <w:position w:val="-14"/>
                <w:sz w:val="20"/>
                <w:szCs w:val="20"/>
              </w:rPr>
              <w:object w:dxaOrig="380" w:dyaOrig="380" w14:anchorId="3E64D7E3">
                <v:shape id="_x0000_i1124" type="#_x0000_t75" style="width:19.5pt;height:19.5pt" o:ole="">
                  <v:imagedata r:id="rId172" o:title=""/>
                </v:shape>
                <o:OLEObject Type="Embed" ProgID="Equation.3" ShapeID="_x0000_i1124" DrawAspect="Content" ObjectID="_1667139703" r:id="rId177"/>
              </w:object>
            </w:r>
            <w:r w:rsidRPr="001966A5">
              <w:rPr>
                <w:sz w:val="20"/>
                <w:szCs w:val="20"/>
              </w:rPr>
              <w:t>&lt;8.26</w:t>
            </w:r>
          </w:p>
        </w:tc>
        <w:tc>
          <w:tcPr>
            <w:tcW w:w="1049" w:type="pct"/>
            <w:tcBorders>
              <w:top w:val="single" w:sz="4" w:space="0" w:color="auto"/>
              <w:bottom w:val="single" w:sz="4" w:space="0" w:color="auto"/>
            </w:tcBorders>
            <w:vAlign w:val="center"/>
          </w:tcPr>
          <w:p w14:paraId="77486808" w14:textId="77777777" w:rsidR="005F4D72" w:rsidRPr="001966A5" w:rsidRDefault="005F4D72" w:rsidP="008B5F05">
            <w:pPr>
              <w:contextualSpacing/>
              <w:jc w:val="center"/>
              <w:rPr>
                <w:sz w:val="20"/>
                <w:szCs w:val="20"/>
              </w:rPr>
            </w:pPr>
            <w:r w:rsidRPr="001966A5">
              <w:rPr>
                <w:sz w:val="20"/>
                <w:szCs w:val="20"/>
              </w:rPr>
              <w:t>8.26≤</w:t>
            </w:r>
            <w:r w:rsidRPr="001966A5">
              <w:rPr>
                <w:position w:val="-14"/>
                <w:sz w:val="20"/>
                <w:szCs w:val="20"/>
              </w:rPr>
              <w:object w:dxaOrig="380" w:dyaOrig="380" w14:anchorId="3DBAEBE4">
                <v:shape id="_x0000_i1125" type="#_x0000_t75" style="width:19.5pt;height:19.5pt" o:ole="">
                  <v:imagedata r:id="rId172" o:title=""/>
                </v:shape>
                <o:OLEObject Type="Embed" ProgID="Equation.3" ShapeID="_x0000_i1125" DrawAspect="Content" ObjectID="_1667139704" r:id="rId178"/>
              </w:object>
            </w:r>
            <w:r w:rsidRPr="001966A5">
              <w:rPr>
                <w:sz w:val="20"/>
                <w:szCs w:val="20"/>
              </w:rPr>
              <w:t>&lt;8.91</w:t>
            </w:r>
          </w:p>
        </w:tc>
        <w:tc>
          <w:tcPr>
            <w:tcW w:w="750" w:type="pct"/>
            <w:tcBorders>
              <w:top w:val="single" w:sz="4" w:space="0" w:color="auto"/>
              <w:bottom w:val="single" w:sz="4" w:space="0" w:color="auto"/>
            </w:tcBorders>
            <w:vAlign w:val="center"/>
          </w:tcPr>
          <w:p w14:paraId="2FCC023A" w14:textId="77777777" w:rsidR="005F4D72" w:rsidRPr="001966A5" w:rsidRDefault="005F4D72" w:rsidP="008B5F05">
            <w:pPr>
              <w:contextualSpacing/>
              <w:jc w:val="center"/>
              <w:rPr>
                <w:sz w:val="20"/>
                <w:szCs w:val="20"/>
              </w:rPr>
            </w:pPr>
            <w:r w:rsidRPr="001966A5">
              <w:rPr>
                <w:position w:val="-14"/>
                <w:sz w:val="20"/>
                <w:szCs w:val="20"/>
              </w:rPr>
              <w:object w:dxaOrig="380" w:dyaOrig="380" w14:anchorId="46F86E28">
                <v:shape id="_x0000_i1126" type="#_x0000_t75" style="width:19.5pt;height:19.5pt" o:ole="">
                  <v:imagedata r:id="rId174" o:title=""/>
                </v:shape>
                <o:OLEObject Type="Embed" ProgID="Equation.3" ShapeID="_x0000_i1126" DrawAspect="Content" ObjectID="_1667139705" r:id="rId179"/>
              </w:object>
            </w:r>
            <w:r w:rsidRPr="001966A5">
              <w:rPr>
                <w:sz w:val="20"/>
                <w:szCs w:val="20"/>
              </w:rPr>
              <w:t>&gt; 8.91</w:t>
            </w:r>
          </w:p>
        </w:tc>
      </w:tr>
      <w:tr w:rsidR="005F4D72" w:rsidRPr="001966A5" w14:paraId="070E7DDC" w14:textId="77777777" w:rsidTr="008B5F05">
        <w:trPr>
          <w:trHeight w:val="300"/>
          <w:jc w:val="center"/>
        </w:trPr>
        <w:tc>
          <w:tcPr>
            <w:tcW w:w="691" w:type="pct"/>
            <w:shd w:val="clear" w:color="auto" w:fill="auto"/>
            <w:noWrap/>
            <w:vAlign w:val="center"/>
          </w:tcPr>
          <w:p w14:paraId="476B6D36" w14:textId="77777777" w:rsidR="005F4D72" w:rsidRPr="001966A5" w:rsidRDefault="005F4D72" w:rsidP="008B5F05">
            <w:pPr>
              <w:contextualSpacing/>
              <w:rPr>
                <w:i/>
                <w:sz w:val="20"/>
                <w:szCs w:val="20"/>
              </w:rPr>
            </w:pPr>
            <w:r w:rsidRPr="001966A5">
              <w:rPr>
                <w:i/>
                <w:sz w:val="20"/>
                <w:szCs w:val="20"/>
              </w:rPr>
              <w:t>intercepto</w:t>
            </w:r>
          </w:p>
        </w:tc>
        <w:tc>
          <w:tcPr>
            <w:tcW w:w="106" w:type="pct"/>
            <w:vAlign w:val="center"/>
          </w:tcPr>
          <w:p w14:paraId="7F499A30"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45AD2104" w14:textId="77777777" w:rsidR="005F4D72" w:rsidRPr="001966A5" w:rsidRDefault="005F4D72" w:rsidP="008B5F05">
            <w:pPr>
              <w:contextualSpacing/>
              <w:jc w:val="center"/>
              <w:rPr>
                <w:sz w:val="20"/>
                <w:szCs w:val="20"/>
              </w:rPr>
            </w:pPr>
            <w:r w:rsidRPr="001966A5">
              <w:rPr>
                <w:sz w:val="20"/>
                <w:szCs w:val="20"/>
              </w:rPr>
              <w:t>0.896*</w:t>
            </w:r>
          </w:p>
        </w:tc>
        <w:tc>
          <w:tcPr>
            <w:tcW w:w="106" w:type="pct"/>
            <w:vAlign w:val="center"/>
          </w:tcPr>
          <w:p w14:paraId="1DD880C7" w14:textId="77777777" w:rsidR="005F4D72" w:rsidRPr="001966A5" w:rsidRDefault="005F4D72" w:rsidP="008B5F05">
            <w:pPr>
              <w:contextualSpacing/>
              <w:jc w:val="center"/>
              <w:rPr>
                <w:sz w:val="20"/>
                <w:szCs w:val="20"/>
              </w:rPr>
            </w:pPr>
          </w:p>
        </w:tc>
        <w:tc>
          <w:tcPr>
            <w:tcW w:w="751" w:type="pct"/>
            <w:vAlign w:val="center"/>
          </w:tcPr>
          <w:p w14:paraId="15D12278" w14:textId="77777777" w:rsidR="005F4D72" w:rsidRPr="001966A5" w:rsidRDefault="005F4D72" w:rsidP="008B5F05">
            <w:pPr>
              <w:contextualSpacing/>
              <w:jc w:val="center"/>
              <w:rPr>
                <w:sz w:val="20"/>
                <w:szCs w:val="20"/>
              </w:rPr>
            </w:pPr>
            <w:r w:rsidRPr="001966A5">
              <w:rPr>
                <w:sz w:val="20"/>
                <w:szCs w:val="20"/>
              </w:rPr>
              <w:t>-0.199</w:t>
            </w:r>
          </w:p>
        </w:tc>
        <w:tc>
          <w:tcPr>
            <w:tcW w:w="1049" w:type="pct"/>
            <w:vAlign w:val="center"/>
          </w:tcPr>
          <w:p w14:paraId="132416B6" w14:textId="77777777" w:rsidR="005F4D72" w:rsidRPr="001966A5" w:rsidRDefault="005F4D72" w:rsidP="008B5F05">
            <w:pPr>
              <w:contextualSpacing/>
              <w:jc w:val="center"/>
              <w:rPr>
                <w:sz w:val="20"/>
                <w:szCs w:val="20"/>
              </w:rPr>
            </w:pPr>
            <w:r w:rsidRPr="001966A5">
              <w:rPr>
                <w:sz w:val="20"/>
                <w:szCs w:val="20"/>
              </w:rPr>
              <w:t>3.368*</w:t>
            </w:r>
          </w:p>
        </w:tc>
        <w:tc>
          <w:tcPr>
            <w:tcW w:w="1049" w:type="pct"/>
            <w:vAlign w:val="center"/>
          </w:tcPr>
          <w:p w14:paraId="6A87F1AC" w14:textId="77777777" w:rsidR="005F4D72" w:rsidRPr="001966A5" w:rsidRDefault="005F4D72" w:rsidP="008B5F05">
            <w:pPr>
              <w:contextualSpacing/>
              <w:jc w:val="center"/>
              <w:rPr>
                <w:sz w:val="20"/>
                <w:szCs w:val="20"/>
              </w:rPr>
            </w:pPr>
            <w:r w:rsidRPr="001966A5">
              <w:rPr>
                <w:sz w:val="20"/>
                <w:szCs w:val="20"/>
              </w:rPr>
              <w:t>2.479</w:t>
            </w:r>
          </w:p>
        </w:tc>
        <w:tc>
          <w:tcPr>
            <w:tcW w:w="750" w:type="pct"/>
            <w:vAlign w:val="center"/>
          </w:tcPr>
          <w:p w14:paraId="7C4F3E1B" w14:textId="77777777" w:rsidR="005F4D72" w:rsidRPr="001966A5" w:rsidRDefault="005F4D72" w:rsidP="008B5F05">
            <w:pPr>
              <w:contextualSpacing/>
              <w:jc w:val="center"/>
              <w:rPr>
                <w:sz w:val="20"/>
                <w:szCs w:val="20"/>
              </w:rPr>
            </w:pPr>
            <w:r w:rsidRPr="001966A5">
              <w:rPr>
                <w:sz w:val="20"/>
                <w:szCs w:val="20"/>
              </w:rPr>
              <w:t>3.018</w:t>
            </w:r>
          </w:p>
        </w:tc>
      </w:tr>
      <w:tr w:rsidR="005F4D72" w:rsidRPr="001966A5" w14:paraId="3D1257DA" w14:textId="77777777" w:rsidTr="008B5F05">
        <w:trPr>
          <w:trHeight w:val="300"/>
          <w:jc w:val="center"/>
        </w:trPr>
        <w:tc>
          <w:tcPr>
            <w:tcW w:w="691" w:type="pct"/>
            <w:shd w:val="clear" w:color="auto" w:fill="auto"/>
            <w:noWrap/>
          </w:tcPr>
          <w:p w14:paraId="51FF11B3" w14:textId="77777777" w:rsidR="005F4D72" w:rsidRPr="001966A5" w:rsidRDefault="005F4D72" w:rsidP="008B5F05">
            <w:pPr>
              <w:contextualSpacing/>
              <w:rPr>
                <w:sz w:val="20"/>
                <w:szCs w:val="20"/>
              </w:rPr>
            </w:pPr>
          </w:p>
        </w:tc>
        <w:tc>
          <w:tcPr>
            <w:tcW w:w="106" w:type="pct"/>
          </w:tcPr>
          <w:p w14:paraId="4156E362" w14:textId="77777777" w:rsidR="005F4D72" w:rsidRPr="001966A5" w:rsidRDefault="005F4D72" w:rsidP="008B5F05">
            <w:pPr>
              <w:contextualSpacing/>
              <w:jc w:val="center"/>
              <w:rPr>
                <w:sz w:val="20"/>
                <w:szCs w:val="20"/>
              </w:rPr>
            </w:pPr>
          </w:p>
        </w:tc>
        <w:tc>
          <w:tcPr>
            <w:tcW w:w="498" w:type="pct"/>
            <w:shd w:val="clear" w:color="auto" w:fill="auto"/>
            <w:noWrap/>
          </w:tcPr>
          <w:p w14:paraId="3D5DFAE5" w14:textId="77777777" w:rsidR="005F4D72" w:rsidRPr="001966A5" w:rsidRDefault="005F4D72" w:rsidP="008B5F05">
            <w:pPr>
              <w:contextualSpacing/>
              <w:jc w:val="center"/>
              <w:rPr>
                <w:sz w:val="20"/>
                <w:szCs w:val="20"/>
              </w:rPr>
            </w:pPr>
            <w:r w:rsidRPr="001966A5">
              <w:rPr>
                <w:sz w:val="20"/>
                <w:szCs w:val="20"/>
              </w:rPr>
              <w:t>[2.282]</w:t>
            </w:r>
          </w:p>
        </w:tc>
        <w:tc>
          <w:tcPr>
            <w:tcW w:w="106" w:type="pct"/>
          </w:tcPr>
          <w:p w14:paraId="596F0A4B" w14:textId="77777777" w:rsidR="005F4D72" w:rsidRPr="001966A5" w:rsidRDefault="005F4D72" w:rsidP="008B5F05">
            <w:pPr>
              <w:contextualSpacing/>
              <w:jc w:val="center"/>
              <w:rPr>
                <w:sz w:val="20"/>
                <w:szCs w:val="20"/>
              </w:rPr>
            </w:pPr>
          </w:p>
        </w:tc>
        <w:tc>
          <w:tcPr>
            <w:tcW w:w="751" w:type="pct"/>
          </w:tcPr>
          <w:p w14:paraId="13EAB6B1" w14:textId="77777777" w:rsidR="005F4D72" w:rsidRPr="001966A5" w:rsidRDefault="005F4D72" w:rsidP="008B5F05">
            <w:pPr>
              <w:contextualSpacing/>
              <w:jc w:val="center"/>
              <w:rPr>
                <w:sz w:val="20"/>
                <w:szCs w:val="20"/>
              </w:rPr>
            </w:pPr>
            <w:r w:rsidRPr="001966A5">
              <w:rPr>
                <w:sz w:val="20"/>
                <w:szCs w:val="20"/>
              </w:rPr>
              <w:t>[-0.170]</w:t>
            </w:r>
          </w:p>
        </w:tc>
        <w:tc>
          <w:tcPr>
            <w:tcW w:w="1049" w:type="pct"/>
          </w:tcPr>
          <w:p w14:paraId="2E6F56CE" w14:textId="77777777" w:rsidR="005F4D72" w:rsidRPr="001966A5" w:rsidRDefault="005F4D72" w:rsidP="008B5F05">
            <w:pPr>
              <w:contextualSpacing/>
              <w:jc w:val="center"/>
              <w:rPr>
                <w:sz w:val="20"/>
                <w:szCs w:val="20"/>
              </w:rPr>
            </w:pPr>
            <w:r w:rsidRPr="001966A5">
              <w:rPr>
                <w:sz w:val="20"/>
                <w:szCs w:val="20"/>
              </w:rPr>
              <w:t>[7.565]</w:t>
            </w:r>
          </w:p>
        </w:tc>
        <w:tc>
          <w:tcPr>
            <w:tcW w:w="1049" w:type="pct"/>
          </w:tcPr>
          <w:p w14:paraId="0061E0A6" w14:textId="77777777" w:rsidR="005F4D72" w:rsidRPr="001966A5" w:rsidRDefault="005F4D72" w:rsidP="008B5F05">
            <w:pPr>
              <w:contextualSpacing/>
              <w:jc w:val="center"/>
              <w:rPr>
                <w:sz w:val="20"/>
                <w:szCs w:val="20"/>
              </w:rPr>
            </w:pPr>
            <w:r w:rsidRPr="001966A5">
              <w:rPr>
                <w:sz w:val="20"/>
                <w:szCs w:val="20"/>
              </w:rPr>
              <w:t>[0.974]</w:t>
            </w:r>
          </w:p>
        </w:tc>
        <w:tc>
          <w:tcPr>
            <w:tcW w:w="750" w:type="pct"/>
          </w:tcPr>
          <w:p w14:paraId="45F4028B" w14:textId="77777777" w:rsidR="005F4D72" w:rsidRPr="001966A5" w:rsidRDefault="005F4D72" w:rsidP="008B5F05">
            <w:pPr>
              <w:contextualSpacing/>
              <w:jc w:val="center"/>
              <w:rPr>
                <w:sz w:val="20"/>
                <w:szCs w:val="20"/>
              </w:rPr>
            </w:pPr>
            <w:r w:rsidRPr="001966A5">
              <w:rPr>
                <w:sz w:val="20"/>
                <w:szCs w:val="20"/>
              </w:rPr>
              <w:t>[0.876]</w:t>
            </w:r>
          </w:p>
        </w:tc>
      </w:tr>
      <w:tr w:rsidR="005F4D72" w:rsidRPr="001966A5" w14:paraId="39E8018F" w14:textId="77777777" w:rsidTr="008B5F05">
        <w:trPr>
          <w:trHeight w:val="300"/>
          <w:jc w:val="center"/>
        </w:trPr>
        <w:tc>
          <w:tcPr>
            <w:tcW w:w="691" w:type="pct"/>
            <w:shd w:val="clear" w:color="auto" w:fill="auto"/>
            <w:noWrap/>
            <w:vAlign w:val="center"/>
          </w:tcPr>
          <w:p w14:paraId="03C127C2" w14:textId="77777777" w:rsidR="005F4D72" w:rsidRPr="001966A5" w:rsidRDefault="005F4D72" w:rsidP="008B5F05">
            <w:pPr>
              <w:contextualSpacing/>
              <w:rPr>
                <w:b/>
                <w:i/>
                <w:sz w:val="20"/>
                <w:szCs w:val="20"/>
              </w:rPr>
            </w:pPr>
            <w:r w:rsidRPr="001966A5">
              <w:rPr>
                <w:b/>
                <w:i/>
                <w:sz w:val="20"/>
                <w:szCs w:val="20"/>
              </w:rPr>
              <w:t>F</w:t>
            </w:r>
            <w:r w:rsidRPr="001966A5">
              <w:rPr>
                <w:b/>
                <w:i/>
                <w:sz w:val="20"/>
                <w:szCs w:val="20"/>
                <w:vertAlign w:val="subscript"/>
              </w:rPr>
              <w:t>i</w:t>
            </w:r>
          </w:p>
        </w:tc>
        <w:tc>
          <w:tcPr>
            <w:tcW w:w="106" w:type="pct"/>
            <w:vAlign w:val="center"/>
          </w:tcPr>
          <w:p w14:paraId="241EDD9F" w14:textId="77777777" w:rsidR="005F4D72" w:rsidRPr="001966A5" w:rsidRDefault="005F4D72" w:rsidP="008B5F05">
            <w:pPr>
              <w:contextualSpacing/>
              <w:jc w:val="center"/>
              <w:rPr>
                <w:b/>
                <w:sz w:val="20"/>
                <w:szCs w:val="20"/>
              </w:rPr>
            </w:pPr>
          </w:p>
        </w:tc>
        <w:tc>
          <w:tcPr>
            <w:tcW w:w="498" w:type="pct"/>
            <w:shd w:val="clear" w:color="auto" w:fill="auto"/>
            <w:noWrap/>
            <w:vAlign w:val="center"/>
          </w:tcPr>
          <w:p w14:paraId="4F28F3AE" w14:textId="77777777" w:rsidR="005F4D72" w:rsidRPr="001966A5" w:rsidRDefault="005F4D72" w:rsidP="008B5F05">
            <w:pPr>
              <w:contextualSpacing/>
              <w:jc w:val="center"/>
              <w:rPr>
                <w:b/>
                <w:sz w:val="20"/>
                <w:szCs w:val="20"/>
              </w:rPr>
            </w:pPr>
            <w:r w:rsidRPr="001966A5">
              <w:rPr>
                <w:b/>
                <w:sz w:val="20"/>
                <w:szCs w:val="20"/>
              </w:rPr>
              <w:t>0.085*</w:t>
            </w:r>
          </w:p>
        </w:tc>
        <w:tc>
          <w:tcPr>
            <w:tcW w:w="106" w:type="pct"/>
            <w:vAlign w:val="center"/>
          </w:tcPr>
          <w:p w14:paraId="711928A8" w14:textId="77777777" w:rsidR="005F4D72" w:rsidRPr="001966A5" w:rsidRDefault="005F4D72" w:rsidP="008B5F05">
            <w:pPr>
              <w:contextualSpacing/>
              <w:jc w:val="center"/>
              <w:rPr>
                <w:b/>
                <w:sz w:val="20"/>
                <w:szCs w:val="20"/>
              </w:rPr>
            </w:pPr>
          </w:p>
        </w:tc>
        <w:tc>
          <w:tcPr>
            <w:tcW w:w="751" w:type="pct"/>
            <w:vAlign w:val="center"/>
          </w:tcPr>
          <w:p w14:paraId="6D39BC0D" w14:textId="77777777" w:rsidR="005F4D72" w:rsidRPr="001966A5" w:rsidRDefault="005F4D72" w:rsidP="008B5F05">
            <w:pPr>
              <w:contextualSpacing/>
              <w:jc w:val="center"/>
              <w:rPr>
                <w:b/>
                <w:sz w:val="20"/>
                <w:szCs w:val="20"/>
              </w:rPr>
            </w:pPr>
            <w:r w:rsidRPr="001966A5">
              <w:rPr>
                <w:b/>
                <w:sz w:val="20"/>
                <w:szCs w:val="20"/>
              </w:rPr>
              <w:t>-0.007</w:t>
            </w:r>
          </w:p>
        </w:tc>
        <w:tc>
          <w:tcPr>
            <w:tcW w:w="1049" w:type="pct"/>
            <w:vAlign w:val="center"/>
          </w:tcPr>
          <w:p w14:paraId="5AF024D9" w14:textId="77777777" w:rsidR="005F4D72" w:rsidRPr="001966A5" w:rsidRDefault="005F4D72" w:rsidP="008B5F05">
            <w:pPr>
              <w:contextualSpacing/>
              <w:jc w:val="center"/>
              <w:rPr>
                <w:b/>
                <w:sz w:val="20"/>
                <w:szCs w:val="20"/>
              </w:rPr>
            </w:pPr>
            <w:r w:rsidRPr="001966A5">
              <w:rPr>
                <w:b/>
                <w:sz w:val="20"/>
                <w:szCs w:val="20"/>
              </w:rPr>
              <w:t>0.078*</w:t>
            </w:r>
          </w:p>
        </w:tc>
        <w:tc>
          <w:tcPr>
            <w:tcW w:w="1049" w:type="pct"/>
            <w:vAlign w:val="center"/>
          </w:tcPr>
          <w:p w14:paraId="49C288D9" w14:textId="77777777" w:rsidR="005F4D72" w:rsidRPr="001966A5" w:rsidRDefault="005F4D72" w:rsidP="008B5F05">
            <w:pPr>
              <w:contextualSpacing/>
              <w:jc w:val="center"/>
              <w:rPr>
                <w:b/>
                <w:sz w:val="20"/>
                <w:szCs w:val="20"/>
                <w:vertAlign w:val="superscript"/>
              </w:rPr>
            </w:pPr>
            <w:r w:rsidRPr="001966A5">
              <w:rPr>
                <w:b/>
                <w:sz w:val="20"/>
                <w:szCs w:val="20"/>
              </w:rPr>
              <w:t>0.109</w:t>
            </w:r>
            <w:r w:rsidRPr="001966A5">
              <w:rPr>
                <w:b/>
                <w:sz w:val="20"/>
                <w:szCs w:val="20"/>
                <w:vertAlign w:val="superscript"/>
              </w:rPr>
              <w:t>+</w:t>
            </w:r>
          </w:p>
        </w:tc>
        <w:tc>
          <w:tcPr>
            <w:tcW w:w="750" w:type="pct"/>
            <w:vAlign w:val="center"/>
          </w:tcPr>
          <w:p w14:paraId="4708DBE0" w14:textId="77777777" w:rsidR="005F4D72" w:rsidRPr="001966A5" w:rsidRDefault="005F4D72" w:rsidP="008B5F05">
            <w:pPr>
              <w:contextualSpacing/>
              <w:jc w:val="center"/>
              <w:rPr>
                <w:b/>
                <w:sz w:val="20"/>
                <w:szCs w:val="20"/>
              </w:rPr>
            </w:pPr>
            <w:r w:rsidRPr="001966A5">
              <w:rPr>
                <w:b/>
                <w:sz w:val="20"/>
                <w:szCs w:val="20"/>
              </w:rPr>
              <w:t>0.173</w:t>
            </w:r>
          </w:p>
        </w:tc>
      </w:tr>
      <w:tr w:rsidR="005F4D72" w:rsidRPr="001966A5" w14:paraId="13B57020" w14:textId="77777777" w:rsidTr="008B5F05">
        <w:trPr>
          <w:trHeight w:val="300"/>
          <w:jc w:val="center"/>
        </w:trPr>
        <w:tc>
          <w:tcPr>
            <w:tcW w:w="691" w:type="pct"/>
            <w:shd w:val="clear" w:color="auto" w:fill="auto"/>
            <w:noWrap/>
          </w:tcPr>
          <w:p w14:paraId="149094FB" w14:textId="77777777" w:rsidR="005F4D72" w:rsidRPr="001966A5" w:rsidRDefault="005F4D72" w:rsidP="008B5F05">
            <w:pPr>
              <w:contextualSpacing/>
              <w:rPr>
                <w:b/>
                <w:sz w:val="20"/>
                <w:szCs w:val="20"/>
              </w:rPr>
            </w:pPr>
          </w:p>
        </w:tc>
        <w:tc>
          <w:tcPr>
            <w:tcW w:w="106" w:type="pct"/>
          </w:tcPr>
          <w:p w14:paraId="09B02659" w14:textId="77777777" w:rsidR="005F4D72" w:rsidRPr="001966A5" w:rsidRDefault="005F4D72" w:rsidP="008B5F05">
            <w:pPr>
              <w:contextualSpacing/>
              <w:jc w:val="center"/>
              <w:rPr>
                <w:b/>
                <w:sz w:val="20"/>
                <w:szCs w:val="20"/>
              </w:rPr>
            </w:pPr>
          </w:p>
        </w:tc>
        <w:tc>
          <w:tcPr>
            <w:tcW w:w="498" w:type="pct"/>
            <w:shd w:val="clear" w:color="auto" w:fill="auto"/>
            <w:noWrap/>
          </w:tcPr>
          <w:p w14:paraId="45BBCA8C" w14:textId="77777777" w:rsidR="005F4D72" w:rsidRPr="001966A5" w:rsidRDefault="005F4D72" w:rsidP="008B5F05">
            <w:pPr>
              <w:contextualSpacing/>
              <w:jc w:val="center"/>
              <w:rPr>
                <w:b/>
                <w:sz w:val="20"/>
                <w:szCs w:val="20"/>
              </w:rPr>
            </w:pPr>
            <w:r w:rsidRPr="001966A5">
              <w:rPr>
                <w:b/>
                <w:sz w:val="20"/>
                <w:szCs w:val="20"/>
              </w:rPr>
              <w:t>[3.242]</w:t>
            </w:r>
          </w:p>
        </w:tc>
        <w:tc>
          <w:tcPr>
            <w:tcW w:w="106" w:type="pct"/>
          </w:tcPr>
          <w:p w14:paraId="505628C3" w14:textId="77777777" w:rsidR="005F4D72" w:rsidRPr="001966A5" w:rsidRDefault="005F4D72" w:rsidP="008B5F05">
            <w:pPr>
              <w:contextualSpacing/>
              <w:jc w:val="center"/>
              <w:rPr>
                <w:b/>
                <w:sz w:val="20"/>
                <w:szCs w:val="20"/>
              </w:rPr>
            </w:pPr>
          </w:p>
        </w:tc>
        <w:tc>
          <w:tcPr>
            <w:tcW w:w="751" w:type="pct"/>
          </w:tcPr>
          <w:p w14:paraId="14669AC2" w14:textId="77777777" w:rsidR="005F4D72" w:rsidRPr="001966A5" w:rsidRDefault="005F4D72" w:rsidP="008B5F05">
            <w:pPr>
              <w:contextualSpacing/>
              <w:jc w:val="center"/>
              <w:rPr>
                <w:b/>
                <w:sz w:val="20"/>
                <w:szCs w:val="20"/>
              </w:rPr>
            </w:pPr>
            <w:r w:rsidRPr="001966A5">
              <w:rPr>
                <w:b/>
                <w:sz w:val="20"/>
                <w:szCs w:val="20"/>
              </w:rPr>
              <w:t>[-0.441]</w:t>
            </w:r>
          </w:p>
        </w:tc>
        <w:tc>
          <w:tcPr>
            <w:tcW w:w="1049" w:type="pct"/>
          </w:tcPr>
          <w:p w14:paraId="3F4BB6C1" w14:textId="77777777" w:rsidR="005F4D72" w:rsidRPr="001966A5" w:rsidRDefault="005F4D72" w:rsidP="008B5F05">
            <w:pPr>
              <w:contextualSpacing/>
              <w:jc w:val="center"/>
              <w:rPr>
                <w:b/>
                <w:sz w:val="20"/>
                <w:szCs w:val="20"/>
              </w:rPr>
            </w:pPr>
            <w:r w:rsidRPr="001966A5">
              <w:rPr>
                <w:b/>
                <w:sz w:val="20"/>
                <w:szCs w:val="20"/>
              </w:rPr>
              <w:t>[4.606]</w:t>
            </w:r>
          </w:p>
        </w:tc>
        <w:tc>
          <w:tcPr>
            <w:tcW w:w="1049" w:type="pct"/>
          </w:tcPr>
          <w:p w14:paraId="56AEDF61" w14:textId="77777777" w:rsidR="005F4D72" w:rsidRPr="001966A5" w:rsidRDefault="005F4D72" w:rsidP="008B5F05">
            <w:pPr>
              <w:contextualSpacing/>
              <w:jc w:val="center"/>
              <w:rPr>
                <w:b/>
                <w:sz w:val="20"/>
                <w:szCs w:val="20"/>
              </w:rPr>
            </w:pPr>
            <w:r w:rsidRPr="001966A5">
              <w:rPr>
                <w:b/>
                <w:sz w:val="20"/>
                <w:szCs w:val="20"/>
              </w:rPr>
              <w:t>[1.958]</w:t>
            </w:r>
          </w:p>
        </w:tc>
        <w:tc>
          <w:tcPr>
            <w:tcW w:w="750" w:type="pct"/>
          </w:tcPr>
          <w:p w14:paraId="0DBC8134" w14:textId="77777777" w:rsidR="005F4D72" w:rsidRPr="001966A5" w:rsidRDefault="005F4D72" w:rsidP="008B5F05">
            <w:pPr>
              <w:contextualSpacing/>
              <w:jc w:val="center"/>
              <w:rPr>
                <w:b/>
                <w:sz w:val="20"/>
                <w:szCs w:val="20"/>
              </w:rPr>
            </w:pPr>
            <w:r w:rsidRPr="001966A5">
              <w:rPr>
                <w:b/>
                <w:sz w:val="20"/>
                <w:szCs w:val="20"/>
              </w:rPr>
              <w:t>[1.588]</w:t>
            </w:r>
          </w:p>
        </w:tc>
      </w:tr>
      <w:tr w:rsidR="005F4D72" w:rsidRPr="001966A5" w14:paraId="2A4A0EE7" w14:textId="77777777" w:rsidTr="008B5F05">
        <w:trPr>
          <w:trHeight w:val="300"/>
          <w:jc w:val="center"/>
        </w:trPr>
        <w:tc>
          <w:tcPr>
            <w:tcW w:w="691" w:type="pct"/>
            <w:shd w:val="clear" w:color="auto" w:fill="auto"/>
            <w:noWrap/>
            <w:vAlign w:val="center"/>
          </w:tcPr>
          <w:p w14:paraId="329B3300" w14:textId="77777777" w:rsidR="005F4D72" w:rsidRPr="001966A5" w:rsidRDefault="005F4D72" w:rsidP="008B5F05">
            <w:pPr>
              <w:contextualSpacing/>
              <w:rPr>
                <w:i/>
                <w:sz w:val="20"/>
                <w:szCs w:val="20"/>
              </w:rPr>
            </w:pPr>
            <w:r w:rsidRPr="001966A5">
              <w:rPr>
                <w:sz w:val="20"/>
                <w:szCs w:val="20"/>
              </w:rPr>
              <w:t>ln(</w:t>
            </w:r>
            <w:r w:rsidRPr="001966A5">
              <w:rPr>
                <w:i/>
                <w:sz w:val="20"/>
                <w:szCs w:val="20"/>
              </w:rPr>
              <w:t>y</w:t>
            </w:r>
            <w:r w:rsidRPr="001966A5">
              <w:rPr>
                <w:i/>
                <w:sz w:val="20"/>
                <w:szCs w:val="20"/>
                <w:vertAlign w:val="subscript"/>
              </w:rPr>
              <w:t>i,0</w:t>
            </w:r>
            <w:r w:rsidRPr="001966A5">
              <w:rPr>
                <w:sz w:val="20"/>
                <w:szCs w:val="20"/>
              </w:rPr>
              <w:t>)</w:t>
            </w:r>
          </w:p>
        </w:tc>
        <w:tc>
          <w:tcPr>
            <w:tcW w:w="106" w:type="pct"/>
            <w:vAlign w:val="center"/>
          </w:tcPr>
          <w:p w14:paraId="07004365"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30263C9B" w14:textId="77777777" w:rsidR="005F4D72" w:rsidRPr="001966A5" w:rsidRDefault="005F4D72" w:rsidP="008B5F05">
            <w:pPr>
              <w:contextualSpacing/>
              <w:jc w:val="center"/>
              <w:rPr>
                <w:sz w:val="20"/>
                <w:szCs w:val="20"/>
              </w:rPr>
            </w:pPr>
            <w:r w:rsidRPr="001966A5">
              <w:rPr>
                <w:sz w:val="20"/>
                <w:szCs w:val="20"/>
              </w:rPr>
              <w:t>-0.088*</w:t>
            </w:r>
          </w:p>
        </w:tc>
        <w:tc>
          <w:tcPr>
            <w:tcW w:w="106" w:type="pct"/>
            <w:vAlign w:val="center"/>
          </w:tcPr>
          <w:p w14:paraId="45EFC1A7" w14:textId="77777777" w:rsidR="005F4D72" w:rsidRPr="001966A5" w:rsidRDefault="005F4D72" w:rsidP="008B5F05">
            <w:pPr>
              <w:contextualSpacing/>
              <w:jc w:val="center"/>
              <w:rPr>
                <w:sz w:val="20"/>
                <w:szCs w:val="20"/>
              </w:rPr>
            </w:pPr>
          </w:p>
        </w:tc>
        <w:tc>
          <w:tcPr>
            <w:tcW w:w="751" w:type="pct"/>
            <w:vAlign w:val="center"/>
          </w:tcPr>
          <w:p w14:paraId="19E4F81D" w14:textId="77777777" w:rsidR="005F4D72" w:rsidRPr="001966A5" w:rsidRDefault="005F4D72" w:rsidP="008B5F05">
            <w:pPr>
              <w:contextualSpacing/>
              <w:jc w:val="center"/>
              <w:rPr>
                <w:sz w:val="20"/>
                <w:szCs w:val="20"/>
              </w:rPr>
            </w:pPr>
            <w:r w:rsidRPr="001966A5">
              <w:rPr>
                <w:sz w:val="20"/>
                <w:szCs w:val="20"/>
              </w:rPr>
              <w:t>0.068</w:t>
            </w:r>
          </w:p>
        </w:tc>
        <w:tc>
          <w:tcPr>
            <w:tcW w:w="1049" w:type="pct"/>
            <w:vAlign w:val="center"/>
          </w:tcPr>
          <w:p w14:paraId="000F3F37" w14:textId="77777777" w:rsidR="005F4D72" w:rsidRPr="001966A5" w:rsidRDefault="005F4D72" w:rsidP="008B5F05">
            <w:pPr>
              <w:contextualSpacing/>
              <w:jc w:val="center"/>
              <w:rPr>
                <w:sz w:val="20"/>
                <w:szCs w:val="20"/>
              </w:rPr>
            </w:pPr>
            <w:r w:rsidRPr="001966A5">
              <w:rPr>
                <w:sz w:val="20"/>
                <w:szCs w:val="20"/>
              </w:rPr>
              <w:t>-0.419*</w:t>
            </w:r>
          </w:p>
        </w:tc>
        <w:tc>
          <w:tcPr>
            <w:tcW w:w="1049" w:type="pct"/>
            <w:vAlign w:val="center"/>
          </w:tcPr>
          <w:p w14:paraId="63F8C9D1" w14:textId="77777777" w:rsidR="005F4D72" w:rsidRPr="001966A5" w:rsidRDefault="005F4D72" w:rsidP="008B5F05">
            <w:pPr>
              <w:contextualSpacing/>
              <w:jc w:val="center"/>
              <w:rPr>
                <w:sz w:val="20"/>
                <w:szCs w:val="20"/>
                <w:vertAlign w:val="superscript"/>
              </w:rPr>
            </w:pPr>
            <w:r w:rsidRPr="001966A5">
              <w:rPr>
                <w:sz w:val="20"/>
                <w:szCs w:val="20"/>
              </w:rPr>
              <w:t>-0.421</w:t>
            </w:r>
            <w:r w:rsidRPr="001966A5">
              <w:rPr>
                <w:sz w:val="20"/>
                <w:szCs w:val="20"/>
                <w:vertAlign w:val="superscript"/>
              </w:rPr>
              <w:t>+</w:t>
            </w:r>
          </w:p>
        </w:tc>
        <w:tc>
          <w:tcPr>
            <w:tcW w:w="750" w:type="pct"/>
            <w:vAlign w:val="center"/>
          </w:tcPr>
          <w:p w14:paraId="5A63308A" w14:textId="77777777" w:rsidR="005F4D72" w:rsidRPr="001966A5" w:rsidRDefault="005F4D72" w:rsidP="008B5F05">
            <w:pPr>
              <w:contextualSpacing/>
              <w:jc w:val="center"/>
              <w:rPr>
                <w:sz w:val="20"/>
                <w:szCs w:val="20"/>
              </w:rPr>
            </w:pPr>
            <w:r w:rsidRPr="001966A5">
              <w:rPr>
                <w:sz w:val="20"/>
                <w:szCs w:val="20"/>
              </w:rPr>
              <w:t>-0.5668</w:t>
            </w:r>
          </w:p>
        </w:tc>
      </w:tr>
      <w:tr w:rsidR="005F4D72" w:rsidRPr="001966A5" w14:paraId="37FC19A0" w14:textId="77777777" w:rsidTr="008B5F05">
        <w:trPr>
          <w:trHeight w:val="300"/>
          <w:jc w:val="center"/>
        </w:trPr>
        <w:tc>
          <w:tcPr>
            <w:tcW w:w="691" w:type="pct"/>
            <w:shd w:val="clear" w:color="auto" w:fill="auto"/>
            <w:noWrap/>
          </w:tcPr>
          <w:p w14:paraId="762A758D" w14:textId="77777777" w:rsidR="005F4D72" w:rsidRPr="001966A5" w:rsidRDefault="005F4D72" w:rsidP="008B5F05">
            <w:pPr>
              <w:contextualSpacing/>
              <w:rPr>
                <w:sz w:val="20"/>
                <w:szCs w:val="20"/>
              </w:rPr>
            </w:pPr>
          </w:p>
        </w:tc>
        <w:tc>
          <w:tcPr>
            <w:tcW w:w="106" w:type="pct"/>
          </w:tcPr>
          <w:p w14:paraId="55ECA6EB" w14:textId="77777777" w:rsidR="005F4D72" w:rsidRPr="001966A5" w:rsidRDefault="005F4D72" w:rsidP="008B5F05">
            <w:pPr>
              <w:contextualSpacing/>
              <w:jc w:val="center"/>
              <w:rPr>
                <w:sz w:val="20"/>
                <w:szCs w:val="20"/>
              </w:rPr>
            </w:pPr>
          </w:p>
        </w:tc>
        <w:tc>
          <w:tcPr>
            <w:tcW w:w="498" w:type="pct"/>
            <w:shd w:val="clear" w:color="auto" w:fill="auto"/>
            <w:noWrap/>
          </w:tcPr>
          <w:p w14:paraId="72CC7995" w14:textId="77777777" w:rsidR="005F4D72" w:rsidRPr="001966A5" w:rsidRDefault="005F4D72" w:rsidP="008B5F05">
            <w:pPr>
              <w:contextualSpacing/>
              <w:jc w:val="center"/>
              <w:rPr>
                <w:sz w:val="20"/>
                <w:szCs w:val="20"/>
              </w:rPr>
            </w:pPr>
            <w:r w:rsidRPr="001966A5">
              <w:rPr>
                <w:sz w:val="20"/>
                <w:szCs w:val="20"/>
              </w:rPr>
              <w:t>[-2.053]</w:t>
            </w:r>
          </w:p>
        </w:tc>
        <w:tc>
          <w:tcPr>
            <w:tcW w:w="106" w:type="pct"/>
          </w:tcPr>
          <w:p w14:paraId="29613EC5" w14:textId="77777777" w:rsidR="005F4D72" w:rsidRPr="001966A5" w:rsidRDefault="005F4D72" w:rsidP="008B5F05">
            <w:pPr>
              <w:contextualSpacing/>
              <w:jc w:val="center"/>
              <w:rPr>
                <w:sz w:val="20"/>
                <w:szCs w:val="20"/>
              </w:rPr>
            </w:pPr>
          </w:p>
        </w:tc>
        <w:tc>
          <w:tcPr>
            <w:tcW w:w="751" w:type="pct"/>
          </w:tcPr>
          <w:p w14:paraId="12B1C5F0" w14:textId="77777777" w:rsidR="005F4D72" w:rsidRPr="001966A5" w:rsidRDefault="005F4D72" w:rsidP="008B5F05">
            <w:pPr>
              <w:contextualSpacing/>
              <w:jc w:val="center"/>
              <w:rPr>
                <w:sz w:val="20"/>
                <w:szCs w:val="20"/>
              </w:rPr>
            </w:pPr>
            <w:r w:rsidRPr="001966A5">
              <w:rPr>
                <w:sz w:val="20"/>
                <w:szCs w:val="20"/>
              </w:rPr>
              <w:t>[0.402]</w:t>
            </w:r>
          </w:p>
        </w:tc>
        <w:tc>
          <w:tcPr>
            <w:tcW w:w="1049" w:type="pct"/>
          </w:tcPr>
          <w:p w14:paraId="49034EC5" w14:textId="77777777" w:rsidR="005F4D72" w:rsidRPr="001966A5" w:rsidRDefault="005F4D72" w:rsidP="008B5F05">
            <w:pPr>
              <w:contextualSpacing/>
              <w:jc w:val="center"/>
              <w:rPr>
                <w:sz w:val="20"/>
                <w:szCs w:val="20"/>
              </w:rPr>
            </w:pPr>
            <w:r w:rsidRPr="001966A5">
              <w:rPr>
                <w:sz w:val="20"/>
                <w:szCs w:val="20"/>
              </w:rPr>
              <w:t>[-8.334]</w:t>
            </w:r>
          </w:p>
        </w:tc>
        <w:tc>
          <w:tcPr>
            <w:tcW w:w="1049" w:type="pct"/>
          </w:tcPr>
          <w:p w14:paraId="1EF1B974" w14:textId="77777777" w:rsidR="005F4D72" w:rsidRPr="001966A5" w:rsidRDefault="005F4D72" w:rsidP="008B5F05">
            <w:pPr>
              <w:contextualSpacing/>
              <w:jc w:val="center"/>
              <w:rPr>
                <w:sz w:val="20"/>
                <w:szCs w:val="20"/>
              </w:rPr>
            </w:pPr>
            <w:r w:rsidRPr="001966A5">
              <w:rPr>
                <w:sz w:val="20"/>
                <w:szCs w:val="20"/>
              </w:rPr>
              <w:t>[-1.665]</w:t>
            </w:r>
          </w:p>
        </w:tc>
        <w:tc>
          <w:tcPr>
            <w:tcW w:w="750" w:type="pct"/>
          </w:tcPr>
          <w:p w14:paraId="3A646178" w14:textId="77777777" w:rsidR="005F4D72" w:rsidRPr="001966A5" w:rsidRDefault="005F4D72" w:rsidP="008B5F05">
            <w:pPr>
              <w:contextualSpacing/>
              <w:jc w:val="center"/>
              <w:rPr>
                <w:sz w:val="20"/>
                <w:szCs w:val="20"/>
              </w:rPr>
            </w:pPr>
            <w:r w:rsidRPr="001966A5">
              <w:rPr>
                <w:sz w:val="20"/>
                <w:szCs w:val="20"/>
              </w:rPr>
              <w:t>[-2.200]</w:t>
            </w:r>
          </w:p>
        </w:tc>
      </w:tr>
      <w:tr w:rsidR="005F4D72" w:rsidRPr="001966A5" w14:paraId="7D37C1E1" w14:textId="77777777" w:rsidTr="008B5F05">
        <w:trPr>
          <w:trHeight w:val="300"/>
          <w:jc w:val="center"/>
        </w:trPr>
        <w:tc>
          <w:tcPr>
            <w:tcW w:w="691" w:type="pct"/>
            <w:shd w:val="clear" w:color="auto" w:fill="auto"/>
            <w:noWrap/>
            <w:vAlign w:val="center"/>
          </w:tcPr>
          <w:p w14:paraId="5D6FF194" w14:textId="2D749860" w:rsidR="005F4D72" w:rsidRPr="001966A5" w:rsidRDefault="005F4D72" w:rsidP="008B5F05">
            <w:pPr>
              <w:contextualSpacing/>
              <w:rPr>
                <w:i/>
                <w:sz w:val="20"/>
                <w:szCs w:val="20"/>
              </w:rPr>
            </w:pPr>
            <w:r w:rsidRPr="001966A5">
              <w:rPr>
                <w:i/>
                <w:sz w:val="20"/>
                <w:szCs w:val="20"/>
              </w:rPr>
              <w:t>(</w:t>
            </w:r>
            <m:oMath>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+δ)</m:t>
              </m:r>
            </m:oMath>
            <w:r w:rsidRPr="001966A5">
              <w:rPr>
                <w:i/>
                <w:sz w:val="20"/>
                <w:szCs w:val="20"/>
                <w:vertAlign w:val="subscript"/>
              </w:rPr>
              <w:t>i</w:t>
            </w:r>
          </w:p>
        </w:tc>
        <w:tc>
          <w:tcPr>
            <w:tcW w:w="106" w:type="pct"/>
            <w:vAlign w:val="center"/>
          </w:tcPr>
          <w:p w14:paraId="2A93AE88"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7E9B633B" w14:textId="77777777" w:rsidR="005F4D72" w:rsidRPr="001966A5" w:rsidRDefault="005F4D72" w:rsidP="008B5F05">
            <w:pPr>
              <w:contextualSpacing/>
              <w:jc w:val="center"/>
              <w:rPr>
                <w:sz w:val="20"/>
                <w:szCs w:val="20"/>
              </w:rPr>
            </w:pPr>
            <w:r w:rsidRPr="001966A5">
              <w:rPr>
                <w:sz w:val="20"/>
                <w:szCs w:val="20"/>
              </w:rPr>
              <w:t>-0.127*</w:t>
            </w:r>
          </w:p>
        </w:tc>
        <w:tc>
          <w:tcPr>
            <w:tcW w:w="106" w:type="pct"/>
            <w:vAlign w:val="center"/>
          </w:tcPr>
          <w:p w14:paraId="2A3AC7BF" w14:textId="77777777" w:rsidR="005F4D72" w:rsidRPr="001966A5" w:rsidRDefault="005F4D72" w:rsidP="008B5F05">
            <w:pPr>
              <w:contextualSpacing/>
              <w:jc w:val="center"/>
              <w:rPr>
                <w:sz w:val="20"/>
                <w:szCs w:val="20"/>
              </w:rPr>
            </w:pPr>
          </w:p>
        </w:tc>
        <w:tc>
          <w:tcPr>
            <w:tcW w:w="751" w:type="pct"/>
            <w:vAlign w:val="center"/>
          </w:tcPr>
          <w:p w14:paraId="2C0DA0DC" w14:textId="77777777" w:rsidR="005F4D72" w:rsidRPr="001966A5" w:rsidRDefault="005F4D72" w:rsidP="008B5F05">
            <w:pPr>
              <w:contextualSpacing/>
              <w:jc w:val="center"/>
              <w:rPr>
                <w:sz w:val="20"/>
                <w:szCs w:val="20"/>
              </w:rPr>
            </w:pPr>
            <w:r w:rsidRPr="001966A5">
              <w:rPr>
                <w:sz w:val="20"/>
                <w:szCs w:val="20"/>
              </w:rPr>
              <w:t>-0.157*</w:t>
            </w:r>
          </w:p>
        </w:tc>
        <w:tc>
          <w:tcPr>
            <w:tcW w:w="1049" w:type="pct"/>
            <w:vAlign w:val="center"/>
          </w:tcPr>
          <w:p w14:paraId="21E0F3C9" w14:textId="77777777" w:rsidR="005F4D72" w:rsidRPr="001966A5" w:rsidRDefault="005F4D72" w:rsidP="008B5F05">
            <w:pPr>
              <w:contextualSpacing/>
              <w:jc w:val="center"/>
              <w:rPr>
                <w:sz w:val="20"/>
                <w:szCs w:val="20"/>
              </w:rPr>
            </w:pPr>
            <w:r w:rsidRPr="001966A5">
              <w:rPr>
                <w:sz w:val="20"/>
                <w:szCs w:val="20"/>
              </w:rPr>
              <w:t>-0.120*</w:t>
            </w:r>
          </w:p>
        </w:tc>
        <w:tc>
          <w:tcPr>
            <w:tcW w:w="1049" w:type="pct"/>
            <w:vAlign w:val="center"/>
          </w:tcPr>
          <w:p w14:paraId="4DF53405" w14:textId="77777777" w:rsidR="005F4D72" w:rsidRPr="001966A5" w:rsidRDefault="005F4D72" w:rsidP="008B5F05">
            <w:pPr>
              <w:contextualSpacing/>
              <w:jc w:val="center"/>
              <w:rPr>
                <w:sz w:val="20"/>
                <w:szCs w:val="20"/>
              </w:rPr>
            </w:pPr>
            <w:r w:rsidRPr="001966A5">
              <w:rPr>
                <w:sz w:val="20"/>
                <w:szCs w:val="20"/>
              </w:rPr>
              <w:t>-0.377*</w:t>
            </w:r>
          </w:p>
        </w:tc>
        <w:tc>
          <w:tcPr>
            <w:tcW w:w="750" w:type="pct"/>
            <w:vAlign w:val="center"/>
          </w:tcPr>
          <w:p w14:paraId="52D98107" w14:textId="77777777" w:rsidR="005F4D72" w:rsidRPr="001966A5" w:rsidRDefault="005F4D72" w:rsidP="008B5F05">
            <w:pPr>
              <w:contextualSpacing/>
              <w:jc w:val="center"/>
              <w:rPr>
                <w:sz w:val="20"/>
                <w:szCs w:val="20"/>
              </w:rPr>
            </w:pPr>
            <w:r w:rsidRPr="001966A5">
              <w:rPr>
                <w:sz w:val="20"/>
                <w:szCs w:val="20"/>
              </w:rPr>
              <w:t>1.496</w:t>
            </w:r>
          </w:p>
        </w:tc>
      </w:tr>
      <w:tr w:rsidR="005F4D72" w:rsidRPr="001966A5" w14:paraId="78044BF0" w14:textId="77777777" w:rsidTr="008B5F05">
        <w:trPr>
          <w:trHeight w:val="300"/>
          <w:jc w:val="center"/>
        </w:trPr>
        <w:tc>
          <w:tcPr>
            <w:tcW w:w="691" w:type="pct"/>
            <w:shd w:val="clear" w:color="auto" w:fill="auto"/>
            <w:noWrap/>
          </w:tcPr>
          <w:p w14:paraId="5F15DADC" w14:textId="77777777" w:rsidR="005F4D72" w:rsidRPr="001966A5" w:rsidRDefault="005F4D72" w:rsidP="008B5F05">
            <w:pPr>
              <w:contextualSpacing/>
              <w:rPr>
                <w:sz w:val="20"/>
                <w:szCs w:val="20"/>
              </w:rPr>
            </w:pPr>
          </w:p>
        </w:tc>
        <w:tc>
          <w:tcPr>
            <w:tcW w:w="106" w:type="pct"/>
          </w:tcPr>
          <w:p w14:paraId="647A0927" w14:textId="77777777" w:rsidR="005F4D72" w:rsidRPr="001966A5" w:rsidRDefault="005F4D72" w:rsidP="008B5F05">
            <w:pPr>
              <w:contextualSpacing/>
              <w:jc w:val="center"/>
              <w:rPr>
                <w:sz w:val="20"/>
                <w:szCs w:val="20"/>
              </w:rPr>
            </w:pPr>
          </w:p>
        </w:tc>
        <w:tc>
          <w:tcPr>
            <w:tcW w:w="498" w:type="pct"/>
            <w:shd w:val="clear" w:color="auto" w:fill="auto"/>
            <w:noWrap/>
          </w:tcPr>
          <w:p w14:paraId="38BE1833" w14:textId="77777777" w:rsidR="005F4D72" w:rsidRPr="001966A5" w:rsidRDefault="005F4D72" w:rsidP="008B5F05">
            <w:pPr>
              <w:contextualSpacing/>
              <w:jc w:val="center"/>
              <w:rPr>
                <w:sz w:val="20"/>
                <w:szCs w:val="20"/>
              </w:rPr>
            </w:pPr>
            <w:r w:rsidRPr="001966A5">
              <w:rPr>
                <w:sz w:val="20"/>
                <w:szCs w:val="20"/>
              </w:rPr>
              <w:t>[-2.876]</w:t>
            </w:r>
          </w:p>
        </w:tc>
        <w:tc>
          <w:tcPr>
            <w:tcW w:w="106" w:type="pct"/>
          </w:tcPr>
          <w:p w14:paraId="6FB3401B" w14:textId="77777777" w:rsidR="005F4D72" w:rsidRPr="001966A5" w:rsidRDefault="005F4D72" w:rsidP="008B5F05">
            <w:pPr>
              <w:contextualSpacing/>
              <w:jc w:val="center"/>
              <w:rPr>
                <w:sz w:val="20"/>
                <w:szCs w:val="20"/>
              </w:rPr>
            </w:pPr>
          </w:p>
        </w:tc>
        <w:tc>
          <w:tcPr>
            <w:tcW w:w="751" w:type="pct"/>
          </w:tcPr>
          <w:p w14:paraId="4AAF3502" w14:textId="77777777" w:rsidR="005F4D72" w:rsidRPr="001966A5" w:rsidRDefault="005F4D72" w:rsidP="008B5F05">
            <w:pPr>
              <w:contextualSpacing/>
              <w:jc w:val="center"/>
              <w:rPr>
                <w:sz w:val="20"/>
                <w:szCs w:val="20"/>
              </w:rPr>
            </w:pPr>
            <w:r w:rsidRPr="001966A5">
              <w:rPr>
                <w:sz w:val="20"/>
                <w:szCs w:val="20"/>
              </w:rPr>
              <w:t>[-3.746]</w:t>
            </w:r>
          </w:p>
        </w:tc>
        <w:tc>
          <w:tcPr>
            <w:tcW w:w="1049" w:type="pct"/>
          </w:tcPr>
          <w:p w14:paraId="3E916877" w14:textId="77777777" w:rsidR="005F4D72" w:rsidRPr="001966A5" w:rsidRDefault="005F4D72" w:rsidP="008B5F05">
            <w:pPr>
              <w:contextualSpacing/>
              <w:jc w:val="center"/>
              <w:rPr>
                <w:sz w:val="20"/>
                <w:szCs w:val="20"/>
              </w:rPr>
            </w:pPr>
            <w:r w:rsidRPr="001966A5">
              <w:rPr>
                <w:sz w:val="20"/>
                <w:szCs w:val="20"/>
              </w:rPr>
              <w:t>[-2.683]</w:t>
            </w:r>
          </w:p>
        </w:tc>
        <w:tc>
          <w:tcPr>
            <w:tcW w:w="1049" w:type="pct"/>
          </w:tcPr>
          <w:p w14:paraId="6B6175CB" w14:textId="77777777" w:rsidR="005F4D72" w:rsidRPr="001966A5" w:rsidRDefault="005F4D72" w:rsidP="008B5F05">
            <w:pPr>
              <w:contextualSpacing/>
              <w:jc w:val="center"/>
              <w:rPr>
                <w:sz w:val="20"/>
                <w:szCs w:val="20"/>
              </w:rPr>
            </w:pPr>
            <w:r w:rsidRPr="001966A5">
              <w:rPr>
                <w:sz w:val="20"/>
                <w:szCs w:val="20"/>
              </w:rPr>
              <w:t>[-2.920]</w:t>
            </w:r>
          </w:p>
        </w:tc>
        <w:tc>
          <w:tcPr>
            <w:tcW w:w="750" w:type="pct"/>
          </w:tcPr>
          <w:p w14:paraId="14F0E16A" w14:textId="77777777" w:rsidR="005F4D72" w:rsidRPr="001966A5" w:rsidRDefault="005F4D72" w:rsidP="008B5F05">
            <w:pPr>
              <w:contextualSpacing/>
              <w:jc w:val="center"/>
              <w:rPr>
                <w:sz w:val="20"/>
                <w:szCs w:val="20"/>
              </w:rPr>
            </w:pPr>
            <w:r w:rsidRPr="001966A5">
              <w:rPr>
                <w:sz w:val="20"/>
                <w:szCs w:val="20"/>
              </w:rPr>
              <w:t>[1.493]</w:t>
            </w:r>
          </w:p>
        </w:tc>
      </w:tr>
      <w:tr w:rsidR="005F4D72" w:rsidRPr="001966A5" w14:paraId="06E5CEEE" w14:textId="77777777" w:rsidTr="008B5F05">
        <w:trPr>
          <w:trHeight w:val="300"/>
          <w:jc w:val="center"/>
        </w:trPr>
        <w:tc>
          <w:tcPr>
            <w:tcW w:w="691" w:type="pct"/>
            <w:shd w:val="clear" w:color="auto" w:fill="auto"/>
            <w:noWrap/>
            <w:vAlign w:val="center"/>
          </w:tcPr>
          <w:p w14:paraId="57E22B60" w14:textId="77777777" w:rsidR="005F4D72" w:rsidRPr="001966A5" w:rsidRDefault="005F4D72" w:rsidP="008B5F05">
            <w:pPr>
              <w:contextualSpacing/>
              <w:rPr>
                <w:i/>
                <w:sz w:val="20"/>
                <w:szCs w:val="20"/>
              </w:rPr>
            </w:pPr>
            <w:r w:rsidRPr="001966A5">
              <w:rPr>
                <w:i/>
                <w:sz w:val="20"/>
                <w:szCs w:val="20"/>
              </w:rPr>
              <w:t>edu</w:t>
            </w:r>
            <w:r w:rsidRPr="001966A5">
              <w:rPr>
                <w:i/>
                <w:sz w:val="20"/>
                <w:szCs w:val="20"/>
                <w:vertAlign w:val="subscript"/>
              </w:rPr>
              <w:t>i</w:t>
            </w:r>
          </w:p>
        </w:tc>
        <w:tc>
          <w:tcPr>
            <w:tcW w:w="106" w:type="pct"/>
            <w:vAlign w:val="center"/>
          </w:tcPr>
          <w:p w14:paraId="1AA6DF03"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0EC64777" w14:textId="77777777" w:rsidR="005F4D72" w:rsidRPr="001966A5" w:rsidRDefault="005F4D72" w:rsidP="008B5F05">
            <w:pPr>
              <w:contextualSpacing/>
              <w:jc w:val="center"/>
              <w:rPr>
                <w:sz w:val="20"/>
                <w:szCs w:val="20"/>
              </w:rPr>
            </w:pPr>
            <w:r w:rsidRPr="001966A5">
              <w:rPr>
                <w:sz w:val="20"/>
                <w:szCs w:val="20"/>
              </w:rPr>
              <w:t>0.044</w:t>
            </w:r>
          </w:p>
        </w:tc>
        <w:tc>
          <w:tcPr>
            <w:tcW w:w="106" w:type="pct"/>
            <w:vAlign w:val="center"/>
          </w:tcPr>
          <w:p w14:paraId="67B05DBF" w14:textId="77777777" w:rsidR="005F4D72" w:rsidRPr="001966A5" w:rsidRDefault="005F4D72" w:rsidP="008B5F05">
            <w:pPr>
              <w:contextualSpacing/>
              <w:jc w:val="center"/>
              <w:rPr>
                <w:sz w:val="20"/>
                <w:szCs w:val="20"/>
              </w:rPr>
            </w:pPr>
          </w:p>
        </w:tc>
        <w:tc>
          <w:tcPr>
            <w:tcW w:w="751" w:type="pct"/>
            <w:vAlign w:val="center"/>
          </w:tcPr>
          <w:p w14:paraId="74094718" w14:textId="77777777" w:rsidR="005F4D72" w:rsidRPr="001966A5" w:rsidRDefault="005F4D72" w:rsidP="008B5F05">
            <w:pPr>
              <w:contextualSpacing/>
              <w:jc w:val="center"/>
              <w:rPr>
                <w:sz w:val="20"/>
                <w:szCs w:val="20"/>
              </w:rPr>
            </w:pPr>
            <w:r w:rsidRPr="001966A5">
              <w:rPr>
                <w:sz w:val="20"/>
                <w:szCs w:val="20"/>
              </w:rPr>
              <w:t>0.002</w:t>
            </w:r>
          </w:p>
        </w:tc>
        <w:tc>
          <w:tcPr>
            <w:tcW w:w="1049" w:type="pct"/>
            <w:vAlign w:val="center"/>
          </w:tcPr>
          <w:p w14:paraId="22F95457" w14:textId="77777777" w:rsidR="005F4D72" w:rsidRPr="001966A5" w:rsidRDefault="005F4D72" w:rsidP="008B5F05">
            <w:pPr>
              <w:contextualSpacing/>
              <w:jc w:val="center"/>
              <w:rPr>
                <w:sz w:val="20"/>
                <w:szCs w:val="20"/>
              </w:rPr>
            </w:pPr>
            <w:r w:rsidRPr="001966A5">
              <w:rPr>
                <w:sz w:val="20"/>
                <w:szCs w:val="20"/>
              </w:rPr>
              <w:t>0.148*</w:t>
            </w:r>
          </w:p>
        </w:tc>
        <w:tc>
          <w:tcPr>
            <w:tcW w:w="1049" w:type="pct"/>
            <w:vAlign w:val="center"/>
          </w:tcPr>
          <w:p w14:paraId="52254161" w14:textId="77777777" w:rsidR="005F4D72" w:rsidRPr="001966A5" w:rsidRDefault="005F4D72" w:rsidP="008B5F05">
            <w:pPr>
              <w:contextualSpacing/>
              <w:jc w:val="center"/>
              <w:rPr>
                <w:sz w:val="20"/>
                <w:szCs w:val="20"/>
              </w:rPr>
            </w:pPr>
            <w:r w:rsidRPr="001966A5">
              <w:rPr>
                <w:sz w:val="20"/>
                <w:szCs w:val="20"/>
              </w:rPr>
              <w:t>0.091</w:t>
            </w:r>
          </w:p>
        </w:tc>
        <w:tc>
          <w:tcPr>
            <w:tcW w:w="750" w:type="pct"/>
            <w:vAlign w:val="center"/>
          </w:tcPr>
          <w:p w14:paraId="7A4A13C8" w14:textId="77777777" w:rsidR="005F4D72" w:rsidRPr="001966A5" w:rsidRDefault="005F4D72" w:rsidP="008B5F05">
            <w:pPr>
              <w:contextualSpacing/>
              <w:jc w:val="center"/>
              <w:rPr>
                <w:sz w:val="20"/>
                <w:szCs w:val="20"/>
              </w:rPr>
            </w:pPr>
            <w:r w:rsidRPr="001966A5">
              <w:rPr>
                <w:sz w:val="20"/>
                <w:szCs w:val="20"/>
              </w:rPr>
              <w:t>0.398</w:t>
            </w:r>
          </w:p>
        </w:tc>
      </w:tr>
      <w:tr w:rsidR="005F4D72" w:rsidRPr="001966A5" w14:paraId="480C88C4" w14:textId="77777777" w:rsidTr="008B5F05">
        <w:trPr>
          <w:trHeight w:val="300"/>
          <w:jc w:val="center"/>
        </w:trPr>
        <w:tc>
          <w:tcPr>
            <w:tcW w:w="691" w:type="pct"/>
            <w:shd w:val="clear" w:color="auto" w:fill="auto"/>
            <w:noWrap/>
          </w:tcPr>
          <w:p w14:paraId="394029E6" w14:textId="77777777" w:rsidR="005F4D72" w:rsidRPr="001966A5" w:rsidRDefault="005F4D72" w:rsidP="008B5F05">
            <w:pPr>
              <w:contextualSpacing/>
              <w:rPr>
                <w:sz w:val="20"/>
                <w:szCs w:val="20"/>
              </w:rPr>
            </w:pPr>
          </w:p>
        </w:tc>
        <w:tc>
          <w:tcPr>
            <w:tcW w:w="106" w:type="pct"/>
          </w:tcPr>
          <w:p w14:paraId="6D942130" w14:textId="77777777" w:rsidR="005F4D72" w:rsidRPr="001966A5" w:rsidRDefault="005F4D72" w:rsidP="008B5F05">
            <w:pPr>
              <w:contextualSpacing/>
              <w:jc w:val="center"/>
              <w:rPr>
                <w:sz w:val="20"/>
                <w:szCs w:val="20"/>
              </w:rPr>
            </w:pPr>
          </w:p>
        </w:tc>
        <w:tc>
          <w:tcPr>
            <w:tcW w:w="498" w:type="pct"/>
            <w:shd w:val="clear" w:color="auto" w:fill="auto"/>
            <w:noWrap/>
          </w:tcPr>
          <w:p w14:paraId="66CA16F6" w14:textId="77777777" w:rsidR="005F4D72" w:rsidRPr="001966A5" w:rsidRDefault="005F4D72" w:rsidP="008B5F05">
            <w:pPr>
              <w:contextualSpacing/>
              <w:jc w:val="center"/>
              <w:rPr>
                <w:sz w:val="20"/>
                <w:szCs w:val="20"/>
              </w:rPr>
            </w:pPr>
            <w:r w:rsidRPr="001966A5">
              <w:rPr>
                <w:sz w:val="20"/>
                <w:szCs w:val="20"/>
              </w:rPr>
              <w:t>[1.122]</w:t>
            </w:r>
          </w:p>
        </w:tc>
        <w:tc>
          <w:tcPr>
            <w:tcW w:w="106" w:type="pct"/>
          </w:tcPr>
          <w:p w14:paraId="71DFC430" w14:textId="77777777" w:rsidR="005F4D72" w:rsidRPr="001966A5" w:rsidRDefault="005F4D72" w:rsidP="008B5F05">
            <w:pPr>
              <w:contextualSpacing/>
              <w:jc w:val="center"/>
              <w:rPr>
                <w:sz w:val="20"/>
                <w:szCs w:val="20"/>
              </w:rPr>
            </w:pPr>
          </w:p>
        </w:tc>
        <w:tc>
          <w:tcPr>
            <w:tcW w:w="751" w:type="pct"/>
          </w:tcPr>
          <w:p w14:paraId="30766A10" w14:textId="77777777" w:rsidR="005F4D72" w:rsidRPr="001966A5" w:rsidRDefault="005F4D72" w:rsidP="008B5F05">
            <w:pPr>
              <w:contextualSpacing/>
              <w:jc w:val="center"/>
              <w:rPr>
                <w:sz w:val="20"/>
                <w:szCs w:val="20"/>
              </w:rPr>
            </w:pPr>
            <w:r w:rsidRPr="001966A5">
              <w:rPr>
                <w:sz w:val="20"/>
                <w:szCs w:val="20"/>
              </w:rPr>
              <w:t>[0.030]</w:t>
            </w:r>
          </w:p>
        </w:tc>
        <w:tc>
          <w:tcPr>
            <w:tcW w:w="1049" w:type="pct"/>
          </w:tcPr>
          <w:p w14:paraId="49CFAEC5" w14:textId="77777777" w:rsidR="005F4D72" w:rsidRPr="001966A5" w:rsidRDefault="005F4D72" w:rsidP="008B5F05">
            <w:pPr>
              <w:contextualSpacing/>
              <w:jc w:val="center"/>
              <w:rPr>
                <w:sz w:val="20"/>
                <w:szCs w:val="20"/>
              </w:rPr>
            </w:pPr>
            <w:r w:rsidRPr="001966A5">
              <w:rPr>
                <w:sz w:val="20"/>
                <w:szCs w:val="20"/>
              </w:rPr>
              <w:t>[3.408]</w:t>
            </w:r>
          </w:p>
        </w:tc>
        <w:tc>
          <w:tcPr>
            <w:tcW w:w="1049" w:type="pct"/>
          </w:tcPr>
          <w:p w14:paraId="3F7095EE" w14:textId="77777777" w:rsidR="005F4D72" w:rsidRPr="001966A5" w:rsidRDefault="005F4D72" w:rsidP="008B5F05">
            <w:pPr>
              <w:contextualSpacing/>
              <w:jc w:val="center"/>
              <w:rPr>
                <w:sz w:val="20"/>
                <w:szCs w:val="20"/>
              </w:rPr>
            </w:pPr>
            <w:r w:rsidRPr="001966A5">
              <w:rPr>
                <w:sz w:val="20"/>
                <w:szCs w:val="20"/>
              </w:rPr>
              <w:t>[0.688]</w:t>
            </w:r>
          </w:p>
        </w:tc>
        <w:tc>
          <w:tcPr>
            <w:tcW w:w="750" w:type="pct"/>
          </w:tcPr>
          <w:p w14:paraId="5D34A78C" w14:textId="77777777" w:rsidR="005F4D72" w:rsidRPr="001966A5" w:rsidRDefault="005F4D72" w:rsidP="008B5F05">
            <w:pPr>
              <w:contextualSpacing/>
              <w:jc w:val="center"/>
              <w:rPr>
                <w:sz w:val="20"/>
                <w:szCs w:val="20"/>
              </w:rPr>
            </w:pPr>
            <w:r w:rsidRPr="001966A5">
              <w:rPr>
                <w:sz w:val="20"/>
                <w:szCs w:val="20"/>
              </w:rPr>
              <w:t>[0.997]</w:t>
            </w:r>
          </w:p>
        </w:tc>
      </w:tr>
      <w:tr w:rsidR="005F4D72" w:rsidRPr="001966A5" w14:paraId="58DF9C9A" w14:textId="77777777" w:rsidTr="008B5F05">
        <w:trPr>
          <w:trHeight w:val="300"/>
          <w:jc w:val="center"/>
        </w:trPr>
        <w:tc>
          <w:tcPr>
            <w:tcW w:w="691" w:type="pct"/>
            <w:shd w:val="clear" w:color="auto" w:fill="auto"/>
            <w:noWrap/>
            <w:vAlign w:val="center"/>
          </w:tcPr>
          <w:p w14:paraId="23E7980E" w14:textId="77777777" w:rsidR="005F4D72" w:rsidRPr="001966A5" w:rsidRDefault="005F4D72" w:rsidP="008B5F05">
            <w:pPr>
              <w:contextualSpacing/>
              <w:rPr>
                <w:i/>
                <w:sz w:val="20"/>
                <w:szCs w:val="20"/>
              </w:rPr>
            </w:pPr>
            <w:r w:rsidRPr="001966A5">
              <w:rPr>
                <w:i/>
                <w:sz w:val="20"/>
                <w:szCs w:val="20"/>
              </w:rPr>
              <w:t>infra</w:t>
            </w:r>
            <w:r w:rsidRPr="001966A5">
              <w:rPr>
                <w:i/>
                <w:sz w:val="20"/>
                <w:szCs w:val="20"/>
                <w:vertAlign w:val="subscript"/>
              </w:rPr>
              <w:t>i</w:t>
            </w:r>
          </w:p>
        </w:tc>
        <w:tc>
          <w:tcPr>
            <w:tcW w:w="106" w:type="pct"/>
            <w:vAlign w:val="center"/>
          </w:tcPr>
          <w:p w14:paraId="06C10431"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35CA7AA2" w14:textId="77777777" w:rsidR="005F4D72" w:rsidRPr="001966A5" w:rsidRDefault="005F4D72" w:rsidP="008B5F05">
            <w:pPr>
              <w:contextualSpacing/>
              <w:jc w:val="center"/>
              <w:rPr>
                <w:sz w:val="20"/>
                <w:szCs w:val="20"/>
              </w:rPr>
            </w:pPr>
            <w:r w:rsidRPr="001966A5">
              <w:rPr>
                <w:sz w:val="20"/>
                <w:szCs w:val="20"/>
              </w:rPr>
              <w:t>-0.029*</w:t>
            </w:r>
          </w:p>
        </w:tc>
        <w:tc>
          <w:tcPr>
            <w:tcW w:w="106" w:type="pct"/>
            <w:vAlign w:val="center"/>
          </w:tcPr>
          <w:p w14:paraId="33CF607C" w14:textId="77777777" w:rsidR="005F4D72" w:rsidRPr="001966A5" w:rsidRDefault="005F4D72" w:rsidP="008B5F05">
            <w:pPr>
              <w:contextualSpacing/>
              <w:jc w:val="center"/>
              <w:rPr>
                <w:sz w:val="20"/>
                <w:szCs w:val="20"/>
              </w:rPr>
            </w:pPr>
          </w:p>
        </w:tc>
        <w:tc>
          <w:tcPr>
            <w:tcW w:w="751" w:type="pct"/>
            <w:vAlign w:val="center"/>
          </w:tcPr>
          <w:p w14:paraId="35B54166" w14:textId="77777777" w:rsidR="005F4D72" w:rsidRPr="001966A5" w:rsidRDefault="005F4D72" w:rsidP="008B5F05">
            <w:pPr>
              <w:contextualSpacing/>
              <w:jc w:val="center"/>
              <w:rPr>
                <w:sz w:val="20"/>
                <w:szCs w:val="20"/>
                <w:vertAlign w:val="superscript"/>
              </w:rPr>
            </w:pPr>
            <w:r w:rsidRPr="001966A5">
              <w:rPr>
                <w:sz w:val="20"/>
                <w:szCs w:val="20"/>
              </w:rPr>
              <w:t>-0.023</w:t>
            </w:r>
            <w:r w:rsidRPr="001966A5">
              <w:rPr>
                <w:sz w:val="20"/>
                <w:szCs w:val="20"/>
                <w:vertAlign w:val="superscript"/>
              </w:rPr>
              <w:t>+</w:t>
            </w:r>
          </w:p>
        </w:tc>
        <w:tc>
          <w:tcPr>
            <w:tcW w:w="1049" w:type="pct"/>
            <w:vAlign w:val="center"/>
          </w:tcPr>
          <w:p w14:paraId="059AC36B" w14:textId="77777777" w:rsidR="005F4D72" w:rsidRPr="001966A5" w:rsidRDefault="005F4D72" w:rsidP="008B5F05">
            <w:pPr>
              <w:contextualSpacing/>
              <w:jc w:val="center"/>
              <w:rPr>
                <w:sz w:val="20"/>
                <w:szCs w:val="20"/>
              </w:rPr>
            </w:pPr>
            <w:r w:rsidRPr="001966A5">
              <w:rPr>
                <w:sz w:val="20"/>
                <w:szCs w:val="20"/>
              </w:rPr>
              <w:t>-0.031*</w:t>
            </w:r>
          </w:p>
        </w:tc>
        <w:tc>
          <w:tcPr>
            <w:tcW w:w="1049" w:type="pct"/>
            <w:vAlign w:val="center"/>
          </w:tcPr>
          <w:p w14:paraId="1D479FCA" w14:textId="77777777" w:rsidR="005F4D72" w:rsidRPr="001966A5" w:rsidRDefault="005F4D72" w:rsidP="008B5F05">
            <w:pPr>
              <w:contextualSpacing/>
              <w:jc w:val="center"/>
              <w:rPr>
                <w:sz w:val="20"/>
                <w:szCs w:val="20"/>
              </w:rPr>
            </w:pPr>
            <w:r w:rsidRPr="001966A5">
              <w:rPr>
                <w:sz w:val="20"/>
                <w:szCs w:val="20"/>
              </w:rPr>
              <w:t>0.121</w:t>
            </w:r>
          </w:p>
        </w:tc>
        <w:tc>
          <w:tcPr>
            <w:tcW w:w="750" w:type="pct"/>
            <w:vAlign w:val="center"/>
          </w:tcPr>
          <w:p w14:paraId="5FC9B989" w14:textId="77777777" w:rsidR="005F4D72" w:rsidRPr="001966A5" w:rsidRDefault="005F4D72" w:rsidP="008B5F05">
            <w:pPr>
              <w:contextualSpacing/>
              <w:jc w:val="center"/>
              <w:rPr>
                <w:sz w:val="20"/>
                <w:szCs w:val="20"/>
              </w:rPr>
            </w:pPr>
            <w:r w:rsidRPr="001966A5">
              <w:rPr>
                <w:sz w:val="20"/>
                <w:szCs w:val="20"/>
              </w:rPr>
              <w:t>-0.052</w:t>
            </w:r>
          </w:p>
        </w:tc>
      </w:tr>
      <w:tr w:rsidR="005F4D72" w:rsidRPr="001966A5" w14:paraId="27FA6F2E" w14:textId="77777777" w:rsidTr="008B5F05">
        <w:trPr>
          <w:trHeight w:val="300"/>
          <w:jc w:val="center"/>
        </w:trPr>
        <w:tc>
          <w:tcPr>
            <w:tcW w:w="691" w:type="pct"/>
            <w:shd w:val="clear" w:color="auto" w:fill="auto"/>
            <w:noWrap/>
          </w:tcPr>
          <w:p w14:paraId="1587A600" w14:textId="77777777" w:rsidR="005F4D72" w:rsidRPr="001966A5" w:rsidRDefault="005F4D72" w:rsidP="008B5F05">
            <w:pPr>
              <w:contextualSpacing/>
              <w:rPr>
                <w:sz w:val="20"/>
                <w:szCs w:val="20"/>
              </w:rPr>
            </w:pPr>
          </w:p>
        </w:tc>
        <w:tc>
          <w:tcPr>
            <w:tcW w:w="106" w:type="pct"/>
          </w:tcPr>
          <w:p w14:paraId="0FF8109D" w14:textId="77777777" w:rsidR="005F4D72" w:rsidRPr="001966A5" w:rsidRDefault="005F4D72" w:rsidP="008B5F05">
            <w:pPr>
              <w:contextualSpacing/>
              <w:jc w:val="center"/>
              <w:rPr>
                <w:sz w:val="20"/>
                <w:szCs w:val="20"/>
              </w:rPr>
            </w:pPr>
          </w:p>
        </w:tc>
        <w:tc>
          <w:tcPr>
            <w:tcW w:w="498" w:type="pct"/>
            <w:shd w:val="clear" w:color="auto" w:fill="auto"/>
            <w:noWrap/>
          </w:tcPr>
          <w:p w14:paraId="3AA21CDE" w14:textId="77777777" w:rsidR="005F4D72" w:rsidRPr="001966A5" w:rsidRDefault="005F4D72" w:rsidP="008B5F05">
            <w:pPr>
              <w:contextualSpacing/>
              <w:jc w:val="center"/>
              <w:rPr>
                <w:sz w:val="20"/>
                <w:szCs w:val="20"/>
              </w:rPr>
            </w:pPr>
            <w:r w:rsidRPr="001966A5">
              <w:rPr>
                <w:sz w:val="20"/>
                <w:szCs w:val="20"/>
              </w:rPr>
              <w:t>[-2.313]</w:t>
            </w:r>
          </w:p>
        </w:tc>
        <w:tc>
          <w:tcPr>
            <w:tcW w:w="106" w:type="pct"/>
          </w:tcPr>
          <w:p w14:paraId="783A5593" w14:textId="77777777" w:rsidR="005F4D72" w:rsidRPr="001966A5" w:rsidRDefault="005F4D72" w:rsidP="008B5F05">
            <w:pPr>
              <w:contextualSpacing/>
              <w:jc w:val="center"/>
              <w:rPr>
                <w:sz w:val="20"/>
                <w:szCs w:val="20"/>
              </w:rPr>
            </w:pPr>
          </w:p>
        </w:tc>
        <w:tc>
          <w:tcPr>
            <w:tcW w:w="751" w:type="pct"/>
          </w:tcPr>
          <w:p w14:paraId="70F1DBF0" w14:textId="77777777" w:rsidR="005F4D72" w:rsidRPr="001966A5" w:rsidRDefault="005F4D72" w:rsidP="008B5F05">
            <w:pPr>
              <w:contextualSpacing/>
              <w:jc w:val="center"/>
              <w:rPr>
                <w:sz w:val="20"/>
                <w:szCs w:val="20"/>
              </w:rPr>
            </w:pPr>
            <w:r w:rsidRPr="001966A5">
              <w:rPr>
                <w:sz w:val="20"/>
                <w:szCs w:val="20"/>
              </w:rPr>
              <w:t>[-1.748]</w:t>
            </w:r>
          </w:p>
        </w:tc>
        <w:tc>
          <w:tcPr>
            <w:tcW w:w="1049" w:type="pct"/>
          </w:tcPr>
          <w:p w14:paraId="098F89FD" w14:textId="77777777" w:rsidR="005F4D72" w:rsidRPr="001966A5" w:rsidRDefault="005F4D72" w:rsidP="008B5F05">
            <w:pPr>
              <w:contextualSpacing/>
              <w:jc w:val="center"/>
              <w:rPr>
                <w:sz w:val="20"/>
                <w:szCs w:val="20"/>
              </w:rPr>
            </w:pPr>
            <w:r w:rsidRPr="001966A5">
              <w:rPr>
                <w:sz w:val="20"/>
                <w:szCs w:val="20"/>
              </w:rPr>
              <w:t>[-2.213]</w:t>
            </w:r>
          </w:p>
        </w:tc>
        <w:tc>
          <w:tcPr>
            <w:tcW w:w="1049" w:type="pct"/>
          </w:tcPr>
          <w:p w14:paraId="62AD75DE" w14:textId="77777777" w:rsidR="005F4D72" w:rsidRPr="001966A5" w:rsidRDefault="005F4D72" w:rsidP="008B5F05">
            <w:pPr>
              <w:contextualSpacing/>
              <w:jc w:val="center"/>
              <w:rPr>
                <w:sz w:val="20"/>
                <w:szCs w:val="20"/>
              </w:rPr>
            </w:pPr>
            <w:r w:rsidRPr="001966A5">
              <w:rPr>
                <w:sz w:val="20"/>
                <w:szCs w:val="20"/>
              </w:rPr>
              <w:t>[1.556]</w:t>
            </w:r>
          </w:p>
        </w:tc>
        <w:tc>
          <w:tcPr>
            <w:tcW w:w="750" w:type="pct"/>
          </w:tcPr>
          <w:p w14:paraId="338FA003" w14:textId="77777777" w:rsidR="005F4D72" w:rsidRPr="001966A5" w:rsidRDefault="005F4D72" w:rsidP="008B5F05">
            <w:pPr>
              <w:contextualSpacing/>
              <w:jc w:val="center"/>
              <w:rPr>
                <w:sz w:val="20"/>
                <w:szCs w:val="20"/>
              </w:rPr>
            </w:pPr>
            <w:r w:rsidRPr="001966A5">
              <w:rPr>
                <w:sz w:val="20"/>
                <w:szCs w:val="20"/>
              </w:rPr>
              <w:t>[-0.208]</w:t>
            </w:r>
          </w:p>
        </w:tc>
      </w:tr>
      <w:tr w:rsidR="005F4D72" w:rsidRPr="001966A5" w14:paraId="075B50F7" w14:textId="77777777" w:rsidTr="008B5F05">
        <w:trPr>
          <w:trHeight w:val="300"/>
          <w:jc w:val="center"/>
        </w:trPr>
        <w:tc>
          <w:tcPr>
            <w:tcW w:w="691" w:type="pct"/>
            <w:shd w:val="clear" w:color="auto" w:fill="auto"/>
            <w:noWrap/>
            <w:vAlign w:val="center"/>
          </w:tcPr>
          <w:p w14:paraId="4D87F441" w14:textId="77777777" w:rsidR="005F4D72" w:rsidRPr="001966A5" w:rsidRDefault="005F4D72" w:rsidP="008B5F05">
            <w:pPr>
              <w:contextualSpacing/>
              <w:rPr>
                <w:i/>
                <w:sz w:val="20"/>
                <w:szCs w:val="20"/>
              </w:rPr>
            </w:pPr>
            <w:r w:rsidRPr="001966A5">
              <w:rPr>
                <w:i/>
                <w:sz w:val="20"/>
                <w:szCs w:val="20"/>
              </w:rPr>
              <w:t>gov</w:t>
            </w:r>
            <w:r w:rsidRPr="001966A5">
              <w:rPr>
                <w:i/>
                <w:sz w:val="20"/>
                <w:szCs w:val="20"/>
                <w:vertAlign w:val="subscript"/>
              </w:rPr>
              <w:t>i</w:t>
            </w:r>
          </w:p>
        </w:tc>
        <w:tc>
          <w:tcPr>
            <w:tcW w:w="106" w:type="pct"/>
            <w:vAlign w:val="center"/>
          </w:tcPr>
          <w:p w14:paraId="73B23275"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1646B256" w14:textId="77777777" w:rsidR="005F4D72" w:rsidRPr="001966A5" w:rsidRDefault="005F4D72" w:rsidP="008B5F05">
            <w:pPr>
              <w:contextualSpacing/>
              <w:jc w:val="center"/>
              <w:rPr>
                <w:sz w:val="20"/>
                <w:szCs w:val="20"/>
              </w:rPr>
            </w:pPr>
            <w:r w:rsidRPr="001966A5">
              <w:rPr>
                <w:sz w:val="20"/>
                <w:szCs w:val="20"/>
              </w:rPr>
              <w:t>-0.089*</w:t>
            </w:r>
          </w:p>
        </w:tc>
        <w:tc>
          <w:tcPr>
            <w:tcW w:w="106" w:type="pct"/>
            <w:vAlign w:val="center"/>
          </w:tcPr>
          <w:p w14:paraId="31343C39" w14:textId="77777777" w:rsidR="005F4D72" w:rsidRPr="001966A5" w:rsidRDefault="005F4D72" w:rsidP="008B5F05">
            <w:pPr>
              <w:contextualSpacing/>
              <w:jc w:val="center"/>
              <w:rPr>
                <w:sz w:val="20"/>
                <w:szCs w:val="20"/>
              </w:rPr>
            </w:pPr>
          </w:p>
        </w:tc>
        <w:tc>
          <w:tcPr>
            <w:tcW w:w="751" w:type="pct"/>
            <w:vAlign w:val="center"/>
          </w:tcPr>
          <w:p w14:paraId="3BF72C47" w14:textId="77777777" w:rsidR="005F4D72" w:rsidRPr="001966A5" w:rsidRDefault="005F4D72" w:rsidP="008B5F05">
            <w:pPr>
              <w:contextualSpacing/>
              <w:jc w:val="center"/>
              <w:rPr>
                <w:sz w:val="20"/>
                <w:szCs w:val="20"/>
              </w:rPr>
            </w:pPr>
            <w:r w:rsidRPr="001966A5">
              <w:rPr>
                <w:sz w:val="20"/>
                <w:szCs w:val="20"/>
              </w:rPr>
              <w:t>-0.039</w:t>
            </w:r>
          </w:p>
        </w:tc>
        <w:tc>
          <w:tcPr>
            <w:tcW w:w="1049" w:type="pct"/>
            <w:vAlign w:val="center"/>
          </w:tcPr>
          <w:p w14:paraId="146A63E8" w14:textId="77777777" w:rsidR="005F4D72" w:rsidRPr="001966A5" w:rsidRDefault="005F4D72" w:rsidP="008B5F05">
            <w:pPr>
              <w:contextualSpacing/>
              <w:jc w:val="center"/>
              <w:rPr>
                <w:sz w:val="20"/>
                <w:szCs w:val="20"/>
              </w:rPr>
            </w:pPr>
            <w:r w:rsidRPr="001966A5">
              <w:rPr>
                <w:sz w:val="20"/>
                <w:szCs w:val="20"/>
              </w:rPr>
              <w:t>-0.073*</w:t>
            </w:r>
          </w:p>
        </w:tc>
        <w:tc>
          <w:tcPr>
            <w:tcW w:w="1049" w:type="pct"/>
            <w:vAlign w:val="center"/>
          </w:tcPr>
          <w:p w14:paraId="50877307" w14:textId="77777777" w:rsidR="005F4D72" w:rsidRPr="001966A5" w:rsidRDefault="005F4D72" w:rsidP="008B5F05">
            <w:pPr>
              <w:contextualSpacing/>
              <w:jc w:val="center"/>
              <w:rPr>
                <w:sz w:val="20"/>
                <w:szCs w:val="20"/>
              </w:rPr>
            </w:pPr>
            <w:r w:rsidRPr="001966A5">
              <w:rPr>
                <w:sz w:val="20"/>
                <w:szCs w:val="20"/>
              </w:rPr>
              <w:t>-0.137</w:t>
            </w:r>
          </w:p>
        </w:tc>
        <w:tc>
          <w:tcPr>
            <w:tcW w:w="750" w:type="pct"/>
            <w:vAlign w:val="center"/>
          </w:tcPr>
          <w:p w14:paraId="7754B2C6" w14:textId="77777777" w:rsidR="005F4D72" w:rsidRPr="001966A5" w:rsidRDefault="005F4D72" w:rsidP="008B5F05">
            <w:pPr>
              <w:contextualSpacing/>
              <w:jc w:val="center"/>
              <w:rPr>
                <w:sz w:val="20"/>
                <w:szCs w:val="20"/>
              </w:rPr>
            </w:pPr>
            <w:r w:rsidRPr="001966A5">
              <w:rPr>
                <w:sz w:val="20"/>
                <w:szCs w:val="20"/>
              </w:rPr>
              <w:t>0.838*</w:t>
            </w:r>
          </w:p>
        </w:tc>
      </w:tr>
      <w:tr w:rsidR="005F4D72" w:rsidRPr="001966A5" w14:paraId="42DA15DA" w14:textId="77777777" w:rsidTr="008B5F05">
        <w:trPr>
          <w:trHeight w:val="300"/>
          <w:jc w:val="center"/>
        </w:trPr>
        <w:tc>
          <w:tcPr>
            <w:tcW w:w="691" w:type="pct"/>
            <w:shd w:val="clear" w:color="auto" w:fill="auto"/>
            <w:noWrap/>
          </w:tcPr>
          <w:p w14:paraId="553DD119" w14:textId="77777777" w:rsidR="005F4D72" w:rsidRPr="001966A5" w:rsidRDefault="005F4D72" w:rsidP="008B5F05">
            <w:pPr>
              <w:contextualSpacing/>
              <w:rPr>
                <w:sz w:val="20"/>
                <w:szCs w:val="20"/>
              </w:rPr>
            </w:pPr>
          </w:p>
        </w:tc>
        <w:tc>
          <w:tcPr>
            <w:tcW w:w="106" w:type="pct"/>
          </w:tcPr>
          <w:p w14:paraId="3F8B7CDB" w14:textId="77777777" w:rsidR="005F4D72" w:rsidRPr="001966A5" w:rsidRDefault="005F4D72" w:rsidP="008B5F05">
            <w:pPr>
              <w:contextualSpacing/>
              <w:jc w:val="center"/>
              <w:rPr>
                <w:sz w:val="20"/>
                <w:szCs w:val="20"/>
              </w:rPr>
            </w:pPr>
          </w:p>
        </w:tc>
        <w:tc>
          <w:tcPr>
            <w:tcW w:w="498" w:type="pct"/>
            <w:shd w:val="clear" w:color="auto" w:fill="auto"/>
            <w:noWrap/>
          </w:tcPr>
          <w:p w14:paraId="6541B00D" w14:textId="77777777" w:rsidR="005F4D72" w:rsidRPr="001966A5" w:rsidRDefault="005F4D72" w:rsidP="008B5F05">
            <w:pPr>
              <w:contextualSpacing/>
              <w:jc w:val="center"/>
              <w:rPr>
                <w:sz w:val="20"/>
                <w:szCs w:val="20"/>
              </w:rPr>
            </w:pPr>
            <w:r w:rsidRPr="001966A5">
              <w:rPr>
                <w:sz w:val="20"/>
                <w:szCs w:val="20"/>
              </w:rPr>
              <w:t>[-2.265]</w:t>
            </w:r>
          </w:p>
        </w:tc>
        <w:tc>
          <w:tcPr>
            <w:tcW w:w="106" w:type="pct"/>
          </w:tcPr>
          <w:p w14:paraId="240BE267" w14:textId="77777777" w:rsidR="005F4D72" w:rsidRPr="001966A5" w:rsidRDefault="005F4D72" w:rsidP="008B5F05">
            <w:pPr>
              <w:contextualSpacing/>
              <w:jc w:val="center"/>
              <w:rPr>
                <w:sz w:val="20"/>
                <w:szCs w:val="20"/>
              </w:rPr>
            </w:pPr>
          </w:p>
        </w:tc>
        <w:tc>
          <w:tcPr>
            <w:tcW w:w="751" w:type="pct"/>
          </w:tcPr>
          <w:p w14:paraId="76F950AC" w14:textId="77777777" w:rsidR="005F4D72" w:rsidRPr="001966A5" w:rsidRDefault="005F4D72" w:rsidP="008B5F05">
            <w:pPr>
              <w:contextualSpacing/>
              <w:jc w:val="center"/>
              <w:rPr>
                <w:sz w:val="20"/>
                <w:szCs w:val="20"/>
              </w:rPr>
            </w:pPr>
            <w:r w:rsidRPr="001966A5">
              <w:rPr>
                <w:sz w:val="20"/>
                <w:szCs w:val="20"/>
              </w:rPr>
              <w:t>[-0.819]</w:t>
            </w:r>
          </w:p>
        </w:tc>
        <w:tc>
          <w:tcPr>
            <w:tcW w:w="1049" w:type="pct"/>
          </w:tcPr>
          <w:p w14:paraId="5598CCB8" w14:textId="77777777" w:rsidR="005F4D72" w:rsidRPr="001966A5" w:rsidRDefault="005F4D72" w:rsidP="008B5F05">
            <w:pPr>
              <w:contextualSpacing/>
              <w:jc w:val="center"/>
              <w:rPr>
                <w:sz w:val="20"/>
                <w:szCs w:val="20"/>
              </w:rPr>
            </w:pPr>
            <w:r w:rsidRPr="001966A5">
              <w:rPr>
                <w:sz w:val="20"/>
                <w:szCs w:val="20"/>
              </w:rPr>
              <w:t>[-2.245]</w:t>
            </w:r>
          </w:p>
        </w:tc>
        <w:tc>
          <w:tcPr>
            <w:tcW w:w="1049" w:type="pct"/>
          </w:tcPr>
          <w:p w14:paraId="61F2A0F5" w14:textId="77777777" w:rsidR="005F4D72" w:rsidRPr="001966A5" w:rsidRDefault="005F4D72" w:rsidP="008B5F05">
            <w:pPr>
              <w:contextualSpacing/>
              <w:jc w:val="center"/>
              <w:rPr>
                <w:sz w:val="20"/>
                <w:szCs w:val="20"/>
              </w:rPr>
            </w:pPr>
            <w:r w:rsidRPr="001966A5">
              <w:rPr>
                <w:sz w:val="20"/>
                <w:szCs w:val="20"/>
              </w:rPr>
              <w:t>[-1.479]</w:t>
            </w:r>
          </w:p>
        </w:tc>
        <w:tc>
          <w:tcPr>
            <w:tcW w:w="750" w:type="pct"/>
          </w:tcPr>
          <w:p w14:paraId="3415C958" w14:textId="77777777" w:rsidR="005F4D72" w:rsidRPr="001966A5" w:rsidRDefault="005F4D72" w:rsidP="008B5F05">
            <w:pPr>
              <w:contextualSpacing/>
              <w:jc w:val="center"/>
              <w:rPr>
                <w:sz w:val="20"/>
                <w:szCs w:val="20"/>
              </w:rPr>
            </w:pPr>
            <w:r w:rsidRPr="001966A5">
              <w:rPr>
                <w:sz w:val="20"/>
                <w:szCs w:val="20"/>
              </w:rPr>
              <w:t>[2.009]</w:t>
            </w:r>
          </w:p>
        </w:tc>
      </w:tr>
      <w:tr w:rsidR="005F4D72" w:rsidRPr="001966A5" w14:paraId="4B3C8C70" w14:textId="77777777" w:rsidTr="008B5F05">
        <w:trPr>
          <w:trHeight w:val="300"/>
          <w:jc w:val="center"/>
        </w:trPr>
        <w:tc>
          <w:tcPr>
            <w:tcW w:w="691" w:type="pct"/>
            <w:shd w:val="clear" w:color="auto" w:fill="auto"/>
            <w:noWrap/>
            <w:vAlign w:val="center"/>
          </w:tcPr>
          <w:p w14:paraId="438520B7" w14:textId="77777777" w:rsidR="005F4D72" w:rsidRPr="001966A5" w:rsidRDefault="005F4D72" w:rsidP="008B5F05">
            <w:pPr>
              <w:contextualSpacing/>
              <w:rPr>
                <w:i/>
                <w:sz w:val="20"/>
                <w:szCs w:val="20"/>
              </w:rPr>
            </w:pPr>
            <w:r w:rsidRPr="001966A5">
              <w:rPr>
                <w:i/>
                <w:sz w:val="20"/>
                <w:szCs w:val="20"/>
              </w:rPr>
              <w:t>dist</w:t>
            </w:r>
            <w:r w:rsidRPr="001966A5">
              <w:rPr>
                <w:i/>
                <w:sz w:val="20"/>
                <w:szCs w:val="20"/>
                <w:vertAlign w:val="subscript"/>
              </w:rPr>
              <w:t>i</w:t>
            </w:r>
          </w:p>
        </w:tc>
        <w:tc>
          <w:tcPr>
            <w:tcW w:w="106" w:type="pct"/>
            <w:vAlign w:val="center"/>
          </w:tcPr>
          <w:p w14:paraId="6544E21F"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1EA3B0B5" w14:textId="77777777" w:rsidR="005F4D72" w:rsidRPr="001966A5" w:rsidRDefault="005F4D72" w:rsidP="008B5F05">
            <w:pPr>
              <w:contextualSpacing/>
              <w:jc w:val="center"/>
              <w:rPr>
                <w:sz w:val="20"/>
                <w:szCs w:val="20"/>
              </w:rPr>
            </w:pPr>
            <w:r w:rsidRPr="001966A5">
              <w:rPr>
                <w:sz w:val="20"/>
                <w:szCs w:val="20"/>
              </w:rPr>
              <w:t>0.006</w:t>
            </w:r>
          </w:p>
        </w:tc>
        <w:tc>
          <w:tcPr>
            <w:tcW w:w="106" w:type="pct"/>
            <w:vAlign w:val="center"/>
          </w:tcPr>
          <w:p w14:paraId="08BEC362" w14:textId="77777777" w:rsidR="005F4D72" w:rsidRPr="001966A5" w:rsidRDefault="005F4D72" w:rsidP="008B5F05">
            <w:pPr>
              <w:contextualSpacing/>
              <w:jc w:val="center"/>
              <w:rPr>
                <w:sz w:val="20"/>
                <w:szCs w:val="20"/>
              </w:rPr>
            </w:pPr>
          </w:p>
        </w:tc>
        <w:tc>
          <w:tcPr>
            <w:tcW w:w="751" w:type="pct"/>
            <w:vAlign w:val="center"/>
          </w:tcPr>
          <w:p w14:paraId="195A3FD9" w14:textId="77777777" w:rsidR="005F4D72" w:rsidRPr="001966A5" w:rsidRDefault="005F4D72" w:rsidP="008B5F05">
            <w:pPr>
              <w:contextualSpacing/>
              <w:jc w:val="center"/>
              <w:rPr>
                <w:sz w:val="20"/>
                <w:szCs w:val="20"/>
              </w:rPr>
            </w:pPr>
            <w:r w:rsidRPr="001966A5">
              <w:rPr>
                <w:sz w:val="20"/>
                <w:szCs w:val="20"/>
              </w:rPr>
              <w:t>0.005</w:t>
            </w:r>
          </w:p>
        </w:tc>
        <w:tc>
          <w:tcPr>
            <w:tcW w:w="1049" w:type="pct"/>
            <w:vAlign w:val="center"/>
          </w:tcPr>
          <w:p w14:paraId="365038FB" w14:textId="77777777" w:rsidR="005F4D72" w:rsidRPr="001966A5" w:rsidRDefault="005F4D72" w:rsidP="008B5F05">
            <w:pPr>
              <w:contextualSpacing/>
              <w:jc w:val="center"/>
              <w:rPr>
                <w:sz w:val="20"/>
                <w:szCs w:val="20"/>
              </w:rPr>
            </w:pPr>
            <w:r w:rsidRPr="001966A5">
              <w:rPr>
                <w:sz w:val="20"/>
                <w:szCs w:val="20"/>
              </w:rPr>
              <w:t>-0.001</w:t>
            </w:r>
          </w:p>
        </w:tc>
        <w:tc>
          <w:tcPr>
            <w:tcW w:w="1049" w:type="pct"/>
            <w:vAlign w:val="center"/>
          </w:tcPr>
          <w:p w14:paraId="3EA6C429" w14:textId="77777777" w:rsidR="005F4D72" w:rsidRPr="001966A5" w:rsidRDefault="005F4D72" w:rsidP="008B5F05">
            <w:pPr>
              <w:contextualSpacing/>
              <w:jc w:val="center"/>
              <w:rPr>
                <w:sz w:val="20"/>
                <w:szCs w:val="20"/>
              </w:rPr>
            </w:pPr>
            <w:r w:rsidRPr="001966A5">
              <w:rPr>
                <w:sz w:val="20"/>
                <w:szCs w:val="20"/>
              </w:rPr>
              <w:t>0.032</w:t>
            </w:r>
          </w:p>
        </w:tc>
        <w:tc>
          <w:tcPr>
            <w:tcW w:w="750" w:type="pct"/>
            <w:vAlign w:val="center"/>
          </w:tcPr>
          <w:p w14:paraId="1EC01D9B" w14:textId="77777777" w:rsidR="005F4D72" w:rsidRPr="001966A5" w:rsidRDefault="005F4D72" w:rsidP="008B5F05">
            <w:pPr>
              <w:contextualSpacing/>
              <w:jc w:val="center"/>
              <w:rPr>
                <w:sz w:val="20"/>
                <w:szCs w:val="20"/>
              </w:rPr>
            </w:pPr>
            <w:r w:rsidRPr="001966A5">
              <w:rPr>
                <w:sz w:val="20"/>
                <w:szCs w:val="20"/>
              </w:rPr>
              <w:t>0.048</w:t>
            </w:r>
          </w:p>
        </w:tc>
      </w:tr>
      <w:tr w:rsidR="005F4D72" w:rsidRPr="001966A5" w14:paraId="38265E3A" w14:textId="77777777" w:rsidTr="008B5F05">
        <w:trPr>
          <w:trHeight w:val="300"/>
          <w:jc w:val="center"/>
        </w:trPr>
        <w:tc>
          <w:tcPr>
            <w:tcW w:w="691" w:type="pct"/>
            <w:shd w:val="clear" w:color="auto" w:fill="auto"/>
            <w:noWrap/>
          </w:tcPr>
          <w:p w14:paraId="6CE48950" w14:textId="77777777" w:rsidR="005F4D72" w:rsidRPr="001966A5" w:rsidRDefault="005F4D72" w:rsidP="008B5F05">
            <w:pPr>
              <w:contextualSpacing/>
              <w:rPr>
                <w:sz w:val="20"/>
                <w:szCs w:val="20"/>
              </w:rPr>
            </w:pPr>
          </w:p>
        </w:tc>
        <w:tc>
          <w:tcPr>
            <w:tcW w:w="106" w:type="pct"/>
          </w:tcPr>
          <w:p w14:paraId="1674C018" w14:textId="77777777" w:rsidR="005F4D72" w:rsidRPr="001966A5" w:rsidRDefault="005F4D72" w:rsidP="008B5F05">
            <w:pPr>
              <w:contextualSpacing/>
              <w:jc w:val="center"/>
              <w:rPr>
                <w:sz w:val="20"/>
                <w:szCs w:val="20"/>
              </w:rPr>
            </w:pPr>
          </w:p>
        </w:tc>
        <w:tc>
          <w:tcPr>
            <w:tcW w:w="498" w:type="pct"/>
            <w:shd w:val="clear" w:color="auto" w:fill="auto"/>
            <w:noWrap/>
          </w:tcPr>
          <w:p w14:paraId="17FA2047" w14:textId="77777777" w:rsidR="005F4D72" w:rsidRPr="001966A5" w:rsidRDefault="005F4D72" w:rsidP="008B5F05">
            <w:pPr>
              <w:contextualSpacing/>
              <w:jc w:val="center"/>
              <w:rPr>
                <w:sz w:val="20"/>
                <w:szCs w:val="20"/>
              </w:rPr>
            </w:pPr>
            <w:r w:rsidRPr="001966A5">
              <w:rPr>
                <w:sz w:val="20"/>
                <w:szCs w:val="20"/>
              </w:rPr>
              <w:t>[0.015]</w:t>
            </w:r>
          </w:p>
        </w:tc>
        <w:tc>
          <w:tcPr>
            <w:tcW w:w="106" w:type="pct"/>
          </w:tcPr>
          <w:p w14:paraId="71B5092D" w14:textId="77777777" w:rsidR="005F4D72" w:rsidRPr="001966A5" w:rsidRDefault="005F4D72" w:rsidP="008B5F05">
            <w:pPr>
              <w:contextualSpacing/>
              <w:jc w:val="center"/>
              <w:rPr>
                <w:sz w:val="20"/>
                <w:szCs w:val="20"/>
              </w:rPr>
            </w:pPr>
          </w:p>
        </w:tc>
        <w:tc>
          <w:tcPr>
            <w:tcW w:w="751" w:type="pct"/>
          </w:tcPr>
          <w:p w14:paraId="492DE4D4" w14:textId="77777777" w:rsidR="005F4D72" w:rsidRPr="001966A5" w:rsidRDefault="005F4D72" w:rsidP="008B5F05">
            <w:pPr>
              <w:contextualSpacing/>
              <w:jc w:val="center"/>
              <w:rPr>
                <w:sz w:val="20"/>
                <w:szCs w:val="20"/>
              </w:rPr>
            </w:pPr>
            <w:r w:rsidRPr="001966A5">
              <w:rPr>
                <w:sz w:val="20"/>
                <w:szCs w:val="20"/>
              </w:rPr>
              <w:t>[1.079]</w:t>
            </w:r>
          </w:p>
        </w:tc>
        <w:tc>
          <w:tcPr>
            <w:tcW w:w="1049" w:type="pct"/>
          </w:tcPr>
          <w:p w14:paraId="00B07EFF" w14:textId="77777777" w:rsidR="005F4D72" w:rsidRPr="001966A5" w:rsidRDefault="005F4D72" w:rsidP="008B5F05">
            <w:pPr>
              <w:contextualSpacing/>
              <w:jc w:val="center"/>
              <w:rPr>
                <w:sz w:val="20"/>
                <w:szCs w:val="20"/>
              </w:rPr>
            </w:pPr>
            <w:r w:rsidRPr="001966A5">
              <w:rPr>
                <w:sz w:val="20"/>
                <w:szCs w:val="20"/>
              </w:rPr>
              <w:t>[-0.101]</w:t>
            </w:r>
          </w:p>
        </w:tc>
        <w:tc>
          <w:tcPr>
            <w:tcW w:w="1049" w:type="pct"/>
          </w:tcPr>
          <w:p w14:paraId="0E04B848" w14:textId="77777777" w:rsidR="005F4D72" w:rsidRPr="001966A5" w:rsidRDefault="005F4D72" w:rsidP="008B5F05">
            <w:pPr>
              <w:contextualSpacing/>
              <w:jc w:val="center"/>
              <w:rPr>
                <w:sz w:val="20"/>
                <w:szCs w:val="20"/>
              </w:rPr>
            </w:pPr>
            <w:r w:rsidRPr="001966A5">
              <w:rPr>
                <w:sz w:val="20"/>
                <w:szCs w:val="20"/>
              </w:rPr>
              <w:t>[1,062]</w:t>
            </w:r>
          </w:p>
        </w:tc>
        <w:tc>
          <w:tcPr>
            <w:tcW w:w="750" w:type="pct"/>
          </w:tcPr>
          <w:p w14:paraId="661E6C1C" w14:textId="77777777" w:rsidR="005F4D72" w:rsidRPr="001966A5" w:rsidRDefault="005F4D72" w:rsidP="008B5F05">
            <w:pPr>
              <w:contextualSpacing/>
              <w:jc w:val="center"/>
              <w:rPr>
                <w:sz w:val="20"/>
                <w:szCs w:val="20"/>
              </w:rPr>
            </w:pPr>
            <w:r w:rsidRPr="001966A5">
              <w:rPr>
                <w:sz w:val="20"/>
                <w:szCs w:val="20"/>
              </w:rPr>
              <w:t>[0.566]</w:t>
            </w:r>
          </w:p>
        </w:tc>
      </w:tr>
      <w:tr w:rsidR="005F4D72" w:rsidRPr="001966A5" w14:paraId="584B7E5E" w14:textId="77777777" w:rsidTr="008B5F05">
        <w:trPr>
          <w:trHeight w:val="300"/>
          <w:jc w:val="center"/>
        </w:trPr>
        <w:tc>
          <w:tcPr>
            <w:tcW w:w="691" w:type="pct"/>
            <w:shd w:val="clear" w:color="auto" w:fill="auto"/>
            <w:noWrap/>
            <w:vAlign w:val="center"/>
          </w:tcPr>
          <w:p w14:paraId="32F9B661" w14:textId="77777777" w:rsidR="005F4D72" w:rsidRPr="001966A5" w:rsidRDefault="005F4D72" w:rsidP="008B5F05">
            <w:pPr>
              <w:contextualSpacing/>
              <w:rPr>
                <w:i/>
                <w:sz w:val="20"/>
                <w:szCs w:val="20"/>
              </w:rPr>
            </w:pPr>
            <w:r w:rsidRPr="001966A5">
              <w:rPr>
                <w:i/>
                <w:sz w:val="20"/>
                <w:szCs w:val="20"/>
              </w:rPr>
              <w:t>opc</w:t>
            </w:r>
            <w:r w:rsidRPr="001966A5">
              <w:rPr>
                <w:i/>
                <w:sz w:val="20"/>
                <w:szCs w:val="20"/>
                <w:vertAlign w:val="subscript"/>
              </w:rPr>
              <w:t>i</w:t>
            </w:r>
          </w:p>
        </w:tc>
        <w:tc>
          <w:tcPr>
            <w:tcW w:w="106" w:type="pct"/>
            <w:vAlign w:val="center"/>
          </w:tcPr>
          <w:p w14:paraId="30D682E0"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3067AAD6" w14:textId="77777777" w:rsidR="005F4D72" w:rsidRPr="001966A5" w:rsidRDefault="005F4D72" w:rsidP="008B5F05">
            <w:pPr>
              <w:contextualSpacing/>
              <w:jc w:val="center"/>
              <w:rPr>
                <w:sz w:val="20"/>
                <w:szCs w:val="20"/>
              </w:rPr>
            </w:pPr>
            <w:r w:rsidRPr="001966A5">
              <w:rPr>
                <w:sz w:val="20"/>
                <w:szCs w:val="20"/>
              </w:rPr>
              <w:t>0.004</w:t>
            </w:r>
          </w:p>
        </w:tc>
        <w:tc>
          <w:tcPr>
            <w:tcW w:w="106" w:type="pct"/>
            <w:vAlign w:val="center"/>
          </w:tcPr>
          <w:p w14:paraId="141196F5" w14:textId="77777777" w:rsidR="005F4D72" w:rsidRPr="001966A5" w:rsidRDefault="005F4D72" w:rsidP="008B5F05">
            <w:pPr>
              <w:contextualSpacing/>
              <w:jc w:val="center"/>
              <w:rPr>
                <w:sz w:val="20"/>
                <w:szCs w:val="20"/>
              </w:rPr>
            </w:pPr>
          </w:p>
        </w:tc>
        <w:tc>
          <w:tcPr>
            <w:tcW w:w="751" w:type="pct"/>
            <w:vAlign w:val="center"/>
          </w:tcPr>
          <w:p w14:paraId="01D8E5DC" w14:textId="77777777" w:rsidR="005F4D72" w:rsidRPr="001966A5" w:rsidRDefault="005F4D72" w:rsidP="008B5F05">
            <w:pPr>
              <w:contextualSpacing/>
              <w:jc w:val="center"/>
              <w:rPr>
                <w:sz w:val="20"/>
                <w:szCs w:val="20"/>
              </w:rPr>
            </w:pPr>
            <w:r w:rsidRPr="001966A5">
              <w:rPr>
                <w:sz w:val="20"/>
                <w:szCs w:val="20"/>
              </w:rPr>
              <w:t>0.005</w:t>
            </w:r>
          </w:p>
        </w:tc>
        <w:tc>
          <w:tcPr>
            <w:tcW w:w="1049" w:type="pct"/>
            <w:vAlign w:val="center"/>
          </w:tcPr>
          <w:p w14:paraId="78F6ECE1" w14:textId="77777777" w:rsidR="005F4D72" w:rsidRPr="001966A5" w:rsidRDefault="005F4D72" w:rsidP="008B5F05">
            <w:pPr>
              <w:contextualSpacing/>
              <w:jc w:val="center"/>
              <w:rPr>
                <w:sz w:val="20"/>
                <w:szCs w:val="20"/>
                <w:vertAlign w:val="superscript"/>
              </w:rPr>
            </w:pPr>
            <w:r w:rsidRPr="001966A5">
              <w:rPr>
                <w:sz w:val="20"/>
                <w:szCs w:val="20"/>
              </w:rPr>
              <w:t>0.006</w:t>
            </w:r>
            <w:r w:rsidRPr="001966A5">
              <w:rPr>
                <w:sz w:val="20"/>
                <w:szCs w:val="20"/>
                <w:vertAlign w:val="superscript"/>
              </w:rPr>
              <w:t>+</w:t>
            </w:r>
          </w:p>
        </w:tc>
        <w:tc>
          <w:tcPr>
            <w:tcW w:w="1049" w:type="pct"/>
            <w:vAlign w:val="center"/>
          </w:tcPr>
          <w:p w14:paraId="33EA6A47" w14:textId="77777777" w:rsidR="005F4D72" w:rsidRPr="001966A5" w:rsidRDefault="005F4D72" w:rsidP="008B5F05">
            <w:pPr>
              <w:contextualSpacing/>
              <w:jc w:val="center"/>
              <w:rPr>
                <w:sz w:val="20"/>
                <w:szCs w:val="20"/>
              </w:rPr>
            </w:pPr>
            <w:r w:rsidRPr="001966A5">
              <w:rPr>
                <w:sz w:val="20"/>
                <w:szCs w:val="20"/>
              </w:rPr>
              <w:t>-0.005</w:t>
            </w:r>
          </w:p>
        </w:tc>
        <w:tc>
          <w:tcPr>
            <w:tcW w:w="750" w:type="pct"/>
            <w:vAlign w:val="center"/>
          </w:tcPr>
          <w:p w14:paraId="42FBFDFC" w14:textId="77777777" w:rsidR="005F4D72" w:rsidRPr="001966A5" w:rsidRDefault="005F4D72" w:rsidP="008B5F05">
            <w:pPr>
              <w:contextualSpacing/>
              <w:jc w:val="center"/>
              <w:rPr>
                <w:sz w:val="20"/>
                <w:szCs w:val="20"/>
              </w:rPr>
            </w:pPr>
            <w:r w:rsidRPr="001966A5">
              <w:rPr>
                <w:sz w:val="20"/>
                <w:szCs w:val="20"/>
              </w:rPr>
              <w:t>0.044</w:t>
            </w:r>
          </w:p>
        </w:tc>
      </w:tr>
      <w:tr w:rsidR="005F4D72" w:rsidRPr="001966A5" w14:paraId="416F2405" w14:textId="77777777" w:rsidTr="008B5F05">
        <w:trPr>
          <w:trHeight w:val="300"/>
          <w:jc w:val="center"/>
        </w:trPr>
        <w:tc>
          <w:tcPr>
            <w:tcW w:w="691" w:type="pct"/>
            <w:shd w:val="clear" w:color="auto" w:fill="auto"/>
            <w:noWrap/>
          </w:tcPr>
          <w:p w14:paraId="633BC379" w14:textId="77777777" w:rsidR="005F4D72" w:rsidRPr="001966A5" w:rsidRDefault="005F4D72" w:rsidP="008B5F05">
            <w:pPr>
              <w:contextualSpacing/>
              <w:rPr>
                <w:sz w:val="20"/>
                <w:szCs w:val="20"/>
              </w:rPr>
            </w:pPr>
          </w:p>
        </w:tc>
        <w:tc>
          <w:tcPr>
            <w:tcW w:w="106" w:type="pct"/>
          </w:tcPr>
          <w:p w14:paraId="06C6E54F" w14:textId="77777777" w:rsidR="005F4D72" w:rsidRPr="001966A5" w:rsidRDefault="005F4D72" w:rsidP="008B5F05">
            <w:pPr>
              <w:contextualSpacing/>
              <w:jc w:val="center"/>
              <w:rPr>
                <w:sz w:val="20"/>
                <w:szCs w:val="20"/>
              </w:rPr>
            </w:pPr>
          </w:p>
        </w:tc>
        <w:tc>
          <w:tcPr>
            <w:tcW w:w="498" w:type="pct"/>
            <w:shd w:val="clear" w:color="auto" w:fill="auto"/>
            <w:noWrap/>
          </w:tcPr>
          <w:p w14:paraId="1757ADD7" w14:textId="77777777" w:rsidR="005F4D72" w:rsidRPr="001966A5" w:rsidRDefault="005F4D72" w:rsidP="008B5F05">
            <w:pPr>
              <w:contextualSpacing/>
              <w:jc w:val="center"/>
              <w:rPr>
                <w:sz w:val="20"/>
                <w:szCs w:val="20"/>
              </w:rPr>
            </w:pPr>
            <w:r w:rsidRPr="001966A5">
              <w:rPr>
                <w:sz w:val="20"/>
                <w:szCs w:val="20"/>
              </w:rPr>
              <w:t>[0.909]</w:t>
            </w:r>
          </w:p>
        </w:tc>
        <w:tc>
          <w:tcPr>
            <w:tcW w:w="106" w:type="pct"/>
          </w:tcPr>
          <w:p w14:paraId="19B4D60B" w14:textId="77777777" w:rsidR="005F4D72" w:rsidRPr="001966A5" w:rsidRDefault="005F4D72" w:rsidP="008B5F05">
            <w:pPr>
              <w:contextualSpacing/>
              <w:jc w:val="center"/>
              <w:rPr>
                <w:sz w:val="20"/>
                <w:szCs w:val="20"/>
              </w:rPr>
            </w:pPr>
          </w:p>
        </w:tc>
        <w:tc>
          <w:tcPr>
            <w:tcW w:w="751" w:type="pct"/>
          </w:tcPr>
          <w:p w14:paraId="49841BAB" w14:textId="77777777" w:rsidR="005F4D72" w:rsidRPr="001966A5" w:rsidRDefault="005F4D72" w:rsidP="008B5F05">
            <w:pPr>
              <w:contextualSpacing/>
              <w:jc w:val="center"/>
              <w:rPr>
                <w:sz w:val="20"/>
                <w:szCs w:val="20"/>
              </w:rPr>
            </w:pPr>
            <w:r w:rsidRPr="001966A5">
              <w:rPr>
                <w:sz w:val="20"/>
                <w:szCs w:val="20"/>
              </w:rPr>
              <w:t>[1.080]</w:t>
            </w:r>
          </w:p>
        </w:tc>
        <w:tc>
          <w:tcPr>
            <w:tcW w:w="1049" w:type="pct"/>
          </w:tcPr>
          <w:p w14:paraId="6C264762" w14:textId="77777777" w:rsidR="005F4D72" w:rsidRPr="001966A5" w:rsidRDefault="005F4D72" w:rsidP="008B5F05">
            <w:pPr>
              <w:contextualSpacing/>
              <w:jc w:val="center"/>
              <w:rPr>
                <w:sz w:val="20"/>
                <w:szCs w:val="20"/>
              </w:rPr>
            </w:pPr>
            <w:r w:rsidRPr="001966A5">
              <w:rPr>
                <w:sz w:val="20"/>
                <w:szCs w:val="20"/>
              </w:rPr>
              <w:t>[1.666]</w:t>
            </w:r>
          </w:p>
        </w:tc>
        <w:tc>
          <w:tcPr>
            <w:tcW w:w="1049" w:type="pct"/>
          </w:tcPr>
          <w:p w14:paraId="138D79C2" w14:textId="77777777" w:rsidR="005F4D72" w:rsidRPr="001966A5" w:rsidRDefault="005F4D72" w:rsidP="008B5F05">
            <w:pPr>
              <w:contextualSpacing/>
              <w:jc w:val="center"/>
              <w:rPr>
                <w:sz w:val="20"/>
                <w:szCs w:val="20"/>
              </w:rPr>
            </w:pPr>
            <w:r w:rsidRPr="001966A5">
              <w:rPr>
                <w:sz w:val="20"/>
                <w:szCs w:val="20"/>
              </w:rPr>
              <w:t>[-0.523]</w:t>
            </w:r>
          </w:p>
        </w:tc>
        <w:tc>
          <w:tcPr>
            <w:tcW w:w="750" w:type="pct"/>
          </w:tcPr>
          <w:p w14:paraId="3584C465" w14:textId="77777777" w:rsidR="005F4D72" w:rsidRPr="001966A5" w:rsidRDefault="005F4D72" w:rsidP="008B5F05">
            <w:pPr>
              <w:contextualSpacing/>
              <w:jc w:val="center"/>
              <w:rPr>
                <w:sz w:val="20"/>
                <w:szCs w:val="20"/>
              </w:rPr>
            </w:pPr>
            <w:r w:rsidRPr="001966A5">
              <w:rPr>
                <w:sz w:val="20"/>
                <w:szCs w:val="20"/>
              </w:rPr>
              <w:t>[0.698]</w:t>
            </w:r>
          </w:p>
        </w:tc>
      </w:tr>
      <w:tr w:rsidR="005F4D72" w:rsidRPr="001966A5" w14:paraId="05AF63B1" w14:textId="77777777" w:rsidTr="008B5F05">
        <w:trPr>
          <w:trHeight w:val="300"/>
          <w:jc w:val="center"/>
        </w:trPr>
        <w:tc>
          <w:tcPr>
            <w:tcW w:w="691" w:type="pct"/>
            <w:shd w:val="clear" w:color="auto" w:fill="auto"/>
            <w:noWrap/>
            <w:vAlign w:val="center"/>
          </w:tcPr>
          <w:p w14:paraId="5FC598AD" w14:textId="77777777" w:rsidR="005F4D72" w:rsidRPr="001966A5" w:rsidRDefault="005F4D72" w:rsidP="008B5F05">
            <w:pPr>
              <w:contextualSpacing/>
              <w:rPr>
                <w:i/>
                <w:sz w:val="20"/>
                <w:szCs w:val="20"/>
                <w:vertAlign w:val="subscript"/>
              </w:rPr>
            </w:pPr>
            <w:r w:rsidRPr="001966A5">
              <w:rPr>
                <w:i/>
                <w:sz w:val="20"/>
                <w:szCs w:val="20"/>
              </w:rPr>
              <w:t>semi</w:t>
            </w:r>
            <w:r w:rsidRPr="001966A5">
              <w:rPr>
                <w:i/>
                <w:sz w:val="20"/>
                <w:szCs w:val="20"/>
                <w:vertAlign w:val="subscript"/>
              </w:rPr>
              <w:t>i</w:t>
            </w:r>
          </w:p>
        </w:tc>
        <w:tc>
          <w:tcPr>
            <w:tcW w:w="106" w:type="pct"/>
            <w:vAlign w:val="center"/>
          </w:tcPr>
          <w:p w14:paraId="3A7EFBEA" w14:textId="77777777" w:rsidR="005F4D72" w:rsidRPr="001966A5" w:rsidRDefault="005F4D72" w:rsidP="008B5F05">
            <w:pPr>
              <w:contextualSpacing/>
              <w:jc w:val="center"/>
              <w:rPr>
                <w:sz w:val="20"/>
                <w:szCs w:val="20"/>
              </w:rPr>
            </w:pPr>
          </w:p>
        </w:tc>
        <w:tc>
          <w:tcPr>
            <w:tcW w:w="498" w:type="pct"/>
            <w:shd w:val="clear" w:color="auto" w:fill="auto"/>
            <w:noWrap/>
            <w:vAlign w:val="center"/>
          </w:tcPr>
          <w:p w14:paraId="34931C65" w14:textId="77777777" w:rsidR="005F4D72" w:rsidRPr="001966A5" w:rsidRDefault="005F4D72" w:rsidP="008B5F05">
            <w:pPr>
              <w:contextualSpacing/>
              <w:jc w:val="center"/>
              <w:rPr>
                <w:sz w:val="20"/>
                <w:szCs w:val="20"/>
              </w:rPr>
            </w:pPr>
            <w:r w:rsidRPr="001966A5">
              <w:rPr>
                <w:sz w:val="20"/>
                <w:szCs w:val="20"/>
              </w:rPr>
              <w:t>-0.077*</w:t>
            </w:r>
          </w:p>
        </w:tc>
        <w:tc>
          <w:tcPr>
            <w:tcW w:w="106" w:type="pct"/>
            <w:vAlign w:val="center"/>
          </w:tcPr>
          <w:p w14:paraId="0AB5271C" w14:textId="77777777" w:rsidR="005F4D72" w:rsidRPr="001966A5" w:rsidRDefault="005F4D72" w:rsidP="008B5F05">
            <w:pPr>
              <w:contextualSpacing/>
              <w:jc w:val="center"/>
              <w:rPr>
                <w:sz w:val="20"/>
                <w:szCs w:val="20"/>
              </w:rPr>
            </w:pPr>
          </w:p>
        </w:tc>
        <w:tc>
          <w:tcPr>
            <w:tcW w:w="751" w:type="pct"/>
            <w:vAlign w:val="center"/>
          </w:tcPr>
          <w:p w14:paraId="62AA1D89" w14:textId="77777777" w:rsidR="005F4D72" w:rsidRPr="001966A5" w:rsidRDefault="005F4D72" w:rsidP="008B5F05">
            <w:pPr>
              <w:contextualSpacing/>
              <w:jc w:val="center"/>
              <w:rPr>
                <w:sz w:val="20"/>
                <w:szCs w:val="20"/>
              </w:rPr>
            </w:pPr>
            <w:r w:rsidRPr="001966A5">
              <w:rPr>
                <w:sz w:val="20"/>
                <w:szCs w:val="20"/>
              </w:rPr>
              <w:t>0.010</w:t>
            </w:r>
          </w:p>
        </w:tc>
        <w:tc>
          <w:tcPr>
            <w:tcW w:w="1049" w:type="pct"/>
            <w:vAlign w:val="center"/>
          </w:tcPr>
          <w:p w14:paraId="333BEBBC" w14:textId="77777777" w:rsidR="005F4D72" w:rsidRPr="001966A5" w:rsidRDefault="005F4D72" w:rsidP="008B5F05">
            <w:pPr>
              <w:contextualSpacing/>
              <w:jc w:val="center"/>
              <w:rPr>
                <w:sz w:val="20"/>
                <w:szCs w:val="20"/>
              </w:rPr>
            </w:pPr>
            <w:r w:rsidRPr="001966A5">
              <w:rPr>
                <w:sz w:val="20"/>
                <w:szCs w:val="20"/>
              </w:rPr>
              <w:t>-0.071*</w:t>
            </w:r>
          </w:p>
        </w:tc>
        <w:tc>
          <w:tcPr>
            <w:tcW w:w="1049" w:type="pct"/>
            <w:vAlign w:val="center"/>
          </w:tcPr>
          <w:p w14:paraId="1CCF5268" w14:textId="77777777" w:rsidR="005F4D72" w:rsidRPr="001966A5" w:rsidRDefault="005F4D72" w:rsidP="008B5F05">
            <w:pPr>
              <w:contextualSpacing/>
              <w:jc w:val="center"/>
              <w:rPr>
                <w:sz w:val="20"/>
                <w:szCs w:val="20"/>
              </w:rPr>
            </w:pPr>
            <w:r w:rsidRPr="001966A5">
              <w:rPr>
                <w:sz w:val="20"/>
                <w:szCs w:val="20"/>
              </w:rPr>
              <w:t>-0.141</w:t>
            </w:r>
          </w:p>
        </w:tc>
        <w:tc>
          <w:tcPr>
            <w:tcW w:w="750" w:type="pct"/>
            <w:vAlign w:val="center"/>
          </w:tcPr>
          <w:p w14:paraId="589921B8" w14:textId="77777777" w:rsidR="005F4D72" w:rsidRPr="001966A5" w:rsidRDefault="005F4D72" w:rsidP="008B5F05">
            <w:pPr>
              <w:contextualSpacing/>
              <w:jc w:val="center"/>
              <w:rPr>
                <w:sz w:val="20"/>
                <w:szCs w:val="20"/>
              </w:rPr>
            </w:pPr>
            <w:r w:rsidRPr="001966A5">
              <w:rPr>
                <w:sz w:val="20"/>
                <w:szCs w:val="20"/>
              </w:rPr>
              <w:t>-0.290*</w:t>
            </w:r>
          </w:p>
        </w:tc>
      </w:tr>
      <w:tr w:rsidR="005F4D72" w:rsidRPr="001966A5" w14:paraId="2B99F118" w14:textId="77777777" w:rsidTr="008B5F05">
        <w:trPr>
          <w:trHeight w:val="300"/>
          <w:jc w:val="center"/>
        </w:trPr>
        <w:tc>
          <w:tcPr>
            <w:tcW w:w="691" w:type="pct"/>
            <w:tcBorders>
              <w:bottom w:val="single" w:sz="4" w:space="0" w:color="auto"/>
            </w:tcBorders>
            <w:shd w:val="clear" w:color="auto" w:fill="auto"/>
            <w:noWrap/>
          </w:tcPr>
          <w:p w14:paraId="34903A98" w14:textId="77777777" w:rsidR="005F4D72" w:rsidRPr="001966A5" w:rsidRDefault="005F4D72" w:rsidP="008B5F05">
            <w:pPr>
              <w:contextualSpacing/>
              <w:rPr>
                <w:sz w:val="20"/>
                <w:szCs w:val="20"/>
              </w:rPr>
            </w:pPr>
          </w:p>
        </w:tc>
        <w:tc>
          <w:tcPr>
            <w:tcW w:w="106" w:type="pct"/>
            <w:tcBorders>
              <w:bottom w:val="single" w:sz="4" w:space="0" w:color="auto"/>
            </w:tcBorders>
          </w:tcPr>
          <w:p w14:paraId="1C24A307" w14:textId="77777777" w:rsidR="005F4D72" w:rsidRPr="001966A5" w:rsidRDefault="005F4D72" w:rsidP="008B5F05">
            <w:pPr>
              <w:contextualSpacing/>
              <w:jc w:val="center"/>
              <w:rPr>
                <w:sz w:val="20"/>
                <w:szCs w:val="20"/>
              </w:rPr>
            </w:pPr>
          </w:p>
        </w:tc>
        <w:tc>
          <w:tcPr>
            <w:tcW w:w="498" w:type="pct"/>
            <w:tcBorders>
              <w:bottom w:val="single" w:sz="4" w:space="0" w:color="auto"/>
            </w:tcBorders>
            <w:shd w:val="clear" w:color="auto" w:fill="auto"/>
            <w:noWrap/>
          </w:tcPr>
          <w:p w14:paraId="448EF3CC" w14:textId="77777777" w:rsidR="005F4D72" w:rsidRPr="001966A5" w:rsidRDefault="005F4D72" w:rsidP="008B5F05">
            <w:pPr>
              <w:contextualSpacing/>
              <w:jc w:val="center"/>
              <w:rPr>
                <w:sz w:val="20"/>
                <w:szCs w:val="20"/>
              </w:rPr>
            </w:pPr>
            <w:r w:rsidRPr="001966A5">
              <w:rPr>
                <w:sz w:val="20"/>
                <w:szCs w:val="20"/>
              </w:rPr>
              <w:t>[-3.089]</w:t>
            </w:r>
          </w:p>
        </w:tc>
        <w:tc>
          <w:tcPr>
            <w:tcW w:w="106" w:type="pct"/>
            <w:tcBorders>
              <w:bottom w:val="single" w:sz="4" w:space="0" w:color="auto"/>
            </w:tcBorders>
          </w:tcPr>
          <w:p w14:paraId="3B2BB20D" w14:textId="77777777" w:rsidR="005F4D72" w:rsidRPr="001966A5" w:rsidRDefault="005F4D72" w:rsidP="008B5F05">
            <w:pPr>
              <w:contextualSpacing/>
              <w:jc w:val="center"/>
              <w:rPr>
                <w:sz w:val="20"/>
                <w:szCs w:val="20"/>
              </w:rPr>
            </w:pPr>
          </w:p>
        </w:tc>
        <w:tc>
          <w:tcPr>
            <w:tcW w:w="751" w:type="pct"/>
            <w:tcBorders>
              <w:bottom w:val="single" w:sz="4" w:space="0" w:color="auto"/>
            </w:tcBorders>
          </w:tcPr>
          <w:p w14:paraId="165A6781" w14:textId="77777777" w:rsidR="005F4D72" w:rsidRPr="001966A5" w:rsidRDefault="005F4D72" w:rsidP="008B5F05">
            <w:pPr>
              <w:contextualSpacing/>
              <w:jc w:val="center"/>
              <w:rPr>
                <w:sz w:val="20"/>
                <w:szCs w:val="20"/>
              </w:rPr>
            </w:pPr>
            <w:r w:rsidRPr="001966A5">
              <w:rPr>
                <w:sz w:val="20"/>
                <w:szCs w:val="20"/>
              </w:rPr>
              <w:t>[0.310]</w:t>
            </w:r>
          </w:p>
        </w:tc>
        <w:tc>
          <w:tcPr>
            <w:tcW w:w="1049" w:type="pct"/>
            <w:tcBorders>
              <w:bottom w:val="single" w:sz="4" w:space="0" w:color="auto"/>
            </w:tcBorders>
          </w:tcPr>
          <w:p w14:paraId="25417DFB" w14:textId="77777777" w:rsidR="005F4D72" w:rsidRPr="001966A5" w:rsidRDefault="005F4D72" w:rsidP="008B5F05">
            <w:pPr>
              <w:contextualSpacing/>
              <w:jc w:val="center"/>
              <w:rPr>
                <w:sz w:val="20"/>
                <w:szCs w:val="20"/>
              </w:rPr>
            </w:pPr>
            <w:r w:rsidRPr="001966A5">
              <w:rPr>
                <w:sz w:val="20"/>
                <w:szCs w:val="20"/>
              </w:rPr>
              <w:t>[-2.634]</w:t>
            </w:r>
          </w:p>
        </w:tc>
        <w:tc>
          <w:tcPr>
            <w:tcW w:w="1049" w:type="pct"/>
            <w:tcBorders>
              <w:bottom w:val="single" w:sz="4" w:space="0" w:color="auto"/>
            </w:tcBorders>
          </w:tcPr>
          <w:p w14:paraId="5C8ACFE9" w14:textId="77777777" w:rsidR="005F4D72" w:rsidRPr="001966A5" w:rsidRDefault="005F4D72" w:rsidP="008B5F05">
            <w:pPr>
              <w:contextualSpacing/>
              <w:jc w:val="center"/>
              <w:rPr>
                <w:sz w:val="20"/>
                <w:szCs w:val="20"/>
              </w:rPr>
            </w:pPr>
            <w:r w:rsidRPr="001966A5">
              <w:rPr>
                <w:sz w:val="20"/>
                <w:szCs w:val="20"/>
              </w:rPr>
              <w:t>[-1.386]</w:t>
            </w:r>
          </w:p>
        </w:tc>
        <w:tc>
          <w:tcPr>
            <w:tcW w:w="750" w:type="pct"/>
            <w:tcBorders>
              <w:bottom w:val="single" w:sz="4" w:space="0" w:color="auto"/>
            </w:tcBorders>
          </w:tcPr>
          <w:p w14:paraId="545713A8" w14:textId="77777777" w:rsidR="005F4D72" w:rsidRPr="001966A5" w:rsidRDefault="005F4D72" w:rsidP="008B5F05">
            <w:pPr>
              <w:contextualSpacing/>
              <w:jc w:val="center"/>
              <w:rPr>
                <w:sz w:val="20"/>
                <w:szCs w:val="20"/>
              </w:rPr>
            </w:pPr>
            <w:r w:rsidRPr="001966A5">
              <w:rPr>
                <w:sz w:val="20"/>
                <w:szCs w:val="20"/>
              </w:rPr>
              <w:t>[3.018]</w:t>
            </w:r>
          </w:p>
        </w:tc>
      </w:tr>
      <w:tr w:rsidR="005F4D72" w:rsidRPr="001966A5" w14:paraId="1ECE2900" w14:textId="77777777" w:rsidTr="008B5F05">
        <w:trPr>
          <w:trHeight w:val="300"/>
          <w:jc w:val="center"/>
        </w:trPr>
        <w:tc>
          <w:tcPr>
            <w:tcW w:w="691" w:type="pct"/>
            <w:shd w:val="clear" w:color="auto" w:fill="auto"/>
            <w:noWrap/>
            <w:vAlign w:val="center"/>
          </w:tcPr>
          <w:p w14:paraId="4BC2F01F" w14:textId="77777777" w:rsidR="005F4D72" w:rsidRPr="001966A5" w:rsidRDefault="005F4D72" w:rsidP="008B5F05">
            <w:pPr>
              <w:contextualSpacing/>
              <w:rPr>
                <w:i/>
                <w:sz w:val="20"/>
                <w:szCs w:val="20"/>
              </w:rPr>
            </w:pPr>
            <w:r w:rsidRPr="001966A5">
              <w:rPr>
                <w:i/>
                <w:sz w:val="20"/>
                <w:szCs w:val="20"/>
              </w:rPr>
              <w:t>N</w:t>
            </w:r>
          </w:p>
        </w:tc>
        <w:tc>
          <w:tcPr>
            <w:tcW w:w="106" w:type="pct"/>
          </w:tcPr>
          <w:p w14:paraId="1082BD44" w14:textId="77777777" w:rsidR="005F4D72" w:rsidRPr="001966A5" w:rsidRDefault="005F4D72" w:rsidP="008B5F05">
            <w:pPr>
              <w:contextualSpacing/>
              <w:rPr>
                <w:sz w:val="20"/>
                <w:szCs w:val="20"/>
              </w:rPr>
            </w:pPr>
          </w:p>
        </w:tc>
        <w:tc>
          <w:tcPr>
            <w:tcW w:w="498" w:type="pct"/>
            <w:shd w:val="clear" w:color="auto" w:fill="auto"/>
            <w:noWrap/>
            <w:vAlign w:val="center"/>
          </w:tcPr>
          <w:p w14:paraId="02A391AE" w14:textId="77777777" w:rsidR="005F4D72" w:rsidRPr="001966A5" w:rsidRDefault="005F4D72" w:rsidP="008B5F05">
            <w:pPr>
              <w:contextualSpacing/>
              <w:jc w:val="center"/>
              <w:rPr>
                <w:sz w:val="20"/>
                <w:szCs w:val="20"/>
              </w:rPr>
            </w:pPr>
            <w:r w:rsidRPr="001966A5">
              <w:rPr>
                <w:sz w:val="20"/>
                <w:szCs w:val="20"/>
              </w:rPr>
              <w:t>1228</w:t>
            </w:r>
          </w:p>
        </w:tc>
        <w:tc>
          <w:tcPr>
            <w:tcW w:w="106" w:type="pct"/>
            <w:vAlign w:val="center"/>
          </w:tcPr>
          <w:p w14:paraId="5818679F" w14:textId="77777777" w:rsidR="005F4D72" w:rsidRPr="001966A5" w:rsidRDefault="005F4D72" w:rsidP="008B5F05">
            <w:pPr>
              <w:contextualSpacing/>
              <w:jc w:val="center"/>
              <w:rPr>
                <w:sz w:val="20"/>
                <w:szCs w:val="20"/>
              </w:rPr>
            </w:pPr>
          </w:p>
        </w:tc>
        <w:tc>
          <w:tcPr>
            <w:tcW w:w="751" w:type="pct"/>
            <w:vAlign w:val="center"/>
          </w:tcPr>
          <w:p w14:paraId="3B4C2D6F" w14:textId="77777777" w:rsidR="005F4D72" w:rsidRPr="001966A5" w:rsidRDefault="005F4D72" w:rsidP="008B5F05">
            <w:pPr>
              <w:contextualSpacing/>
              <w:jc w:val="center"/>
              <w:rPr>
                <w:sz w:val="20"/>
                <w:szCs w:val="20"/>
              </w:rPr>
            </w:pPr>
            <w:r w:rsidRPr="001966A5">
              <w:rPr>
                <w:sz w:val="20"/>
                <w:szCs w:val="20"/>
              </w:rPr>
              <w:t>204</w:t>
            </w:r>
          </w:p>
        </w:tc>
        <w:tc>
          <w:tcPr>
            <w:tcW w:w="1049" w:type="pct"/>
            <w:vAlign w:val="center"/>
          </w:tcPr>
          <w:p w14:paraId="7477D0AA" w14:textId="77777777" w:rsidR="005F4D72" w:rsidRPr="001966A5" w:rsidRDefault="005F4D72" w:rsidP="008B5F05">
            <w:pPr>
              <w:contextualSpacing/>
              <w:jc w:val="center"/>
              <w:rPr>
                <w:sz w:val="20"/>
                <w:szCs w:val="20"/>
              </w:rPr>
            </w:pPr>
            <w:r w:rsidRPr="001966A5">
              <w:rPr>
                <w:sz w:val="20"/>
                <w:szCs w:val="20"/>
              </w:rPr>
              <w:t>792</w:t>
            </w:r>
          </w:p>
        </w:tc>
        <w:tc>
          <w:tcPr>
            <w:tcW w:w="1049" w:type="pct"/>
            <w:vAlign w:val="center"/>
          </w:tcPr>
          <w:p w14:paraId="338D05B1" w14:textId="77777777" w:rsidR="005F4D72" w:rsidRPr="001966A5" w:rsidRDefault="005F4D72" w:rsidP="008B5F05">
            <w:pPr>
              <w:contextualSpacing/>
              <w:jc w:val="center"/>
              <w:rPr>
                <w:sz w:val="20"/>
                <w:szCs w:val="20"/>
              </w:rPr>
            </w:pPr>
            <w:r w:rsidRPr="001966A5">
              <w:rPr>
                <w:sz w:val="20"/>
                <w:szCs w:val="20"/>
              </w:rPr>
              <w:t>177</w:t>
            </w:r>
          </w:p>
        </w:tc>
        <w:tc>
          <w:tcPr>
            <w:tcW w:w="750" w:type="pct"/>
            <w:vAlign w:val="center"/>
          </w:tcPr>
          <w:p w14:paraId="44201B8F" w14:textId="77777777" w:rsidR="005F4D72" w:rsidRPr="001966A5" w:rsidRDefault="005F4D72" w:rsidP="008B5F05">
            <w:pPr>
              <w:contextualSpacing/>
              <w:jc w:val="center"/>
              <w:rPr>
                <w:sz w:val="20"/>
                <w:szCs w:val="20"/>
              </w:rPr>
            </w:pPr>
            <w:r w:rsidRPr="001966A5">
              <w:rPr>
                <w:sz w:val="20"/>
                <w:szCs w:val="20"/>
              </w:rPr>
              <w:t>55</w:t>
            </w:r>
          </w:p>
        </w:tc>
      </w:tr>
      <w:tr w:rsidR="005F4D72" w:rsidRPr="001966A5" w14:paraId="2C187CFC" w14:textId="77777777" w:rsidTr="008B5F05">
        <w:trPr>
          <w:trHeight w:val="300"/>
          <w:jc w:val="center"/>
        </w:trPr>
        <w:tc>
          <w:tcPr>
            <w:tcW w:w="691" w:type="pct"/>
            <w:tcBorders>
              <w:bottom w:val="single" w:sz="4" w:space="0" w:color="auto"/>
            </w:tcBorders>
            <w:shd w:val="clear" w:color="auto" w:fill="auto"/>
            <w:noWrap/>
            <w:vAlign w:val="center"/>
          </w:tcPr>
          <w:p w14:paraId="660795A0" w14:textId="77777777" w:rsidR="005F4D72" w:rsidRPr="001966A5" w:rsidRDefault="005F4D72" w:rsidP="008B5F05">
            <w:pPr>
              <w:contextualSpacing/>
              <w:rPr>
                <w:i/>
                <w:sz w:val="20"/>
                <w:szCs w:val="20"/>
              </w:rPr>
            </w:pPr>
            <w:r w:rsidRPr="001966A5">
              <w:rPr>
                <w:i/>
                <w:sz w:val="20"/>
                <w:szCs w:val="20"/>
              </w:rPr>
              <w:t>S</w:t>
            </w:r>
            <w:r w:rsidRPr="001966A5">
              <w:rPr>
                <w:i/>
                <w:sz w:val="20"/>
                <w:szCs w:val="20"/>
                <w:vertAlign w:val="superscript"/>
              </w:rPr>
              <w:t>2</w:t>
            </w:r>
          </w:p>
        </w:tc>
        <w:tc>
          <w:tcPr>
            <w:tcW w:w="106" w:type="pct"/>
            <w:tcBorders>
              <w:bottom w:val="single" w:sz="4" w:space="0" w:color="auto"/>
            </w:tcBorders>
          </w:tcPr>
          <w:p w14:paraId="4C0416E8" w14:textId="77777777" w:rsidR="005F4D72" w:rsidRPr="001966A5" w:rsidRDefault="005F4D72" w:rsidP="008B5F05">
            <w:pPr>
              <w:contextualSpacing/>
              <w:rPr>
                <w:sz w:val="20"/>
                <w:szCs w:val="20"/>
              </w:rPr>
            </w:pPr>
          </w:p>
        </w:tc>
        <w:tc>
          <w:tcPr>
            <w:tcW w:w="498" w:type="pct"/>
            <w:tcBorders>
              <w:bottom w:val="single" w:sz="4" w:space="0" w:color="auto"/>
            </w:tcBorders>
            <w:shd w:val="clear" w:color="auto" w:fill="auto"/>
            <w:noWrap/>
            <w:vAlign w:val="center"/>
          </w:tcPr>
          <w:p w14:paraId="53EF9ED1" w14:textId="77777777" w:rsidR="005F4D72" w:rsidRPr="001966A5" w:rsidRDefault="005F4D72" w:rsidP="008B5F05">
            <w:pPr>
              <w:contextualSpacing/>
              <w:jc w:val="center"/>
              <w:rPr>
                <w:sz w:val="20"/>
                <w:szCs w:val="20"/>
              </w:rPr>
            </w:pPr>
            <w:r w:rsidRPr="001966A5">
              <w:rPr>
                <w:sz w:val="20"/>
                <w:szCs w:val="20"/>
              </w:rPr>
              <w:t>0.107</w:t>
            </w:r>
          </w:p>
        </w:tc>
        <w:tc>
          <w:tcPr>
            <w:tcW w:w="106" w:type="pct"/>
            <w:tcBorders>
              <w:bottom w:val="single" w:sz="4" w:space="0" w:color="auto"/>
            </w:tcBorders>
            <w:vAlign w:val="center"/>
          </w:tcPr>
          <w:p w14:paraId="2AAC9E48" w14:textId="77777777" w:rsidR="005F4D72" w:rsidRPr="001966A5" w:rsidRDefault="005F4D72" w:rsidP="008B5F05">
            <w:pPr>
              <w:contextualSpacing/>
              <w:jc w:val="center"/>
              <w:rPr>
                <w:sz w:val="20"/>
                <w:szCs w:val="20"/>
              </w:rPr>
            </w:pPr>
          </w:p>
        </w:tc>
        <w:tc>
          <w:tcPr>
            <w:tcW w:w="751" w:type="pct"/>
            <w:tcBorders>
              <w:bottom w:val="single" w:sz="4" w:space="0" w:color="auto"/>
            </w:tcBorders>
            <w:vAlign w:val="center"/>
          </w:tcPr>
          <w:p w14:paraId="3B40E847" w14:textId="77777777" w:rsidR="005F4D72" w:rsidRPr="001966A5" w:rsidRDefault="005F4D72" w:rsidP="008B5F05">
            <w:pPr>
              <w:contextualSpacing/>
              <w:jc w:val="center"/>
              <w:rPr>
                <w:sz w:val="20"/>
                <w:szCs w:val="20"/>
              </w:rPr>
            </w:pPr>
            <w:r w:rsidRPr="001966A5">
              <w:rPr>
                <w:sz w:val="20"/>
                <w:szCs w:val="20"/>
              </w:rPr>
              <w:t>0.046</w:t>
            </w:r>
          </w:p>
        </w:tc>
        <w:tc>
          <w:tcPr>
            <w:tcW w:w="1049" w:type="pct"/>
            <w:tcBorders>
              <w:bottom w:val="single" w:sz="4" w:space="0" w:color="auto"/>
            </w:tcBorders>
            <w:vAlign w:val="center"/>
          </w:tcPr>
          <w:p w14:paraId="441BC781" w14:textId="77777777" w:rsidR="005F4D72" w:rsidRPr="001966A5" w:rsidRDefault="005F4D72" w:rsidP="008B5F05">
            <w:pPr>
              <w:contextualSpacing/>
              <w:jc w:val="center"/>
              <w:rPr>
                <w:sz w:val="20"/>
                <w:szCs w:val="20"/>
              </w:rPr>
            </w:pPr>
            <w:r w:rsidRPr="001966A5">
              <w:rPr>
                <w:sz w:val="20"/>
                <w:szCs w:val="20"/>
              </w:rPr>
              <w:t>0.057</w:t>
            </w:r>
          </w:p>
        </w:tc>
        <w:tc>
          <w:tcPr>
            <w:tcW w:w="1049" w:type="pct"/>
            <w:tcBorders>
              <w:bottom w:val="single" w:sz="4" w:space="0" w:color="auto"/>
            </w:tcBorders>
            <w:vAlign w:val="center"/>
          </w:tcPr>
          <w:p w14:paraId="78C1864A" w14:textId="77777777" w:rsidR="005F4D72" w:rsidRPr="001966A5" w:rsidRDefault="005F4D72" w:rsidP="008B5F05">
            <w:pPr>
              <w:contextualSpacing/>
              <w:jc w:val="center"/>
              <w:rPr>
                <w:sz w:val="20"/>
                <w:szCs w:val="20"/>
              </w:rPr>
            </w:pPr>
            <w:r w:rsidRPr="001966A5">
              <w:rPr>
                <w:sz w:val="20"/>
                <w:szCs w:val="20"/>
              </w:rPr>
              <w:t>0.129</w:t>
            </w:r>
          </w:p>
        </w:tc>
        <w:tc>
          <w:tcPr>
            <w:tcW w:w="750" w:type="pct"/>
            <w:tcBorders>
              <w:bottom w:val="single" w:sz="4" w:space="0" w:color="auto"/>
            </w:tcBorders>
            <w:vAlign w:val="center"/>
          </w:tcPr>
          <w:p w14:paraId="3349AA56" w14:textId="77777777" w:rsidR="005F4D72" w:rsidRPr="001966A5" w:rsidRDefault="005F4D72" w:rsidP="008B5F05">
            <w:pPr>
              <w:contextualSpacing/>
              <w:jc w:val="center"/>
              <w:rPr>
                <w:sz w:val="20"/>
                <w:szCs w:val="20"/>
              </w:rPr>
            </w:pPr>
            <w:r w:rsidRPr="001966A5">
              <w:rPr>
                <w:sz w:val="20"/>
                <w:szCs w:val="20"/>
              </w:rPr>
              <w:t>0.806</w:t>
            </w:r>
          </w:p>
        </w:tc>
      </w:tr>
    </w:tbl>
    <w:p w14:paraId="427F9DEC" w14:textId="77777777" w:rsidR="005F4D72" w:rsidRPr="001966A5" w:rsidRDefault="005F4D72" w:rsidP="005F4D72">
      <w:pPr>
        <w:contextualSpacing/>
        <w:rPr>
          <w:sz w:val="16"/>
          <w:szCs w:val="16"/>
        </w:rPr>
      </w:pPr>
      <w:r w:rsidRPr="001966A5">
        <w:rPr>
          <w:sz w:val="16"/>
          <w:szCs w:val="16"/>
        </w:rPr>
        <w:t xml:space="preserve">Fonte: Elaboração própria. Valor t entre parênteses. </w:t>
      </w:r>
    </w:p>
    <w:p w14:paraId="34DA406D" w14:textId="77777777" w:rsidR="005F4D72" w:rsidRPr="001966A5" w:rsidRDefault="005F4D72" w:rsidP="005F4D72">
      <w:pPr>
        <w:contextualSpacing/>
        <w:rPr>
          <w:sz w:val="16"/>
          <w:szCs w:val="16"/>
        </w:rPr>
      </w:pPr>
      <w:r w:rsidRPr="001966A5">
        <w:rPr>
          <w:sz w:val="16"/>
          <w:szCs w:val="16"/>
        </w:rPr>
        <w:t>* Significante a 5% + Significante a 10%</w:t>
      </w:r>
    </w:p>
    <w:p w14:paraId="33E65955" w14:textId="77777777" w:rsidR="005F4D72" w:rsidRDefault="005F4D72" w:rsidP="005F4D72">
      <w:pPr>
        <w:contextualSpacing/>
        <w:rPr>
          <w:sz w:val="20"/>
          <w:szCs w:val="20"/>
        </w:rPr>
      </w:pPr>
    </w:p>
    <w:p w14:paraId="26FDF383" w14:textId="77777777" w:rsidR="005F4D72" w:rsidRDefault="005F4D72" w:rsidP="005F4D72">
      <w:pPr>
        <w:contextualSpacing/>
        <w:rPr>
          <w:sz w:val="20"/>
          <w:szCs w:val="20"/>
        </w:rPr>
      </w:pPr>
    </w:p>
    <w:p w14:paraId="7773B610" w14:textId="77777777" w:rsidR="005F4D72" w:rsidRPr="001A166B" w:rsidRDefault="005F4D72" w:rsidP="005F4D72">
      <w:pPr>
        <w:contextualSpacing/>
        <w:rPr>
          <w:sz w:val="20"/>
          <w:szCs w:val="20"/>
        </w:rPr>
      </w:pPr>
    </w:p>
    <w:p w14:paraId="4C0052AD" w14:textId="77777777" w:rsidR="002722D8" w:rsidRDefault="001C5F7D"/>
    <w:sectPr w:rsidR="002722D8" w:rsidSect="00204999">
      <w:footerReference w:type="default" r:id="rId180"/>
      <w:pgSz w:w="11906" w:h="16838"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D01D0" w14:textId="77777777" w:rsidR="001C5F7D" w:rsidRDefault="001C5F7D" w:rsidP="005F4D72">
      <w:r>
        <w:separator/>
      </w:r>
    </w:p>
  </w:endnote>
  <w:endnote w:type="continuationSeparator" w:id="0">
    <w:p w14:paraId="544A79AB" w14:textId="77777777" w:rsidR="001C5F7D" w:rsidRDefault="001C5F7D" w:rsidP="005F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D35E" w14:textId="77777777" w:rsidR="00E906C9" w:rsidRDefault="001C5F7D">
    <w:pPr>
      <w:pStyle w:val="Rodap"/>
      <w:jc w:val="right"/>
    </w:pPr>
    <w:r>
      <w:fldChar w:fldCharType="begin"/>
    </w:r>
    <w:r>
      <w:instrText xml:space="preserve"> PAGE   \* MERGEFORMAT </w:instrText>
    </w:r>
    <w:r>
      <w:fldChar w:fldCharType="separate"/>
    </w:r>
    <w:r>
      <w:rPr>
        <w:noProof/>
      </w:rPr>
      <w:t>1</w:t>
    </w:r>
    <w:r>
      <w:fldChar w:fldCharType="end"/>
    </w:r>
  </w:p>
  <w:p w14:paraId="76E88F6B" w14:textId="77777777" w:rsidR="00E906C9" w:rsidRDefault="001C5F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53D73" w14:textId="77777777" w:rsidR="001C5F7D" w:rsidRDefault="001C5F7D" w:rsidP="005F4D72">
      <w:r>
        <w:separator/>
      </w:r>
    </w:p>
  </w:footnote>
  <w:footnote w:type="continuationSeparator" w:id="0">
    <w:p w14:paraId="02679B52" w14:textId="77777777" w:rsidR="001C5F7D" w:rsidRDefault="001C5F7D" w:rsidP="005F4D72">
      <w:r>
        <w:continuationSeparator/>
      </w:r>
    </w:p>
  </w:footnote>
  <w:footnote w:id="1">
    <w:p w14:paraId="2D1C7CF9" w14:textId="77777777" w:rsidR="005F4D72" w:rsidRPr="00567702" w:rsidRDefault="005F4D72" w:rsidP="005F4D72">
      <w:pPr>
        <w:pStyle w:val="Textodenotaderodap"/>
        <w:jc w:val="both"/>
        <w:rPr>
          <w:lang w:val="pt-BR"/>
        </w:rPr>
      </w:pPr>
      <w:r w:rsidRPr="00567702">
        <w:rPr>
          <w:rStyle w:val="Refdenotaderodap"/>
        </w:rPr>
        <w:footnoteRef/>
      </w:r>
      <w:r w:rsidRPr="00567702">
        <w:rPr>
          <w:lang w:val="pt-BR"/>
        </w:rPr>
        <w:t xml:space="preserve"> Ver BNB (2011). </w:t>
      </w:r>
    </w:p>
  </w:footnote>
  <w:footnote w:id="2">
    <w:p w14:paraId="38F32B5B" w14:textId="77777777" w:rsidR="005F4D72" w:rsidRPr="00567702" w:rsidRDefault="005F4D72" w:rsidP="005F4D72">
      <w:pPr>
        <w:pStyle w:val="Textodenotaderodap"/>
        <w:jc w:val="both"/>
        <w:rPr>
          <w:lang w:val="pt-BR"/>
        </w:rPr>
      </w:pPr>
      <w:r w:rsidRPr="00567702">
        <w:rPr>
          <w:rStyle w:val="Refdenotaderodap"/>
        </w:rPr>
        <w:footnoteRef/>
      </w:r>
      <w:r w:rsidRPr="00567702">
        <w:rPr>
          <w:lang w:val="pt-BR"/>
        </w:rPr>
        <w:t xml:space="preserve"> Ver Dallérba et al (2011) para uma revisão da literatura. </w:t>
      </w:r>
    </w:p>
  </w:footnote>
  <w:footnote w:id="3">
    <w:p w14:paraId="63D32629" w14:textId="77777777" w:rsidR="005F4D72" w:rsidRPr="00567702" w:rsidRDefault="005F4D72" w:rsidP="005F4D72">
      <w:pPr>
        <w:pStyle w:val="Textodenotaderodap"/>
        <w:jc w:val="both"/>
        <w:rPr>
          <w:lang w:val="pt-BR"/>
        </w:rPr>
      </w:pPr>
      <w:r w:rsidRPr="00567702">
        <w:rPr>
          <w:rStyle w:val="Refdenotaderodap"/>
        </w:rPr>
        <w:footnoteRef/>
      </w:r>
      <w:r w:rsidRPr="00567702">
        <w:rPr>
          <w:lang w:val="pt-BR"/>
        </w:rPr>
        <w:t xml:space="preserve"> Vale destacar que cada artigo adicionou aos modelos de convergência especificidades dos respectivos estudos de caso como efeitos espaciais em Oliveira e Domingues (2005) e estimação em dois estágios em Resende (2010).  </w:t>
      </w:r>
    </w:p>
  </w:footnote>
  <w:footnote w:id="4">
    <w:p w14:paraId="366BE683"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Banco do Nordeste do Brasil (BNB) para o FNE, Banco da Amazônia (BASA) para o FNO, e Banco do Brasil (BB) para o FCO. </w:t>
      </w:r>
    </w:p>
  </w:footnote>
  <w:footnote w:id="5">
    <w:p w14:paraId="6476ED7B" w14:textId="77777777" w:rsidR="005F4D72" w:rsidRPr="00807D27" w:rsidRDefault="005F4D72" w:rsidP="005F4D72">
      <w:pPr>
        <w:pStyle w:val="Textodenotaderodap"/>
        <w:jc w:val="both"/>
        <w:rPr>
          <w:lang w:val="pt-BR"/>
        </w:rPr>
      </w:pPr>
      <w:r>
        <w:rPr>
          <w:rStyle w:val="Refdenotaderodap"/>
        </w:rPr>
        <w:footnoteRef/>
      </w:r>
      <w:r w:rsidRPr="00807D27">
        <w:rPr>
          <w:lang w:val="pt-BR"/>
        </w:rPr>
        <w:t xml:space="preserve"> Em 2012 foram realizados ajustes na classificação do porte dos beneficiários (empresas, empreendedores individuais e produtores rurais) com base na receita operacional bruta ou renda agropecuária bruta. No porte Mini / Micro estão enquadrados os beneficiários com receita operacional bruta (renda agropecuária bruta) de até R$ 360,0 mil; no Pequeno porte, acima de R$ 360,0 mil até R$ 3,6 milhões; no Pequeno-Médio porte,  acima de R$ 3,6 milhões até R$ 16,0 milhões; no Pequeno, acima de R$ 16,0 milhões até R$ 90,0 milhões; e no Grande porte, acima de R$ 90,0 milhões. </w:t>
      </w:r>
    </w:p>
  </w:footnote>
  <w:footnote w:id="6">
    <w:p w14:paraId="418162DF"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Valores deflacionados pelo IGP-DI. O total de recursos no período foi de aproximadamente R$ 24,9 bilhões. </w:t>
      </w:r>
    </w:p>
  </w:footnote>
  <w:footnote w:id="7">
    <w:p w14:paraId="1BBAE107" w14:textId="77777777" w:rsidR="005F4D72" w:rsidRPr="00567702" w:rsidRDefault="005F4D72" w:rsidP="005F4D72">
      <w:pPr>
        <w:pStyle w:val="Textodenotaderodap"/>
        <w:jc w:val="both"/>
        <w:rPr>
          <w:lang w:val="pt-BR"/>
        </w:rPr>
      </w:pPr>
      <w:r w:rsidRPr="00567702">
        <w:rPr>
          <w:rStyle w:val="Refdenotaderodap"/>
        </w:rPr>
        <w:footnoteRef/>
      </w:r>
      <w:r w:rsidRPr="00567702">
        <w:rPr>
          <w:lang w:val="pt-BR"/>
        </w:rPr>
        <w:t xml:space="preserve"> Vale destacar também que deste total dos recursos 15,38% foram direcionados para os municípios classificados como Baixa Renda pelo PNDR, 31,12% para os classificados como Estagnados, 27,72% para os Dinâmicos, e 25,78% para os de Alta Renda. Ainda na distribuição regional, apenas 34,76% dos recursos foram destinados a municípios que estão dentro da região do semi-árido do Nordeste. </w:t>
      </w:r>
    </w:p>
  </w:footnote>
  <w:footnote w:id="8">
    <w:p w14:paraId="6B577F1D" w14:textId="77777777" w:rsidR="005F4D72" w:rsidRPr="00567702" w:rsidRDefault="005F4D72" w:rsidP="005F4D72">
      <w:pPr>
        <w:pStyle w:val="Textodenotaderodap"/>
        <w:jc w:val="both"/>
        <w:rPr>
          <w:lang w:val="pt-BR"/>
        </w:rPr>
      </w:pPr>
      <w:r w:rsidRPr="00567702">
        <w:rPr>
          <w:rStyle w:val="Refdenotaderodap"/>
        </w:rPr>
        <w:footnoteRef/>
      </w:r>
      <w:r w:rsidRPr="00567702">
        <w:rPr>
          <w:lang w:val="pt-BR"/>
        </w:rPr>
        <w:t xml:space="preserve"> Vale destacar que o período final de 2008 deve-se a restrição das informações disponíveis dos PIBs municipais quando da realização deste trabalho.  </w:t>
      </w:r>
    </w:p>
  </w:footnote>
  <w:footnote w:id="9">
    <w:p w14:paraId="16B476DF"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Além dos programas Industrial, Comercial e de Serviços, o FNE contempla ainda programas para os setores Rural, Agroindustrial e Infraestrutura. Historicamente, o Setor Rural é que o apresenta o maior volume de contratações.</w:t>
      </w:r>
    </w:p>
  </w:footnote>
  <w:footnote w:id="10">
    <w:p w14:paraId="2440FBE4"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A exclusão desses valores é condição necessária para o bom desempenho na estimação do parâmetros e execução dos testes.</w:t>
      </w:r>
    </w:p>
  </w:footnote>
  <w:footnote w:id="11">
    <w:p w14:paraId="6C0C1A1D"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Resultados dos modelos estimados com essa variável para o período 2002-2005 foram bastante similares.</w:t>
      </w:r>
    </w:p>
  </w:footnote>
  <w:footnote w:id="12">
    <w:p w14:paraId="2752C4E5"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Ver revisão apresentada em </w:t>
      </w:r>
      <w:r w:rsidRPr="00567702">
        <w:rPr>
          <w:iCs/>
          <w:lang w:val="pt-BR"/>
        </w:rPr>
        <w:t>Tsangarides (2005).</w:t>
      </w:r>
    </w:p>
  </w:footnote>
  <w:footnote w:id="13">
    <w:p w14:paraId="2D58507F"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Utilizou-se uma versão adaptada da rotina em Gauss disponibilizada por Hansen (2000).</w:t>
      </w:r>
    </w:p>
  </w:footnote>
  <w:footnote w:id="14">
    <w:p w14:paraId="3014E0AB" w14:textId="77777777" w:rsidR="005F4D72" w:rsidRPr="00567702" w:rsidRDefault="005F4D72" w:rsidP="005F4D72">
      <w:pPr>
        <w:pStyle w:val="Textodenotaderodap"/>
        <w:rPr>
          <w:lang w:val="pt-BR"/>
        </w:rPr>
      </w:pPr>
      <w:r w:rsidRPr="00567702">
        <w:rPr>
          <w:rStyle w:val="Refdenotaderodap"/>
        </w:rPr>
        <w:footnoteRef/>
      </w:r>
      <w:r w:rsidRPr="00567702">
        <w:rPr>
          <w:lang w:val="pt-BR"/>
        </w:rPr>
        <w:t xml:space="preserve"> Vale ressaltar que também existe uma diferença para o ano de referência da classificação da PNDR segundo a renda per capita inicial, e para o PIB per capita inicial dos clubes de crescimento formados.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56"/>
    <w:rsid w:val="0006797E"/>
    <w:rsid w:val="001C5F7D"/>
    <w:rsid w:val="003039F9"/>
    <w:rsid w:val="005C7720"/>
    <w:rsid w:val="005F4D72"/>
    <w:rsid w:val="00705256"/>
    <w:rsid w:val="007C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4D0A65A-577F-4467-8BA7-313D7D1F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D72"/>
    <w:pPr>
      <w:spacing w:after="0" w:line="240" w:lineRule="auto"/>
      <w:jc w:val="left"/>
    </w:pPr>
    <w:rPr>
      <w:rFonts w:ascii="Times New Roman" w:eastAsia="Times New Roman" w:hAnsi="Times New Roman" w:cs="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rsid w:val="005F4D72"/>
    <w:rPr>
      <w:sz w:val="20"/>
      <w:szCs w:val="20"/>
      <w:lang w:val="en-US" w:eastAsia="en-US"/>
    </w:rPr>
  </w:style>
  <w:style w:type="character" w:customStyle="1" w:styleId="TextodenotaderodapChar">
    <w:name w:val="Texto de nota de rodapé Char"/>
    <w:basedOn w:val="Fontepargpadro"/>
    <w:link w:val="Textodenotaderodap"/>
    <w:uiPriority w:val="99"/>
    <w:semiHidden/>
    <w:rsid w:val="005F4D72"/>
    <w:rPr>
      <w:rFonts w:ascii="Times New Roman" w:eastAsia="Times New Roman" w:hAnsi="Times New Roman" w:cs="Times New Roman"/>
      <w:sz w:val="20"/>
      <w:szCs w:val="20"/>
    </w:rPr>
  </w:style>
  <w:style w:type="paragraph" w:styleId="Cabealho">
    <w:name w:val="header"/>
    <w:basedOn w:val="Normal"/>
    <w:link w:val="CabealhoChar"/>
    <w:unhideWhenUsed/>
    <w:rsid w:val="005F4D72"/>
    <w:pPr>
      <w:tabs>
        <w:tab w:val="center" w:pos="4419"/>
        <w:tab w:val="right" w:pos="8838"/>
      </w:tabs>
    </w:pPr>
  </w:style>
  <w:style w:type="character" w:customStyle="1" w:styleId="CabealhoChar">
    <w:name w:val="Cabeçalho Char"/>
    <w:basedOn w:val="Fontepargpadro"/>
    <w:link w:val="Cabealho"/>
    <w:rsid w:val="005F4D72"/>
    <w:rPr>
      <w:rFonts w:ascii="Times New Roman" w:eastAsia="Times New Roman" w:hAnsi="Times New Roman" w:cs="Times New Roman"/>
      <w:lang w:val="pt-BR" w:eastAsia="pt-BR"/>
    </w:rPr>
  </w:style>
  <w:style w:type="paragraph" w:styleId="Rodap">
    <w:name w:val="footer"/>
    <w:basedOn w:val="Normal"/>
    <w:link w:val="RodapChar"/>
    <w:uiPriority w:val="99"/>
    <w:unhideWhenUsed/>
    <w:rsid w:val="005F4D72"/>
    <w:pPr>
      <w:tabs>
        <w:tab w:val="center" w:pos="4419"/>
        <w:tab w:val="right" w:pos="8838"/>
      </w:tabs>
    </w:pPr>
  </w:style>
  <w:style w:type="character" w:customStyle="1" w:styleId="RodapChar">
    <w:name w:val="Rodapé Char"/>
    <w:basedOn w:val="Fontepargpadro"/>
    <w:link w:val="Rodap"/>
    <w:uiPriority w:val="99"/>
    <w:rsid w:val="005F4D72"/>
    <w:rPr>
      <w:rFonts w:ascii="Times New Roman" w:eastAsia="Times New Roman" w:hAnsi="Times New Roman" w:cs="Times New Roman"/>
      <w:lang w:val="pt-BR" w:eastAsia="pt-BR"/>
    </w:rPr>
  </w:style>
  <w:style w:type="paragraph" w:styleId="SemEspaamento">
    <w:name w:val="No Spacing"/>
    <w:link w:val="SemEspaamentoChar"/>
    <w:qFormat/>
    <w:rsid w:val="005F4D72"/>
    <w:pPr>
      <w:spacing w:after="0" w:line="240" w:lineRule="auto"/>
      <w:jc w:val="left"/>
    </w:pPr>
    <w:rPr>
      <w:rFonts w:ascii="Calibri" w:eastAsia="Times New Roman" w:hAnsi="Calibri" w:cs="Times New Roman"/>
      <w:sz w:val="22"/>
      <w:szCs w:val="22"/>
      <w:lang w:val="pt-BR"/>
    </w:rPr>
  </w:style>
  <w:style w:type="character" w:customStyle="1" w:styleId="SemEspaamentoChar">
    <w:name w:val="Sem Espaçamento Char"/>
    <w:link w:val="SemEspaamento"/>
    <w:rsid w:val="005F4D72"/>
    <w:rPr>
      <w:rFonts w:ascii="Calibri" w:eastAsia="Times New Roman" w:hAnsi="Calibri" w:cs="Times New Roman"/>
      <w:sz w:val="22"/>
      <w:szCs w:val="22"/>
      <w:lang w:val="pt-BR"/>
    </w:rPr>
  </w:style>
  <w:style w:type="character" w:styleId="Forte">
    <w:name w:val="Strong"/>
    <w:qFormat/>
    <w:rsid w:val="005F4D72"/>
    <w:rPr>
      <w:b/>
      <w:bCs/>
    </w:rPr>
  </w:style>
  <w:style w:type="character" w:styleId="Refdenotaderodap">
    <w:name w:val="footnote reference"/>
    <w:uiPriority w:val="99"/>
    <w:semiHidden/>
    <w:rsid w:val="005F4D72"/>
    <w:rPr>
      <w:vertAlign w:val="superscript"/>
    </w:rPr>
  </w:style>
  <w:style w:type="paragraph" w:styleId="PargrafodaLista">
    <w:name w:val="List Paragraph"/>
    <w:basedOn w:val="Normal"/>
    <w:qFormat/>
    <w:rsid w:val="005F4D72"/>
    <w:pPr>
      <w:spacing w:line="140" w:lineRule="atLeast"/>
      <w:ind w:left="720" w:firstLine="709"/>
      <w:contextualSpacing/>
      <w:jc w:val="center"/>
    </w:pPr>
    <w:rPr>
      <w:rFonts w:eastAsia="Calibri" w:cs="Arial"/>
      <w:color w:val="000000"/>
      <w:szCs w:val="23"/>
      <w:lang w:eastAsia="en-US"/>
    </w:rPr>
  </w:style>
  <w:style w:type="paragraph" w:customStyle="1" w:styleId="msonormalcxspmiddle">
    <w:name w:val="msonormalcxspmiddle"/>
    <w:basedOn w:val="Normal"/>
    <w:rsid w:val="005F4D72"/>
    <w:pPr>
      <w:spacing w:before="100" w:beforeAutospacing="1" w:after="100" w:afterAutospacing="1"/>
    </w:pPr>
  </w:style>
  <w:style w:type="paragraph" w:styleId="Textodenotadefim">
    <w:name w:val="endnote text"/>
    <w:basedOn w:val="Normal"/>
    <w:link w:val="TextodenotadefimChar"/>
    <w:rsid w:val="005F4D72"/>
    <w:rPr>
      <w:sz w:val="20"/>
      <w:szCs w:val="20"/>
    </w:rPr>
  </w:style>
  <w:style w:type="character" w:customStyle="1" w:styleId="TextodenotadefimChar">
    <w:name w:val="Texto de nota de fim Char"/>
    <w:basedOn w:val="Fontepargpadro"/>
    <w:link w:val="Textodenotadefim"/>
    <w:rsid w:val="005F4D72"/>
    <w:rPr>
      <w:rFonts w:ascii="Times New Roman" w:eastAsia="Times New Roman" w:hAnsi="Times New Roman" w:cs="Times New Roman"/>
      <w:sz w:val="20"/>
      <w:szCs w:val="20"/>
      <w:lang w:val="pt-BR" w:eastAsia="pt-BR"/>
    </w:rPr>
  </w:style>
  <w:style w:type="character" w:styleId="Refdenotadefim">
    <w:name w:val="endnote reference"/>
    <w:rsid w:val="005F4D72"/>
    <w:rPr>
      <w:vertAlign w:val="superscript"/>
    </w:rPr>
  </w:style>
  <w:style w:type="paragraph" w:styleId="Textodebalo">
    <w:name w:val="Balloon Text"/>
    <w:basedOn w:val="Normal"/>
    <w:link w:val="TextodebaloChar"/>
    <w:rsid w:val="005F4D72"/>
    <w:rPr>
      <w:rFonts w:ascii="Tahoma" w:hAnsi="Tahoma"/>
      <w:sz w:val="16"/>
      <w:szCs w:val="16"/>
      <w:lang w:val="x-none" w:eastAsia="x-none"/>
    </w:rPr>
  </w:style>
  <w:style w:type="character" w:customStyle="1" w:styleId="TextodebaloChar">
    <w:name w:val="Texto de balão Char"/>
    <w:basedOn w:val="Fontepargpadro"/>
    <w:link w:val="Textodebalo"/>
    <w:rsid w:val="005F4D72"/>
    <w:rPr>
      <w:rFonts w:ascii="Tahoma" w:eastAsia="Times New Roman" w:hAnsi="Tahoma" w:cs="Times New Roman"/>
      <w:sz w:val="16"/>
      <w:szCs w:val="16"/>
      <w:lang w:val="x-none" w:eastAsia="x-none"/>
    </w:rPr>
  </w:style>
  <w:style w:type="character" w:styleId="Refdecomentrio">
    <w:name w:val="annotation reference"/>
    <w:rsid w:val="005F4D72"/>
    <w:rPr>
      <w:sz w:val="16"/>
      <w:szCs w:val="16"/>
    </w:rPr>
  </w:style>
  <w:style w:type="paragraph" w:styleId="Textodecomentrio">
    <w:name w:val="annotation text"/>
    <w:basedOn w:val="Normal"/>
    <w:link w:val="TextodecomentrioChar"/>
    <w:rsid w:val="005F4D72"/>
    <w:rPr>
      <w:sz w:val="20"/>
      <w:szCs w:val="20"/>
    </w:rPr>
  </w:style>
  <w:style w:type="character" w:customStyle="1" w:styleId="TextodecomentrioChar">
    <w:name w:val="Texto de comentário Char"/>
    <w:basedOn w:val="Fontepargpadro"/>
    <w:link w:val="Textodecomentrio"/>
    <w:rsid w:val="005F4D72"/>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rsid w:val="005F4D72"/>
    <w:rPr>
      <w:b/>
      <w:bCs/>
      <w:lang w:val="x-none" w:eastAsia="x-none"/>
    </w:rPr>
  </w:style>
  <w:style w:type="character" w:customStyle="1" w:styleId="AssuntodocomentrioChar">
    <w:name w:val="Assunto do comentário Char"/>
    <w:basedOn w:val="TextodecomentrioChar"/>
    <w:link w:val="Assuntodocomentrio"/>
    <w:rsid w:val="005F4D72"/>
    <w:rPr>
      <w:rFonts w:ascii="Times New Roman" w:eastAsia="Times New Roman" w:hAnsi="Times New Roman" w:cs="Times New Roman"/>
      <w:b/>
      <w:bCs/>
      <w:sz w:val="20"/>
      <w:szCs w:val="20"/>
      <w:lang w:val="x-none" w:eastAsia="x-none"/>
    </w:rPr>
  </w:style>
  <w:style w:type="character" w:styleId="Hyperlink">
    <w:name w:val="Hyperlink"/>
    <w:uiPriority w:val="99"/>
    <w:unhideWhenUsed/>
    <w:rsid w:val="005F4D72"/>
    <w:rPr>
      <w:color w:val="0000FF"/>
      <w:u w:val="single"/>
    </w:rPr>
  </w:style>
  <w:style w:type="character" w:customStyle="1" w:styleId="apple-converted-space">
    <w:name w:val="apple-converted-space"/>
    <w:rsid w:val="005F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oleObject" Target="embeddings/oleObject68.bin"/><Relationship Id="rId159" Type="http://schemas.openxmlformats.org/officeDocument/2006/relationships/image" Target="media/image73.wmf"/><Relationship Id="rId170" Type="http://schemas.openxmlformats.org/officeDocument/2006/relationships/oleObject" Target="embeddings/oleObject85.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endnotes" Target="endnote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8.wmf"/><Relationship Id="rId150" Type="http://schemas.openxmlformats.org/officeDocument/2006/relationships/image" Target="media/image69.wmf"/><Relationship Id="rId171" Type="http://schemas.openxmlformats.org/officeDocument/2006/relationships/image" Target="media/image79.png"/><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oleObject" Target="embeddings/oleObject69.bin"/><Relationship Id="rId161" Type="http://schemas.openxmlformats.org/officeDocument/2006/relationships/image" Target="media/image74.wmf"/><Relationship Id="rId182" Type="http://schemas.openxmlformats.org/officeDocument/2006/relationships/theme" Target="theme/theme1.xml"/><Relationship Id="rId6" Type="http://schemas.openxmlformats.org/officeDocument/2006/relationships/chart" Target="charts/chart1.xml"/><Relationship Id="rId23" Type="http://schemas.openxmlformats.org/officeDocument/2006/relationships/oleObject" Target="embeddings/oleObject8.bin"/><Relationship Id="rId119" Type="http://schemas.openxmlformats.org/officeDocument/2006/relationships/image" Target="media/image54.wmf"/><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62.wmf"/><Relationship Id="rId151" Type="http://schemas.openxmlformats.org/officeDocument/2006/relationships/oleObject" Target="embeddings/oleObject75.bin"/><Relationship Id="rId156" Type="http://schemas.openxmlformats.org/officeDocument/2006/relationships/oleObject" Target="embeddings/oleObject78.bin"/><Relationship Id="rId177" Type="http://schemas.openxmlformats.org/officeDocument/2006/relationships/oleObject" Target="embeddings/oleObject89.bin"/><Relationship Id="rId172" Type="http://schemas.openxmlformats.org/officeDocument/2006/relationships/image" Target="media/image80.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2.bin"/><Relationship Id="rId167" Type="http://schemas.openxmlformats.org/officeDocument/2006/relationships/image" Target="media/image77.wmf"/><Relationship Id="rId7" Type="http://schemas.openxmlformats.org/officeDocument/2006/relationships/chart" Target="charts/chart2.xml"/><Relationship Id="rId71" Type="http://schemas.openxmlformats.org/officeDocument/2006/relationships/image" Target="media/image31.wmf"/><Relationship Id="rId92" Type="http://schemas.openxmlformats.org/officeDocument/2006/relationships/image" Target="media/image41.wmf"/><Relationship Id="rId162" Type="http://schemas.openxmlformats.org/officeDocument/2006/relationships/oleObject" Target="embeddings/oleObject81.bin"/><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oleObject" Target="embeddings/oleObject90.bin"/><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image" Target="media/image70.wmf"/><Relationship Id="rId173" Type="http://schemas.openxmlformats.org/officeDocument/2006/relationships/oleObject" Target="embeddings/oleObject86.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image" Target="media/image75.wmf"/><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9.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91.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image" Target="media/image68.wmf"/><Relationship Id="rId164" Type="http://schemas.openxmlformats.org/officeDocument/2006/relationships/oleObject" Target="embeddings/oleObject82.bin"/><Relationship Id="rId169" Type="http://schemas.openxmlformats.org/officeDocument/2006/relationships/image" Target="media/image78.wmf"/><Relationship Id="rId4" Type="http://schemas.openxmlformats.org/officeDocument/2006/relationships/footnotes" Target="footnotes.xml"/><Relationship Id="rId9" Type="http://schemas.openxmlformats.org/officeDocument/2006/relationships/image" Target="media/image2.wmf"/><Relationship Id="rId180" Type="http://schemas.openxmlformats.org/officeDocument/2006/relationships/footer" Target="footer1.xml"/><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oleObject" Target="embeddings/oleObject77.bin"/><Relationship Id="rId175" Type="http://schemas.openxmlformats.org/officeDocument/2006/relationships/oleObject" Target="embeddings/oleObject87.bin"/><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oleObject" Target="embeddings/oleObject71.bin"/><Relationship Id="rId90" Type="http://schemas.openxmlformats.org/officeDocument/2006/relationships/oleObject" Target="embeddings/oleObject43.bin"/><Relationship Id="rId165" Type="http://schemas.openxmlformats.org/officeDocument/2006/relationships/image" Target="media/image76.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image" Target="media/image71.wmf"/><Relationship Id="rId176" Type="http://schemas.openxmlformats.org/officeDocument/2006/relationships/oleObject" Target="embeddings/oleObject88.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image" Target="media/image67.wmf"/><Relationship Id="rId166" Type="http://schemas.openxmlformats.org/officeDocument/2006/relationships/oleObject" Target="embeddings/oleObject83.bin"/><Relationship Id="rId1" Type="http://schemas.openxmlformats.org/officeDocument/2006/relationships/styles" Target="styles.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56.bin"/></Relationships>
</file>

<file path=word/charts/_rels/chart1.xml.rels><?xml version="1.0" encoding="UTF-8" standalone="yes"?>
<Relationships xmlns="http://schemas.openxmlformats.org/package/2006/relationships"><Relationship Id="rId2" Type="http://schemas.openxmlformats.org/officeDocument/2006/relationships/oleObject" Target="file:///\\D001ETE01\AREAS%20-%20D001ETE01\ETENE\CAPP\Felipe\Avalia&#231;&#227;o%20FNE%20BC\Tabelas%20VALIA&#199;&#195;O%20FNE%20BENEF&#205;CIO%20X%20CUSTO%2023.05.2012.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001ETE01\AREAS%20-%20D001ETE01\ETENE\CAPP\Felipe\Avalia&#231;&#227;o%20FNE%20BC\Tabelas%20VALIA&#199;&#195;O%20FNE%20BENEF&#205;CIO%20X%20CUSTO%2023.05.2012.xls"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75"/>
      <c:rotY val="0"/>
      <c:rAngAx val="0"/>
    </c:view3D>
    <c:floor>
      <c:thickness val="0"/>
    </c:floor>
    <c:sideWall>
      <c:thickness val="0"/>
    </c:sideWall>
    <c:backWall>
      <c:thickness val="0"/>
    </c:backWall>
    <c:plotArea>
      <c:layout>
        <c:manualLayout>
          <c:layoutTarget val="inner"/>
          <c:xMode val="edge"/>
          <c:yMode val="edge"/>
          <c:x val="1.1115485564304467E-2"/>
          <c:y val="7.6388888888888923E-2"/>
          <c:w val="0.65006211723534568"/>
          <c:h val="0.89814814814815069"/>
        </c:manualLayout>
      </c:layout>
      <c:pie3DChart>
        <c:varyColors val="1"/>
        <c:ser>
          <c:idx val="0"/>
          <c:order val="0"/>
          <c:dLbls>
            <c:dLbl>
              <c:idx val="4"/>
              <c:layout>
                <c:manualLayout>
                  <c:x val="1.8629702537182945E-2"/>
                  <c:y val="4.860746573345000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3C8-4509-855E-366BCBCF394A}"/>
                </c:ext>
              </c:extLst>
            </c:dLbl>
            <c:spPr>
              <a:noFill/>
              <a:ln>
                <a:noFill/>
              </a:ln>
              <a:effectLst/>
            </c:spPr>
            <c:txPr>
              <a:bodyPr/>
              <a:lstStyle/>
              <a:p>
                <a:pPr>
                  <a:defRPr b="1"/>
                </a:pPr>
                <a:endParaRPr lang="pt-BR"/>
              </a:p>
            </c:txPr>
            <c:dLblPos val="inEnd"/>
            <c:showLegendKey val="0"/>
            <c:showVal val="1"/>
            <c:showCatName val="0"/>
            <c:showSerName val="0"/>
            <c:showPercent val="0"/>
            <c:showBubbleSize val="0"/>
            <c:showLeaderLines val="1"/>
            <c:extLst>
              <c:ext xmlns:c15="http://schemas.microsoft.com/office/drawing/2012/chart" uri="{CE6537A1-D6FC-4f65-9D91-7224C49458BB}"/>
            </c:extLst>
          </c:dLbls>
          <c:cat>
            <c:strRef>
              <c:f>'Graf 2'!$A$2:$A$6</c:f>
              <c:strCache>
                <c:ptCount val="5"/>
                <c:pt idx="0">
                  <c:v>Rural</c:v>
                </c:pt>
                <c:pt idx="1">
                  <c:v>Industrial e Turismo</c:v>
                </c:pt>
                <c:pt idx="2">
                  <c:v>Comércio e serviços</c:v>
                </c:pt>
                <c:pt idx="3">
                  <c:v>Infraestrutura</c:v>
                </c:pt>
                <c:pt idx="4">
                  <c:v>Agroindustrial</c:v>
                </c:pt>
              </c:strCache>
            </c:strRef>
          </c:cat>
          <c:val>
            <c:numRef>
              <c:f>'Graf 2'!$C$2:$C$6</c:f>
              <c:numCache>
                <c:formatCode>0.0%</c:formatCode>
                <c:ptCount val="5"/>
                <c:pt idx="0">
                  <c:v>0.4648856526231438</c:v>
                </c:pt>
                <c:pt idx="1">
                  <c:v>0.22433849686109034</c:v>
                </c:pt>
                <c:pt idx="2">
                  <c:v>0.15542146353778044</c:v>
                </c:pt>
                <c:pt idx="3">
                  <c:v>0.12813906116596521</c:v>
                </c:pt>
                <c:pt idx="4">
                  <c:v>2.7215325812023485E-2</c:v>
                </c:pt>
              </c:numCache>
            </c:numRef>
          </c:val>
          <c:extLst>
            <c:ext xmlns:c16="http://schemas.microsoft.com/office/drawing/2014/chart" uri="{C3380CC4-5D6E-409C-BE32-E72D297353CC}">
              <c16:uniqueId val="{00000001-B3C8-4509-855E-366BCBCF394A}"/>
            </c:ext>
          </c:extLst>
        </c:ser>
        <c:dLbls>
          <c:showLegendKey val="0"/>
          <c:showVal val="1"/>
          <c:showCatName val="0"/>
          <c:showSerName val="0"/>
          <c:showPercent val="0"/>
          <c:showBubbleSize val="0"/>
          <c:showLeaderLines val="1"/>
        </c:dLbls>
      </c:pie3DChart>
      <c:spPr>
        <a:noFill/>
        <a:ln w="25400">
          <a:noFill/>
        </a:ln>
      </c:spPr>
    </c:plotArea>
    <c:legend>
      <c:legendPos val="r"/>
      <c:overlay val="0"/>
      <c:txPr>
        <a:bodyPr/>
        <a:lstStyle/>
        <a:p>
          <a:pPr rtl="0">
            <a:defRPr/>
          </a:pPr>
          <a:endParaRPr lang="pt-BR"/>
        </a:p>
      </c:txPr>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manualLayout>
          <c:layoutTarget val="inner"/>
          <c:xMode val="edge"/>
          <c:yMode val="edge"/>
          <c:x val="1.2257874015748045E-2"/>
          <c:y val="4.3981481481481483E-2"/>
          <c:w val="0.73827734033245851"/>
          <c:h val="0.92592592592592549"/>
        </c:manualLayout>
      </c:layout>
      <c:pie3DChart>
        <c:varyColors val="1"/>
        <c:ser>
          <c:idx val="0"/>
          <c:order val="0"/>
          <c:dLbls>
            <c:spPr>
              <a:noFill/>
              <a:ln>
                <a:noFill/>
              </a:ln>
              <a:effectLst/>
            </c:spPr>
            <c:dLblPos val="inEnd"/>
            <c:showLegendKey val="0"/>
            <c:showVal val="1"/>
            <c:showCatName val="0"/>
            <c:showSerName val="0"/>
            <c:showPercent val="0"/>
            <c:showBubbleSize val="0"/>
            <c:showLeaderLines val="1"/>
            <c:extLst>
              <c:ext xmlns:c15="http://schemas.microsoft.com/office/drawing/2012/chart" uri="{CE6537A1-D6FC-4f65-9D91-7224C49458BB}"/>
            </c:extLst>
          </c:dLbls>
          <c:cat>
            <c:strRef>
              <c:f>'Graf 3'!$A$2:$A$4</c:f>
              <c:strCache>
                <c:ptCount val="3"/>
                <c:pt idx="0">
                  <c:v>Mini/Pequeno</c:v>
                </c:pt>
                <c:pt idx="1">
                  <c:v>Médio</c:v>
                </c:pt>
                <c:pt idx="2">
                  <c:v>Grande</c:v>
                </c:pt>
              </c:strCache>
            </c:strRef>
          </c:cat>
          <c:val>
            <c:numRef>
              <c:f>'Graf 3'!$C$2:$C$4</c:f>
              <c:numCache>
                <c:formatCode>0.0%</c:formatCode>
                <c:ptCount val="3"/>
                <c:pt idx="0">
                  <c:v>0.32627285081403296</c:v>
                </c:pt>
                <c:pt idx="1">
                  <c:v>0.13177588437539794</c:v>
                </c:pt>
                <c:pt idx="2">
                  <c:v>0.54195126481057165</c:v>
                </c:pt>
              </c:numCache>
            </c:numRef>
          </c:val>
          <c:extLst>
            <c:ext xmlns:c16="http://schemas.microsoft.com/office/drawing/2014/chart" uri="{C3380CC4-5D6E-409C-BE32-E72D297353CC}">
              <c16:uniqueId val="{00000000-5E45-4600-8C32-1EF0545939DE}"/>
            </c:ext>
          </c:extLst>
        </c:ser>
        <c:dLbls>
          <c:showLegendKey val="0"/>
          <c:showVal val="1"/>
          <c:showCatName val="0"/>
          <c:showSerName val="0"/>
          <c:showPercent val="0"/>
          <c:showBubbleSize val="0"/>
          <c:showLeaderLines val="1"/>
        </c:dLbls>
      </c:pie3DChart>
      <c:spPr>
        <a:noFill/>
        <a:ln w="25400">
          <a:noFill/>
        </a:ln>
      </c:spPr>
    </c:plotArea>
    <c:legend>
      <c:legendPos val="r"/>
      <c:overlay val="0"/>
      <c:txPr>
        <a:bodyPr/>
        <a:lstStyle/>
        <a:p>
          <a:pPr rtl="0">
            <a:defRPr/>
          </a:pPr>
          <a:endParaRPr lang="pt-BR"/>
        </a:p>
      </c:txPr>
    </c:legend>
    <c:plotVisOnly val="1"/>
    <c:dispBlanksAs val="zero"/>
    <c:showDLblsOverMax val="0"/>
  </c:chart>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18</Pages>
  <Words>8076</Words>
  <Characters>43616</Characters>
  <Application>Microsoft Office Word</Application>
  <DocSecurity>0</DocSecurity>
  <Lines>363</Lines>
  <Paragraphs>103</Paragraphs>
  <ScaleCrop>false</ScaleCrop>
  <Company/>
  <LinksUpToDate>false</LinksUpToDate>
  <CharactersWithSpaces>51589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2020-11-17T20:34:00Z</dcterms:created>
  <dcterms:modified xsi:type="dcterms:W3CDTF">2020-11-17T20:34:00Z</dcterms:modified>
</cp:coreProperties>
</file>