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B3EC" w14:textId="77777777" w:rsidR="00F561D9" w:rsidRPr="00540037" w:rsidRDefault="00F561D9" w:rsidP="00F561D9">
      <w:pPr>
        <w:jc w:val="center"/>
        <w:rPr>
          <w:smallCaps/>
          <w:sz w:val="28"/>
          <w:szCs w:val="28"/>
          <w:lang w:val="en-GB"/>
        </w:rPr>
      </w:pPr>
      <w:r w:rsidRPr="00540037">
        <w:rPr>
          <w:smallCaps/>
          <w:sz w:val="28"/>
          <w:szCs w:val="28"/>
          <w:lang w:val="en-GB"/>
        </w:rPr>
        <w:t>Globalisation and Economic Development: the Brazilian Experience Regarding the Expansion of Transnational Corporations</w:t>
      </w:r>
    </w:p>
    <w:p w14:paraId="3F34137D" w14:textId="77777777" w:rsidR="00F561D9" w:rsidRDefault="00F561D9" w:rsidP="00F561D9">
      <w:pPr>
        <w:jc w:val="both"/>
        <w:rPr>
          <w:lang w:val="en-GB"/>
        </w:rPr>
      </w:pPr>
    </w:p>
    <w:p w14:paraId="4BDC8970" w14:textId="77777777" w:rsidR="00F561D9" w:rsidRDefault="00F561D9" w:rsidP="00F561D9">
      <w:pPr>
        <w:jc w:val="both"/>
        <w:rPr>
          <w:lang w:val="en-GB"/>
        </w:rPr>
      </w:pPr>
    </w:p>
    <w:p w14:paraId="66915E29" w14:textId="77777777" w:rsidR="00F561D9" w:rsidRPr="00540037" w:rsidRDefault="00F561D9" w:rsidP="00F561D9">
      <w:pPr>
        <w:jc w:val="both"/>
        <w:rPr>
          <w:lang w:val="en-GB"/>
        </w:rPr>
      </w:pPr>
    </w:p>
    <w:p w14:paraId="71D627E1" w14:textId="77777777" w:rsidR="00F561D9" w:rsidRPr="00540037" w:rsidRDefault="00F561D9" w:rsidP="00F561D9">
      <w:pPr>
        <w:jc w:val="right"/>
        <w:rPr>
          <w:lang w:val="it-IT"/>
        </w:rPr>
      </w:pPr>
      <w:r w:rsidRPr="00540037">
        <w:rPr>
          <w:i/>
          <w:lang w:val="it-IT"/>
        </w:rPr>
        <w:t>Roberto Alexandre Zanchetta Borghi</w:t>
      </w:r>
      <w:r w:rsidRPr="00540037">
        <w:rPr>
          <w:rStyle w:val="Refdenotaderodap"/>
          <w:i/>
          <w:lang w:val="it-IT"/>
        </w:rPr>
        <w:footnoteReference w:customMarkFollows="1" w:id="1"/>
        <w:t>*</w:t>
      </w:r>
    </w:p>
    <w:p w14:paraId="3FC4CC8A" w14:textId="77777777" w:rsidR="00F561D9" w:rsidRDefault="00F561D9" w:rsidP="00F561D9">
      <w:pPr>
        <w:jc w:val="both"/>
        <w:rPr>
          <w:lang w:val="it-IT"/>
        </w:rPr>
      </w:pPr>
    </w:p>
    <w:p w14:paraId="7BE78FE3" w14:textId="77777777" w:rsidR="00F561D9" w:rsidRDefault="00F561D9" w:rsidP="00F561D9">
      <w:pPr>
        <w:jc w:val="both"/>
        <w:rPr>
          <w:lang w:val="it-IT"/>
        </w:rPr>
      </w:pPr>
    </w:p>
    <w:p w14:paraId="7D87FBC9" w14:textId="77777777" w:rsidR="00F561D9" w:rsidRPr="00540037" w:rsidRDefault="00F561D9" w:rsidP="00F561D9">
      <w:pPr>
        <w:jc w:val="both"/>
        <w:rPr>
          <w:lang w:val="it-IT"/>
        </w:rPr>
      </w:pPr>
    </w:p>
    <w:p w14:paraId="64D345D4" w14:textId="77777777" w:rsidR="00F561D9" w:rsidRPr="00052CD4" w:rsidRDefault="00F561D9" w:rsidP="00F561D9">
      <w:pPr>
        <w:jc w:val="both"/>
        <w:rPr>
          <w:b/>
          <w:lang w:val="en-US"/>
        </w:rPr>
      </w:pPr>
      <w:r w:rsidRPr="00052CD4">
        <w:rPr>
          <w:b/>
          <w:lang w:val="en-US"/>
        </w:rPr>
        <w:t>Abstract</w:t>
      </w:r>
    </w:p>
    <w:p w14:paraId="182AC0F1" w14:textId="77777777" w:rsidR="00F561D9" w:rsidRDefault="00F561D9" w:rsidP="00F561D9">
      <w:pPr>
        <w:jc w:val="both"/>
        <w:rPr>
          <w:lang w:val="en-US"/>
        </w:rPr>
      </w:pPr>
    </w:p>
    <w:p w14:paraId="3B3898BF" w14:textId="77777777" w:rsidR="00F561D9" w:rsidRDefault="00F561D9" w:rsidP="00F561D9">
      <w:pPr>
        <w:jc w:val="both"/>
        <w:rPr>
          <w:lang w:val="en-US"/>
        </w:rPr>
      </w:pPr>
    </w:p>
    <w:p w14:paraId="05489DE6" w14:textId="77777777" w:rsidR="00F561D9" w:rsidRDefault="00F561D9" w:rsidP="00F561D9">
      <w:pPr>
        <w:jc w:val="both"/>
        <w:rPr>
          <w:lang w:val="en-GB"/>
        </w:rPr>
      </w:pPr>
      <w:r>
        <w:rPr>
          <w:lang w:val="en-US"/>
        </w:rPr>
        <w:t xml:space="preserve">Given the </w:t>
      </w:r>
      <w:r>
        <w:rPr>
          <w:lang w:val="en-GB"/>
        </w:rPr>
        <w:t xml:space="preserve">transformations of the so-called globalisation era towards a more intense capital and goods mobility, this paper aims to discuss the character of both inward and outward movements of transnational corporations in response to economic policy orientation in </w:t>
      </w:r>
      <w:smartTag w:uri="urn:schemas-microsoft-com:office:smarttags" w:element="place">
        <w:smartTag w:uri="urn:schemas-microsoft-com:office:smarttags" w:element="country-region">
          <w:r>
            <w:rPr>
              <w:lang w:val="en-GB"/>
            </w:rPr>
            <w:t>Brazil</w:t>
          </w:r>
        </w:smartTag>
      </w:smartTag>
      <w:r>
        <w:rPr>
          <w:lang w:val="en-GB"/>
        </w:rPr>
        <w:t>. It focuses on the Brazilian development trajectory and the dynamics of transnational companies over the last two decades, a period when most liberalisation measures have been adopted in the country, until the upsurge of the financial turmoil in 2008. The fi</w:t>
      </w:r>
      <w:r w:rsidRPr="00720A84">
        <w:rPr>
          <w:lang w:val="en-GB"/>
        </w:rPr>
        <w:t xml:space="preserve">rst section </w:t>
      </w:r>
      <w:r>
        <w:rPr>
          <w:lang w:val="en-GB"/>
        </w:rPr>
        <w:t>addresses</w:t>
      </w:r>
      <w:r w:rsidRPr="00720A84">
        <w:rPr>
          <w:lang w:val="en-GB"/>
        </w:rPr>
        <w:t xml:space="preserve"> </w:t>
      </w:r>
      <w:r>
        <w:rPr>
          <w:lang w:val="en-GB"/>
        </w:rPr>
        <w:t>the presence of large foreign companies</w:t>
      </w:r>
      <w:r w:rsidRPr="00720A84">
        <w:rPr>
          <w:lang w:val="en-GB"/>
        </w:rPr>
        <w:t xml:space="preserve"> in </w:t>
      </w:r>
      <w:smartTag w:uri="urn:schemas-microsoft-com:office:smarttags" w:element="country-region">
        <w:smartTag w:uri="urn:schemas-microsoft-com:office:smarttags" w:element="place">
          <w:r w:rsidRPr="00720A84">
            <w:rPr>
              <w:lang w:val="en-GB"/>
            </w:rPr>
            <w:t>Brazil</w:t>
          </w:r>
        </w:smartTag>
      </w:smartTag>
      <w:r>
        <w:rPr>
          <w:lang w:val="en-GB"/>
        </w:rPr>
        <w:t xml:space="preserve"> and argues for different nature of foreign investments according to the shifts in economic policy orientation over the period. It distinguishes the mergers and acquisitions movement mainly on services in the 1990s from the growth recovery phase characterised by more productive investments in mid-2000s. The se</w:t>
      </w:r>
      <w:r w:rsidRPr="00720A84">
        <w:rPr>
          <w:lang w:val="en-GB"/>
        </w:rPr>
        <w:t xml:space="preserve">cond section </w:t>
      </w:r>
      <w:r>
        <w:rPr>
          <w:lang w:val="en-GB"/>
        </w:rPr>
        <w:t>discusses</w:t>
      </w:r>
      <w:r w:rsidRPr="00720A84">
        <w:rPr>
          <w:lang w:val="en-GB"/>
        </w:rPr>
        <w:t xml:space="preserve"> the emergence of Brazilian </w:t>
      </w:r>
      <w:r>
        <w:rPr>
          <w:lang w:val="en-GB"/>
        </w:rPr>
        <w:t>trans</w:t>
      </w:r>
      <w:r w:rsidRPr="00720A84">
        <w:rPr>
          <w:lang w:val="en-GB"/>
        </w:rPr>
        <w:t>national</w:t>
      </w:r>
      <w:r>
        <w:rPr>
          <w:lang w:val="en-GB"/>
        </w:rPr>
        <w:t xml:space="preserve"> groups as</w:t>
      </w:r>
      <w:r w:rsidRPr="00720A84">
        <w:rPr>
          <w:lang w:val="en-GB"/>
        </w:rPr>
        <w:t xml:space="preserve"> </w:t>
      </w:r>
      <w:r>
        <w:rPr>
          <w:lang w:val="en-GB"/>
        </w:rPr>
        <w:t xml:space="preserve">a </w:t>
      </w:r>
      <w:r w:rsidRPr="00720A84">
        <w:rPr>
          <w:lang w:val="en-GB"/>
        </w:rPr>
        <w:t xml:space="preserve">more recent </w:t>
      </w:r>
      <w:r>
        <w:rPr>
          <w:lang w:val="en-GB"/>
        </w:rPr>
        <w:t xml:space="preserve">and still regionalised phenomenon relying on a limited number of companies. It is argued that this process has taken place in a </w:t>
      </w:r>
      <w:r w:rsidRPr="00720A84">
        <w:rPr>
          <w:lang w:val="en-GB"/>
        </w:rPr>
        <w:t xml:space="preserve">favourable </w:t>
      </w:r>
      <w:r>
        <w:rPr>
          <w:lang w:val="en-GB"/>
        </w:rPr>
        <w:t xml:space="preserve">international and </w:t>
      </w:r>
      <w:r w:rsidRPr="00720A84">
        <w:rPr>
          <w:lang w:val="en-GB"/>
        </w:rPr>
        <w:t xml:space="preserve">macroeconomic environment </w:t>
      </w:r>
      <w:r>
        <w:rPr>
          <w:lang w:val="en-GB"/>
        </w:rPr>
        <w:t>combined with</w:t>
      </w:r>
      <w:r w:rsidRPr="00720A84">
        <w:rPr>
          <w:lang w:val="en-GB"/>
        </w:rPr>
        <w:t xml:space="preserve"> supportive </w:t>
      </w:r>
      <w:r>
        <w:rPr>
          <w:lang w:val="en-GB"/>
        </w:rPr>
        <w:t>governmental</w:t>
      </w:r>
      <w:r w:rsidRPr="00720A84">
        <w:rPr>
          <w:lang w:val="en-GB"/>
        </w:rPr>
        <w:t xml:space="preserve"> measures</w:t>
      </w:r>
      <w:r>
        <w:rPr>
          <w:lang w:val="en-GB"/>
        </w:rPr>
        <w:t>, particularly of the national development bank</w:t>
      </w:r>
      <w:r w:rsidRPr="00720A84">
        <w:rPr>
          <w:lang w:val="en-GB"/>
        </w:rPr>
        <w:t>.</w:t>
      </w:r>
      <w:r>
        <w:rPr>
          <w:lang w:val="en-GB"/>
        </w:rPr>
        <w:t xml:space="preserve"> The analysis allows for the recognition of several challenges posed by both inward and outward movements of transnational corporations to the domestic recovery of a sustained development trajectory, especially considering the recent international crisis context.</w:t>
      </w:r>
    </w:p>
    <w:p w14:paraId="4DDE311C" w14:textId="77777777" w:rsidR="00F561D9" w:rsidRDefault="00F561D9" w:rsidP="00F561D9">
      <w:pPr>
        <w:jc w:val="both"/>
        <w:rPr>
          <w:lang w:val="en-GB"/>
        </w:rPr>
      </w:pPr>
    </w:p>
    <w:p w14:paraId="600ECD9F" w14:textId="77777777" w:rsidR="00F561D9" w:rsidRDefault="00F561D9" w:rsidP="00F561D9">
      <w:pPr>
        <w:jc w:val="both"/>
        <w:rPr>
          <w:lang w:val="en-GB"/>
        </w:rPr>
      </w:pPr>
    </w:p>
    <w:p w14:paraId="32F32D6C" w14:textId="77777777" w:rsidR="00F561D9" w:rsidRDefault="00F561D9" w:rsidP="00F561D9">
      <w:pPr>
        <w:jc w:val="both"/>
        <w:rPr>
          <w:lang w:val="en-GB"/>
        </w:rPr>
      </w:pPr>
      <w:r w:rsidRPr="007C18D1">
        <w:rPr>
          <w:b/>
          <w:lang w:val="en-GB"/>
        </w:rPr>
        <w:t>Keywords</w:t>
      </w:r>
      <w:r>
        <w:rPr>
          <w:lang w:val="en-GB"/>
        </w:rPr>
        <w:t>: transnational corporations; Brazilian economy; foreign direct investment; economic policy.</w:t>
      </w:r>
    </w:p>
    <w:p w14:paraId="362247D9" w14:textId="77777777" w:rsidR="00F561D9" w:rsidRDefault="00F561D9" w:rsidP="00F561D9">
      <w:pPr>
        <w:jc w:val="both"/>
        <w:rPr>
          <w:lang w:val="en-GB"/>
        </w:rPr>
      </w:pPr>
    </w:p>
    <w:p w14:paraId="5C2B31D6" w14:textId="77777777" w:rsidR="00F561D9" w:rsidRDefault="00F561D9" w:rsidP="00F561D9">
      <w:pPr>
        <w:jc w:val="both"/>
        <w:rPr>
          <w:lang w:val="en-GB"/>
        </w:rPr>
      </w:pPr>
    </w:p>
    <w:p w14:paraId="0023CF10" w14:textId="77777777" w:rsidR="00F561D9" w:rsidRDefault="00F561D9" w:rsidP="00F561D9">
      <w:pPr>
        <w:jc w:val="both"/>
        <w:rPr>
          <w:lang w:val="en-GB"/>
        </w:rPr>
      </w:pPr>
      <w:r w:rsidRPr="007C18D1">
        <w:rPr>
          <w:b/>
          <w:lang w:val="en-GB"/>
        </w:rPr>
        <w:t>JEL Classification</w:t>
      </w:r>
      <w:r>
        <w:rPr>
          <w:lang w:val="en-GB"/>
        </w:rPr>
        <w:t>: F21; F23; O11; O54.</w:t>
      </w:r>
    </w:p>
    <w:p w14:paraId="78CB5700" w14:textId="77777777" w:rsidR="00F561D9" w:rsidRDefault="00F561D9" w:rsidP="00F561D9">
      <w:pPr>
        <w:jc w:val="both"/>
        <w:rPr>
          <w:lang w:val="en-GB"/>
        </w:rPr>
      </w:pPr>
    </w:p>
    <w:p w14:paraId="2BD59210" w14:textId="77777777" w:rsidR="00F561D9" w:rsidRDefault="00F561D9" w:rsidP="00F561D9">
      <w:pPr>
        <w:jc w:val="both"/>
        <w:rPr>
          <w:lang w:val="en-GB"/>
        </w:rPr>
      </w:pPr>
    </w:p>
    <w:p w14:paraId="3B5149CD" w14:textId="77777777" w:rsidR="00F561D9" w:rsidRPr="00540037" w:rsidRDefault="00F561D9" w:rsidP="00F561D9">
      <w:pPr>
        <w:jc w:val="both"/>
        <w:rPr>
          <w:b/>
          <w:lang w:val="en-GB"/>
        </w:rPr>
      </w:pPr>
      <w:r w:rsidRPr="00540037">
        <w:rPr>
          <w:b/>
          <w:lang w:val="en-GB"/>
        </w:rPr>
        <w:t>ANPEC Area 7 – International Economics</w:t>
      </w:r>
    </w:p>
    <w:p w14:paraId="38891D15" w14:textId="77777777" w:rsidR="00F561D9" w:rsidRDefault="00F561D9" w:rsidP="00F561D9">
      <w:pPr>
        <w:jc w:val="both"/>
        <w:rPr>
          <w:lang w:val="en-GB"/>
        </w:rPr>
      </w:pPr>
    </w:p>
    <w:p w14:paraId="7F2D7FC6" w14:textId="77777777" w:rsidR="00F561D9" w:rsidRDefault="00F561D9" w:rsidP="00F561D9">
      <w:pPr>
        <w:jc w:val="both"/>
        <w:rPr>
          <w:lang w:val="en-GB"/>
        </w:rPr>
      </w:pPr>
    </w:p>
    <w:p w14:paraId="0F8BC445" w14:textId="77777777" w:rsidR="00F561D9" w:rsidRDefault="00F561D9" w:rsidP="00F561D9">
      <w:pPr>
        <w:jc w:val="both"/>
        <w:rPr>
          <w:lang w:val="en-GB"/>
        </w:rPr>
      </w:pPr>
    </w:p>
    <w:p w14:paraId="7FF54FEC" w14:textId="77777777" w:rsidR="00F561D9" w:rsidRDefault="00F561D9" w:rsidP="00F561D9">
      <w:pPr>
        <w:jc w:val="both"/>
        <w:rPr>
          <w:lang w:val="en-US"/>
        </w:rPr>
      </w:pPr>
    </w:p>
    <w:p w14:paraId="01080E2B" w14:textId="77777777" w:rsidR="00F561D9" w:rsidRDefault="00F561D9" w:rsidP="00F561D9">
      <w:pPr>
        <w:jc w:val="both"/>
        <w:rPr>
          <w:lang w:val="en-US"/>
        </w:rPr>
      </w:pPr>
    </w:p>
    <w:p w14:paraId="2D143DCC" w14:textId="77777777" w:rsidR="00F561D9" w:rsidRDefault="00F561D9" w:rsidP="00F561D9">
      <w:pPr>
        <w:jc w:val="both"/>
        <w:rPr>
          <w:lang w:val="en-US"/>
        </w:rPr>
      </w:pPr>
    </w:p>
    <w:p w14:paraId="7C937B19" w14:textId="77777777" w:rsidR="00F561D9" w:rsidRDefault="00F561D9" w:rsidP="00F561D9">
      <w:pPr>
        <w:jc w:val="both"/>
        <w:rPr>
          <w:lang w:val="en-US"/>
        </w:rPr>
      </w:pPr>
    </w:p>
    <w:p w14:paraId="40E65812" w14:textId="77777777" w:rsidR="00F561D9" w:rsidRDefault="00F561D9" w:rsidP="00F561D9">
      <w:pPr>
        <w:jc w:val="both"/>
        <w:rPr>
          <w:lang w:val="en-US"/>
        </w:rPr>
      </w:pPr>
    </w:p>
    <w:p w14:paraId="5FCD6EA6" w14:textId="77777777" w:rsidR="00F561D9" w:rsidRDefault="00F561D9" w:rsidP="00F561D9">
      <w:pPr>
        <w:jc w:val="both"/>
        <w:rPr>
          <w:lang w:val="en-US"/>
        </w:rPr>
      </w:pPr>
    </w:p>
    <w:p w14:paraId="671AB46A" w14:textId="77777777" w:rsidR="00F561D9" w:rsidRDefault="00F561D9" w:rsidP="00F561D9">
      <w:pPr>
        <w:jc w:val="both"/>
        <w:rPr>
          <w:lang w:val="en-US"/>
        </w:rPr>
      </w:pPr>
    </w:p>
    <w:p w14:paraId="068825BF" w14:textId="77777777" w:rsidR="00F561D9" w:rsidRDefault="00F561D9" w:rsidP="00F561D9">
      <w:pPr>
        <w:jc w:val="both"/>
        <w:rPr>
          <w:lang w:val="en-US"/>
        </w:rPr>
      </w:pPr>
    </w:p>
    <w:p w14:paraId="301CBEB2" w14:textId="77777777" w:rsidR="00F561D9" w:rsidRPr="00D9076E" w:rsidRDefault="00F561D9" w:rsidP="00F561D9">
      <w:pPr>
        <w:jc w:val="both"/>
        <w:rPr>
          <w:b/>
          <w:lang w:val="en-US"/>
        </w:rPr>
      </w:pPr>
      <w:r w:rsidRPr="00D9076E">
        <w:rPr>
          <w:b/>
          <w:lang w:val="en-US"/>
        </w:rPr>
        <w:lastRenderedPageBreak/>
        <w:t>Introduction</w:t>
      </w:r>
    </w:p>
    <w:p w14:paraId="59CC6FE1" w14:textId="77777777" w:rsidR="00F561D9" w:rsidRDefault="00F561D9" w:rsidP="00F561D9">
      <w:pPr>
        <w:jc w:val="both"/>
        <w:rPr>
          <w:lang w:val="en-US"/>
        </w:rPr>
      </w:pPr>
    </w:p>
    <w:p w14:paraId="12ECF3F1" w14:textId="77777777" w:rsidR="00F561D9" w:rsidRDefault="00F561D9" w:rsidP="00F561D9">
      <w:pPr>
        <w:jc w:val="both"/>
        <w:rPr>
          <w:lang w:val="en-US"/>
        </w:rPr>
      </w:pPr>
      <w:r w:rsidRPr="00FB2DEA">
        <w:rPr>
          <w:lang w:val="en-US"/>
        </w:rPr>
        <w:t>One of the most discussed topics in recent years concerns the rising power of emerging economies in the international dynamics. This subject has been studied under different perspectives, including political, geopolitical, economic, international relations and social views. Its importance has been reinforced by the major negative effects of the current international economic crisis on the growth performance of developed countries.</w:t>
      </w:r>
    </w:p>
    <w:p w14:paraId="275718ED" w14:textId="77777777" w:rsidR="00F561D9" w:rsidRDefault="00F561D9" w:rsidP="00F561D9">
      <w:pPr>
        <w:jc w:val="both"/>
        <w:rPr>
          <w:lang w:val="en-US"/>
        </w:rPr>
      </w:pPr>
    </w:p>
    <w:p w14:paraId="536414A9" w14:textId="77777777" w:rsidR="00F561D9" w:rsidRPr="00FB2DEA" w:rsidRDefault="00F561D9" w:rsidP="00F561D9">
      <w:pPr>
        <w:jc w:val="both"/>
        <w:rPr>
          <w:lang w:val="en-US"/>
        </w:rPr>
      </w:pPr>
      <w:r w:rsidRPr="00FB2DEA">
        <w:rPr>
          <w:lang w:val="en-US"/>
        </w:rPr>
        <w:t xml:space="preserve">In the economic literature, the debate on the importance of emerging economies is commonly </w:t>
      </w:r>
      <w:r>
        <w:rPr>
          <w:lang w:val="en-US"/>
        </w:rPr>
        <w:t xml:space="preserve">centred around </w:t>
      </w:r>
      <w:r w:rsidRPr="00FB2DEA">
        <w:rPr>
          <w:lang w:val="en-US"/>
        </w:rPr>
        <w:t xml:space="preserve">the rise of the so-called “BRICs”, term coined by O’Neill (2001) to highlight the increasing role played by </w:t>
      </w:r>
      <w:smartTag w:uri="urn:schemas-microsoft-com:office:smarttags" w:element="country-region">
        <w:r w:rsidRPr="00FB2DEA">
          <w:rPr>
            <w:lang w:val="en-US"/>
          </w:rPr>
          <w:t>Brazil</w:t>
        </w:r>
      </w:smartTag>
      <w:r w:rsidRPr="00FB2DEA">
        <w:rPr>
          <w:lang w:val="en-US"/>
        </w:rPr>
        <w:t xml:space="preserve">, </w:t>
      </w:r>
      <w:smartTag w:uri="urn:schemas-microsoft-com:office:smarttags" w:element="country-region">
        <w:r w:rsidRPr="00FB2DEA">
          <w:rPr>
            <w:lang w:val="en-US"/>
          </w:rPr>
          <w:t>Russia</w:t>
        </w:r>
      </w:smartTag>
      <w:r w:rsidRPr="00FB2DEA">
        <w:rPr>
          <w:lang w:val="en-US"/>
        </w:rPr>
        <w:t xml:space="preserve">, </w:t>
      </w:r>
      <w:smartTag w:uri="urn:schemas-microsoft-com:office:smarttags" w:element="country-region">
        <w:r w:rsidRPr="00FB2DEA">
          <w:rPr>
            <w:lang w:val="en-US"/>
          </w:rPr>
          <w:t>India</w:t>
        </w:r>
      </w:smartTag>
      <w:r w:rsidRPr="00FB2DEA">
        <w:rPr>
          <w:lang w:val="en-US"/>
        </w:rPr>
        <w:t xml:space="preserve"> and </w:t>
      </w:r>
      <w:smartTag w:uri="urn:schemas-microsoft-com:office:smarttags" w:element="country-region">
        <w:smartTag w:uri="urn:schemas-microsoft-com:office:smarttags" w:element="place">
          <w:r w:rsidRPr="00FB2DEA">
            <w:rPr>
              <w:lang w:val="en-US"/>
            </w:rPr>
            <w:t>China</w:t>
          </w:r>
        </w:smartTag>
      </w:smartTag>
      <w:r w:rsidRPr="00FB2DEA">
        <w:rPr>
          <w:lang w:val="en-US"/>
        </w:rPr>
        <w:t xml:space="preserve"> in the world economic growth. According to IMF (2011) estimates, emerging countries accounted for almost half of the world Gross Domestic Product (GDP) in purchasing power parity (PPP) in 2011 and their contribution to the world GDP growth is projected to achieve 2/3 until 2016. Although GDP or global consumption figures in current prices still show a leading role of advanced economies by a significant margin, the overall picture points to a multipolar world landscape where emerging economies may play a greater role in the global</w:t>
      </w:r>
      <w:r>
        <w:rPr>
          <w:lang w:val="en-US"/>
        </w:rPr>
        <w:t xml:space="preserve"> </w:t>
      </w:r>
      <w:r w:rsidRPr="00FB2DEA">
        <w:rPr>
          <w:lang w:val="en-US"/>
        </w:rPr>
        <w:t>economic dynamism in comparison to what they usually did, especially after the economic crisis burst in 2008, as shown by recent works of the World Bank (Canuto, 2010; Canuto &amp; Giugale, 2010; World Bank, 2011; Canuto &amp; Leipziger, 2012).</w:t>
      </w:r>
    </w:p>
    <w:p w14:paraId="41798C0F" w14:textId="77777777" w:rsidR="00F561D9" w:rsidRDefault="00F561D9" w:rsidP="00F561D9">
      <w:pPr>
        <w:jc w:val="both"/>
        <w:rPr>
          <w:lang w:val="en-US"/>
        </w:rPr>
      </w:pPr>
    </w:p>
    <w:p w14:paraId="6EFEEE2B" w14:textId="77777777" w:rsidR="00F561D9" w:rsidRDefault="00F561D9" w:rsidP="00F561D9">
      <w:pPr>
        <w:jc w:val="both"/>
        <w:rPr>
          <w:lang w:val="en-US"/>
        </w:rPr>
      </w:pPr>
      <w:r>
        <w:rPr>
          <w:lang w:val="en-US"/>
        </w:rPr>
        <w:t xml:space="preserve">The growing participation of emerging economies is also observed in terms of world trade and capital flows. They have become important producer and consumer markets as well as great financial </w:t>
      </w:r>
      <w:r w:rsidRPr="005F31A1">
        <w:rPr>
          <w:lang w:val="en-GB"/>
        </w:rPr>
        <w:t>centres</w:t>
      </w:r>
      <w:r>
        <w:rPr>
          <w:lang w:val="en-US"/>
        </w:rPr>
        <w:t xml:space="preserve">. Part of this dynamics is explained as a result of the adoption of </w:t>
      </w:r>
      <w:r w:rsidRPr="005F31A1">
        <w:rPr>
          <w:lang w:val="en-GB"/>
        </w:rPr>
        <w:t>liberalisation</w:t>
      </w:r>
      <w:r>
        <w:rPr>
          <w:lang w:val="en-US"/>
        </w:rPr>
        <w:t xml:space="preserve"> measures and economic openness reforms in those countries, particularly after the 1980s onwards. Part, however, is a consequence of pressures and search of financial institutions and large corporations, namely the transnational corporations (TNCs), of developed countries for new profitable regions to allocate their resources around the world.</w:t>
      </w:r>
    </w:p>
    <w:p w14:paraId="4503D5D7" w14:textId="77777777" w:rsidR="00F561D9" w:rsidRDefault="00F561D9" w:rsidP="00F561D9">
      <w:pPr>
        <w:jc w:val="both"/>
        <w:rPr>
          <w:lang w:val="en-US"/>
        </w:rPr>
      </w:pPr>
    </w:p>
    <w:p w14:paraId="3F2F7A70" w14:textId="77777777" w:rsidR="00F561D9" w:rsidRPr="00720A84" w:rsidRDefault="00F561D9" w:rsidP="00F561D9">
      <w:pPr>
        <w:jc w:val="both"/>
        <w:rPr>
          <w:lang w:val="en-GB"/>
        </w:rPr>
      </w:pPr>
      <w:r>
        <w:rPr>
          <w:lang w:val="en-US"/>
        </w:rPr>
        <w:t>Large foreign</w:t>
      </w:r>
      <w:r w:rsidRPr="00720A84">
        <w:rPr>
          <w:lang w:val="en-GB"/>
        </w:rPr>
        <w:t xml:space="preserve"> </w:t>
      </w:r>
      <w:r>
        <w:rPr>
          <w:lang w:val="en-GB"/>
        </w:rPr>
        <w:t xml:space="preserve">direct </w:t>
      </w:r>
      <w:r w:rsidRPr="00720A84">
        <w:rPr>
          <w:lang w:val="en-GB"/>
        </w:rPr>
        <w:t xml:space="preserve">investments </w:t>
      </w:r>
      <w:r>
        <w:rPr>
          <w:lang w:val="en-GB"/>
        </w:rPr>
        <w:t xml:space="preserve">(FDI) </w:t>
      </w:r>
      <w:r w:rsidRPr="00720A84">
        <w:rPr>
          <w:lang w:val="en-GB"/>
        </w:rPr>
        <w:t xml:space="preserve">carried out by </w:t>
      </w:r>
      <w:r>
        <w:rPr>
          <w:lang w:val="en-GB"/>
        </w:rPr>
        <w:t xml:space="preserve">TNCs in emerging economies as well as </w:t>
      </w:r>
      <w:r w:rsidRPr="00720A84">
        <w:rPr>
          <w:lang w:val="en-GB"/>
        </w:rPr>
        <w:t xml:space="preserve">the increasing internationalisation of domestic groups from </w:t>
      </w:r>
      <w:r>
        <w:rPr>
          <w:lang w:val="en-GB"/>
        </w:rPr>
        <w:t xml:space="preserve">these countries are examples of this growing importance of such economies in the international landscape. </w:t>
      </w:r>
      <w:r w:rsidRPr="00720A84">
        <w:rPr>
          <w:lang w:val="en-GB"/>
        </w:rPr>
        <w:t>FDI data from United Nations Conference on Trade and Development (</w:t>
      </w:r>
      <w:r>
        <w:rPr>
          <w:lang w:val="en-GB"/>
        </w:rPr>
        <w:t>UNCTAD</w:t>
      </w:r>
      <w:r w:rsidRPr="00720A84">
        <w:rPr>
          <w:lang w:val="en-GB"/>
        </w:rPr>
        <w:t>)</w:t>
      </w:r>
      <w:r w:rsidRPr="00720A84">
        <w:rPr>
          <w:rStyle w:val="Refdenotaderodap"/>
          <w:lang w:val="en-GB"/>
        </w:rPr>
        <w:footnoteReference w:id="2"/>
      </w:r>
      <w:r w:rsidRPr="00720A84">
        <w:rPr>
          <w:lang w:val="en-GB"/>
        </w:rPr>
        <w:t xml:space="preserve"> reveals a rising flow trend towards emerging economies in the last decades. In 1980, the total amount of global FDI was around US$ 54.1 billion, with only 13.8% sent to developing countries. In 2010, this set of countries accounted for 46.1% of total FDI inflows which surpassed US$ 1.2 trillion. In its turn, the participation of FDI outflows from these economies in the </w:t>
      </w:r>
      <w:r>
        <w:rPr>
          <w:lang w:val="en-GB"/>
        </w:rPr>
        <w:t xml:space="preserve">total </w:t>
      </w:r>
      <w:r w:rsidRPr="00720A84">
        <w:rPr>
          <w:lang w:val="en-GB"/>
        </w:rPr>
        <w:t>world amount shifted from 6.2% in 1980 to 24.8% in 2010, making also explicit an increasing role of these economies in the internationalisation process of their companies in the recent period.</w:t>
      </w:r>
    </w:p>
    <w:p w14:paraId="1B78F2A8" w14:textId="77777777" w:rsidR="00F561D9" w:rsidRPr="00215D38" w:rsidRDefault="00F561D9" w:rsidP="00F561D9">
      <w:pPr>
        <w:jc w:val="both"/>
        <w:rPr>
          <w:lang w:val="en-GB"/>
        </w:rPr>
      </w:pPr>
    </w:p>
    <w:p w14:paraId="0A01D3F4" w14:textId="77777777" w:rsidR="00F561D9" w:rsidRDefault="00F561D9" w:rsidP="00F561D9">
      <w:pPr>
        <w:jc w:val="both"/>
        <w:rPr>
          <w:lang w:val="en-US"/>
        </w:rPr>
      </w:pPr>
      <w:r>
        <w:rPr>
          <w:lang w:val="en-US"/>
        </w:rPr>
        <w:t xml:space="preserve">This greater international presence, however, does not have any meaning in its own whether not considered any measure of economic development. </w:t>
      </w:r>
      <w:r w:rsidRPr="008D3661">
        <w:rPr>
          <w:lang w:val="en-US"/>
        </w:rPr>
        <w:t xml:space="preserve">A well-disseminated view shared by financial institutions and most mainstream economists supports that this rising importance of </w:t>
      </w:r>
      <w:r>
        <w:rPr>
          <w:lang w:val="en-US"/>
        </w:rPr>
        <w:t xml:space="preserve">emerging (or developing) countries </w:t>
      </w:r>
      <w:r w:rsidRPr="008D3661">
        <w:rPr>
          <w:lang w:val="en-US"/>
        </w:rPr>
        <w:t>would be a result of their commitment to the globalisation process</w:t>
      </w:r>
      <w:r>
        <w:rPr>
          <w:lang w:val="en-US"/>
        </w:rPr>
        <w:t>. In particular, that the adoption of</w:t>
      </w:r>
      <w:r w:rsidRPr="008D3661">
        <w:rPr>
          <w:lang w:val="en-US"/>
        </w:rPr>
        <w:t xml:space="preserve"> </w:t>
      </w:r>
      <w:r w:rsidRPr="008D3661">
        <w:rPr>
          <w:lang w:val="en-GB"/>
        </w:rPr>
        <w:t>liberalising</w:t>
      </w:r>
      <w:r w:rsidRPr="008D3661">
        <w:rPr>
          <w:lang w:val="en-US"/>
        </w:rPr>
        <w:t xml:space="preserve"> policies and </w:t>
      </w:r>
      <w:r>
        <w:rPr>
          <w:lang w:val="en-US"/>
        </w:rPr>
        <w:t xml:space="preserve">the indiscriminate allowance for </w:t>
      </w:r>
      <w:r w:rsidRPr="008D3661">
        <w:rPr>
          <w:lang w:val="en-US"/>
        </w:rPr>
        <w:t xml:space="preserve">foreign capital inflows would </w:t>
      </w:r>
      <w:r>
        <w:rPr>
          <w:lang w:val="en-US"/>
        </w:rPr>
        <w:t>necessarily increase domestic productivity and promote</w:t>
      </w:r>
      <w:r w:rsidRPr="008D3661">
        <w:rPr>
          <w:lang w:val="en-US"/>
        </w:rPr>
        <w:t xml:space="preserve"> </w:t>
      </w:r>
      <w:r>
        <w:rPr>
          <w:lang w:val="en-US"/>
        </w:rPr>
        <w:t xml:space="preserve">economic </w:t>
      </w:r>
      <w:r w:rsidRPr="008D3661">
        <w:rPr>
          <w:lang w:val="en-US"/>
        </w:rPr>
        <w:t>growth (</w:t>
      </w:r>
      <w:r w:rsidRPr="00E853AB">
        <w:rPr>
          <w:lang w:val="en-GB"/>
        </w:rPr>
        <w:t>Kuczynski &amp; Williamson, 2003</w:t>
      </w:r>
      <w:r>
        <w:rPr>
          <w:lang w:val="en-GB"/>
        </w:rPr>
        <w:t xml:space="preserve">; </w:t>
      </w:r>
      <w:r w:rsidRPr="008D3661">
        <w:rPr>
          <w:lang w:val="en-US"/>
        </w:rPr>
        <w:t>Goldman Sachs, 2007).</w:t>
      </w:r>
    </w:p>
    <w:p w14:paraId="032CDE9B" w14:textId="77777777" w:rsidR="00F561D9" w:rsidRDefault="00F561D9" w:rsidP="00F561D9">
      <w:pPr>
        <w:jc w:val="both"/>
        <w:rPr>
          <w:lang w:val="en-US"/>
        </w:rPr>
      </w:pPr>
    </w:p>
    <w:p w14:paraId="6B64A52A" w14:textId="77777777" w:rsidR="00F561D9" w:rsidRDefault="00F561D9" w:rsidP="00F561D9">
      <w:pPr>
        <w:jc w:val="both"/>
        <w:rPr>
          <w:lang w:val="en-US"/>
        </w:rPr>
      </w:pPr>
      <w:r>
        <w:rPr>
          <w:lang w:val="en-US"/>
        </w:rPr>
        <w:t xml:space="preserve">A critical view on this movement, however, would point to huge differences between the economic development trajectories of emerging economies. The aforementioned facts highlighting the rising power of these economies at international level are mainly attributable to the performance of </w:t>
      </w:r>
      <w:smartTag w:uri="urn:schemas-microsoft-com:office:smarttags" w:element="country-region">
        <w:r>
          <w:rPr>
            <w:lang w:val="en-US"/>
          </w:rPr>
          <w:t>India</w:t>
        </w:r>
      </w:smartTag>
      <w:r>
        <w:rPr>
          <w:lang w:val="en-US"/>
        </w:rPr>
        <w:t xml:space="preserve"> </w:t>
      </w:r>
      <w:r>
        <w:rPr>
          <w:lang w:val="en-US"/>
        </w:rPr>
        <w:lastRenderedPageBreak/>
        <w:t xml:space="preserve">and, above all, </w:t>
      </w:r>
      <w:smartTag w:uri="urn:schemas-microsoft-com:office:smarttags" w:element="country-region">
        <w:smartTag w:uri="urn:schemas-microsoft-com:office:smarttags" w:element="place">
          <w:r>
            <w:rPr>
              <w:lang w:val="en-US"/>
            </w:rPr>
            <w:t>China</w:t>
          </w:r>
        </w:smartTag>
      </w:smartTag>
      <w:r>
        <w:rPr>
          <w:lang w:val="en-US"/>
        </w:rPr>
        <w:t>. Moreover, under a Keynesian perspective, investment is the engine of economic growth, so that investment-oriented economic policies would result in higher levels of output and employment (Keynes, 1936; Keynes, 1937). In an open economy, as considered in the so-called globalisation era of more intense capital and goods mobility, foreign capital may play an important role as a source to finance new investments and, therefore, promote domestic growth – one form of economic development.</w:t>
      </w:r>
    </w:p>
    <w:p w14:paraId="0F2139B2" w14:textId="77777777" w:rsidR="00F561D9" w:rsidRDefault="00F561D9" w:rsidP="00F561D9">
      <w:pPr>
        <w:jc w:val="both"/>
        <w:rPr>
          <w:lang w:val="en-US"/>
        </w:rPr>
      </w:pPr>
    </w:p>
    <w:p w14:paraId="08AF0868" w14:textId="77777777" w:rsidR="00F561D9" w:rsidRDefault="00F561D9" w:rsidP="00F561D9">
      <w:pPr>
        <w:jc w:val="both"/>
        <w:rPr>
          <w:lang w:val="en-GB"/>
        </w:rPr>
      </w:pPr>
      <w:r>
        <w:rPr>
          <w:lang w:val="en-US"/>
        </w:rPr>
        <w:t xml:space="preserve">Nonetheless, one should remember that this movement of global companies to reallocate their capital around the world is part of their strategy to arrange global or regional production networks in order to capture the benefits from different markets. Needless to say, cross-border capital of TNCs – commonly recognised as foreign direct investment – does not necessarily mean new investments (or </w:t>
      </w:r>
      <w:smartTag w:uri="urn:schemas-microsoft-com:office:smarttags" w:element="place">
        <w:smartTag w:uri="urn:schemas-microsoft-com:office:smarttags" w:element="City">
          <w:r>
            <w:rPr>
              <w:lang w:val="en-US"/>
            </w:rPr>
            <w:t>greenfield</w:t>
          </w:r>
        </w:smartTag>
      </w:smartTag>
      <w:r>
        <w:rPr>
          <w:lang w:val="en-US"/>
        </w:rPr>
        <w:t xml:space="preserve"> investments) in the Keynesian sense of new facilities, equipments and machineries that through linkages with other productive sectors generate more output and employment. Part of FDI may only be financial capital, generally associated with cross-border mergers and acquisitions (M&amp;A). </w:t>
      </w:r>
      <w:r w:rsidRPr="00E853AB">
        <w:rPr>
          <w:lang w:val="en-GB"/>
        </w:rPr>
        <w:t>Dunning (1994) classifies FDI into four categories according to which companies make investments</w:t>
      </w:r>
      <w:r>
        <w:rPr>
          <w:lang w:val="en-GB"/>
        </w:rPr>
        <w:t xml:space="preserve"> abroad, i.e. internationalise themselves: (a) resource seeking, to exploit natural resources or unskilled labour force; (b) market seeking, to explore domestic markets where the investment is made; (c) efficiency seeking, to explore economies of scale and scope based on production rationalisation; (d) strategic asset seeking, to assure resources and capabilities for the investing company in order to maintain or increase its competitiveness in regional or global markets, which is frequently carried out through M&amp;A.</w:t>
      </w:r>
    </w:p>
    <w:p w14:paraId="3DE22DBC" w14:textId="77777777" w:rsidR="00F561D9" w:rsidRDefault="00F561D9" w:rsidP="00F561D9">
      <w:pPr>
        <w:jc w:val="both"/>
        <w:rPr>
          <w:lang w:val="en-US"/>
        </w:rPr>
      </w:pPr>
    </w:p>
    <w:p w14:paraId="290168BA" w14:textId="77777777" w:rsidR="00F561D9" w:rsidRDefault="00F561D9" w:rsidP="00F561D9">
      <w:pPr>
        <w:jc w:val="both"/>
        <w:rPr>
          <w:lang w:val="en-GB"/>
        </w:rPr>
      </w:pPr>
      <w:r>
        <w:rPr>
          <w:lang w:val="en-US"/>
        </w:rPr>
        <w:t>In this regard, it is worthwhile highlighting in an economic development perspective that g</w:t>
      </w:r>
      <w:r w:rsidRPr="00720A84">
        <w:rPr>
          <w:lang w:val="en-GB"/>
        </w:rPr>
        <w:t xml:space="preserve">overnments’ posture towards foreign capital – basically, the degree and the manner of economic openness – </w:t>
      </w:r>
      <w:r>
        <w:rPr>
          <w:lang w:val="en-GB"/>
        </w:rPr>
        <w:t>is central to the trajectory a country may follow. T</w:t>
      </w:r>
      <w:r w:rsidRPr="00720A84">
        <w:rPr>
          <w:lang w:val="en-GB"/>
        </w:rPr>
        <w:t xml:space="preserve">ogether with </w:t>
      </w:r>
      <w:r>
        <w:rPr>
          <w:lang w:val="en-GB"/>
        </w:rPr>
        <w:t xml:space="preserve">macroeconomic and </w:t>
      </w:r>
      <w:r w:rsidRPr="00720A84">
        <w:rPr>
          <w:lang w:val="en-GB"/>
        </w:rPr>
        <w:t>other public policies</w:t>
      </w:r>
      <w:r>
        <w:rPr>
          <w:lang w:val="en-GB"/>
        </w:rPr>
        <w:t xml:space="preserve"> supporting productive investments</w:t>
      </w:r>
      <w:r w:rsidRPr="00720A84">
        <w:rPr>
          <w:lang w:val="en-GB"/>
        </w:rPr>
        <w:t xml:space="preserve">, </w:t>
      </w:r>
      <w:r>
        <w:rPr>
          <w:lang w:val="en-GB"/>
        </w:rPr>
        <w:t>such as</w:t>
      </w:r>
      <w:r w:rsidRPr="00720A84">
        <w:rPr>
          <w:lang w:val="en-GB"/>
        </w:rPr>
        <w:t xml:space="preserve"> industrial, financial, trade and foreign exchange policies, </w:t>
      </w:r>
      <w:r>
        <w:rPr>
          <w:lang w:val="en-GB"/>
        </w:rPr>
        <w:t>it has</w:t>
      </w:r>
      <w:r w:rsidRPr="00720A84">
        <w:rPr>
          <w:lang w:val="en-GB"/>
        </w:rPr>
        <w:t xml:space="preserve"> his</w:t>
      </w:r>
      <w:r>
        <w:rPr>
          <w:lang w:val="en-GB"/>
        </w:rPr>
        <w:t>torically proved to be important to</w:t>
      </w:r>
      <w:r w:rsidRPr="00720A84">
        <w:rPr>
          <w:lang w:val="en-GB"/>
        </w:rPr>
        <w:t xml:space="preserve"> different development processes of many economies</w:t>
      </w:r>
      <w:r>
        <w:rPr>
          <w:lang w:val="en-GB"/>
        </w:rPr>
        <w:t>, particularly in promoting a more sustained pattern of growth, rising the overall level of income in the country, and improving domestic social welfare (</w:t>
      </w:r>
      <w:r w:rsidRPr="00E853AB">
        <w:rPr>
          <w:lang w:val="en-US"/>
        </w:rPr>
        <w:t>Chang</w:t>
      </w:r>
      <w:r>
        <w:rPr>
          <w:lang w:val="en-US"/>
        </w:rPr>
        <w:t>,</w:t>
      </w:r>
      <w:r w:rsidRPr="00E853AB">
        <w:rPr>
          <w:lang w:val="en-US"/>
        </w:rPr>
        <w:t xml:space="preserve"> </w:t>
      </w:r>
      <w:r>
        <w:rPr>
          <w:lang w:val="en-US"/>
        </w:rPr>
        <w:t>2003a; Chang, 2003b;</w:t>
      </w:r>
      <w:r w:rsidRPr="00E853AB">
        <w:rPr>
          <w:lang w:val="en-US"/>
        </w:rPr>
        <w:t xml:space="preserve"> Di Maio</w:t>
      </w:r>
      <w:r>
        <w:rPr>
          <w:lang w:val="en-US"/>
        </w:rPr>
        <w:t>,</w:t>
      </w:r>
      <w:r w:rsidRPr="00E853AB">
        <w:rPr>
          <w:lang w:val="en-US"/>
        </w:rPr>
        <w:t xml:space="preserve"> 2009</w:t>
      </w:r>
      <w:r>
        <w:rPr>
          <w:lang w:val="en-US"/>
        </w:rPr>
        <w:t>;</w:t>
      </w:r>
      <w:r w:rsidRPr="00E853AB">
        <w:rPr>
          <w:lang w:val="en-US"/>
        </w:rPr>
        <w:t xml:space="preserve"> Hausmann &amp; Rodrik</w:t>
      </w:r>
      <w:r>
        <w:rPr>
          <w:lang w:val="en-US"/>
        </w:rPr>
        <w:t>,</w:t>
      </w:r>
      <w:r w:rsidRPr="00E853AB">
        <w:rPr>
          <w:lang w:val="en-US"/>
        </w:rPr>
        <w:t xml:space="preserve"> 2006</w:t>
      </w:r>
      <w:r>
        <w:rPr>
          <w:lang w:val="en-US"/>
        </w:rPr>
        <w:t>;</w:t>
      </w:r>
      <w:r w:rsidRPr="00E853AB">
        <w:rPr>
          <w:lang w:val="en-US"/>
        </w:rPr>
        <w:t xml:space="preserve"> Palma</w:t>
      </w:r>
      <w:r>
        <w:rPr>
          <w:lang w:val="en-US"/>
        </w:rPr>
        <w:t>,</w:t>
      </w:r>
      <w:r w:rsidRPr="00E853AB">
        <w:rPr>
          <w:lang w:val="en-US"/>
        </w:rPr>
        <w:t xml:space="preserve"> 2009</w:t>
      </w:r>
      <w:r>
        <w:rPr>
          <w:lang w:val="en-US"/>
        </w:rPr>
        <w:t>;</w:t>
      </w:r>
      <w:r w:rsidRPr="00E853AB">
        <w:rPr>
          <w:lang w:val="en-US"/>
        </w:rPr>
        <w:t xml:space="preserve"> Rodrik</w:t>
      </w:r>
      <w:r>
        <w:rPr>
          <w:lang w:val="en-US"/>
        </w:rPr>
        <w:t>,</w:t>
      </w:r>
      <w:r w:rsidRPr="00E853AB">
        <w:rPr>
          <w:lang w:val="en-US"/>
        </w:rPr>
        <w:t xml:space="preserve"> 2007a</w:t>
      </w:r>
      <w:r>
        <w:rPr>
          <w:lang w:val="en-US"/>
        </w:rPr>
        <w:t>;</w:t>
      </w:r>
      <w:r w:rsidRPr="00E853AB">
        <w:rPr>
          <w:lang w:val="en-US"/>
        </w:rPr>
        <w:t xml:space="preserve"> Wade</w:t>
      </w:r>
      <w:r>
        <w:rPr>
          <w:lang w:val="en-US"/>
        </w:rPr>
        <w:t>,</w:t>
      </w:r>
      <w:r w:rsidRPr="00E853AB">
        <w:rPr>
          <w:lang w:val="en-US"/>
        </w:rPr>
        <w:t xml:space="preserve"> 1990</w:t>
      </w:r>
      <w:r>
        <w:rPr>
          <w:lang w:val="en-US"/>
        </w:rPr>
        <w:t>)</w:t>
      </w:r>
      <w:r w:rsidRPr="00720A84">
        <w:rPr>
          <w:lang w:val="en-GB"/>
        </w:rPr>
        <w:t>.</w:t>
      </w:r>
    </w:p>
    <w:p w14:paraId="361B82D5" w14:textId="77777777" w:rsidR="00F561D9" w:rsidRDefault="00F561D9" w:rsidP="00F561D9">
      <w:pPr>
        <w:jc w:val="both"/>
        <w:rPr>
          <w:lang w:val="en-US"/>
        </w:rPr>
      </w:pPr>
    </w:p>
    <w:p w14:paraId="5877085C" w14:textId="77777777" w:rsidR="00F561D9" w:rsidRDefault="00F561D9" w:rsidP="00F561D9">
      <w:pPr>
        <w:jc w:val="both"/>
        <w:rPr>
          <w:lang w:val="en-GB"/>
        </w:rPr>
      </w:pPr>
      <w:r>
        <w:rPr>
          <w:lang w:val="en-US"/>
        </w:rPr>
        <w:t xml:space="preserve">Given these remarks about the </w:t>
      </w:r>
      <w:r>
        <w:rPr>
          <w:lang w:val="en-GB"/>
        </w:rPr>
        <w:t xml:space="preserve">globalisation process and its implications for domestic growth through the dynamics of large companies, this paper aims to discuss the character of both inward and outward movements of transnational corporations in response to economic policy orientation in </w:t>
      </w:r>
      <w:smartTag w:uri="urn:schemas-microsoft-com:office:smarttags" w:element="place">
        <w:smartTag w:uri="urn:schemas-microsoft-com:office:smarttags" w:element="country-region">
          <w:r>
            <w:rPr>
              <w:lang w:val="en-GB"/>
            </w:rPr>
            <w:t>Brazil</w:t>
          </w:r>
        </w:smartTag>
      </w:smartTag>
      <w:r>
        <w:rPr>
          <w:lang w:val="en-GB"/>
        </w:rPr>
        <w:t>. It focuses on the Brazilian development trajectory and the dynamics of transnational companies over the last two decades, a period when most liberalisation measures have been adopted in the country, until the upsurge of the financial turmoil in 2008. The analysis offers a contribution to this literature on economic policy orientation and economic development as well as allows for the recognition of several challenges posed by both inward and outward movements of TNCs to the Brazilian recovery of a sustained development trajectory, especially considering the recent international crisis context.</w:t>
      </w:r>
    </w:p>
    <w:p w14:paraId="6988893C" w14:textId="77777777" w:rsidR="00F561D9" w:rsidRDefault="00F561D9" w:rsidP="00F561D9">
      <w:pPr>
        <w:jc w:val="both"/>
        <w:rPr>
          <w:lang w:val="en-GB"/>
        </w:rPr>
      </w:pPr>
    </w:p>
    <w:p w14:paraId="3605BE81" w14:textId="77777777" w:rsidR="00F561D9" w:rsidRDefault="00F561D9" w:rsidP="00F561D9">
      <w:pPr>
        <w:jc w:val="both"/>
        <w:rPr>
          <w:lang w:val="en-GB"/>
        </w:rPr>
      </w:pPr>
      <w:r>
        <w:rPr>
          <w:lang w:val="en-GB"/>
        </w:rPr>
        <w:t>The paper presents two sections after this introduction. The fi</w:t>
      </w:r>
      <w:r w:rsidRPr="00720A84">
        <w:rPr>
          <w:lang w:val="en-GB"/>
        </w:rPr>
        <w:t xml:space="preserve">rst section </w:t>
      </w:r>
      <w:r>
        <w:rPr>
          <w:lang w:val="en-GB"/>
        </w:rPr>
        <w:t>addresses</w:t>
      </w:r>
      <w:r w:rsidRPr="00720A84">
        <w:rPr>
          <w:lang w:val="en-GB"/>
        </w:rPr>
        <w:t xml:space="preserve"> </w:t>
      </w:r>
      <w:r>
        <w:rPr>
          <w:lang w:val="en-GB"/>
        </w:rPr>
        <w:t>the presence of large foreign companies</w:t>
      </w:r>
      <w:r w:rsidRPr="00720A84">
        <w:rPr>
          <w:lang w:val="en-GB"/>
        </w:rPr>
        <w:t xml:space="preserve"> in </w:t>
      </w:r>
      <w:smartTag w:uri="urn:schemas-microsoft-com:office:smarttags" w:element="place">
        <w:smartTag w:uri="urn:schemas-microsoft-com:office:smarttags" w:element="country-region">
          <w:r w:rsidRPr="00720A84">
            <w:rPr>
              <w:lang w:val="en-GB"/>
            </w:rPr>
            <w:t>Brazil</w:t>
          </w:r>
        </w:smartTag>
      </w:smartTag>
      <w:r>
        <w:rPr>
          <w:lang w:val="en-GB"/>
        </w:rPr>
        <w:t xml:space="preserve"> and argues for different nature of foreign investments according to the shifts in economic policy orientation over the period. It distinguishes the mergers and acquisitions movement mainly on services in the 1990s from the growth recovery phase characterised by more productive investments in mid-2000s. The se</w:t>
      </w:r>
      <w:r w:rsidRPr="00720A84">
        <w:rPr>
          <w:lang w:val="en-GB"/>
        </w:rPr>
        <w:t xml:space="preserve">cond section </w:t>
      </w:r>
      <w:r>
        <w:rPr>
          <w:lang w:val="en-GB"/>
        </w:rPr>
        <w:t>discusses</w:t>
      </w:r>
      <w:r w:rsidRPr="00720A84">
        <w:rPr>
          <w:lang w:val="en-GB"/>
        </w:rPr>
        <w:t xml:space="preserve"> the emergence of Brazilian </w:t>
      </w:r>
      <w:r>
        <w:rPr>
          <w:lang w:val="en-GB"/>
        </w:rPr>
        <w:t>trans</w:t>
      </w:r>
      <w:r w:rsidRPr="00720A84">
        <w:rPr>
          <w:lang w:val="en-GB"/>
        </w:rPr>
        <w:t>national</w:t>
      </w:r>
      <w:r>
        <w:rPr>
          <w:lang w:val="en-GB"/>
        </w:rPr>
        <w:t xml:space="preserve"> groups as</w:t>
      </w:r>
      <w:r w:rsidRPr="00720A84">
        <w:rPr>
          <w:lang w:val="en-GB"/>
        </w:rPr>
        <w:t xml:space="preserve"> </w:t>
      </w:r>
      <w:r>
        <w:rPr>
          <w:lang w:val="en-GB"/>
        </w:rPr>
        <w:t xml:space="preserve">a </w:t>
      </w:r>
      <w:r w:rsidRPr="00720A84">
        <w:rPr>
          <w:lang w:val="en-GB"/>
        </w:rPr>
        <w:t xml:space="preserve">more recent </w:t>
      </w:r>
      <w:r>
        <w:rPr>
          <w:lang w:val="en-GB"/>
        </w:rPr>
        <w:t xml:space="preserve">and still regionalised phenomenon relying on a limited number of companies. It is argued that this process has taken place in a </w:t>
      </w:r>
      <w:r w:rsidRPr="00720A84">
        <w:rPr>
          <w:lang w:val="en-GB"/>
        </w:rPr>
        <w:t xml:space="preserve">favourable </w:t>
      </w:r>
      <w:r>
        <w:rPr>
          <w:lang w:val="en-GB"/>
        </w:rPr>
        <w:t xml:space="preserve">international and </w:t>
      </w:r>
      <w:r w:rsidRPr="00720A84">
        <w:rPr>
          <w:lang w:val="en-GB"/>
        </w:rPr>
        <w:t xml:space="preserve">macroeconomic environment </w:t>
      </w:r>
      <w:r>
        <w:rPr>
          <w:lang w:val="en-GB"/>
        </w:rPr>
        <w:t>combined with</w:t>
      </w:r>
      <w:r w:rsidRPr="00720A84">
        <w:rPr>
          <w:lang w:val="en-GB"/>
        </w:rPr>
        <w:t xml:space="preserve"> supportive </w:t>
      </w:r>
      <w:r>
        <w:rPr>
          <w:lang w:val="en-GB"/>
        </w:rPr>
        <w:t>governmental</w:t>
      </w:r>
      <w:r w:rsidRPr="00720A84">
        <w:rPr>
          <w:lang w:val="en-GB"/>
        </w:rPr>
        <w:t xml:space="preserve"> measures</w:t>
      </w:r>
      <w:r>
        <w:rPr>
          <w:lang w:val="en-GB"/>
        </w:rPr>
        <w:t>, particularly of the national development bank</w:t>
      </w:r>
      <w:r w:rsidRPr="00720A84">
        <w:rPr>
          <w:lang w:val="en-GB"/>
        </w:rPr>
        <w:t xml:space="preserve">. </w:t>
      </w:r>
      <w:r>
        <w:rPr>
          <w:lang w:val="en-GB"/>
        </w:rPr>
        <w:t>Some concluding remarks follow.</w:t>
      </w:r>
    </w:p>
    <w:p w14:paraId="156A306F" w14:textId="77777777" w:rsidR="00F561D9" w:rsidRPr="00720A84" w:rsidRDefault="00F561D9" w:rsidP="00F561D9">
      <w:pPr>
        <w:jc w:val="both"/>
        <w:rPr>
          <w:b/>
          <w:lang w:val="en-GB"/>
        </w:rPr>
      </w:pPr>
      <w:r w:rsidRPr="00720A84">
        <w:rPr>
          <w:b/>
          <w:lang w:val="en-GB"/>
        </w:rPr>
        <w:t xml:space="preserve">1. </w:t>
      </w:r>
      <w:r>
        <w:rPr>
          <w:b/>
          <w:lang w:val="en-GB"/>
        </w:rPr>
        <w:t>Trans</w:t>
      </w:r>
      <w:r w:rsidRPr="00720A84">
        <w:rPr>
          <w:b/>
          <w:lang w:val="en-GB"/>
        </w:rPr>
        <w:t xml:space="preserve">national companies in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xml:space="preserve">: different opportunities from </w:t>
      </w:r>
      <w:r>
        <w:rPr>
          <w:b/>
          <w:lang w:val="en-GB"/>
        </w:rPr>
        <w:t xml:space="preserve">the </w:t>
      </w:r>
      <w:r w:rsidRPr="00720A84">
        <w:rPr>
          <w:b/>
          <w:lang w:val="en-GB"/>
        </w:rPr>
        <w:t>privatisation process to</w:t>
      </w:r>
      <w:r>
        <w:rPr>
          <w:b/>
          <w:lang w:val="en-GB"/>
        </w:rPr>
        <w:t xml:space="preserve"> the</w:t>
      </w:r>
      <w:r w:rsidRPr="00720A84">
        <w:rPr>
          <w:b/>
          <w:lang w:val="en-GB"/>
        </w:rPr>
        <w:t xml:space="preserve"> economic growth recovery</w:t>
      </w:r>
    </w:p>
    <w:p w14:paraId="25D0D670" w14:textId="77777777" w:rsidR="00F561D9" w:rsidRDefault="00F561D9" w:rsidP="00F561D9">
      <w:pPr>
        <w:jc w:val="both"/>
        <w:rPr>
          <w:lang w:val="en-GB"/>
        </w:rPr>
      </w:pPr>
    </w:p>
    <w:p w14:paraId="57BF3E6F" w14:textId="77777777" w:rsidR="00F561D9" w:rsidRDefault="00F561D9" w:rsidP="00F561D9">
      <w:pPr>
        <w:jc w:val="both"/>
        <w:rPr>
          <w:lang w:val="en-GB"/>
        </w:rPr>
      </w:pPr>
      <w:r w:rsidRPr="00720A84">
        <w:rPr>
          <w:lang w:val="en-GB"/>
        </w:rPr>
        <w:t xml:space="preserve">Brazilian industrialisation process has been markedly influenced by the presence and strategies of </w:t>
      </w:r>
      <w:r>
        <w:rPr>
          <w:lang w:val="en-GB"/>
        </w:rPr>
        <w:t>trans</w:t>
      </w:r>
      <w:r w:rsidRPr="00720A84">
        <w:rPr>
          <w:lang w:val="en-GB"/>
        </w:rPr>
        <w:t xml:space="preserve">national corporations. </w:t>
      </w:r>
      <w:r>
        <w:rPr>
          <w:lang w:val="en-GB"/>
        </w:rPr>
        <w:t xml:space="preserve">Foreign capital played </w:t>
      </w:r>
      <w:r w:rsidRPr="00720A84">
        <w:rPr>
          <w:lang w:val="en-GB"/>
        </w:rPr>
        <w:t>an important role</w:t>
      </w:r>
      <w:r>
        <w:rPr>
          <w:lang w:val="en-GB"/>
        </w:rPr>
        <w:t>, es</w:t>
      </w:r>
      <w:r w:rsidRPr="00720A84">
        <w:rPr>
          <w:lang w:val="en-GB"/>
        </w:rPr>
        <w:t xml:space="preserve">pecially during the 1950s and 1960s when the production internalisation of many consumer durables, intermediate goods and capital goods took place through investments in such sectors </w:t>
      </w:r>
      <w:r>
        <w:rPr>
          <w:lang w:val="en-GB"/>
        </w:rPr>
        <w:t>which generate</w:t>
      </w:r>
      <w:r w:rsidRPr="00720A84">
        <w:rPr>
          <w:lang w:val="en-GB"/>
        </w:rPr>
        <w:t xml:space="preserve"> anticipated demand for other sectors.</w:t>
      </w:r>
    </w:p>
    <w:p w14:paraId="5ECB078E" w14:textId="77777777" w:rsidR="00F561D9" w:rsidRDefault="00F561D9" w:rsidP="00F561D9">
      <w:pPr>
        <w:jc w:val="both"/>
        <w:rPr>
          <w:lang w:val="en-GB"/>
        </w:rPr>
      </w:pPr>
    </w:p>
    <w:p w14:paraId="2DEDCD9F" w14:textId="77777777" w:rsidR="00F561D9" w:rsidRDefault="00F561D9" w:rsidP="00F561D9">
      <w:pPr>
        <w:jc w:val="both"/>
        <w:rPr>
          <w:lang w:val="en-GB"/>
        </w:rPr>
      </w:pPr>
      <w:r>
        <w:rPr>
          <w:lang w:val="en-GB"/>
        </w:rPr>
        <w:t xml:space="preserve">Capital </w:t>
      </w:r>
      <w:r w:rsidRPr="00720A84">
        <w:rPr>
          <w:lang w:val="en-GB"/>
        </w:rPr>
        <w:t xml:space="preserve">inflows have been benefited not only from </w:t>
      </w:r>
      <w:r>
        <w:rPr>
          <w:lang w:val="en-GB"/>
        </w:rPr>
        <w:t xml:space="preserve">the </w:t>
      </w:r>
      <w:r w:rsidRPr="00720A84">
        <w:rPr>
          <w:lang w:val="en-GB"/>
        </w:rPr>
        <w:t xml:space="preserve">abundance </w:t>
      </w:r>
      <w:r>
        <w:rPr>
          <w:lang w:val="en-GB"/>
        </w:rPr>
        <w:t xml:space="preserve">of capital </w:t>
      </w:r>
      <w:r w:rsidRPr="00720A84">
        <w:rPr>
          <w:lang w:val="en-GB"/>
        </w:rPr>
        <w:t xml:space="preserve">in that period of American and European companies’ decisions of internationalisation looking for new economic </w:t>
      </w:r>
      <w:r w:rsidRPr="007D5850">
        <w:rPr>
          <w:lang w:val="en-GB"/>
        </w:rPr>
        <w:t xml:space="preserve">sources of accumulation, but also from domestic policies aiming to attract capital flows. In </w:t>
      </w:r>
      <w:smartTag w:uri="urn:schemas-microsoft-com:office:smarttags" w:element="place">
        <w:smartTag w:uri="urn:schemas-microsoft-com:office:smarttags" w:element="country-region">
          <w:r w:rsidRPr="007D5850">
            <w:rPr>
              <w:lang w:val="en-GB"/>
            </w:rPr>
            <w:t>Brazil</w:t>
          </w:r>
        </w:smartTag>
      </w:smartTag>
      <w:r w:rsidRPr="007D5850">
        <w:rPr>
          <w:lang w:val="en-GB"/>
        </w:rPr>
        <w:t>,</w:t>
      </w:r>
      <w:r w:rsidRPr="00720A84">
        <w:rPr>
          <w:lang w:val="en-GB"/>
        </w:rPr>
        <w:t xml:space="preserve"> SUMOC Instruction 113, implemented in 1955, allowed direct import of equipment and capital goods in general at the most favoured exchange rate as a way to get the necessary technology to continue and deepen the industrialisation process as well as to finance it </w:t>
      </w:r>
      <w:r w:rsidRPr="00E853AB">
        <w:rPr>
          <w:lang w:val="en-GB"/>
        </w:rPr>
        <w:t>(Fishlow, 1972).</w:t>
      </w:r>
    </w:p>
    <w:p w14:paraId="16F609FB" w14:textId="77777777" w:rsidR="00F561D9" w:rsidRPr="00720A84" w:rsidRDefault="00F561D9" w:rsidP="00F561D9">
      <w:pPr>
        <w:jc w:val="both"/>
        <w:rPr>
          <w:lang w:val="en-GB"/>
        </w:rPr>
      </w:pPr>
    </w:p>
    <w:p w14:paraId="77E9A504" w14:textId="77777777" w:rsidR="00F561D9" w:rsidRDefault="00F561D9" w:rsidP="00F561D9">
      <w:pPr>
        <w:jc w:val="both"/>
        <w:rPr>
          <w:lang w:val="en-GB"/>
        </w:rPr>
      </w:pPr>
      <w:r w:rsidRPr="00720A84">
        <w:rPr>
          <w:lang w:val="en-GB"/>
        </w:rPr>
        <w:t xml:space="preserve">Different from other industrialisation processes, notably from East Asian countries, </w:t>
      </w:r>
      <w:smartTag w:uri="urn:schemas-microsoft-com:office:smarttags" w:element="place">
        <w:smartTag w:uri="urn:schemas-microsoft-com:office:smarttags" w:element="country-region">
          <w:r w:rsidRPr="00720A84">
            <w:rPr>
              <w:lang w:val="en-GB"/>
            </w:rPr>
            <w:t>Brazil</w:t>
          </w:r>
        </w:smartTag>
      </w:smartTag>
      <w:r w:rsidRPr="00720A84">
        <w:rPr>
          <w:lang w:val="en-GB"/>
        </w:rPr>
        <w:t xml:space="preserve"> has always intensely relied more on an interaction between state and foreign capital than </w:t>
      </w:r>
      <w:r>
        <w:rPr>
          <w:lang w:val="en-GB"/>
        </w:rPr>
        <w:t xml:space="preserve">on </w:t>
      </w:r>
      <w:r w:rsidRPr="00720A84">
        <w:rPr>
          <w:lang w:val="en-GB"/>
        </w:rPr>
        <w:t xml:space="preserve">national private business. </w:t>
      </w:r>
      <w:r>
        <w:rPr>
          <w:lang w:val="en-GB"/>
        </w:rPr>
        <w:t>T</w:t>
      </w:r>
      <w:r w:rsidRPr="00720A84">
        <w:rPr>
          <w:lang w:val="en-GB"/>
        </w:rPr>
        <w:t>hree interesting features</w:t>
      </w:r>
      <w:r>
        <w:rPr>
          <w:lang w:val="en-GB"/>
        </w:rPr>
        <w:t xml:space="preserve"> could be highlighted</w:t>
      </w:r>
      <w:r w:rsidRPr="00720A84">
        <w:rPr>
          <w:lang w:val="en-GB"/>
        </w:rPr>
        <w:t xml:space="preserve">. Firstly, there has been no such a policy to create “national champions”, frequently adopted by Asian countries </w:t>
      </w:r>
      <w:r>
        <w:rPr>
          <w:lang w:val="en-GB"/>
        </w:rPr>
        <w:t xml:space="preserve">such as the </w:t>
      </w:r>
      <w:r w:rsidRPr="00720A84">
        <w:rPr>
          <w:lang w:val="en-GB"/>
        </w:rPr>
        <w:t xml:space="preserve">Republic of Korea and China, although most private companies </w:t>
      </w:r>
      <w:r>
        <w:rPr>
          <w:lang w:val="en-GB"/>
        </w:rPr>
        <w:t>were</w:t>
      </w:r>
      <w:r w:rsidRPr="00720A84">
        <w:rPr>
          <w:lang w:val="en-GB"/>
        </w:rPr>
        <w:t xml:space="preserve"> created during the Import Substitution Industrialisation (ISI) period and benefited from subsidies and protected market. Secondly, most large Brazilian corporations during the period of massive industrialisation t</w:t>
      </w:r>
      <w:r>
        <w:rPr>
          <w:lang w:val="en-GB"/>
        </w:rPr>
        <w:t xml:space="preserve">hat lasted until the late 1970s </w:t>
      </w:r>
      <w:r w:rsidRPr="00720A84">
        <w:rPr>
          <w:lang w:val="en-GB"/>
        </w:rPr>
        <w:t>were state-owned companies, such as CSN, Embraer, Petrobrás</w:t>
      </w:r>
      <w:r>
        <w:rPr>
          <w:lang w:val="en-GB"/>
        </w:rPr>
        <w:t>,</w:t>
      </w:r>
      <w:r w:rsidRPr="00720A84">
        <w:rPr>
          <w:lang w:val="en-GB"/>
        </w:rPr>
        <w:t xml:space="preserve"> and Vale</w:t>
      </w:r>
      <w:r>
        <w:rPr>
          <w:lang w:val="en-GB"/>
        </w:rPr>
        <w:t>.</w:t>
      </w:r>
      <w:r w:rsidRPr="00720A84">
        <w:rPr>
          <w:lang w:val="en-GB"/>
        </w:rPr>
        <w:t xml:space="preserve"> Many of them, however, were privatised in the 1990s</w:t>
      </w:r>
      <w:r w:rsidRPr="00720A84">
        <w:rPr>
          <w:rStyle w:val="Refdenotaderodap"/>
          <w:lang w:val="en-GB"/>
        </w:rPr>
        <w:footnoteReference w:id="3"/>
      </w:r>
      <w:r w:rsidRPr="00720A84">
        <w:rPr>
          <w:lang w:val="en-GB"/>
        </w:rPr>
        <w:t xml:space="preserve"> foll</w:t>
      </w:r>
      <w:r>
        <w:rPr>
          <w:lang w:val="en-GB"/>
        </w:rPr>
        <w:t xml:space="preserve">owing a new economic </w:t>
      </w:r>
      <w:r w:rsidRPr="00720A84">
        <w:rPr>
          <w:lang w:val="en-GB"/>
        </w:rPr>
        <w:t>conception summarised in the so-called “Washington Consensus”</w:t>
      </w:r>
      <w:r w:rsidRPr="00720A84">
        <w:rPr>
          <w:rStyle w:val="Refdenotaderodap"/>
          <w:lang w:val="en-GB"/>
        </w:rPr>
        <w:footnoteReference w:id="4"/>
      </w:r>
      <w:r w:rsidRPr="00720A84">
        <w:rPr>
          <w:lang w:val="en-GB"/>
        </w:rPr>
        <w:t>.</w:t>
      </w:r>
    </w:p>
    <w:p w14:paraId="596C8B8E" w14:textId="77777777" w:rsidR="00F561D9" w:rsidRDefault="00F561D9" w:rsidP="00F561D9">
      <w:pPr>
        <w:jc w:val="both"/>
        <w:rPr>
          <w:lang w:val="en-GB"/>
        </w:rPr>
      </w:pPr>
    </w:p>
    <w:p w14:paraId="34329F3A" w14:textId="77777777" w:rsidR="00F561D9" w:rsidRDefault="00F561D9" w:rsidP="00F561D9">
      <w:pPr>
        <w:widowControl w:val="0"/>
        <w:jc w:val="both"/>
        <w:rPr>
          <w:lang w:val="en-GB"/>
        </w:rPr>
      </w:pPr>
      <w:r w:rsidRPr="00720A84">
        <w:rPr>
          <w:lang w:val="en-GB"/>
        </w:rPr>
        <w:t>Thirdly, Brazilian private business groups, which although public companies remain basically under the control of particular families, have often concentrated themselves in lower value-added consumer goods. One of the major criticisms of these companies</w:t>
      </w:r>
      <w:r>
        <w:rPr>
          <w:lang w:val="en-GB"/>
        </w:rPr>
        <w:t>’</w:t>
      </w:r>
      <w:r w:rsidRPr="00720A84">
        <w:rPr>
          <w:lang w:val="en-GB"/>
        </w:rPr>
        <w:t xml:space="preserve"> behaviour lies </w:t>
      </w:r>
      <w:r>
        <w:rPr>
          <w:lang w:val="en-GB"/>
        </w:rPr>
        <w:t>in</w:t>
      </w:r>
      <w:r w:rsidRPr="00720A84">
        <w:rPr>
          <w:lang w:val="en-GB"/>
        </w:rPr>
        <w:t xml:space="preserve"> the fact that they have never been active players in promoting </w:t>
      </w:r>
      <w:r>
        <w:rPr>
          <w:lang w:val="en-GB"/>
        </w:rPr>
        <w:t xml:space="preserve">domestic </w:t>
      </w:r>
      <w:r w:rsidRPr="00720A84">
        <w:rPr>
          <w:lang w:val="en-GB"/>
        </w:rPr>
        <w:t>industrialisation and development. Th</w:t>
      </w:r>
      <w:r>
        <w:rPr>
          <w:lang w:val="en-GB"/>
        </w:rPr>
        <w:t>eir</w:t>
      </w:r>
      <w:r w:rsidRPr="00720A84">
        <w:rPr>
          <w:lang w:val="en-GB"/>
        </w:rPr>
        <w:t xml:space="preserve"> lack of “animal spirits”</w:t>
      </w:r>
      <w:r w:rsidRPr="00720A84">
        <w:rPr>
          <w:rStyle w:val="Refdenotaderodap"/>
          <w:lang w:val="en-GB"/>
        </w:rPr>
        <w:footnoteReference w:id="5"/>
      </w:r>
      <w:r w:rsidRPr="00720A84">
        <w:rPr>
          <w:lang w:val="en-GB"/>
        </w:rPr>
        <w:t xml:space="preserve"> </w:t>
      </w:r>
      <w:r>
        <w:rPr>
          <w:lang w:val="en-GB"/>
        </w:rPr>
        <w:t>or</w:t>
      </w:r>
      <w:r w:rsidRPr="00720A84">
        <w:rPr>
          <w:lang w:val="en-GB"/>
        </w:rPr>
        <w:t xml:space="preserve"> “entrepreneurship”</w:t>
      </w:r>
      <w:r w:rsidRPr="00720A84">
        <w:rPr>
          <w:rStyle w:val="Refdenotaderodap"/>
          <w:lang w:val="en-GB"/>
        </w:rPr>
        <w:footnoteReference w:id="6"/>
      </w:r>
      <w:r w:rsidRPr="00720A84">
        <w:rPr>
          <w:lang w:val="en-GB"/>
        </w:rPr>
        <w:t xml:space="preserve"> could be </w:t>
      </w:r>
      <w:r>
        <w:rPr>
          <w:lang w:val="en-GB"/>
        </w:rPr>
        <w:t xml:space="preserve">both </w:t>
      </w:r>
      <w:r w:rsidRPr="00720A84">
        <w:rPr>
          <w:lang w:val="en-GB"/>
        </w:rPr>
        <w:t xml:space="preserve">due to their close relationship with the state in the sense that investments </w:t>
      </w:r>
      <w:r>
        <w:rPr>
          <w:lang w:val="en-GB"/>
        </w:rPr>
        <w:t>were</w:t>
      </w:r>
      <w:r w:rsidRPr="00720A84">
        <w:rPr>
          <w:lang w:val="en-GB"/>
        </w:rPr>
        <w:t xml:space="preserve"> conducted when the risk of failure </w:t>
      </w:r>
      <w:r>
        <w:rPr>
          <w:lang w:val="en-GB"/>
        </w:rPr>
        <w:t>was</w:t>
      </w:r>
      <w:r w:rsidRPr="00720A84">
        <w:rPr>
          <w:lang w:val="en-GB"/>
        </w:rPr>
        <w:t xml:space="preserve"> almost nonexistent and due to private financial institutions in Brazil which have historically based their operations on high-</w:t>
      </w:r>
      <w:r w:rsidRPr="00E853AB">
        <w:rPr>
          <w:lang w:val="en-GB"/>
        </w:rPr>
        <w:t>profit and low-risk financial instruments</w:t>
      </w:r>
      <w:r w:rsidRPr="00E853AB">
        <w:rPr>
          <w:rStyle w:val="Refdenotaderodap"/>
          <w:lang w:val="en-GB"/>
        </w:rPr>
        <w:footnoteReference w:id="7"/>
      </w:r>
      <w:r w:rsidRPr="00E853AB">
        <w:rPr>
          <w:lang w:val="en-GB"/>
        </w:rPr>
        <w:t xml:space="preserve"> instead of supporting </w:t>
      </w:r>
      <w:r>
        <w:rPr>
          <w:lang w:val="en-GB"/>
        </w:rPr>
        <w:t xml:space="preserve">new </w:t>
      </w:r>
      <w:r w:rsidRPr="00E853AB">
        <w:rPr>
          <w:lang w:val="en-GB"/>
        </w:rPr>
        <w:t>investments (Miranda &amp; Tavares, 2000).</w:t>
      </w:r>
    </w:p>
    <w:p w14:paraId="15134957" w14:textId="77777777" w:rsidR="00F561D9" w:rsidRPr="00720A84" w:rsidRDefault="00F561D9" w:rsidP="00F561D9">
      <w:pPr>
        <w:widowControl w:val="0"/>
        <w:jc w:val="both"/>
        <w:rPr>
          <w:lang w:val="en-GB"/>
        </w:rPr>
      </w:pPr>
    </w:p>
    <w:p w14:paraId="1FF15D35" w14:textId="77777777" w:rsidR="00F561D9" w:rsidRDefault="00F561D9" w:rsidP="00F561D9">
      <w:pPr>
        <w:jc w:val="both"/>
        <w:rPr>
          <w:lang w:val="en-GB"/>
        </w:rPr>
      </w:pPr>
      <w:r>
        <w:rPr>
          <w:lang w:val="en-GB"/>
        </w:rPr>
        <w:t>Th</w:t>
      </w:r>
      <w:r w:rsidRPr="00720A84">
        <w:rPr>
          <w:lang w:val="en-GB"/>
        </w:rPr>
        <w:t xml:space="preserve">erefore, the importance of foreign capital </w:t>
      </w:r>
      <w:r>
        <w:rPr>
          <w:lang w:val="en-GB"/>
        </w:rPr>
        <w:t>for the</w:t>
      </w:r>
      <w:r w:rsidRPr="00720A84">
        <w:rPr>
          <w:lang w:val="en-GB"/>
        </w:rPr>
        <w:t xml:space="preserve"> Brazilian development path </w:t>
      </w:r>
      <w:r>
        <w:rPr>
          <w:lang w:val="en-GB"/>
        </w:rPr>
        <w:t>has been clear</w:t>
      </w:r>
      <w:r w:rsidRPr="00720A84">
        <w:rPr>
          <w:lang w:val="en-GB"/>
        </w:rPr>
        <w:t xml:space="preserve">. </w:t>
      </w:r>
      <w:r>
        <w:rPr>
          <w:lang w:val="en-GB"/>
        </w:rPr>
        <w:t xml:space="preserve">The regulated </w:t>
      </w:r>
      <w:r w:rsidRPr="00720A84">
        <w:rPr>
          <w:lang w:val="en-GB"/>
        </w:rPr>
        <w:t>state-led period</w:t>
      </w:r>
      <w:r>
        <w:rPr>
          <w:lang w:val="en-GB"/>
        </w:rPr>
        <w:t>, however,</w:t>
      </w:r>
      <w:r w:rsidRPr="00720A84">
        <w:rPr>
          <w:lang w:val="en-GB"/>
        </w:rPr>
        <w:t xml:space="preserve"> has been replaced by the </w:t>
      </w:r>
      <w:r>
        <w:rPr>
          <w:lang w:val="en-GB"/>
        </w:rPr>
        <w:t xml:space="preserve">so-called </w:t>
      </w:r>
      <w:r w:rsidRPr="00720A84">
        <w:rPr>
          <w:lang w:val="en-GB"/>
        </w:rPr>
        <w:t xml:space="preserve">globalisation era, governed in most countries by a market-oriented agenda </w:t>
      </w:r>
      <w:r>
        <w:rPr>
          <w:lang w:val="en-GB"/>
        </w:rPr>
        <w:t xml:space="preserve">based on </w:t>
      </w:r>
      <w:r w:rsidRPr="00720A84">
        <w:rPr>
          <w:lang w:val="en-GB"/>
        </w:rPr>
        <w:t>let</w:t>
      </w:r>
      <w:r>
        <w:rPr>
          <w:lang w:val="en-GB"/>
        </w:rPr>
        <w:t>ting</w:t>
      </w:r>
      <w:r w:rsidRPr="00720A84">
        <w:rPr>
          <w:lang w:val="en-GB"/>
        </w:rPr>
        <w:t xml:space="preserve"> the markets get the prices right</w:t>
      </w:r>
      <w:r>
        <w:rPr>
          <w:lang w:val="en-GB"/>
        </w:rPr>
        <w:t>, i.e. deregulating markets or avoiding major governmental intervention to the markets functioning.</w:t>
      </w:r>
    </w:p>
    <w:p w14:paraId="0991827D" w14:textId="77777777" w:rsidR="00F561D9" w:rsidRDefault="00F561D9" w:rsidP="00F561D9">
      <w:pPr>
        <w:jc w:val="both"/>
        <w:rPr>
          <w:lang w:val="en-GB"/>
        </w:rPr>
      </w:pPr>
    </w:p>
    <w:p w14:paraId="2E47ACC9" w14:textId="77777777" w:rsidR="00F561D9" w:rsidRDefault="00F561D9" w:rsidP="00F561D9">
      <w:pPr>
        <w:jc w:val="both"/>
        <w:rPr>
          <w:lang w:val="en-GB"/>
        </w:rPr>
      </w:pPr>
      <w:smartTag w:uri="urn:schemas-microsoft-com:office:smarttags" w:element="address">
        <w:smartTag w:uri="urn:schemas-microsoft-com:office:smarttags" w:element="Street">
          <w:r w:rsidRPr="00720A84">
            <w:rPr>
              <w:lang w:val="en-GB"/>
            </w:rPr>
            <w:t>Box</w:t>
          </w:r>
        </w:smartTag>
        <w:r w:rsidRPr="00720A84">
          <w:rPr>
            <w:lang w:val="en-GB"/>
          </w:rPr>
          <w:t xml:space="preserve"> 1</w:t>
        </w:r>
      </w:smartTag>
      <w:r w:rsidRPr="00720A84">
        <w:rPr>
          <w:lang w:val="en-GB"/>
        </w:rPr>
        <w:t xml:space="preserve"> shows the basic recommendations to pursue economic growth under this approach. On the left, there are policies expressed by the “Washington Consensus” view which were mostly implemented </w:t>
      </w:r>
      <w:r>
        <w:rPr>
          <w:lang w:val="en-GB"/>
        </w:rPr>
        <w:t xml:space="preserve">by countries, particularly in </w:t>
      </w:r>
      <w:smartTag w:uri="urn:schemas-microsoft-com:office:smarttags" w:element="place">
        <w:r>
          <w:rPr>
            <w:lang w:val="en-GB"/>
          </w:rPr>
          <w:t>Latin America</w:t>
        </w:r>
      </w:smartTag>
      <w:r>
        <w:rPr>
          <w:lang w:val="en-GB"/>
        </w:rPr>
        <w:t xml:space="preserve">, </w:t>
      </w:r>
      <w:r w:rsidRPr="00720A84">
        <w:rPr>
          <w:lang w:val="en-GB"/>
        </w:rPr>
        <w:t xml:space="preserve">during the 1980s and the early 1990s. On the right, </w:t>
      </w:r>
      <w:r>
        <w:rPr>
          <w:lang w:val="en-GB"/>
        </w:rPr>
        <w:t xml:space="preserve">there are </w:t>
      </w:r>
      <w:r w:rsidRPr="00720A84">
        <w:rPr>
          <w:lang w:val="en-GB"/>
        </w:rPr>
        <w:t xml:space="preserve">recommendation policies that emerged in the late 1990s to reply to some criticisms of the reasons </w:t>
      </w:r>
      <w:r w:rsidRPr="00720A84">
        <w:rPr>
          <w:lang w:val="en-GB"/>
        </w:rPr>
        <w:lastRenderedPageBreak/>
        <w:t xml:space="preserve">why countries in fact did not succeed by adopting initial policies </w:t>
      </w:r>
      <w:r>
        <w:rPr>
          <w:lang w:val="en-GB"/>
        </w:rPr>
        <w:t>but</w:t>
      </w:r>
      <w:r w:rsidRPr="00720A84">
        <w:rPr>
          <w:lang w:val="en-GB"/>
        </w:rPr>
        <w:t xml:space="preserve">, on the contrary, were facing </w:t>
      </w:r>
      <w:r>
        <w:rPr>
          <w:lang w:val="en-GB"/>
        </w:rPr>
        <w:t xml:space="preserve">a </w:t>
      </w:r>
      <w:r w:rsidRPr="00720A84">
        <w:rPr>
          <w:lang w:val="en-GB"/>
        </w:rPr>
        <w:t>financial crisis</w:t>
      </w:r>
      <w:r w:rsidRPr="00720A84">
        <w:rPr>
          <w:rStyle w:val="Refdenotaderodap"/>
          <w:lang w:val="en-GB"/>
        </w:rPr>
        <w:footnoteReference w:id="8"/>
      </w:r>
      <w:r w:rsidRPr="00720A84">
        <w:rPr>
          <w:lang w:val="en-GB"/>
        </w:rPr>
        <w:t xml:space="preserve">. The choice should be </w:t>
      </w:r>
      <w:r>
        <w:rPr>
          <w:lang w:val="en-GB"/>
        </w:rPr>
        <w:t xml:space="preserve">then to </w:t>
      </w:r>
      <w:r w:rsidRPr="00720A84">
        <w:rPr>
          <w:lang w:val="en-GB"/>
        </w:rPr>
        <w:t xml:space="preserve">deepen </w:t>
      </w:r>
      <w:r>
        <w:rPr>
          <w:lang w:val="en-GB"/>
        </w:rPr>
        <w:t xml:space="preserve">economic </w:t>
      </w:r>
      <w:r w:rsidRPr="00720A84">
        <w:rPr>
          <w:lang w:val="en-GB"/>
        </w:rPr>
        <w:t>reforms under a second and third generation of reforms</w:t>
      </w:r>
      <w:r>
        <w:rPr>
          <w:lang w:val="en-GB"/>
        </w:rPr>
        <w:t>,</w:t>
      </w:r>
      <w:r w:rsidRPr="00720A84">
        <w:rPr>
          <w:lang w:val="en-GB"/>
        </w:rPr>
        <w:t xml:space="preserve"> particularly focused on institutional adjustments </w:t>
      </w:r>
      <w:r>
        <w:rPr>
          <w:lang w:val="en-GB"/>
        </w:rPr>
        <w:t xml:space="preserve">regarding </w:t>
      </w:r>
      <w:r w:rsidRPr="00720A84">
        <w:rPr>
          <w:lang w:val="en-GB"/>
        </w:rPr>
        <w:t xml:space="preserve">both </w:t>
      </w:r>
      <w:r w:rsidRPr="00E853AB">
        <w:rPr>
          <w:lang w:val="en-GB"/>
        </w:rPr>
        <w:t>microeconomic level and macroeconomic prudential regulation (Rodrik, 2007b; Kuczynski &amp; Williamson, 2003).</w:t>
      </w:r>
    </w:p>
    <w:p w14:paraId="0EBC576A" w14:textId="77777777" w:rsidR="00F561D9" w:rsidRPr="00162EEC" w:rsidRDefault="00F561D9" w:rsidP="00F561D9">
      <w:pPr>
        <w:jc w:val="both"/>
        <w:rPr>
          <w:lang w:val="en-GB"/>
        </w:rPr>
      </w:pPr>
    </w:p>
    <w:p w14:paraId="6A72406B" w14:textId="77777777" w:rsidR="00F561D9" w:rsidRPr="00720A84" w:rsidRDefault="00F561D9" w:rsidP="00F561D9">
      <w:pPr>
        <w:jc w:val="center"/>
        <w:rPr>
          <w:b/>
          <w:lang w:val="en-GB"/>
        </w:rPr>
      </w:pPr>
      <w:smartTag w:uri="urn:schemas-microsoft-com:office:smarttags" w:element="address">
        <w:smartTag w:uri="urn:schemas-microsoft-com:office:smarttags" w:element="Street">
          <w:r w:rsidRPr="00720A84">
            <w:rPr>
              <w:b/>
              <w:lang w:val="en-GB"/>
            </w:rPr>
            <w:t>Box</w:t>
          </w:r>
        </w:smartTag>
        <w:r w:rsidRPr="00720A84">
          <w:rPr>
            <w:b/>
            <w:lang w:val="en-GB"/>
          </w:rPr>
          <w:t xml:space="preserve"> 1</w:t>
        </w:r>
      </w:smartTag>
      <w:r w:rsidRPr="00720A84">
        <w:rPr>
          <w:b/>
          <w:lang w:val="en-GB"/>
        </w:rPr>
        <w:t>. Pursuing economic growth policies according to the neoliberal approach</w:t>
      </w:r>
    </w:p>
    <w:tbl>
      <w:tblPr>
        <w:tblStyle w:val="Tabelacomgrade"/>
        <w:tblW w:w="8841"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
      <w:tblGrid>
        <w:gridCol w:w="3693"/>
        <w:gridCol w:w="5148"/>
      </w:tblGrid>
      <w:tr w:rsidR="00F561D9" w:rsidRPr="00720A84" w14:paraId="0C30FE99" w14:textId="77777777" w:rsidTr="006B40CA">
        <w:trPr>
          <w:jc w:val="center"/>
        </w:trPr>
        <w:tc>
          <w:tcPr>
            <w:tcW w:w="3693" w:type="dxa"/>
            <w:tcBorders>
              <w:top w:val="single" w:sz="12" w:space="0" w:color="auto"/>
              <w:bottom w:val="single" w:sz="8" w:space="0" w:color="auto"/>
            </w:tcBorders>
            <w:vAlign w:val="center"/>
          </w:tcPr>
          <w:p w14:paraId="3C1E2A94" w14:textId="77777777" w:rsidR="00F561D9" w:rsidRPr="00720A84" w:rsidRDefault="00F561D9" w:rsidP="006B40CA">
            <w:pPr>
              <w:jc w:val="center"/>
              <w:rPr>
                <w:b/>
                <w:lang w:val="en-GB"/>
              </w:rPr>
            </w:pPr>
            <w:r w:rsidRPr="00720A84">
              <w:rPr>
                <w:b/>
                <w:lang w:val="en-GB"/>
              </w:rPr>
              <w:t>Original “</w:t>
            </w:r>
            <w:smartTag w:uri="urn:schemas-microsoft-com:office:smarttags" w:element="State">
              <w:smartTag w:uri="urn:schemas-microsoft-com:office:smarttags" w:element="place">
                <w:r w:rsidRPr="00720A84">
                  <w:rPr>
                    <w:b/>
                    <w:lang w:val="en-GB"/>
                  </w:rPr>
                  <w:t>Washington</w:t>
                </w:r>
              </w:smartTag>
            </w:smartTag>
            <w:r w:rsidRPr="00720A84">
              <w:rPr>
                <w:b/>
                <w:lang w:val="en-GB"/>
              </w:rPr>
              <w:t xml:space="preserve"> Consensus”</w:t>
            </w:r>
          </w:p>
        </w:tc>
        <w:tc>
          <w:tcPr>
            <w:tcW w:w="5148" w:type="dxa"/>
            <w:tcBorders>
              <w:top w:val="single" w:sz="12" w:space="0" w:color="auto"/>
              <w:bottom w:val="single" w:sz="8" w:space="0" w:color="auto"/>
            </w:tcBorders>
            <w:vAlign w:val="center"/>
          </w:tcPr>
          <w:p w14:paraId="6C544435" w14:textId="77777777" w:rsidR="00F561D9" w:rsidRPr="00720A84" w:rsidRDefault="00F561D9" w:rsidP="006B40CA">
            <w:pPr>
              <w:jc w:val="center"/>
              <w:rPr>
                <w:b/>
                <w:lang w:val="en-GB"/>
              </w:rPr>
            </w:pPr>
            <w:r w:rsidRPr="00720A84">
              <w:rPr>
                <w:b/>
                <w:lang w:val="en-GB"/>
              </w:rPr>
              <w:t xml:space="preserve">“Augmented </w:t>
            </w:r>
            <w:smartTag w:uri="urn:schemas-microsoft-com:office:smarttags" w:element="State">
              <w:smartTag w:uri="urn:schemas-microsoft-com:office:smarttags" w:element="place">
                <w:r w:rsidRPr="00720A84">
                  <w:rPr>
                    <w:b/>
                    <w:lang w:val="en-GB"/>
                  </w:rPr>
                  <w:t>Washington</w:t>
                </w:r>
              </w:smartTag>
            </w:smartTag>
            <w:r w:rsidRPr="00720A84">
              <w:rPr>
                <w:b/>
                <w:lang w:val="en-GB"/>
              </w:rPr>
              <w:t xml:space="preserve"> Consensus”</w:t>
            </w:r>
          </w:p>
          <w:p w14:paraId="77C99A4A" w14:textId="77777777" w:rsidR="00F561D9" w:rsidRPr="00720A84" w:rsidRDefault="00F561D9" w:rsidP="006B40CA">
            <w:pPr>
              <w:jc w:val="center"/>
              <w:rPr>
                <w:b/>
                <w:lang w:val="en-GB"/>
              </w:rPr>
            </w:pPr>
            <w:r w:rsidRPr="00720A84">
              <w:rPr>
                <w:b/>
                <w:lang w:val="en-GB"/>
              </w:rPr>
              <w:t>(additions to the original 10 items)</w:t>
            </w:r>
          </w:p>
        </w:tc>
      </w:tr>
      <w:tr w:rsidR="00F561D9" w:rsidRPr="00720A84" w14:paraId="07E82689" w14:textId="77777777" w:rsidTr="006B40CA">
        <w:trPr>
          <w:jc w:val="center"/>
        </w:trPr>
        <w:tc>
          <w:tcPr>
            <w:tcW w:w="3693" w:type="dxa"/>
            <w:tcBorders>
              <w:top w:val="single" w:sz="8" w:space="0" w:color="auto"/>
            </w:tcBorders>
            <w:vAlign w:val="center"/>
          </w:tcPr>
          <w:p w14:paraId="4EA3F4D8" w14:textId="77777777" w:rsidR="00F561D9" w:rsidRPr="00720A84" w:rsidRDefault="00F561D9" w:rsidP="006B40CA">
            <w:pPr>
              <w:rPr>
                <w:lang w:val="en-GB"/>
              </w:rPr>
            </w:pPr>
            <w:r w:rsidRPr="00720A84">
              <w:rPr>
                <w:lang w:val="en-GB"/>
              </w:rPr>
              <w:t>1. Fiscal discipline</w:t>
            </w:r>
          </w:p>
        </w:tc>
        <w:tc>
          <w:tcPr>
            <w:tcW w:w="5148" w:type="dxa"/>
            <w:tcBorders>
              <w:top w:val="single" w:sz="8" w:space="0" w:color="auto"/>
            </w:tcBorders>
            <w:vAlign w:val="center"/>
          </w:tcPr>
          <w:p w14:paraId="02F4E454" w14:textId="77777777" w:rsidR="00F561D9" w:rsidRPr="00720A84" w:rsidRDefault="00F561D9" w:rsidP="006B40CA">
            <w:pPr>
              <w:rPr>
                <w:lang w:val="en-GB"/>
              </w:rPr>
            </w:pPr>
            <w:r w:rsidRPr="00720A84">
              <w:rPr>
                <w:lang w:val="en-GB"/>
              </w:rPr>
              <w:t>11. Corporate governance</w:t>
            </w:r>
          </w:p>
        </w:tc>
      </w:tr>
      <w:tr w:rsidR="00F561D9" w:rsidRPr="00720A84" w14:paraId="70EC151C" w14:textId="77777777" w:rsidTr="006B40CA">
        <w:trPr>
          <w:jc w:val="center"/>
        </w:trPr>
        <w:tc>
          <w:tcPr>
            <w:tcW w:w="3693" w:type="dxa"/>
            <w:vAlign w:val="center"/>
          </w:tcPr>
          <w:p w14:paraId="701B1C34" w14:textId="77777777" w:rsidR="00F561D9" w:rsidRPr="00720A84" w:rsidRDefault="00F561D9" w:rsidP="006B40CA">
            <w:pPr>
              <w:rPr>
                <w:lang w:val="en-GB"/>
              </w:rPr>
            </w:pPr>
            <w:r w:rsidRPr="00720A84">
              <w:rPr>
                <w:lang w:val="en-GB"/>
              </w:rPr>
              <w:t>2. Reorientation of public expenditures</w:t>
            </w:r>
          </w:p>
        </w:tc>
        <w:tc>
          <w:tcPr>
            <w:tcW w:w="5148" w:type="dxa"/>
            <w:vAlign w:val="center"/>
          </w:tcPr>
          <w:p w14:paraId="5B15DDD5" w14:textId="77777777" w:rsidR="00F561D9" w:rsidRPr="00720A84" w:rsidRDefault="00F561D9" w:rsidP="006B40CA">
            <w:pPr>
              <w:rPr>
                <w:lang w:val="en-GB"/>
              </w:rPr>
            </w:pPr>
            <w:r w:rsidRPr="00720A84">
              <w:rPr>
                <w:lang w:val="en-GB"/>
              </w:rPr>
              <w:t>12. Anticorruption</w:t>
            </w:r>
          </w:p>
        </w:tc>
      </w:tr>
      <w:tr w:rsidR="00F561D9" w:rsidRPr="00720A84" w14:paraId="7D7FD516" w14:textId="77777777" w:rsidTr="006B40CA">
        <w:trPr>
          <w:jc w:val="center"/>
        </w:trPr>
        <w:tc>
          <w:tcPr>
            <w:tcW w:w="3693" w:type="dxa"/>
            <w:vAlign w:val="center"/>
          </w:tcPr>
          <w:p w14:paraId="2BF2C01F" w14:textId="77777777" w:rsidR="00F561D9" w:rsidRPr="00720A84" w:rsidRDefault="00F561D9" w:rsidP="006B40CA">
            <w:pPr>
              <w:rPr>
                <w:lang w:val="en-GB"/>
              </w:rPr>
            </w:pPr>
            <w:r w:rsidRPr="00720A84">
              <w:rPr>
                <w:lang w:val="en-GB"/>
              </w:rPr>
              <w:t>3. Tax reform</w:t>
            </w:r>
          </w:p>
        </w:tc>
        <w:tc>
          <w:tcPr>
            <w:tcW w:w="5148" w:type="dxa"/>
            <w:vAlign w:val="center"/>
          </w:tcPr>
          <w:p w14:paraId="1AC11CF0" w14:textId="77777777" w:rsidR="00F561D9" w:rsidRPr="00720A84" w:rsidRDefault="00F561D9" w:rsidP="006B40CA">
            <w:pPr>
              <w:rPr>
                <w:lang w:val="en-GB"/>
              </w:rPr>
            </w:pPr>
            <w:r w:rsidRPr="00720A84">
              <w:rPr>
                <w:lang w:val="en-GB"/>
              </w:rPr>
              <w:t>13. Flexible labour markets</w:t>
            </w:r>
          </w:p>
        </w:tc>
      </w:tr>
      <w:tr w:rsidR="00F561D9" w:rsidRPr="00720A84" w14:paraId="4A3F8888" w14:textId="77777777" w:rsidTr="006B40CA">
        <w:trPr>
          <w:jc w:val="center"/>
        </w:trPr>
        <w:tc>
          <w:tcPr>
            <w:tcW w:w="3693" w:type="dxa"/>
            <w:vAlign w:val="center"/>
          </w:tcPr>
          <w:p w14:paraId="2C1EAC26" w14:textId="77777777" w:rsidR="00F561D9" w:rsidRPr="00720A84" w:rsidRDefault="00F561D9" w:rsidP="006B40CA">
            <w:pPr>
              <w:rPr>
                <w:lang w:val="en-GB"/>
              </w:rPr>
            </w:pPr>
            <w:r w:rsidRPr="00720A84">
              <w:rPr>
                <w:lang w:val="en-GB"/>
              </w:rPr>
              <w:t>4. Interest rate liberalisation</w:t>
            </w:r>
          </w:p>
        </w:tc>
        <w:tc>
          <w:tcPr>
            <w:tcW w:w="5148" w:type="dxa"/>
            <w:vAlign w:val="center"/>
          </w:tcPr>
          <w:p w14:paraId="2FBEEAB9" w14:textId="77777777" w:rsidR="00F561D9" w:rsidRPr="00720A84" w:rsidRDefault="00F561D9" w:rsidP="006B40CA">
            <w:pPr>
              <w:rPr>
                <w:lang w:val="en-GB"/>
              </w:rPr>
            </w:pPr>
            <w:r w:rsidRPr="00720A84">
              <w:rPr>
                <w:lang w:val="en-GB"/>
              </w:rPr>
              <w:t>14. Adherence to WTO* disciplines</w:t>
            </w:r>
          </w:p>
        </w:tc>
      </w:tr>
      <w:tr w:rsidR="00F561D9" w:rsidRPr="00720A84" w14:paraId="37F832FA" w14:textId="77777777" w:rsidTr="006B40CA">
        <w:trPr>
          <w:jc w:val="center"/>
        </w:trPr>
        <w:tc>
          <w:tcPr>
            <w:tcW w:w="3693" w:type="dxa"/>
            <w:vAlign w:val="center"/>
          </w:tcPr>
          <w:p w14:paraId="0265B4A2" w14:textId="77777777" w:rsidR="00F561D9" w:rsidRPr="00720A84" w:rsidRDefault="00F561D9" w:rsidP="006B40CA">
            <w:pPr>
              <w:rPr>
                <w:lang w:val="en-GB"/>
              </w:rPr>
            </w:pPr>
            <w:r w:rsidRPr="00720A84">
              <w:rPr>
                <w:lang w:val="en-GB"/>
              </w:rPr>
              <w:t>5. Unified and competitive exchange rates</w:t>
            </w:r>
          </w:p>
        </w:tc>
        <w:tc>
          <w:tcPr>
            <w:tcW w:w="5148" w:type="dxa"/>
            <w:vAlign w:val="center"/>
          </w:tcPr>
          <w:p w14:paraId="12CF5B8F" w14:textId="77777777" w:rsidR="00F561D9" w:rsidRPr="00720A84" w:rsidRDefault="00F561D9" w:rsidP="006B40CA">
            <w:pPr>
              <w:rPr>
                <w:lang w:val="en-GB"/>
              </w:rPr>
            </w:pPr>
            <w:r w:rsidRPr="00720A84">
              <w:rPr>
                <w:lang w:val="en-GB"/>
              </w:rPr>
              <w:t>15. Adherence to international financial codes and standards</w:t>
            </w:r>
          </w:p>
        </w:tc>
      </w:tr>
      <w:tr w:rsidR="00F561D9" w:rsidRPr="00720A84" w14:paraId="0845F90F" w14:textId="77777777" w:rsidTr="006B40CA">
        <w:trPr>
          <w:jc w:val="center"/>
        </w:trPr>
        <w:tc>
          <w:tcPr>
            <w:tcW w:w="3693" w:type="dxa"/>
            <w:vAlign w:val="center"/>
          </w:tcPr>
          <w:p w14:paraId="47C869E0" w14:textId="77777777" w:rsidR="00F561D9" w:rsidRPr="00720A84" w:rsidRDefault="00F561D9" w:rsidP="006B40CA">
            <w:pPr>
              <w:rPr>
                <w:lang w:val="en-GB"/>
              </w:rPr>
            </w:pPr>
            <w:r w:rsidRPr="00720A84">
              <w:rPr>
                <w:lang w:val="en-GB"/>
              </w:rPr>
              <w:t>6. Trade liberalisation</w:t>
            </w:r>
          </w:p>
        </w:tc>
        <w:tc>
          <w:tcPr>
            <w:tcW w:w="5148" w:type="dxa"/>
            <w:vAlign w:val="center"/>
          </w:tcPr>
          <w:p w14:paraId="6E929408" w14:textId="77777777" w:rsidR="00F561D9" w:rsidRPr="00720A84" w:rsidRDefault="00F561D9" w:rsidP="006B40CA">
            <w:pPr>
              <w:rPr>
                <w:lang w:val="en-GB"/>
              </w:rPr>
            </w:pPr>
            <w:r w:rsidRPr="00720A84">
              <w:rPr>
                <w:lang w:val="en-GB"/>
              </w:rPr>
              <w:t>16. “Prudent” capital-account opening</w:t>
            </w:r>
          </w:p>
        </w:tc>
      </w:tr>
      <w:tr w:rsidR="00F561D9" w:rsidRPr="00720A84" w14:paraId="68B37E4F" w14:textId="77777777" w:rsidTr="006B40CA">
        <w:trPr>
          <w:jc w:val="center"/>
        </w:trPr>
        <w:tc>
          <w:tcPr>
            <w:tcW w:w="3693" w:type="dxa"/>
            <w:vAlign w:val="center"/>
          </w:tcPr>
          <w:p w14:paraId="7F707B8D" w14:textId="77777777" w:rsidR="00F561D9" w:rsidRPr="00720A84" w:rsidRDefault="00F561D9" w:rsidP="006B40CA">
            <w:pPr>
              <w:rPr>
                <w:lang w:val="en-GB"/>
              </w:rPr>
            </w:pPr>
            <w:r w:rsidRPr="00720A84">
              <w:rPr>
                <w:lang w:val="en-GB"/>
              </w:rPr>
              <w:t>7. Openness to foreign direct investment</w:t>
            </w:r>
          </w:p>
        </w:tc>
        <w:tc>
          <w:tcPr>
            <w:tcW w:w="5148" w:type="dxa"/>
            <w:vAlign w:val="center"/>
          </w:tcPr>
          <w:p w14:paraId="1940DEE4" w14:textId="77777777" w:rsidR="00F561D9" w:rsidRPr="00720A84" w:rsidRDefault="00F561D9" w:rsidP="006B40CA">
            <w:pPr>
              <w:rPr>
                <w:lang w:val="en-GB"/>
              </w:rPr>
            </w:pPr>
            <w:r w:rsidRPr="00720A84">
              <w:rPr>
                <w:lang w:val="en-GB"/>
              </w:rPr>
              <w:t xml:space="preserve">17. Nonintermediate exchange rate regimes </w:t>
            </w:r>
          </w:p>
        </w:tc>
      </w:tr>
      <w:tr w:rsidR="00F561D9" w:rsidRPr="00720A84" w14:paraId="4D7CB0E7" w14:textId="77777777" w:rsidTr="006B40CA">
        <w:trPr>
          <w:jc w:val="center"/>
        </w:trPr>
        <w:tc>
          <w:tcPr>
            <w:tcW w:w="3693" w:type="dxa"/>
            <w:vAlign w:val="center"/>
          </w:tcPr>
          <w:p w14:paraId="4901805B" w14:textId="77777777" w:rsidR="00F561D9" w:rsidRPr="00720A84" w:rsidRDefault="00F561D9" w:rsidP="006B40CA">
            <w:pPr>
              <w:rPr>
                <w:lang w:val="en-GB"/>
              </w:rPr>
            </w:pPr>
            <w:r w:rsidRPr="00720A84">
              <w:rPr>
                <w:lang w:val="en-GB"/>
              </w:rPr>
              <w:t>8. Privatisation</w:t>
            </w:r>
          </w:p>
        </w:tc>
        <w:tc>
          <w:tcPr>
            <w:tcW w:w="5148" w:type="dxa"/>
            <w:vAlign w:val="center"/>
          </w:tcPr>
          <w:p w14:paraId="59A5ECDD" w14:textId="77777777" w:rsidR="00F561D9" w:rsidRPr="00720A84" w:rsidRDefault="00F561D9" w:rsidP="006B40CA">
            <w:pPr>
              <w:rPr>
                <w:lang w:val="en-GB"/>
              </w:rPr>
            </w:pPr>
            <w:r w:rsidRPr="00720A84">
              <w:rPr>
                <w:lang w:val="en-GB"/>
              </w:rPr>
              <w:t>18. Independent central banks/inflation targeting</w:t>
            </w:r>
          </w:p>
        </w:tc>
      </w:tr>
      <w:tr w:rsidR="00F561D9" w:rsidRPr="00720A84" w14:paraId="2EE44782" w14:textId="77777777" w:rsidTr="006B40CA">
        <w:trPr>
          <w:jc w:val="center"/>
        </w:trPr>
        <w:tc>
          <w:tcPr>
            <w:tcW w:w="3693" w:type="dxa"/>
            <w:vAlign w:val="center"/>
          </w:tcPr>
          <w:p w14:paraId="439B66DC" w14:textId="77777777" w:rsidR="00F561D9" w:rsidRPr="00720A84" w:rsidRDefault="00F561D9" w:rsidP="006B40CA">
            <w:pPr>
              <w:rPr>
                <w:lang w:val="en-GB"/>
              </w:rPr>
            </w:pPr>
            <w:r w:rsidRPr="00720A84">
              <w:rPr>
                <w:lang w:val="en-GB"/>
              </w:rPr>
              <w:t>9. Deregulation</w:t>
            </w:r>
          </w:p>
        </w:tc>
        <w:tc>
          <w:tcPr>
            <w:tcW w:w="5148" w:type="dxa"/>
            <w:vAlign w:val="center"/>
          </w:tcPr>
          <w:p w14:paraId="3BC5D0B3" w14:textId="77777777" w:rsidR="00F561D9" w:rsidRPr="00720A84" w:rsidRDefault="00F561D9" w:rsidP="006B40CA">
            <w:pPr>
              <w:rPr>
                <w:lang w:val="en-GB"/>
              </w:rPr>
            </w:pPr>
            <w:r w:rsidRPr="00720A84">
              <w:rPr>
                <w:lang w:val="en-GB"/>
              </w:rPr>
              <w:t>19. Social safety nets</w:t>
            </w:r>
          </w:p>
        </w:tc>
      </w:tr>
      <w:tr w:rsidR="00F561D9" w:rsidRPr="00720A84" w14:paraId="777E58BA" w14:textId="77777777" w:rsidTr="006B40CA">
        <w:trPr>
          <w:jc w:val="center"/>
        </w:trPr>
        <w:tc>
          <w:tcPr>
            <w:tcW w:w="3693" w:type="dxa"/>
            <w:vAlign w:val="center"/>
          </w:tcPr>
          <w:p w14:paraId="06980FF6" w14:textId="77777777" w:rsidR="00F561D9" w:rsidRPr="00720A84" w:rsidRDefault="00F561D9" w:rsidP="006B40CA">
            <w:pPr>
              <w:rPr>
                <w:lang w:val="en-GB"/>
              </w:rPr>
            </w:pPr>
            <w:r w:rsidRPr="00720A84">
              <w:rPr>
                <w:lang w:val="en-GB"/>
              </w:rPr>
              <w:t>10. Secure property rights</w:t>
            </w:r>
          </w:p>
        </w:tc>
        <w:tc>
          <w:tcPr>
            <w:tcW w:w="5148" w:type="dxa"/>
            <w:vAlign w:val="center"/>
          </w:tcPr>
          <w:p w14:paraId="12A8F9A8" w14:textId="77777777" w:rsidR="00F561D9" w:rsidRPr="00720A84" w:rsidRDefault="00F561D9" w:rsidP="006B40CA">
            <w:pPr>
              <w:rPr>
                <w:lang w:val="en-GB"/>
              </w:rPr>
            </w:pPr>
            <w:r w:rsidRPr="00720A84">
              <w:rPr>
                <w:lang w:val="en-GB"/>
              </w:rPr>
              <w:t>20. Targeted poverty reduction</w:t>
            </w:r>
          </w:p>
        </w:tc>
      </w:tr>
    </w:tbl>
    <w:p w14:paraId="451EC856" w14:textId="77777777" w:rsidR="00F561D9" w:rsidRPr="00720A84" w:rsidRDefault="00F561D9" w:rsidP="00F561D9">
      <w:pPr>
        <w:ind w:firstLine="708"/>
        <w:jc w:val="both"/>
        <w:rPr>
          <w:sz w:val="20"/>
          <w:szCs w:val="20"/>
          <w:lang w:val="en-GB"/>
        </w:rPr>
      </w:pPr>
      <w:r w:rsidRPr="00A2564A">
        <w:rPr>
          <w:sz w:val="20"/>
          <w:szCs w:val="20"/>
          <w:lang w:val="en-GB"/>
        </w:rPr>
        <w:t>Source</w:t>
      </w:r>
      <w:r w:rsidRPr="00E853AB">
        <w:rPr>
          <w:sz w:val="20"/>
          <w:szCs w:val="20"/>
          <w:lang w:val="en-GB"/>
        </w:rPr>
        <w:t>: Rodrik (2007b, p.17).</w:t>
      </w:r>
      <w:r>
        <w:rPr>
          <w:sz w:val="20"/>
          <w:szCs w:val="20"/>
          <w:lang w:val="en-GB"/>
        </w:rPr>
        <w:t xml:space="preserve"> </w:t>
      </w:r>
      <w:r w:rsidRPr="00720A84">
        <w:rPr>
          <w:sz w:val="20"/>
          <w:szCs w:val="20"/>
          <w:lang w:val="en-GB"/>
        </w:rPr>
        <w:t>* World Trade Organisation.</w:t>
      </w:r>
    </w:p>
    <w:p w14:paraId="48F87351" w14:textId="77777777" w:rsidR="00F561D9" w:rsidRPr="002F16C6" w:rsidRDefault="00F561D9" w:rsidP="00F561D9">
      <w:pPr>
        <w:jc w:val="both"/>
        <w:rPr>
          <w:lang w:val="en-GB"/>
        </w:rPr>
      </w:pPr>
    </w:p>
    <w:p w14:paraId="7E6CCFBA" w14:textId="77777777" w:rsidR="00F561D9" w:rsidRDefault="00F561D9" w:rsidP="00F561D9">
      <w:pPr>
        <w:jc w:val="both"/>
        <w:rPr>
          <w:lang w:val="en-GB"/>
        </w:rPr>
      </w:pPr>
      <w:r>
        <w:rPr>
          <w:lang w:val="en-GB"/>
        </w:rPr>
        <w:t xml:space="preserve">In </w:t>
      </w:r>
      <w:smartTag w:uri="urn:schemas-microsoft-com:office:smarttags" w:element="place">
        <w:smartTag w:uri="urn:schemas-microsoft-com:office:smarttags" w:element="country-region">
          <w:r>
            <w:rPr>
              <w:lang w:val="en-GB"/>
            </w:rPr>
            <w:t>Brazil</w:t>
          </w:r>
        </w:smartTag>
      </w:smartTag>
      <w:r w:rsidRPr="00720A84">
        <w:rPr>
          <w:lang w:val="en-GB"/>
        </w:rPr>
        <w:t xml:space="preserve"> such policies were initially adopted in the government of President Collor in the early 1990s</w:t>
      </w:r>
      <w:r w:rsidRPr="00720A84">
        <w:rPr>
          <w:rStyle w:val="Refdenotaderodap"/>
          <w:lang w:val="en-GB"/>
        </w:rPr>
        <w:footnoteReference w:id="9"/>
      </w:r>
      <w:r w:rsidRPr="00720A84">
        <w:rPr>
          <w:lang w:val="en-GB"/>
        </w:rPr>
        <w:t xml:space="preserve">, but intensified </w:t>
      </w:r>
      <w:r>
        <w:rPr>
          <w:lang w:val="en-GB"/>
        </w:rPr>
        <w:t>by</w:t>
      </w:r>
      <w:r w:rsidRPr="00720A84">
        <w:rPr>
          <w:lang w:val="en-GB"/>
        </w:rPr>
        <w:t xml:space="preserve"> the implementation of a new price stability plan – “Plano Real” – in 1994. After many attempts </w:t>
      </w:r>
      <w:r>
        <w:rPr>
          <w:lang w:val="en-GB"/>
        </w:rPr>
        <w:t xml:space="preserve">failed </w:t>
      </w:r>
      <w:r w:rsidRPr="00720A84">
        <w:rPr>
          <w:lang w:val="en-GB"/>
        </w:rPr>
        <w:t>during the 1980s, this plan succeeded in controlling the inflationary process, basically through two economic policies in a context of international capital liquidity recovery and reduced restrictions on capi</w:t>
      </w:r>
      <w:r>
        <w:rPr>
          <w:lang w:val="en-GB"/>
        </w:rPr>
        <w:t>tal and goods circulation.</w:t>
      </w:r>
    </w:p>
    <w:p w14:paraId="2F6A0297" w14:textId="77777777" w:rsidR="00F561D9" w:rsidRDefault="00F561D9" w:rsidP="00F561D9">
      <w:pPr>
        <w:jc w:val="both"/>
        <w:rPr>
          <w:lang w:val="en-GB"/>
        </w:rPr>
      </w:pPr>
    </w:p>
    <w:p w14:paraId="10F2239D" w14:textId="77777777" w:rsidR="00F561D9" w:rsidRDefault="00F561D9" w:rsidP="00F561D9">
      <w:pPr>
        <w:jc w:val="both"/>
        <w:rPr>
          <w:lang w:val="en-GB"/>
        </w:rPr>
      </w:pPr>
      <w:r w:rsidRPr="00720A84">
        <w:rPr>
          <w:lang w:val="en-GB"/>
        </w:rPr>
        <w:t xml:space="preserve">Firstly, a contractionary monetary policy was adopted by raising interest rates. Besides avoiding an </w:t>
      </w:r>
      <w:r w:rsidRPr="007D5850">
        <w:rPr>
          <w:lang w:val="en-GB"/>
        </w:rPr>
        <w:t>economic acceleration, the main purpose was, initially, to attract capital flows and accumulate</w:t>
      </w:r>
      <w:r w:rsidRPr="00720A84">
        <w:rPr>
          <w:lang w:val="en-GB"/>
        </w:rPr>
        <w:t xml:space="preserve"> international reserves necessary for sustaining the plan and, afterwards, to prevent capital flights from the country when financial crisis elsewhere started to happen, since these outflows would represent a serious balance of payments constraint. Secondly, a fixed exchange rate, that allowed the domestic currency appreciation against the U.S. dollar (but not its depreciation), was </w:t>
      </w:r>
      <w:r>
        <w:rPr>
          <w:lang w:val="en-GB"/>
        </w:rPr>
        <w:t>implemented</w:t>
      </w:r>
      <w:r w:rsidRPr="00720A84">
        <w:rPr>
          <w:lang w:val="en-GB"/>
        </w:rPr>
        <w:t>. The intensification of trade openness regime and the imposition of a ceiling on exchange rate have meant a large amount of artificially cheapened imported goods</w:t>
      </w:r>
      <w:r>
        <w:rPr>
          <w:lang w:val="en-GB"/>
        </w:rPr>
        <w:t xml:space="preserve">, </w:t>
      </w:r>
      <w:r w:rsidRPr="00E853AB">
        <w:rPr>
          <w:lang w:val="en-GB"/>
        </w:rPr>
        <w:t>making domestic producers unable to raise prices (Batista Jr., 1996).</w:t>
      </w:r>
    </w:p>
    <w:p w14:paraId="344CFFD3" w14:textId="77777777" w:rsidR="00F561D9" w:rsidRPr="00720A84" w:rsidRDefault="00F561D9" w:rsidP="00F561D9">
      <w:pPr>
        <w:jc w:val="both"/>
        <w:rPr>
          <w:lang w:val="en-GB"/>
        </w:rPr>
      </w:pPr>
    </w:p>
    <w:p w14:paraId="08FF0790" w14:textId="77777777" w:rsidR="00F561D9" w:rsidRDefault="00F561D9" w:rsidP="00F561D9">
      <w:pPr>
        <w:jc w:val="both"/>
        <w:rPr>
          <w:lang w:val="en-GB"/>
        </w:rPr>
      </w:pPr>
      <w:r w:rsidRPr="00720A84">
        <w:rPr>
          <w:lang w:val="en-GB"/>
        </w:rPr>
        <w:t xml:space="preserve">Nevertheless, inflation control has been made possible at high costs to the balance of payments and economic growth. At the beginning, as a result of a decrease in inflation rates there has been an immediate purchasing power gain for lower income </w:t>
      </w:r>
      <w:r>
        <w:rPr>
          <w:lang w:val="en-GB"/>
        </w:rPr>
        <w:t>population</w:t>
      </w:r>
      <w:r w:rsidRPr="00720A84">
        <w:rPr>
          <w:lang w:val="en-GB"/>
        </w:rPr>
        <w:t>. Additionally, banks have expanded consumer credit as a way to offset such gains they were used to obtain during the inflationary period. Consequently, consumption booms but none sustained economic growth rates h</w:t>
      </w:r>
      <w:r>
        <w:rPr>
          <w:lang w:val="en-GB"/>
        </w:rPr>
        <w:t>ave been observed</w:t>
      </w:r>
      <w:r w:rsidRPr="00720A84">
        <w:rPr>
          <w:lang w:val="en-GB"/>
        </w:rPr>
        <w:t xml:space="preserve"> (</w:t>
      </w:r>
      <w:r>
        <w:rPr>
          <w:lang w:val="en-GB"/>
        </w:rPr>
        <w:t>f</w:t>
      </w:r>
      <w:r w:rsidRPr="00720A84">
        <w:rPr>
          <w:lang w:val="en-GB"/>
        </w:rPr>
        <w:t>igure 1)</w:t>
      </w:r>
      <w:r>
        <w:rPr>
          <w:lang w:val="en-GB"/>
        </w:rPr>
        <w:t>.</w:t>
      </w:r>
    </w:p>
    <w:p w14:paraId="3AD1E4D9" w14:textId="77777777" w:rsidR="00F561D9" w:rsidRDefault="00F561D9" w:rsidP="00F561D9">
      <w:pPr>
        <w:jc w:val="both"/>
        <w:rPr>
          <w:lang w:val="en-GB"/>
        </w:rPr>
      </w:pPr>
    </w:p>
    <w:p w14:paraId="214521E4" w14:textId="77777777" w:rsidR="00F561D9" w:rsidRDefault="00F561D9" w:rsidP="00F561D9">
      <w:pPr>
        <w:jc w:val="both"/>
        <w:rPr>
          <w:lang w:val="en-GB"/>
        </w:rPr>
      </w:pPr>
      <w:r w:rsidRPr="00720A84">
        <w:rPr>
          <w:lang w:val="en-GB"/>
        </w:rPr>
        <w:t xml:space="preserve">Every time the economy started to grow, the current account deficit </w:t>
      </w:r>
      <w:r>
        <w:rPr>
          <w:lang w:val="en-GB"/>
        </w:rPr>
        <w:t>however</w:t>
      </w:r>
      <w:r w:rsidRPr="00720A84">
        <w:rPr>
          <w:lang w:val="en-GB"/>
        </w:rPr>
        <w:t xml:space="preserve"> enlarged, as shown in </w:t>
      </w:r>
      <w:r>
        <w:rPr>
          <w:lang w:val="en-GB"/>
        </w:rPr>
        <w:t>f</w:t>
      </w:r>
      <w:r w:rsidRPr="00720A84">
        <w:rPr>
          <w:lang w:val="en-GB"/>
        </w:rPr>
        <w:t>igure 2, due to increasing imports and income transfers, such as profit and dividend remittances and travelling expenditures. In order to avoid a balance of payments constraint and mainta</w:t>
      </w:r>
      <w:r>
        <w:rPr>
          <w:lang w:val="en-GB"/>
        </w:rPr>
        <w:t>in the</w:t>
      </w:r>
      <w:r w:rsidRPr="00720A84">
        <w:rPr>
          <w:lang w:val="en-GB"/>
        </w:rPr>
        <w:t xml:space="preserve"> </w:t>
      </w:r>
      <w:r w:rsidRPr="007D5850">
        <w:rPr>
          <w:lang w:val="en-GB"/>
        </w:rPr>
        <w:t>foreign exchange regime, rising interest rates have been adopted, as a way either for attracting more capital flows or imposing restrictions on credit to cause a slowdown in the economy and reduce</w:t>
      </w:r>
      <w:r w:rsidRPr="00720A84">
        <w:rPr>
          <w:lang w:val="en-GB"/>
        </w:rPr>
        <w:t xml:space="preserve"> imports, thus promoting a “stop and go” </w:t>
      </w:r>
      <w:r w:rsidRPr="00E853AB">
        <w:rPr>
          <w:lang w:val="en-GB"/>
        </w:rPr>
        <w:t>process (Delfim Netto, 1998).</w:t>
      </w:r>
    </w:p>
    <w:p w14:paraId="7431DF1F" w14:textId="77777777" w:rsidR="00F561D9" w:rsidRDefault="00F561D9" w:rsidP="00F561D9">
      <w:pPr>
        <w:jc w:val="both"/>
        <w:rPr>
          <w:lang w:val="en-GB"/>
        </w:rPr>
      </w:pPr>
    </w:p>
    <w:p w14:paraId="3849AA6A" w14:textId="77777777" w:rsidR="00F561D9" w:rsidRPr="00720A84" w:rsidRDefault="00F561D9" w:rsidP="00F561D9">
      <w:pPr>
        <w:jc w:val="center"/>
        <w:rPr>
          <w:b/>
          <w:lang w:val="en-GB"/>
        </w:rPr>
      </w:pPr>
      <w:r w:rsidRPr="00720A84">
        <w:rPr>
          <w:b/>
          <w:lang w:val="en-GB"/>
        </w:rPr>
        <w:lastRenderedPageBreak/>
        <w:t xml:space="preserve">Figure 1.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Real GDP* annual rate of change by sector, 1990-2010 (%)</w:t>
      </w:r>
    </w:p>
    <w:p w14:paraId="7D1B6B9D" w14:textId="04064E04" w:rsidR="00F561D9" w:rsidRPr="00720A84" w:rsidRDefault="00F561D9" w:rsidP="00F561D9">
      <w:pPr>
        <w:jc w:val="center"/>
        <w:rPr>
          <w:lang w:val="en-GB"/>
        </w:rPr>
      </w:pPr>
      <w:r w:rsidRPr="00720A84">
        <w:rPr>
          <w:noProof/>
          <w:lang w:val="en-GB"/>
        </w:rPr>
        <w:drawing>
          <wp:inline distT="0" distB="0" distL="0" distR="0" wp14:anchorId="3D7ACEC6" wp14:editId="4677FBDE">
            <wp:extent cx="4448175" cy="29337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933700"/>
                    </a:xfrm>
                    <a:prstGeom prst="rect">
                      <a:avLst/>
                    </a:prstGeom>
                    <a:noFill/>
                    <a:ln>
                      <a:noFill/>
                    </a:ln>
                  </pic:spPr>
                </pic:pic>
              </a:graphicData>
            </a:graphic>
          </wp:inline>
        </w:drawing>
      </w:r>
    </w:p>
    <w:p w14:paraId="1FFC4E56" w14:textId="77777777" w:rsidR="00F561D9" w:rsidRPr="00720A84" w:rsidRDefault="00F561D9" w:rsidP="00F561D9">
      <w:pPr>
        <w:jc w:val="both"/>
        <w:rPr>
          <w:sz w:val="20"/>
          <w:szCs w:val="20"/>
          <w:lang w:val="en-GB"/>
        </w:rPr>
      </w:pPr>
      <w:r w:rsidRPr="00A2564A">
        <w:rPr>
          <w:sz w:val="20"/>
          <w:szCs w:val="20"/>
          <w:lang w:val="en-GB"/>
        </w:rPr>
        <w:t>Source</w:t>
      </w:r>
      <w:r w:rsidRPr="00720A84">
        <w:rPr>
          <w:sz w:val="20"/>
          <w:szCs w:val="20"/>
          <w:lang w:val="en-GB"/>
        </w:rPr>
        <w:t xml:space="preserve">: </w:t>
      </w:r>
      <w:r>
        <w:rPr>
          <w:sz w:val="20"/>
          <w:szCs w:val="20"/>
          <w:lang w:val="en-GB"/>
        </w:rPr>
        <w:t>a</w:t>
      </w:r>
      <w:r w:rsidRPr="00720A84">
        <w:rPr>
          <w:sz w:val="20"/>
          <w:szCs w:val="20"/>
          <w:lang w:val="en-GB"/>
        </w:rPr>
        <w:t xml:space="preserve">uthor’s calculations based on Brazilian Central Bank data, available at: </w:t>
      </w:r>
      <w:r>
        <w:rPr>
          <w:sz w:val="20"/>
          <w:szCs w:val="20"/>
          <w:lang w:val="en-GB"/>
        </w:rPr>
        <w:t>https://www3.bcb.gov.br/sgspub</w:t>
      </w:r>
      <w:r w:rsidRPr="00720A84">
        <w:rPr>
          <w:sz w:val="20"/>
          <w:szCs w:val="20"/>
          <w:lang w:val="en-GB"/>
        </w:rPr>
        <w:t>. * Gross Domestic Product.</w:t>
      </w:r>
    </w:p>
    <w:p w14:paraId="2D560D17" w14:textId="77777777" w:rsidR="00F561D9" w:rsidRDefault="00F561D9" w:rsidP="00F561D9">
      <w:pPr>
        <w:jc w:val="both"/>
        <w:rPr>
          <w:lang w:val="en-GB"/>
        </w:rPr>
      </w:pPr>
    </w:p>
    <w:p w14:paraId="5940E8A5" w14:textId="77777777" w:rsidR="00F561D9" w:rsidRDefault="00F561D9" w:rsidP="00F561D9">
      <w:pPr>
        <w:jc w:val="both"/>
        <w:rPr>
          <w:lang w:val="en-GB"/>
        </w:rPr>
      </w:pPr>
      <w:r w:rsidRPr="00720A84">
        <w:rPr>
          <w:lang w:val="en-GB"/>
        </w:rPr>
        <w:t xml:space="preserve">This economic adjustment was harmful both to </w:t>
      </w:r>
      <w:r>
        <w:rPr>
          <w:lang w:val="en-GB"/>
        </w:rPr>
        <w:t xml:space="preserve">the </w:t>
      </w:r>
      <w:r w:rsidRPr="00720A84">
        <w:rPr>
          <w:lang w:val="en-GB"/>
        </w:rPr>
        <w:t xml:space="preserve">public finance and </w:t>
      </w:r>
      <w:r>
        <w:rPr>
          <w:lang w:val="en-GB"/>
        </w:rPr>
        <w:t xml:space="preserve">the </w:t>
      </w:r>
      <w:r w:rsidRPr="00720A84">
        <w:rPr>
          <w:lang w:val="en-GB"/>
        </w:rPr>
        <w:t xml:space="preserve">real sector. </w:t>
      </w:r>
      <w:r>
        <w:rPr>
          <w:lang w:val="en-GB"/>
        </w:rPr>
        <w:t>On the one hand, hi</w:t>
      </w:r>
      <w:r w:rsidRPr="00720A84">
        <w:rPr>
          <w:lang w:val="en-GB"/>
        </w:rPr>
        <w:t xml:space="preserve">gher interest rates have augmented public debt and debt service </w:t>
      </w:r>
      <w:r w:rsidRPr="00E853AB">
        <w:rPr>
          <w:lang w:val="en-GB"/>
        </w:rPr>
        <w:t xml:space="preserve">payments, the main determinant of public deficit (Tavares, 1998). </w:t>
      </w:r>
      <w:r>
        <w:rPr>
          <w:lang w:val="en-GB"/>
        </w:rPr>
        <w:t>Following</w:t>
      </w:r>
      <w:r w:rsidRPr="00E853AB">
        <w:rPr>
          <w:lang w:val="en-GB"/>
        </w:rPr>
        <w:t xml:space="preserve"> the</w:t>
      </w:r>
      <w:r w:rsidRPr="00720A84">
        <w:rPr>
          <w:lang w:val="en-GB"/>
        </w:rPr>
        <w:t xml:space="preserve"> neoliberal approach, an acceleration in the privatisation process and the adoption of a contractionary fiscal policy of increasing taxes and cutting e</w:t>
      </w:r>
      <w:r>
        <w:rPr>
          <w:lang w:val="en-GB"/>
        </w:rPr>
        <w:t>xpenditures have been verified. On the other hand, the</w:t>
      </w:r>
      <w:r w:rsidRPr="00720A84">
        <w:rPr>
          <w:lang w:val="en-GB"/>
        </w:rPr>
        <w:t xml:space="preserve"> combination of intense capital inflows oriented to privatisations in the form of M&amp;A, strong international competition </w:t>
      </w:r>
      <w:r>
        <w:rPr>
          <w:lang w:val="en-GB"/>
        </w:rPr>
        <w:t>at</w:t>
      </w:r>
      <w:r w:rsidRPr="00720A84">
        <w:rPr>
          <w:lang w:val="en-GB"/>
        </w:rPr>
        <w:t xml:space="preserve"> home market through an overvalued exchange rate, rising interest rates and unfavourable long-term horizon for investments given the prospects of lower levels of aggregate demand has caused a disarticulation within </w:t>
      </w:r>
      <w:r>
        <w:rPr>
          <w:lang w:val="en-GB"/>
        </w:rPr>
        <w:t xml:space="preserve">domestic </w:t>
      </w:r>
      <w:r w:rsidRPr="00720A84">
        <w:rPr>
          <w:lang w:val="en-GB"/>
        </w:rPr>
        <w:t>productive chains</w:t>
      </w:r>
      <w:r>
        <w:rPr>
          <w:lang w:val="en-GB"/>
        </w:rPr>
        <w:t xml:space="preserve">. These issues resulted in </w:t>
      </w:r>
      <w:r w:rsidRPr="00720A84">
        <w:rPr>
          <w:lang w:val="en-GB"/>
        </w:rPr>
        <w:t xml:space="preserve">a deterioration of </w:t>
      </w:r>
      <w:r w:rsidRPr="00E853AB">
        <w:rPr>
          <w:lang w:val="en-GB"/>
        </w:rPr>
        <w:t>domestic industry capacity to promote growth and employment (Coutinho, 1997).</w:t>
      </w:r>
    </w:p>
    <w:p w14:paraId="2A29F21C" w14:textId="77777777" w:rsidR="00F561D9" w:rsidRDefault="00F561D9" w:rsidP="00F561D9">
      <w:pPr>
        <w:jc w:val="both"/>
        <w:rPr>
          <w:lang w:val="en-GB"/>
        </w:rPr>
      </w:pPr>
    </w:p>
    <w:p w14:paraId="2639F2CA" w14:textId="77777777" w:rsidR="00F561D9" w:rsidRPr="00720A84" w:rsidRDefault="00F561D9" w:rsidP="00F561D9">
      <w:pPr>
        <w:jc w:val="center"/>
        <w:rPr>
          <w:b/>
          <w:lang w:val="en-GB"/>
        </w:rPr>
      </w:pPr>
      <w:r w:rsidRPr="00720A84">
        <w:rPr>
          <w:b/>
          <w:lang w:val="en-GB"/>
        </w:rPr>
        <w:t xml:space="preserve">Figure 2.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Trade and current account balances, 1990-2010 (US$ billion)</w:t>
      </w:r>
    </w:p>
    <w:p w14:paraId="18240853" w14:textId="2980FEAE" w:rsidR="00F561D9" w:rsidRPr="00720A84" w:rsidRDefault="00F561D9" w:rsidP="00F561D9">
      <w:pPr>
        <w:jc w:val="center"/>
        <w:rPr>
          <w:lang w:val="en-GB"/>
        </w:rPr>
      </w:pPr>
      <w:r w:rsidRPr="00720A84">
        <w:rPr>
          <w:noProof/>
          <w:lang w:val="en-GB"/>
        </w:rPr>
        <w:drawing>
          <wp:inline distT="0" distB="0" distL="0" distR="0" wp14:anchorId="2B5B5AA5" wp14:editId="3A7EB20A">
            <wp:extent cx="4048125" cy="22764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276475"/>
                    </a:xfrm>
                    <a:prstGeom prst="rect">
                      <a:avLst/>
                    </a:prstGeom>
                    <a:noFill/>
                    <a:ln>
                      <a:noFill/>
                    </a:ln>
                  </pic:spPr>
                </pic:pic>
              </a:graphicData>
            </a:graphic>
          </wp:inline>
        </w:drawing>
      </w:r>
    </w:p>
    <w:p w14:paraId="396022EE" w14:textId="77777777" w:rsidR="00F561D9" w:rsidRPr="00720A84" w:rsidRDefault="00F561D9" w:rsidP="00F561D9">
      <w:pPr>
        <w:jc w:val="both"/>
        <w:rPr>
          <w:sz w:val="20"/>
          <w:szCs w:val="20"/>
          <w:lang w:val="en-GB"/>
        </w:rPr>
      </w:pPr>
      <w:r w:rsidRPr="00A2564A">
        <w:rPr>
          <w:sz w:val="20"/>
          <w:szCs w:val="20"/>
          <w:lang w:val="en-GB"/>
        </w:rPr>
        <w:t>Source</w:t>
      </w:r>
      <w:r w:rsidRPr="00720A84">
        <w:rPr>
          <w:sz w:val="20"/>
          <w:szCs w:val="20"/>
          <w:lang w:val="en-GB"/>
        </w:rPr>
        <w:t xml:space="preserve">: </w:t>
      </w:r>
      <w:r>
        <w:rPr>
          <w:sz w:val="20"/>
          <w:szCs w:val="20"/>
          <w:lang w:val="en-GB"/>
        </w:rPr>
        <w:t>a</w:t>
      </w:r>
      <w:r w:rsidRPr="00720A84">
        <w:rPr>
          <w:sz w:val="20"/>
          <w:szCs w:val="20"/>
          <w:lang w:val="en-GB"/>
        </w:rPr>
        <w:t>uthor’s calculations based on Brazilian Central Bank data, available at:</w:t>
      </w:r>
      <w:r>
        <w:rPr>
          <w:sz w:val="20"/>
          <w:szCs w:val="20"/>
          <w:lang w:val="en-GB"/>
        </w:rPr>
        <w:t xml:space="preserve"> </w:t>
      </w:r>
      <w:r w:rsidRPr="00162291">
        <w:rPr>
          <w:sz w:val="20"/>
          <w:szCs w:val="20"/>
          <w:lang w:val="en-GB"/>
        </w:rPr>
        <w:t>https://www3.bcb.gov.br/sgspub</w:t>
      </w:r>
      <w:r w:rsidRPr="00720A84">
        <w:rPr>
          <w:sz w:val="20"/>
          <w:szCs w:val="20"/>
          <w:lang w:val="en-GB"/>
        </w:rPr>
        <w:t>.</w:t>
      </w:r>
      <w:r>
        <w:rPr>
          <w:sz w:val="20"/>
          <w:szCs w:val="20"/>
          <w:lang w:val="en-GB"/>
        </w:rPr>
        <w:t xml:space="preserve"> </w:t>
      </w:r>
      <w:r w:rsidRPr="00A2564A">
        <w:rPr>
          <w:sz w:val="20"/>
          <w:szCs w:val="20"/>
          <w:lang w:val="en-GB"/>
        </w:rPr>
        <w:t>Note</w:t>
      </w:r>
      <w:r w:rsidRPr="00720A84">
        <w:rPr>
          <w:sz w:val="20"/>
          <w:szCs w:val="20"/>
          <w:lang w:val="en-GB"/>
        </w:rPr>
        <w:t xml:space="preserve">: </w:t>
      </w:r>
      <w:smartTag w:uri="urn:schemas-microsoft-com:office:smarttags" w:element="place">
        <w:smartTag w:uri="urn:schemas-microsoft-com:office:smarttags" w:element="City">
          <w:r w:rsidRPr="00720A84">
            <w:rPr>
              <w:sz w:val="20"/>
              <w:szCs w:val="20"/>
              <w:lang w:val="en-GB"/>
            </w:rPr>
            <w:t>L.A.</w:t>
          </w:r>
        </w:smartTag>
      </w:smartTag>
      <w:r w:rsidRPr="00720A84">
        <w:rPr>
          <w:sz w:val="20"/>
          <w:szCs w:val="20"/>
          <w:lang w:val="en-GB"/>
        </w:rPr>
        <w:t xml:space="preserve"> = left axis; R.A. = right axis.</w:t>
      </w:r>
    </w:p>
    <w:p w14:paraId="3828E8F1" w14:textId="77777777" w:rsidR="00F561D9" w:rsidRDefault="00F561D9" w:rsidP="00F561D9">
      <w:pPr>
        <w:jc w:val="both"/>
        <w:rPr>
          <w:lang w:val="en-GB"/>
        </w:rPr>
      </w:pPr>
      <w:r w:rsidRPr="00720A84">
        <w:rPr>
          <w:lang w:val="en-GB"/>
        </w:rPr>
        <w:t xml:space="preserve">The unsustainable imbalance in external accounts and the speculation against the domestic currency led to the Brazilian crisis in 1999. That year strong depreciation was followed by a change in the macroeconomic regime, which has been grounded on a trick growth puzzle between floating </w:t>
      </w:r>
      <w:r>
        <w:rPr>
          <w:lang w:val="en-GB"/>
        </w:rPr>
        <w:t xml:space="preserve">(but managed) </w:t>
      </w:r>
      <w:r w:rsidRPr="00720A84">
        <w:rPr>
          <w:lang w:val="en-GB"/>
        </w:rPr>
        <w:t xml:space="preserve">exchange rate, inflation target and primary budget surplus since then. </w:t>
      </w:r>
      <w:r w:rsidRPr="00A26AB0">
        <w:rPr>
          <w:lang w:val="en-GB"/>
        </w:rPr>
        <w:t>Followi</w:t>
      </w:r>
      <w:r>
        <w:rPr>
          <w:lang w:val="en-GB"/>
        </w:rPr>
        <w:t xml:space="preserve">ng the policy recommendations of the “New Consensus Macroeconomics” approach, the </w:t>
      </w:r>
      <w:r w:rsidRPr="00720A84">
        <w:rPr>
          <w:lang w:val="en-GB"/>
        </w:rPr>
        <w:t xml:space="preserve">main tool used to </w:t>
      </w:r>
      <w:r w:rsidRPr="00A50791">
        <w:rPr>
          <w:lang w:val="en-GB"/>
        </w:rPr>
        <w:t xml:space="preserve">get </w:t>
      </w:r>
      <w:r w:rsidRPr="00A50791">
        <w:rPr>
          <w:lang w:val="en-GB"/>
        </w:rPr>
        <w:lastRenderedPageBreak/>
        <w:t>inflation rate within a pre-set range has become the management of interest rates (Arestis, 2007). Hence, in order to avoid deviations of inflation rates up from the target, higher levels of</w:t>
      </w:r>
      <w:r w:rsidRPr="00720A84">
        <w:rPr>
          <w:lang w:val="en-GB"/>
        </w:rPr>
        <w:t xml:space="preserve"> interest rates are established (or a resistance to lower them is observed). Obviously, this is negative to economic growth, since they spoil credit and thus investment and consumption</w:t>
      </w:r>
      <w:r>
        <w:rPr>
          <w:lang w:val="en-GB"/>
        </w:rPr>
        <w:t>.</w:t>
      </w:r>
    </w:p>
    <w:p w14:paraId="147D2F49" w14:textId="77777777" w:rsidR="00F561D9" w:rsidRDefault="00F561D9" w:rsidP="00F561D9">
      <w:pPr>
        <w:jc w:val="both"/>
        <w:rPr>
          <w:lang w:val="en-GB"/>
        </w:rPr>
      </w:pPr>
    </w:p>
    <w:p w14:paraId="218BACCF" w14:textId="77777777" w:rsidR="00F561D9" w:rsidRDefault="00F561D9" w:rsidP="00F561D9">
      <w:pPr>
        <w:jc w:val="both"/>
        <w:rPr>
          <w:lang w:val="en-GB"/>
        </w:rPr>
      </w:pPr>
      <w:r w:rsidRPr="00720A84">
        <w:rPr>
          <w:lang w:val="en-GB"/>
        </w:rPr>
        <w:t xml:space="preserve">Moreover, in a context of liberalised financial and foreign exchange markets, high interest rates – </w:t>
      </w:r>
      <w:r w:rsidRPr="007D5850">
        <w:rPr>
          <w:lang w:val="en-GB"/>
        </w:rPr>
        <w:t xml:space="preserve">more precisely, a large differential between domestic and international interest rates – attract capital flows, mainly portfolio financial capital, </w:t>
      </w:r>
      <w:r>
        <w:rPr>
          <w:lang w:val="en-GB"/>
        </w:rPr>
        <w:t>in</w:t>
      </w:r>
      <w:r w:rsidRPr="007D5850">
        <w:rPr>
          <w:lang w:val="en-GB"/>
        </w:rPr>
        <w:t>to the country. That results in an appreciation of national</w:t>
      </w:r>
      <w:r w:rsidRPr="00720A84">
        <w:rPr>
          <w:lang w:val="en-GB"/>
        </w:rPr>
        <w:t xml:space="preserve"> currency, which </w:t>
      </w:r>
      <w:r>
        <w:rPr>
          <w:lang w:val="en-GB"/>
        </w:rPr>
        <w:t>in</w:t>
      </w:r>
      <w:r w:rsidRPr="00720A84">
        <w:rPr>
          <w:lang w:val="en-GB"/>
        </w:rPr>
        <w:t xml:space="preserve"> its turn tends to increase imports, put pressure on current account balance and disarticulate productive chains, especially </w:t>
      </w:r>
      <w:r>
        <w:rPr>
          <w:lang w:val="en-GB"/>
        </w:rPr>
        <w:t>at</w:t>
      </w:r>
      <w:r w:rsidRPr="00720A84">
        <w:rPr>
          <w:lang w:val="en-GB"/>
        </w:rPr>
        <w:t xml:space="preserve"> moments of low domestic growth perspective</w:t>
      </w:r>
      <w:r>
        <w:rPr>
          <w:lang w:val="en-GB"/>
        </w:rPr>
        <w:t>.</w:t>
      </w:r>
    </w:p>
    <w:p w14:paraId="067137E7" w14:textId="77777777" w:rsidR="00F561D9" w:rsidRDefault="00F561D9" w:rsidP="00F561D9">
      <w:pPr>
        <w:jc w:val="both"/>
        <w:rPr>
          <w:lang w:val="en-GB"/>
        </w:rPr>
      </w:pPr>
    </w:p>
    <w:p w14:paraId="407A3CF5" w14:textId="77777777" w:rsidR="00F561D9" w:rsidRDefault="00F561D9" w:rsidP="00F561D9">
      <w:pPr>
        <w:jc w:val="both"/>
        <w:rPr>
          <w:lang w:val="en-GB"/>
        </w:rPr>
      </w:pPr>
      <w:r w:rsidRPr="00720A84">
        <w:rPr>
          <w:lang w:val="en-GB"/>
        </w:rPr>
        <w:t xml:space="preserve">High interest rates also increase public debt and </w:t>
      </w:r>
      <w:r>
        <w:rPr>
          <w:lang w:val="en-GB"/>
        </w:rPr>
        <w:t>then</w:t>
      </w:r>
      <w:r w:rsidRPr="00720A84">
        <w:rPr>
          <w:lang w:val="en-GB"/>
        </w:rPr>
        <w:t xml:space="preserve"> require a fiscal budget adjustment to guarantee the achievement of primary budget surplus, a sign to markets that the government has sound finance and its debt may be viewed as a safe investment. That commonly means cuts in public investments, infrastructure and social expenditures. It is therefore a system that, without policy counterbalances, perpetuates low economic growth rates</w:t>
      </w:r>
      <w:r w:rsidRPr="00E853AB">
        <w:rPr>
          <w:lang w:val="en-GB"/>
        </w:rPr>
        <w:t>.</w:t>
      </w:r>
    </w:p>
    <w:p w14:paraId="2C816B02" w14:textId="77777777" w:rsidR="00F561D9" w:rsidRPr="00720A84" w:rsidRDefault="00F561D9" w:rsidP="00F561D9">
      <w:pPr>
        <w:jc w:val="both"/>
        <w:rPr>
          <w:lang w:val="en-GB"/>
        </w:rPr>
      </w:pPr>
    </w:p>
    <w:p w14:paraId="7BF2E3B2" w14:textId="77777777" w:rsidR="00F561D9" w:rsidRDefault="00F561D9" w:rsidP="00F561D9">
      <w:pPr>
        <w:jc w:val="both"/>
        <w:rPr>
          <w:lang w:val="en-GB"/>
        </w:rPr>
      </w:pPr>
      <w:r>
        <w:rPr>
          <w:lang w:val="en-GB"/>
        </w:rPr>
        <w:t>One could, nonetheless, distinguish two</w:t>
      </w:r>
      <w:r w:rsidRPr="00720A84">
        <w:rPr>
          <w:lang w:val="en-GB"/>
        </w:rPr>
        <w:t xml:space="preserve"> periods in </w:t>
      </w:r>
      <w:r>
        <w:rPr>
          <w:lang w:val="en-GB"/>
        </w:rPr>
        <w:t xml:space="preserve">the </w:t>
      </w:r>
      <w:r w:rsidRPr="00720A84">
        <w:rPr>
          <w:lang w:val="en-GB"/>
        </w:rPr>
        <w:t xml:space="preserve">Brazilian economy in the last decade, </w:t>
      </w:r>
      <w:r>
        <w:rPr>
          <w:lang w:val="en-GB"/>
        </w:rPr>
        <w:t xml:space="preserve">pointing to </w:t>
      </w:r>
      <w:r w:rsidRPr="00720A84">
        <w:rPr>
          <w:lang w:val="en-GB"/>
        </w:rPr>
        <w:t>an economic policy reorientation</w:t>
      </w:r>
      <w:r>
        <w:rPr>
          <w:lang w:val="en-GB"/>
        </w:rPr>
        <w:t xml:space="preserve"> although </w:t>
      </w:r>
      <w:r w:rsidRPr="00720A84">
        <w:rPr>
          <w:lang w:val="en-GB"/>
        </w:rPr>
        <w:t xml:space="preserve">still highly conditioned by </w:t>
      </w:r>
      <w:r>
        <w:rPr>
          <w:lang w:val="en-GB"/>
        </w:rPr>
        <w:t xml:space="preserve">strategies of </w:t>
      </w:r>
      <w:r w:rsidRPr="00720A84">
        <w:rPr>
          <w:lang w:val="en-GB"/>
        </w:rPr>
        <w:t xml:space="preserve">domestic and international investors. The first </w:t>
      </w:r>
      <w:r>
        <w:rPr>
          <w:lang w:val="en-GB"/>
        </w:rPr>
        <w:t xml:space="preserve">period </w:t>
      </w:r>
      <w:r w:rsidRPr="00720A84">
        <w:rPr>
          <w:lang w:val="en-GB"/>
        </w:rPr>
        <w:t xml:space="preserve">is related to strong volatility in exchange rates, high interest rates and a relative stagnation of </w:t>
      </w:r>
      <w:r>
        <w:rPr>
          <w:lang w:val="en-GB"/>
        </w:rPr>
        <w:t xml:space="preserve">the </w:t>
      </w:r>
      <w:r w:rsidRPr="00720A84">
        <w:rPr>
          <w:lang w:val="en-GB"/>
        </w:rPr>
        <w:t xml:space="preserve">world economy. These movements have adversely impacted domestic economic growth, which has </w:t>
      </w:r>
      <w:r>
        <w:rPr>
          <w:lang w:val="en-GB"/>
        </w:rPr>
        <w:t>only</w:t>
      </w:r>
      <w:r w:rsidRPr="00720A84">
        <w:rPr>
          <w:lang w:val="en-GB"/>
        </w:rPr>
        <w:t xml:space="preserve"> </w:t>
      </w:r>
      <w:r>
        <w:rPr>
          <w:lang w:val="en-GB"/>
        </w:rPr>
        <w:t xml:space="preserve">shown some signs of recuperation due to </w:t>
      </w:r>
      <w:r w:rsidRPr="00720A84">
        <w:rPr>
          <w:lang w:val="en-GB"/>
        </w:rPr>
        <w:t xml:space="preserve">international liquidity recovery, rising Chinese demand and commodity prices – </w:t>
      </w:r>
      <w:smartTag w:uri="urn:schemas-microsoft-com:office:smarttags" w:element="place">
        <w:smartTag w:uri="urn:schemas-microsoft-com:office:smarttags" w:element="country-region">
          <w:r w:rsidRPr="00720A84">
            <w:rPr>
              <w:lang w:val="en-GB"/>
            </w:rPr>
            <w:t>Brazil</w:t>
          </w:r>
        </w:smartTag>
      </w:smartTag>
      <w:r w:rsidRPr="00720A84">
        <w:rPr>
          <w:lang w:val="en-GB"/>
        </w:rPr>
        <w:t xml:space="preserve">’s main exports – since 2003 and 2004, thus generating huge current account surpluses and the possibility of increasingly accumulating foreign reserves (see </w:t>
      </w:r>
      <w:r>
        <w:rPr>
          <w:lang w:val="en-GB"/>
        </w:rPr>
        <w:t>f</w:t>
      </w:r>
      <w:r w:rsidRPr="00720A84">
        <w:rPr>
          <w:lang w:val="en-GB"/>
        </w:rPr>
        <w:t>igures 1, 2 and 3).</w:t>
      </w:r>
    </w:p>
    <w:p w14:paraId="301617CE" w14:textId="77777777" w:rsidR="00F561D9" w:rsidRDefault="00F561D9" w:rsidP="00F561D9">
      <w:pPr>
        <w:jc w:val="both"/>
        <w:rPr>
          <w:lang w:val="en-GB"/>
        </w:rPr>
      </w:pPr>
    </w:p>
    <w:p w14:paraId="5A9C024A" w14:textId="77777777" w:rsidR="00F561D9" w:rsidRDefault="00F561D9" w:rsidP="00F561D9">
      <w:pPr>
        <w:jc w:val="center"/>
        <w:rPr>
          <w:b/>
          <w:lang w:val="en-GB"/>
        </w:rPr>
      </w:pPr>
      <w:r w:rsidRPr="00720A84">
        <w:rPr>
          <w:b/>
          <w:lang w:val="en-GB"/>
        </w:rPr>
        <w:t xml:space="preserve">Figure 3.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xml:space="preserve">: </w:t>
      </w:r>
      <w:r w:rsidRPr="00B324FF">
        <w:rPr>
          <w:b/>
          <w:lang w:val="en-GB"/>
        </w:rPr>
        <w:t>Foreign reserves and real ex</w:t>
      </w:r>
      <w:r>
        <w:rPr>
          <w:b/>
          <w:lang w:val="en-GB"/>
        </w:rPr>
        <w:t>change rate* (June 1994 = 100),</w:t>
      </w:r>
    </w:p>
    <w:p w14:paraId="2E10C386" w14:textId="77777777" w:rsidR="00F561D9" w:rsidRPr="00B324FF" w:rsidRDefault="00F561D9" w:rsidP="00F561D9">
      <w:pPr>
        <w:jc w:val="center"/>
        <w:rPr>
          <w:b/>
          <w:lang w:val="en-GB"/>
        </w:rPr>
      </w:pPr>
      <w:r w:rsidRPr="00B324FF">
        <w:rPr>
          <w:b/>
          <w:lang w:val="en-GB"/>
        </w:rPr>
        <w:t>1990-2010</w:t>
      </w:r>
    </w:p>
    <w:p w14:paraId="5429C212" w14:textId="354DD357" w:rsidR="00F561D9" w:rsidRPr="00B324FF" w:rsidRDefault="00F561D9" w:rsidP="00F561D9">
      <w:pPr>
        <w:jc w:val="center"/>
        <w:rPr>
          <w:lang w:val="en-GB"/>
        </w:rPr>
      </w:pPr>
      <w:r w:rsidRPr="00B324FF">
        <w:rPr>
          <w:noProof/>
        </w:rPr>
        <w:drawing>
          <wp:inline distT="0" distB="0" distL="0" distR="0" wp14:anchorId="6AB1482D" wp14:editId="22C9DDC7">
            <wp:extent cx="3714750" cy="2447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447925"/>
                    </a:xfrm>
                    <a:prstGeom prst="rect">
                      <a:avLst/>
                    </a:prstGeom>
                    <a:noFill/>
                    <a:ln>
                      <a:noFill/>
                    </a:ln>
                  </pic:spPr>
                </pic:pic>
              </a:graphicData>
            </a:graphic>
          </wp:inline>
        </w:drawing>
      </w:r>
    </w:p>
    <w:p w14:paraId="610716EF" w14:textId="77777777" w:rsidR="00F561D9" w:rsidRPr="00720A84" w:rsidRDefault="00F561D9" w:rsidP="00F561D9">
      <w:pPr>
        <w:jc w:val="both"/>
        <w:rPr>
          <w:sz w:val="20"/>
          <w:szCs w:val="20"/>
          <w:lang w:val="en-GB"/>
        </w:rPr>
      </w:pPr>
      <w:r w:rsidRPr="00A2564A">
        <w:rPr>
          <w:sz w:val="20"/>
          <w:szCs w:val="20"/>
          <w:lang w:val="en-GB"/>
        </w:rPr>
        <w:t>Source</w:t>
      </w:r>
      <w:r>
        <w:rPr>
          <w:sz w:val="20"/>
          <w:szCs w:val="20"/>
          <w:lang w:val="en-GB"/>
        </w:rPr>
        <w:t>: a</w:t>
      </w:r>
      <w:r w:rsidRPr="00720A84">
        <w:rPr>
          <w:sz w:val="20"/>
          <w:szCs w:val="20"/>
          <w:lang w:val="en-GB"/>
        </w:rPr>
        <w:t>uthor’s calculations based on Brazilian Central Bank data, available at: https://www3.bcb.</w:t>
      </w:r>
      <w:r>
        <w:rPr>
          <w:sz w:val="20"/>
          <w:szCs w:val="20"/>
          <w:lang w:val="en-GB"/>
        </w:rPr>
        <w:t>gov.br/sgspub</w:t>
      </w:r>
      <w:r w:rsidRPr="00720A84">
        <w:rPr>
          <w:sz w:val="20"/>
          <w:szCs w:val="20"/>
          <w:lang w:val="en-GB"/>
        </w:rPr>
        <w:t>.</w:t>
      </w:r>
      <w:r>
        <w:rPr>
          <w:sz w:val="20"/>
          <w:szCs w:val="20"/>
          <w:lang w:val="en-GB"/>
        </w:rPr>
        <w:t xml:space="preserve"> * Annual average.</w:t>
      </w:r>
    </w:p>
    <w:p w14:paraId="6807CC54" w14:textId="77777777" w:rsidR="00F561D9" w:rsidRDefault="00F561D9" w:rsidP="00F561D9">
      <w:pPr>
        <w:jc w:val="both"/>
        <w:rPr>
          <w:lang w:val="en-GB"/>
        </w:rPr>
      </w:pPr>
    </w:p>
    <w:p w14:paraId="0E3695E0" w14:textId="77777777" w:rsidR="00F561D9" w:rsidRDefault="00F561D9" w:rsidP="00F561D9">
      <w:pPr>
        <w:jc w:val="both"/>
        <w:rPr>
          <w:lang w:val="en-GB"/>
        </w:rPr>
      </w:pPr>
      <w:r w:rsidRPr="00720A84">
        <w:rPr>
          <w:lang w:val="en-GB"/>
        </w:rPr>
        <w:t xml:space="preserve">However, </w:t>
      </w:r>
      <w:r>
        <w:rPr>
          <w:lang w:val="en-GB"/>
        </w:rPr>
        <w:t xml:space="preserve">a cycle of </w:t>
      </w:r>
      <w:r w:rsidRPr="00720A84">
        <w:rPr>
          <w:lang w:val="en-GB"/>
        </w:rPr>
        <w:t xml:space="preserve">economic growth, which characterised the second period, has only been achieved after 2004 when some </w:t>
      </w:r>
      <w:r>
        <w:rPr>
          <w:lang w:val="en-GB"/>
        </w:rPr>
        <w:t xml:space="preserve">domestic </w:t>
      </w:r>
      <w:r w:rsidRPr="00720A84">
        <w:rPr>
          <w:lang w:val="en-GB"/>
        </w:rPr>
        <w:t>policies regarding income distribution and investment expenditures were implemented or intensified</w:t>
      </w:r>
      <w:r>
        <w:rPr>
          <w:lang w:val="en-GB"/>
        </w:rPr>
        <w:t xml:space="preserve"> together with the favourable international conditions</w:t>
      </w:r>
      <w:r w:rsidRPr="00720A84">
        <w:rPr>
          <w:lang w:val="en-GB"/>
        </w:rPr>
        <w:t xml:space="preserve">. Main policy directions to </w:t>
      </w:r>
      <w:r>
        <w:rPr>
          <w:lang w:val="en-GB"/>
        </w:rPr>
        <w:t>be mentioned are (see f</w:t>
      </w:r>
      <w:r w:rsidRPr="00720A84">
        <w:rPr>
          <w:lang w:val="en-GB"/>
        </w:rPr>
        <w:t xml:space="preserve">igure 4): (a) expansionary monetary policy by decreasing interest rates, although in a slow pace and still one of the highest in the world; (b) a consequent credit expansion as percentage of GDP and a deliberate policy of </w:t>
      </w:r>
      <w:r>
        <w:rPr>
          <w:lang w:val="en-GB"/>
        </w:rPr>
        <w:t xml:space="preserve">the </w:t>
      </w:r>
      <w:r w:rsidRPr="00720A84">
        <w:rPr>
          <w:lang w:val="en-GB"/>
        </w:rPr>
        <w:t xml:space="preserve">National Economic and Social Development Bank (BNDES) to support </w:t>
      </w:r>
      <w:r>
        <w:rPr>
          <w:lang w:val="en-GB"/>
        </w:rPr>
        <w:t xml:space="preserve">productive </w:t>
      </w:r>
      <w:r w:rsidRPr="00720A84">
        <w:rPr>
          <w:lang w:val="en-GB"/>
        </w:rPr>
        <w:t xml:space="preserve">capacity growth; (c) the proposal of the National Program for the Acceleration of Growth (PAC), mainly focused on infrastructure; (d) minimum wage </w:t>
      </w:r>
      <w:r w:rsidRPr="00720A84">
        <w:rPr>
          <w:lang w:val="en-GB"/>
        </w:rPr>
        <w:lastRenderedPageBreak/>
        <w:t>recovery policy and formal jobs creation in large scale; (e) income transfer programmes, such as “Bolsa Família”, benefiting poor families and regions.</w:t>
      </w:r>
    </w:p>
    <w:p w14:paraId="5F20604E" w14:textId="77777777" w:rsidR="00F561D9" w:rsidRDefault="00F561D9" w:rsidP="00F561D9">
      <w:pPr>
        <w:jc w:val="both"/>
        <w:rPr>
          <w:lang w:val="en-GB"/>
        </w:rPr>
      </w:pPr>
    </w:p>
    <w:p w14:paraId="781B776F" w14:textId="77777777" w:rsidR="00F561D9" w:rsidRPr="00720A84" w:rsidRDefault="00F561D9" w:rsidP="00F561D9">
      <w:pPr>
        <w:jc w:val="center"/>
        <w:rPr>
          <w:b/>
          <w:lang w:val="en-GB"/>
        </w:rPr>
      </w:pPr>
      <w:r w:rsidRPr="00720A84">
        <w:rPr>
          <w:b/>
          <w:lang w:val="en-GB"/>
        </w:rPr>
        <w:t xml:space="preserve">Figure 4.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Economic policy reorientation</w:t>
      </w:r>
    </w:p>
    <w:tbl>
      <w:tblPr>
        <w:tblStyle w:val="Tabelacomgrade"/>
        <w:tblW w:w="11166"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5587"/>
        <w:gridCol w:w="5579"/>
      </w:tblGrid>
      <w:tr w:rsidR="00F561D9" w:rsidRPr="00720A84" w14:paraId="521FB4D0" w14:textId="77777777" w:rsidTr="006B40CA">
        <w:trPr>
          <w:trHeight w:val="3371"/>
          <w:jc w:val="center"/>
        </w:trPr>
        <w:tc>
          <w:tcPr>
            <w:tcW w:w="5588" w:type="dxa"/>
          </w:tcPr>
          <w:p w14:paraId="50C1DB21" w14:textId="77777777" w:rsidR="00F561D9" w:rsidRPr="00720A84" w:rsidRDefault="00F561D9" w:rsidP="006B40CA">
            <w:pPr>
              <w:jc w:val="center"/>
              <w:rPr>
                <w:lang w:val="en-GB"/>
              </w:rPr>
            </w:pPr>
            <w:r w:rsidRPr="00720A84">
              <w:rPr>
                <w:b/>
                <w:lang w:val="en-GB"/>
              </w:rPr>
              <w:t>Basic interest rate (Selic) target defined by the Monetary Policy Council, 1999-2011 (% p.a.)</w:t>
            </w:r>
          </w:p>
          <w:p w14:paraId="380059EE" w14:textId="2E7AFDA6" w:rsidR="00F561D9" w:rsidRPr="00720A84" w:rsidRDefault="00F561D9" w:rsidP="006B40CA">
            <w:pPr>
              <w:jc w:val="both"/>
              <w:rPr>
                <w:lang w:val="en-GB"/>
              </w:rPr>
            </w:pPr>
            <w:r w:rsidRPr="00720A84">
              <w:rPr>
                <w:noProof/>
                <w:lang w:val="en-GB"/>
              </w:rPr>
              <w:drawing>
                <wp:inline distT="0" distB="0" distL="0" distR="0" wp14:anchorId="2E2AD731" wp14:editId="1EEABDAB">
                  <wp:extent cx="3409950" cy="19621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1962150"/>
                          </a:xfrm>
                          <a:prstGeom prst="rect">
                            <a:avLst/>
                          </a:prstGeom>
                          <a:noFill/>
                          <a:ln>
                            <a:noFill/>
                          </a:ln>
                        </pic:spPr>
                      </pic:pic>
                    </a:graphicData>
                  </a:graphic>
                </wp:inline>
              </w:drawing>
            </w:r>
          </w:p>
        </w:tc>
        <w:tc>
          <w:tcPr>
            <w:tcW w:w="5578" w:type="dxa"/>
          </w:tcPr>
          <w:p w14:paraId="0086CA3E" w14:textId="77777777" w:rsidR="00F561D9" w:rsidRPr="00720A84" w:rsidRDefault="00F561D9" w:rsidP="006B40CA">
            <w:pPr>
              <w:jc w:val="center"/>
              <w:rPr>
                <w:b/>
                <w:lang w:val="en-GB"/>
              </w:rPr>
            </w:pPr>
            <w:r w:rsidRPr="00720A84">
              <w:rPr>
                <w:b/>
                <w:lang w:val="en-GB"/>
              </w:rPr>
              <w:t>Credit evolution as percentage of GDP, 2001-2010</w:t>
            </w:r>
          </w:p>
          <w:p w14:paraId="4E096AA3" w14:textId="77777777" w:rsidR="00F561D9" w:rsidRPr="00720A84" w:rsidRDefault="00F561D9" w:rsidP="006B40CA">
            <w:pPr>
              <w:jc w:val="both"/>
              <w:rPr>
                <w:lang w:val="en-GB"/>
              </w:rPr>
            </w:pPr>
          </w:p>
          <w:p w14:paraId="5A4CDF4F" w14:textId="16E3B093" w:rsidR="00F561D9" w:rsidRPr="00720A84" w:rsidRDefault="00F561D9" w:rsidP="006B40CA">
            <w:pPr>
              <w:jc w:val="both"/>
              <w:rPr>
                <w:lang w:val="en-GB"/>
              </w:rPr>
            </w:pPr>
            <w:r w:rsidRPr="00720A84">
              <w:rPr>
                <w:noProof/>
                <w:lang w:val="en-GB"/>
              </w:rPr>
              <w:drawing>
                <wp:inline distT="0" distB="0" distL="0" distR="0" wp14:anchorId="3C8E3B68" wp14:editId="2315D045">
                  <wp:extent cx="3400425" cy="19431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943100"/>
                          </a:xfrm>
                          <a:prstGeom prst="rect">
                            <a:avLst/>
                          </a:prstGeom>
                          <a:noFill/>
                          <a:ln>
                            <a:noFill/>
                          </a:ln>
                        </pic:spPr>
                      </pic:pic>
                    </a:graphicData>
                  </a:graphic>
                </wp:inline>
              </w:drawing>
            </w:r>
          </w:p>
        </w:tc>
      </w:tr>
      <w:tr w:rsidR="00F561D9" w:rsidRPr="00720A84" w14:paraId="0D24F52D" w14:textId="77777777" w:rsidTr="006B40CA">
        <w:trPr>
          <w:trHeight w:val="416"/>
          <w:jc w:val="center"/>
        </w:trPr>
        <w:tc>
          <w:tcPr>
            <w:tcW w:w="5588" w:type="dxa"/>
          </w:tcPr>
          <w:p w14:paraId="2568649C" w14:textId="77777777" w:rsidR="00F561D9" w:rsidRPr="00B32036" w:rsidRDefault="00F561D9" w:rsidP="006B40CA">
            <w:pPr>
              <w:jc w:val="center"/>
              <w:rPr>
                <w:lang w:val="fr-FR"/>
              </w:rPr>
            </w:pPr>
            <w:r w:rsidRPr="00B32036">
              <w:rPr>
                <w:b/>
                <w:lang w:val="fr-FR"/>
              </w:rPr>
              <w:t>BNDES total disbursement, 1995-2010 (R$ billion)</w:t>
            </w:r>
          </w:p>
          <w:p w14:paraId="30E86E5E" w14:textId="5B2E4836" w:rsidR="00F561D9" w:rsidRPr="00720A84" w:rsidRDefault="00F561D9" w:rsidP="006B40CA">
            <w:pPr>
              <w:jc w:val="both"/>
              <w:rPr>
                <w:lang w:val="en-GB"/>
              </w:rPr>
            </w:pPr>
            <w:r w:rsidRPr="00720A84">
              <w:rPr>
                <w:noProof/>
                <w:lang w:val="en-GB"/>
              </w:rPr>
              <w:drawing>
                <wp:inline distT="0" distB="0" distL="0" distR="0" wp14:anchorId="3789DEFF" wp14:editId="14715749">
                  <wp:extent cx="3400425" cy="19526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1952625"/>
                          </a:xfrm>
                          <a:prstGeom prst="rect">
                            <a:avLst/>
                          </a:prstGeom>
                          <a:noFill/>
                          <a:ln>
                            <a:noFill/>
                          </a:ln>
                        </pic:spPr>
                      </pic:pic>
                    </a:graphicData>
                  </a:graphic>
                </wp:inline>
              </w:drawing>
            </w:r>
          </w:p>
        </w:tc>
        <w:tc>
          <w:tcPr>
            <w:tcW w:w="5578" w:type="dxa"/>
          </w:tcPr>
          <w:p w14:paraId="5FDEE0BE" w14:textId="77777777" w:rsidR="00F561D9" w:rsidRPr="00720A84" w:rsidRDefault="00F561D9" w:rsidP="006B40CA">
            <w:pPr>
              <w:jc w:val="center"/>
              <w:rPr>
                <w:lang w:val="en-GB"/>
              </w:rPr>
            </w:pPr>
            <w:r w:rsidRPr="00720A84">
              <w:rPr>
                <w:b/>
                <w:lang w:val="en-GB"/>
              </w:rPr>
              <w:t>BNDES total disbursement by sector, 1995-2010 (%)</w:t>
            </w:r>
          </w:p>
          <w:p w14:paraId="0460B5A4" w14:textId="7F76D76C" w:rsidR="00F561D9" w:rsidRPr="00720A84" w:rsidRDefault="00F561D9" w:rsidP="006B40CA">
            <w:pPr>
              <w:jc w:val="both"/>
              <w:rPr>
                <w:lang w:val="en-GB"/>
              </w:rPr>
            </w:pPr>
            <w:r w:rsidRPr="00720A84">
              <w:rPr>
                <w:noProof/>
                <w:lang w:val="en-GB"/>
              </w:rPr>
              <w:drawing>
                <wp:inline distT="0" distB="0" distL="0" distR="0" wp14:anchorId="3F3CAACA" wp14:editId="22F72C9A">
                  <wp:extent cx="3400425" cy="19431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1943100"/>
                          </a:xfrm>
                          <a:prstGeom prst="rect">
                            <a:avLst/>
                          </a:prstGeom>
                          <a:noFill/>
                          <a:ln>
                            <a:noFill/>
                          </a:ln>
                        </pic:spPr>
                      </pic:pic>
                    </a:graphicData>
                  </a:graphic>
                </wp:inline>
              </w:drawing>
            </w:r>
          </w:p>
        </w:tc>
      </w:tr>
      <w:tr w:rsidR="00F561D9" w:rsidRPr="00720A84" w14:paraId="3D07F002" w14:textId="77777777" w:rsidTr="006B40CA">
        <w:trPr>
          <w:trHeight w:val="431"/>
          <w:jc w:val="center"/>
        </w:trPr>
        <w:tc>
          <w:tcPr>
            <w:tcW w:w="5583" w:type="dxa"/>
          </w:tcPr>
          <w:p w14:paraId="5DDE7359" w14:textId="77777777" w:rsidR="00F561D9" w:rsidRPr="00720A84" w:rsidRDefault="00F561D9" w:rsidP="006B40CA">
            <w:pPr>
              <w:jc w:val="center"/>
              <w:rPr>
                <w:b/>
                <w:lang w:val="en-GB"/>
              </w:rPr>
            </w:pPr>
            <w:r w:rsidRPr="00720A84">
              <w:rPr>
                <w:b/>
                <w:lang w:val="en-GB"/>
              </w:rPr>
              <w:t>Minimum wage in purchasing power of February 2010</w:t>
            </w:r>
          </w:p>
          <w:p w14:paraId="39FBF96B" w14:textId="77777777" w:rsidR="00F561D9" w:rsidRPr="00720A84" w:rsidRDefault="00F561D9" w:rsidP="006B40CA">
            <w:pPr>
              <w:jc w:val="center"/>
              <w:rPr>
                <w:b/>
                <w:lang w:val="en-GB"/>
              </w:rPr>
            </w:pPr>
            <w:r w:rsidRPr="00720A84">
              <w:rPr>
                <w:b/>
                <w:lang w:val="en-GB"/>
              </w:rPr>
              <w:t>(January 1995 = 100)*</w:t>
            </w:r>
          </w:p>
          <w:p w14:paraId="129C60C8" w14:textId="1767BD33" w:rsidR="00F561D9" w:rsidRPr="00720A84" w:rsidRDefault="00F561D9" w:rsidP="006B40CA">
            <w:pPr>
              <w:jc w:val="center"/>
              <w:rPr>
                <w:lang w:val="en-GB"/>
              </w:rPr>
            </w:pPr>
            <w:r w:rsidRPr="00720A84">
              <w:rPr>
                <w:noProof/>
                <w:lang w:val="en-GB"/>
              </w:rPr>
              <w:drawing>
                <wp:inline distT="0" distB="0" distL="0" distR="0" wp14:anchorId="1570CC2B" wp14:editId="1093F697">
                  <wp:extent cx="3267075" cy="18573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857375"/>
                          </a:xfrm>
                          <a:prstGeom prst="rect">
                            <a:avLst/>
                          </a:prstGeom>
                          <a:noFill/>
                          <a:ln>
                            <a:noFill/>
                          </a:ln>
                        </pic:spPr>
                      </pic:pic>
                    </a:graphicData>
                  </a:graphic>
                </wp:inline>
              </w:drawing>
            </w:r>
          </w:p>
        </w:tc>
        <w:tc>
          <w:tcPr>
            <w:tcW w:w="5583" w:type="dxa"/>
          </w:tcPr>
          <w:p w14:paraId="14398325" w14:textId="77777777" w:rsidR="00F561D9" w:rsidRPr="00720A84" w:rsidRDefault="00F561D9" w:rsidP="006B40CA">
            <w:pPr>
              <w:jc w:val="center"/>
              <w:rPr>
                <w:b/>
                <w:lang w:val="en-GB"/>
              </w:rPr>
            </w:pPr>
            <w:r w:rsidRPr="00720A84">
              <w:rPr>
                <w:b/>
                <w:lang w:val="en-GB"/>
              </w:rPr>
              <w:t>Formal employment index by sector, 1990-2010</w:t>
            </w:r>
          </w:p>
          <w:p w14:paraId="7D68D58A" w14:textId="77777777" w:rsidR="00F561D9" w:rsidRPr="00720A84" w:rsidRDefault="00F561D9" w:rsidP="006B40CA">
            <w:pPr>
              <w:jc w:val="center"/>
              <w:rPr>
                <w:b/>
                <w:lang w:val="en-GB"/>
              </w:rPr>
            </w:pPr>
            <w:r w:rsidRPr="00720A84">
              <w:rPr>
                <w:b/>
                <w:lang w:val="en-GB"/>
              </w:rPr>
              <w:t>(December 2009 = 100)</w:t>
            </w:r>
          </w:p>
          <w:p w14:paraId="39D50AB1" w14:textId="589E18C7" w:rsidR="00F561D9" w:rsidRPr="00720A84" w:rsidRDefault="00F561D9" w:rsidP="006B40CA">
            <w:pPr>
              <w:jc w:val="center"/>
              <w:rPr>
                <w:lang w:val="en-GB"/>
              </w:rPr>
            </w:pPr>
            <w:r w:rsidRPr="00720A84">
              <w:rPr>
                <w:noProof/>
                <w:lang w:val="en-GB"/>
              </w:rPr>
              <w:drawing>
                <wp:inline distT="0" distB="0" distL="0" distR="0" wp14:anchorId="23555DB9" wp14:editId="5F18E1DF">
                  <wp:extent cx="3390900" cy="1943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1943100"/>
                          </a:xfrm>
                          <a:prstGeom prst="rect">
                            <a:avLst/>
                          </a:prstGeom>
                          <a:noFill/>
                          <a:ln>
                            <a:noFill/>
                          </a:ln>
                        </pic:spPr>
                      </pic:pic>
                    </a:graphicData>
                  </a:graphic>
                </wp:inline>
              </w:drawing>
            </w:r>
          </w:p>
        </w:tc>
      </w:tr>
    </w:tbl>
    <w:p w14:paraId="748F500B" w14:textId="77777777" w:rsidR="00F561D9" w:rsidRPr="00720A84" w:rsidRDefault="00F561D9" w:rsidP="00F561D9">
      <w:pPr>
        <w:jc w:val="both"/>
        <w:rPr>
          <w:sz w:val="20"/>
          <w:szCs w:val="20"/>
          <w:lang w:val="en-GB"/>
        </w:rPr>
      </w:pPr>
      <w:r w:rsidRPr="00A2564A">
        <w:rPr>
          <w:sz w:val="20"/>
          <w:szCs w:val="20"/>
          <w:lang w:val="en-GB"/>
        </w:rPr>
        <w:t>Source</w:t>
      </w:r>
      <w:r>
        <w:rPr>
          <w:sz w:val="20"/>
          <w:szCs w:val="20"/>
          <w:lang w:val="en-GB"/>
        </w:rPr>
        <w:t>: a</w:t>
      </w:r>
      <w:r w:rsidRPr="00720A84">
        <w:rPr>
          <w:sz w:val="20"/>
          <w:szCs w:val="20"/>
          <w:lang w:val="en-GB"/>
        </w:rPr>
        <w:t xml:space="preserve">uthor’s calculations based on Brazilian Central Bank data, available at: </w:t>
      </w:r>
      <w:r>
        <w:rPr>
          <w:sz w:val="20"/>
          <w:szCs w:val="20"/>
          <w:lang w:val="en-GB"/>
        </w:rPr>
        <w:t>https://www3.bcb.gov.br/sgspub</w:t>
      </w:r>
      <w:r w:rsidRPr="00720A84">
        <w:rPr>
          <w:sz w:val="20"/>
          <w:szCs w:val="20"/>
          <w:lang w:val="en-GB"/>
        </w:rPr>
        <w:t>. * Nominal minimum wage deflated by the National Consumer Price Index (INPC).</w:t>
      </w:r>
    </w:p>
    <w:p w14:paraId="38FEB59A" w14:textId="77777777" w:rsidR="00F561D9" w:rsidRDefault="00F561D9" w:rsidP="00F561D9">
      <w:pPr>
        <w:jc w:val="both"/>
        <w:rPr>
          <w:lang w:val="en-GB"/>
        </w:rPr>
      </w:pPr>
    </w:p>
    <w:p w14:paraId="1E899550" w14:textId="77777777" w:rsidR="00F561D9" w:rsidRDefault="00F561D9" w:rsidP="00F561D9">
      <w:pPr>
        <w:jc w:val="both"/>
        <w:rPr>
          <w:lang w:val="en-GB"/>
        </w:rPr>
      </w:pPr>
      <w:r w:rsidRPr="00720A84">
        <w:rPr>
          <w:lang w:val="en-GB"/>
        </w:rPr>
        <w:t xml:space="preserve">The combination of credit expansion, income gains and job creation has meant an increasing prospective demand and favourable expectations for capitalists to invest. Such decisions, once made, have reinforced the boom in </w:t>
      </w:r>
      <w:r>
        <w:rPr>
          <w:lang w:val="en-GB"/>
        </w:rPr>
        <w:t xml:space="preserve">the </w:t>
      </w:r>
      <w:r w:rsidRPr="00720A84">
        <w:rPr>
          <w:lang w:val="en-GB"/>
        </w:rPr>
        <w:t>business cycle, partially interrupted by th</w:t>
      </w:r>
      <w:r>
        <w:rPr>
          <w:lang w:val="en-GB"/>
        </w:rPr>
        <w:t>e crisis downturn</w:t>
      </w:r>
      <w:r w:rsidRPr="00720A84">
        <w:rPr>
          <w:lang w:val="en-GB"/>
        </w:rPr>
        <w:t xml:space="preserve"> in 2008 </w:t>
      </w:r>
      <w:r>
        <w:rPr>
          <w:lang w:val="en-GB"/>
        </w:rPr>
        <w:t xml:space="preserve">which has required </w:t>
      </w:r>
      <w:r w:rsidRPr="00720A84">
        <w:rPr>
          <w:lang w:val="en-GB"/>
        </w:rPr>
        <w:t xml:space="preserve">countercyclical policies managed by government and public banks in </w:t>
      </w:r>
      <w:r>
        <w:rPr>
          <w:lang w:val="en-GB"/>
        </w:rPr>
        <w:t xml:space="preserve">the </w:t>
      </w:r>
      <w:r>
        <w:rPr>
          <w:lang w:val="en-GB"/>
        </w:rPr>
        <w:lastRenderedPageBreak/>
        <w:t>following years</w:t>
      </w:r>
      <w:r w:rsidRPr="00720A84">
        <w:rPr>
          <w:rStyle w:val="Refdenotaderodap"/>
          <w:lang w:val="en-GB"/>
        </w:rPr>
        <w:footnoteReference w:id="10"/>
      </w:r>
      <w:r w:rsidRPr="00720A84">
        <w:rPr>
          <w:lang w:val="en-GB"/>
        </w:rPr>
        <w:t xml:space="preserve">. </w:t>
      </w:r>
      <w:r>
        <w:rPr>
          <w:lang w:val="en-GB"/>
        </w:rPr>
        <w:t xml:space="preserve">The persistence of the currency appreciation trend, however, has started to </w:t>
      </w:r>
      <w:r w:rsidRPr="00720A84">
        <w:rPr>
          <w:lang w:val="en-GB"/>
        </w:rPr>
        <w:t xml:space="preserve">put pressure on </w:t>
      </w:r>
      <w:r>
        <w:rPr>
          <w:lang w:val="en-GB"/>
        </w:rPr>
        <w:t xml:space="preserve">the </w:t>
      </w:r>
      <w:r w:rsidRPr="00720A84">
        <w:rPr>
          <w:lang w:val="en-GB"/>
        </w:rPr>
        <w:t xml:space="preserve">current account balance </w:t>
      </w:r>
      <w:r>
        <w:rPr>
          <w:lang w:val="en-GB"/>
        </w:rPr>
        <w:t>and the industrial production, especially due to the rising import amounts both of final and intermediate goods</w:t>
      </w:r>
      <w:r w:rsidRPr="00720A84">
        <w:rPr>
          <w:rStyle w:val="Refdenotaderodap"/>
          <w:lang w:val="en-GB"/>
        </w:rPr>
        <w:footnoteReference w:id="11"/>
      </w:r>
      <w:r>
        <w:rPr>
          <w:lang w:val="en-GB"/>
        </w:rPr>
        <w:t xml:space="preserve"> </w:t>
      </w:r>
      <w:r w:rsidRPr="00720A84">
        <w:rPr>
          <w:lang w:val="en-GB"/>
        </w:rPr>
        <w:t>(</w:t>
      </w:r>
      <w:r>
        <w:rPr>
          <w:lang w:val="en-GB"/>
        </w:rPr>
        <w:t>figure 3</w:t>
      </w:r>
      <w:r w:rsidRPr="00720A84">
        <w:rPr>
          <w:lang w:val="en-GB"/>
        </w:rPr>
        <w:t>).</w:t>
      </w:r>
    </w:p>
    <w:p w14:paraId="1F31D2AA" w14:textId="77777777" w:rsidR="00F561D9" w:rsidRDefault="00F561D9" w:rsidP="00F561D9">
      <w:pPr>
        <w:jc w:val="both"/>
        <w:rPr>
          <w:lang w:val="en-GB"/>
        </w:rPr>
      </w:pPr>
    </w:p>
    <w:p w14:paraId="556B8ADD" w14:textId="77777777" w:rsidR="00F561D9" w:rsidRDefault="00F561D9" w:rsidP="00F561D9">
      <w:pPr>
        <w:jc w:val="both"/>
        <w:rPr>
          <w:lang w:val="en-GB"/>
        </w:rPr>
      </w:pPr>
      <w:r w:rsidRPr="00720A84">
        <w:rPr>
          <w:lang w:val="en-GB"/>
        </w:rPr>
        <w:t xml:space="preserve">This previous discussion about macroeconomic domestic and international conditions within an institutional framework biased in favour of capital flows is essential to a better understanding of companies’ strategies to invest in </w:t>
      </w:r>
      <w:smartTag w:uri="urn:schemas-microsoft-com:office:smarttags" w:element="country-region">
        <w:smartTag w:uri="urn:schemas-microsoft-com:office:smarttags" w:element="place">
          <w:r w:rsidRPr="00720A84">
            <w:rPr>
              <w:lang w:val="en-GB"/>
            </w:rPr>
            <w:t>Brazil</w:t>
          </w:r>
        </w:smartTag>
      </w:smartTag>
      <w:r w:rsidRPr="00720A84">
        <w:rPr>
          <w:lang w:val="en-GB"/>
        </w:rPr>
        <w:t xml:space="preserve"> </w:t>
      </w:r>
      <w:r>
        <w:rPr>
          <w:lang w:val="en-GB"/>
        </w:rPr>
        <w:t>over the</w:t>
      </w:r>
      <w:r w:rsidRPr="00720A84">
        <w:rPr>
          <w:lang w:val="en-GB"/>
        </w:rPr>
        <w:t xml:space="preserve"> last decades. Figure </w:t>
      </w:r>
      <w:r>
        <w:rPr>
          <w:lang w:val="en-GB"/>
        </w:rPr>
        <w:t>5</w:t>
      </w:r>
      <w:r w:rsidRPr="00720A84">
        <w:rPr>
          <w:lang w:val="en-GB"/>
        </w:rPr>
        <w:t xml:space="preserve"> clearly shows two cycles </w:t>
      </w:r>
      <w:r>
        <w:rPr>
          <w:lang w:val="en-GB"/>
        </w:rPr>
        <w:t xml:space="preserve">of foreign direct investments (FDI) </w:t>
      </w:r>
      <w:r w:rsidRPr="00720A84">
        <w:rPr>
          <w:lang w:val="en-GB"/>
        </w:rPr>
        <w:t>in</w:t>
      </w:r>
      <w:r>
        <w:rPr>
          <w:lang w:val="en-GB"/>
        </w:rPr>
        <w:t xml:space="preserve"> the</w:t>
      </w:r>
      <w:r w:rsidRPr="00720A84">
        <w:rPr>
          <w:lang w:val="en-GB"/>
        </w:rPr>
        <w:t xml:space="preserve"> Brazilian economy recently: one in the second half of the 1990s and another in the </w:t>
      </w:r>
      <w:r>
        <w:rPr>
          <w:lang w:val="en-GB"/>
        </w:rPr>
        <w:t>second half of the</w:t>
      </w:r>
      <w:r w:rsidRPr="00720A84">
        <w:rPr>
          <w:lang w:val="en-GB"/>
        </w:rPr>
        <w:t xml:space="preserve"> 2000s. The first occurred during </w:t>
      </w:r>
      <w:r>
        <w:rPr>
          <w:lang w:val="en-GB"/>
        </w:rPr>
        <w:t xml:space="preserve">the previously mentioned </w:t>
      </w:r>
      <w:r w:rsidRPr="00720A84">
        <w:rPr>
          <w:lang w:val="en-GB"/>
        </w:rPr>
        <w:t xml:space="preserve">privatisation boom and the second during an economic growth </w:t>
      </w:r>
      <w:r>
        <w:rPr>
          <w:lang w:val="en-GB"/>
        </w:rPr>
        <w:t>recovery before the crisis.</w:t>
      </w:r>
      <w:r w:rsidRPr="00720A84">
        <w:rPr>
          <w:lang w:val="en-GB"/>
        </w:rPr>
        <w:t xml:space="preserve"> The amount invested in the country was expressively high, especially in the second period.</w:t>
      </w:r>
    </w:p>
    <w:p w14:paraId="19BB2897" w14:textId="77777777" w:rsidR="00F561D9" w:rsidRDefault="00F561D9" w:rsidP="00F561D9">
      <w:pPr>
        <w:jc w:val="both"/>
        <w:rPr>
          <w:lang w:val="en-GB"/>
        </w:rPr>
      </w:pPr>
    </w:p>
    <w:p w14:paraId="3C10D656" w14:textId="77777777" w:rsidR="00F561D9" w:rsidRPr="00720A84" w:rsidRDefault="00F561D9" w:rsidP="00F561D9">
      <w:pPr>
        <w:jc w:val="center"/>
        <w:rPr>
          <w:b/>
          <w:lang w:val="en-GB"/>
        </w:rPr>
      </w:pPr>
      <w:r w:rsidRPr="00720A84">
        <w:rPr>
          <w:b/>
          <w:lang w:val="en-GB"/>
        </w:rPr>
        <w:t xml:space="preserve">Figure </w:t>
      </w:r>
      <w:r>
        <w:rPr>
          <w:b/>
          <w:lang w:val="en-GB"/>
        </w:rPr>
        <w:t>5</w:t>
      </w:r>
      <w:r w:rsidRPr="00720A84">
        <w:rPr>
          <w:b/>
          <w:lang w:val="en-GB"/>
        </w:rPr>
        <w:t xml:space="preserve">.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FDI inflows, 1990-2010</w:t>
      </w:r>
    </w:p>
    <w:p w14:paraId="6CFB84E5" w14:textId="1DCA3853" w:rsidR="00F561D9" w:rsidRPr="008B4622" w:rsidRDefault="00F561D9" w:rsidP="00F561D9">
      <w:pPr>
        <w:jc w:val="center"/>
        <w:rPr>
          <w:lang w:val="en-GB"/>
        </w:rPr>
      </w:pPr>
      <w:r w:rsidRPr="008B4622">
        <w:rPr>
          <w:noProof/>
        </w:rPr>
        <w:drawing>
          <wp:inline distT="0" distB="0" distL="0" distR="0" wp14:anchorId="1CF93C5B" wp14:editId="6032F412">
            <wp:extent cx="3733800" cy="2324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324100"/>
                    </a:xfrm>
                    <a:prstGeom prst="rect">
                      <a:avLst/>
                    </a:prstGeom>
                    <a:noFill/>
                    <a:ln>
                      <a:noFill/>
                    </a:ln>
                  </pic:spPr>
                </pic:pic>
              </a:graphicData>
            </a:graphic>
          </wp:inline>
        </w:drawing>
      </w:r>
    </w:p>
    <w:p w14:paraId="0826355D" w14:textId="77777777" w:rsidR="00F561D9" w:rsidRPr="00720A84" w:rsidRDefault="00F561D9" w:rsidP="00F561D9">
      <w:pPr>
        <w:pStyle w:val="Textodenotaderodap"/>
        <w:jc w:val="center"/>
        <w:rPr>
          <w:lang w:val="en-GB"/>
        </w:rPr>
      </w:pPr>
      <w:bookmarkStart w:id="0" w:name="OLE_LINK5"/>
      <w:bookmarkStart w:id="1" w:name="OLE_LINK6"/>
      <w:r w:rsidRPr="00A2564A">
        <w:rPr>
          <w:lang w:val="en-GB"/>
        </w:rPr>
        <w:t>Source</w:t>
      </w:r>
      <w:r>
        <w:rPr>
          <w:lang w:val="en-GB"/>
        </w:rPr>
        <w:t>: a</w:t>
      </w:r>
      <w:r w:rsidRPr="00720A84">
        <w:rPr>
          <w:lang w:val="en-GB"/>
        </w:rPr>
        <w:t xml:space="preserve">uthor’s calculations based on </w:t>
      </w:r>
      <w:r>
        <w:rPr>
          <w:lang w:val="en-GB"/>
        </w:rPr>
        <w:t>UNCTAD</w:t>
      </w:r>
      <w:r w:rsidRPr="00720A84">
        <w:rPr>
          <w:lang w:val="en-GB"/>
        </w:rPr>
        <w:t xml:space="preserve"> data, available at</w:t>
      </w:r>
      <w:r>
        <w:rPr>
          <w:lang w:val="en-GB"/>
        </w:rPr>
        <w:t>: http://unctadstat.unctad.org/</w:t>
      </w:r>
      <w:r w:rsidRPr="00720A84">
        <w:rPr>
          <w:lang w:val="en-GB"/>
        </w:rPr>
        <w:t>.</w:t>
      </w:r>
    </w:p>
    <w:bookmarkEnd w:id="0"/>
    <w:bookmarkEnd w:id="1"/>
    <w:p w14:paraId="3CD9E11D" w14:textId="77777777" w:rsidR="00F561D9" w:rsidRDefault="00F561D9" w:rsidP="00F561D9">
      <w:pPr>
        <w:jc w:val="both"/>
        <w:rPr>
          <w:lang w:val="en-GB"/>
        </w:rPr>
      </w:pPr>
    </w:p>
    <w:p w14:paraId="0D9DF572" w14:textId="77777777" w:rsidR="00F561D9" w:rsidRDefault="00F561D9" w:rsidP="00F561D9">
      <w:pPr>
        <w:jc w:val="both"/>
        <w:rPr>
          <w:lang w:val="en-GB"/>
        </w:rPr>
      </w:pPr>
      <w:r w:rsidRPr="00720A84">
        <w:rPr>
          <w:lang w:val="en-GB"/>
        </w:rPr>
        <w:t xml:space="preserve">A distinctive feature between both cycles, however, </w:t>
      </w:r>
      <w:r>
        <w:rPr>
          <w:lang w:val="en-GB"/>
        </w:rPr>
        <w:t xml:space="preserve">is related </w:t>
      </w:r>
      <w:r w:rsidRPr="00720A84">
        <w:rPr>
          <w:lang w:val="en-GB"/>
        </w:rPr>
        <w:t xml:space="preserve">to the investment nature. Whereas most of the flows in the late 1990s </w:t>
      </w:r>
      <w:r>
        <w:rPr>
          <w:lang w:val="en-GB"/>
        </w:rPr>
        <w:t>only</w:t>
      </w:r>
      <w:r w:rsidRPr="00720A84">
        <w:rPr>
          <w:lang w:val="en-GB"/>
        </w:rPr>
        <w:t xml:space="preserve"> represented a capital ownership transfer through M&amp;A processes, strong productive capital inward movement after 2005 </w:t>
      </w:r>
      <w:r w:rsidRPr="00E853AB">
        <w:rPr>
          <w:lang w:val="en-GB"/>
        </w:rPr>
        <w:t xml:space="preserve">was driven by </w:t>
      </w:r>
      <w:smartTag w:uri="urn:schemas-microsoft-com:office:smarttags" w:element="City">
        <w:smartTag w:uri="urn:schemas-microsoft-com:office:smarttags" w:element="place">
          <w:r w:rsidRPr="00E853AB">
            <w:rPr>
              <w:lang w:val="en-GB"/>
            </w:rPr>
            <w:t>greenfield</w:t>
          </w:r>
        </w:smartTag>
      </w:smartTag>
      <w:r w:rsidRPr="00E853AB">
        <w:rPr>
          <w:lang w:val="en-GB"/>
        </w:rPr>
        <w:t xml:space="preserve"> investments (Rocha, 2011).</w:t>
      </w:r>
      <w:r>
        <w:rPr>
          <w:lang w:val="en-GB"/>
        </w:rPr>
        <w:t xml:space="preserve"> </w:t>
      </w:r>
      <w:r w:rsidRPr="00E853AB">
        <w:rPr>
          <w:lang w:val="en-GB"/>
        </w:rPr>
        <w:t>This difference may also be</w:t>
      </w:r>
      <w:r w:rsidRPr="00720A84">
        <w:rPr>
          <w:lang w:val="en-GB"/>
        </w:rPr>
        <w:t xml:space="preserve"> noticed in a comparison with the new domestic capacity </w:t>
      </w:r>
      <w:r>
        <w:rPr>
          <w:lang w:val="en-GB"/>
        </w:rPr>
        <w:t>created in the country</w:t>
      </w:r>
      <w:r>
        <w:rPr>
          <w:rStyle w:val="Refdenotaderodap"/>
          <w:lang w:val="en-GB"/>
        </w:rPr>
        <w:footnoteReference w:id="12"/>
      </w:r>
      <w:r>
        <w:rPr>
          <w:lang w:val="en-GB"/>
        </w:rPr>
        <w:t xml:space="preserve"> (figure 6</w:t>
      </w:r>
      <w:r w:rsidRPr="00720A84">
        <w:rPr>
          <w:lang w:val="en-GB"/>
        </w:rPr>
        <w:t xml:space="preserve">). Despite being hard to distinguish the FDI contribution as a source of capital accumulation, it is possible to verify that: (a) in the beginning of the 1990s there was an increase in new productive capacity without significant FDI inflows; (b) in the late 1990s there was a reduction in physical investments proportionally to GDP although much more capital entered into the economy, which reinforces the M&amp;A movement; (c) in the second half of the 2000s there was a recovery of domestic investments partially accompanied by increasing FDI inflows, which is a sign that new capacity creation was not </w:t>
      </w:r>
      <w:r>
        <w:rPr>
          <w:lang w:val="en-GB"/>
        </w:rPr>
        <w:t>only</w:t>
      </w:r>
      <w:r w:rsidRPr="00720A84">
        <w:rPr>
          <w:lang w:val="en-GB"/>
        </w:rPr>
        <w:t xml:space="preserve"> a result of foreign capital, but that most part of this capital followed a new directive of </w:t>
      </w:r>
      <w:r>
        <w:rPr>
          <w:lang w:val="en-GB"/>
        </w:rPr>
        <w:t>trans</w:t>
      </w:r>
      <w:r w:rsidRPr="00720A84">
        <w:rPr>
          <w:lang w:val="en-GB"/>
        </w:rPr>
        <w:t>national</w:t>
      </w:r>
      <w:r>
        <w:rPr>
          <w:lang w:val="en-GB"/>
        </w:rPr>
        <w:t xml:space="preserve"> corporations</w:t>
      </w:r>
      <w:r w:rsidRPr="00720A84">
        <w:rPr>
          <w:lang w:val="en-GB"/>
        </w:rPr>
        <w:t xml:space="preserve"> into the country, in order to expand their production and investment in a growing economy.</w:t>
      </w:r>
    </w:p>
    <w:p w14:paraId="7FDDDD11" w14:textId="77777777" w:rsidR="00F561D9" w:rsidRDefault="00F561D9" w:rsidP="00F561D9">
      <w:pPr>
        <w:jc w:val="both"/>
        <w:rPr>
          <w:lang w:val="en-GB"/>
        </w:rPr>
      </w:pPr>
    </w:p>
    <w:p w14:paraId="7D76E064" w14:textId="77777777" w:rsidR="00F561D9" w:rsidRDefault="00F561D9" w:rsidP="00F561D9">
      <w:pPr>
        <w:jc w:val="both"/>
        <w:rPr>
          <w:lang w:val="en-GB"/>
        </w:rPr>
      </w:pPr>
    </w:p>
    <w:p w14:paraId="548B490C" w14:textId="77777777" w:rsidR="00F561D9" w:rsidRDefault="00F561D9" w:rsidP="00F561D9">
      <w:pPr>
        <w:jc w:val="both"/>
        <w:rPr>
          <w:lang w:val="en-GB"/>
        </w:rPr>
      </w:pPr>
    </w:p>
    <w:p w14:paraId="7E7E40C6" w14:textId="77777777" w:rsidR="00F561D9" w:rsidRPr="00720A84" w:rsidRDefault="00F561D9" w:rsidP="00F561D9">
      <w:pPr>
        <w:jc w:val="center"/>
        <w:rPr>
          <w:b/>
          <w:lang w:val="en-GB"/>
        </w:rPr>
      </w:pPr>
      <w:r>
        <w:rPr>
          <w:b/>
          <w:lang w:val="en-GB"/>
        </w:rPr>
        <w:lastRenderedPageBreak/>
        <w:t>Figure 6</w:t>
      </w:r>
      <w:r w:rsidRPr="00720A84">
        <w:rPr>
          <w:b/>
          <w:lang w:val="en-GB"/>
        </w:rPr>
        <w:t xml:space="preserve">.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FDI inflows and Gross Formation of Fixed Capital as percentage of GDP, 1990-2009</w:t>
      </w:r>
    </w:p>
    <w:p w14:paraId="4C87EFF4" w14:textId="512118D4" w:rsidR="00F561D9" w:rsidRPr="00720A84" w:rsidRDefault="00F561D9" w:rsidP="00F561D9">
      <w:pPr>
        <w:jc w:val="center"/>
        <w:rPr>
          <w:lang w:val="en-GB"/>
        </w:rPr>
      </w:pPr>
      <w:r w:rsidRPr="00720A84">
        <w:rPr>
          <w:noProof/>
          <w:lang w:val="en-GB"/>
        </w:rPr>
        <w:drawing>
          <wp:inline distT="0" distB="0" distL="0" distR="0" wp14:anchorId="208D20BD" wp14:editId="3571283A">
            <wp:extent cx="3543300" cy="2286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2286000"/>
                    </a:xfrm>
                    <a:prstGeom prst="rect">
                      <a:avLst/>
                    </a:prstGeom>
                    <a:noFill/>
                    <a:ln>
                      <a:noFill/>
                    </a:ln>
                  </pic:spPr>
                </pic:pic>
              </a:graphicData>
            </a:graphic>
          </wp:inline>
        </w:drawing>
      </w:r>
    </w:p>
    <w:p w14:paraId="160D3F95" w14:textId="77777777" w:rsidR="00F561D9" w:rsidRPr="00720A84" w:rsidRDefault="00F561D9" w:rsidP="00F561D9">
      <w:pPr>
        <w:jc w:val="both"/>
        <w:rPr>
          <w:sz w:val="20"/>
          <w:szCs w:val="20"/>
          <w:lang w:val="en-GB"/>
        </w:rPr>
      </w:pPr>
      <w:r w:rsidRPr="00A2564A">
        <w:rPr>
          <w:sz w:val="20"/>
          <w:szCs w:val="20"/>
          <w:lang w:val="en-GB"/>
        </w:rPr>
        <w:t>Source</w:t>
      </w:r>
      <w:r>
        <w:rPr>
          <w:sz w:val="20"/>
          <w:szCs w:val="20"/>
          <w:lang w:val="en-GB"/>
        </w:rPr>
        <w:t>: a</w:t>
      </w:r>
      <w:r w:rsidRPr="00720A84">
        <w:rPr>
          <w:sz w:val="20"/>
          <w:szCs w:val="20"/>
          <w:lang w:val="en-GB"/>
        </w:rPr>
        <w:t xml:space="preserve">uthor’s calculations based on </w:t>
      </w:r>
      <w:r>
        <w:rPr>
          <w:sz w:val="20"/>
          <w:szCs w:val="20"/>
          <w:lang w:val="en-GB"/>
        </w:rPr>
        <w:t>UNCTAD</w:t>
      </w:r>
      <w:r w:rsidRPr="00720A84">
        <w:rPr>
          <w:sz w:val="20"/>
          <w:szCs w:val="20"/>
          <w:lang w:val="en-GB"/>
        </w:rPr>
        <w:t xml:space="preserve"> and IBGE data, available respectively at: http://unctadstat.unctad.org/ a</w:t>
      </w:r>
      <w:r>
        <w:rPr>
          <w:sz w:val="20"/>
          <w:szCs w:val="20"/>
          <w:lang w:val="en-GB"/>
        </w:rPr>
        <w:t>nd http://www.ibge.gov.br/home/</w:t>
      </w:r>
      <w:r w:rsidRPr="00720A84">
        <w:rPr>
          <w:sz w:val="20"/>
          <w:szCs w:val="20"/>
          <w:lang w:val="en-GB"/>
        </w:rPr>
        <w:t>.</w:t>
      </w:r>
    </w:p>
    <w:p w14:paraId="154CE5BD" w14:textId="77777777" w:rsidR="00F561D9" w:rsidRDefault="00F561D9" w:rsidP="00F561D9">
      <w:pPr>
        <w:jc w:val="both"/>
        <w:rPr>
          <w:lang w:val="en-GB"/>
        </w:rPr>
      </w:pPr>
    </w:p>
    <w:p w14:paraId="42163663" w14:textId="77777777" w:rsidR="00F561D9" w:rsidRDefault="00F561D9" w:rsidP="00F561D9">
      <w:pPr>
        <w:jc w:val="both"/>
        <w:rPr>
          <w:lang w:val="en-GB"/>
        </w:rPr>
      </w:pPr>
      <w:r w:rsidRPr="00720A84">
        <w:rPr>
          <w:lang w:val="en-GB"/>
        </w:rPr>
        <w:t>There is another clear difference between both cycles: the sectoral direction of FDI inflows</w:t>
      </w:r>
      <w:r>
        <w:rPr>
          <w:lang w:val="en-GB"/>
        </w:rPr>
        <w:t xml:space="preserve"> (t</w:t>
      </w:r>
      <w:r w:rsidRPr="00720A84">
        <w:rPr>
          <w:lang w:val="en-GB"/>
        </w:rPr>
        <w:t>able 1). The majority of such flows in the late 1990s were destined to services, basically publi</w:t>
      </w:r>
      <w:r>
        <w:rPr>
          <w:lang w:val="en-GB"/>
        </w:rPr>
        <w:t xml:space="preserve">c services after the government </w:t>
      </w:r>
      <w:r w:rsidRPr="00720A84">
        <w:rPr>
          <w:lang w:val="en-GB"/>
        </w:rPr>
        <w:t>br</w:t>
      </w:r>
      <w:r>
        <w:rPr>
          <w:lang w:val="en-GB"/>
        </w:rPr>
        <w:t>oke</w:t>
      </w:r>
      <w:r w:rsidRPr="00720A84">
        <w:rPr>
          <w:lang w:val="en-GB"/>
        </w:rPr>
        <w:t xml:space="preserve"> up its monopoly in sectors </w:t>
      </w:r>
      <w:r>
        <w:rPr>
          <w:lang w:val="en-GB"/>
        </w:rPr>
        <w:t>such as</w:t>
      </w:r>
      <w:r w:rsidRPr="00720A84">
        <w:rPr>
          <w:lang w:val="en-GB"/>
        </w:rPr>
        <w:t xml:space="preserve"> electricity and telecommunications in 1995. Privatisation was viewed as a way to supposedly improve efficiency of services offered by state enterprises and get funds to control public budget. Under a less restrictive framework for capital mobility, abundant foreign capital has played not only an important role in the privatisation wave, but also in M&amp;A movements in the private sector</w:t>
      </w:r>
      <w:r w:rsidRPr="00720A84">
        <w:rPr>
          <w:rStyle w:val="Refdenotaderodap"/>
          <w:lang w:val="en-GB"/>
        </w:rPr>
        <w:footnoteReference w:id="13"/>
      </w:r>
      <w:r w:rsidRPr="00720A84">
        <w:rPr>
          <w:lang w:val="en-GB"/>
        </w:rPr>
        <w:t>. It is worthwhile mention</w:t>
      </w:r>
      <w:r>
        <w:rPr>
          <w:lang w:val="en-GB"/>
        </w:rPr>
        <w:t>ing</w:t>
      </w:r>
      <w:r w:rsidRPr="00720A84">
        <w:rPr>
          <w:lang w:val="en-GB"/>
        </w:rPr>
        <w:t>, additionally, the banking restructu</w:t>
      </w:r>
      <w:r>
        <w:rPr>
          <w:lang w:val="en-GB"/>
        </w:rPr>
        <w:t>ring process</w:t>
      </w:r>
      <w:r w:rsidRPr="00720A84">
        <w:rPr>
          <w:lang w:val="en-GB"/>
        </w:rPr>
        <w:t xml:space="preserve"> in th</w:t>
      </w:r>
      <w:r>
        <w:rPr>
          <w:lang w:val="en-GB"/>
        </w:rPr>
        <w:t>e</w:t>
      </w:r>
      <w:r w:rsidRPr="00720A84">
        <w:rPr>
          <w:lang w:val="en-GB"/>
        </w:rPr>
        <w:t xml:space="preserve"> period with </w:t>
      </w:r>
      <w:r>
        <w:rPr>
          <w:lang w:val="en-GB"/>
        </w:rPr>
        <w:t xml:space="preserve">the </w:t>
      </w:r>
      <w:r w:rsidRPr="00720A84">
        <w:rPr>
          <w:lang w:val="en-GB"/>
        </w:rPr>
        <w:t xml:space="preserve">entrance of international banks in the economy by some acquisitions: HSBC bought a national private bank called Bamerindus in 1997 and </w:t>
      </w:r>
      <w:smartTag w:uri="urn:schemas-microsoft-com:office:smarttags" w:element="City">
        <w:r w:rsidRPr="00720A84">
          <w:rPr>
            <w:lang w:val="en-GB"/>
          </w:rPr>
          <w:t>Santander</w:t>
        </w:r>
      </w:smartTag>
      <w:r w:rsidRPr="00720A84">
        <w:rPr>
          <w:lang w:val="en-GB"/>
        </w:rPr>
        <w:t xml:space="preserve"> acquired Banespa, the public bank of the state of </w:t>
      </w:r>
      <w:smartTag w:uri="urn:schemas-microsoft-com:office:smarttags" w:element="place">
        <w:smartTag w:uri="urn:schemas-microsoft-com:office:smarttags" w:element="City">
          <w:r w:rsidRPr="00720A84">
            <w:rPr>
              <w:lang w:val="en-GB"/>
            </w:rPr>
            <w:t>São Paulo</w:t>
          </w:r>
        </w:smartTag>
      </w:smartTag>
      <w:r w:rsidRPr="00720A84">
        <w:rPr>
          <w:lang w:val="en-GB"/>
        </w:rPr>
        <w:t>, in 2000.</w:t>
      </w:r>
    </w:p>
    <w:p w14:paraId="69314CAE" w14:textId="77777777" w:rsidR="00F561D9" w:rsidRDefault="00F561D9" w:rsidP="00F561D9">
      <w:pPr>
        <w:jc w:val="both"/>
        <w:rPr>
          <w:lang w:val="en-GB"/>
        </w:rPr>
      </w:pPr>
    </w:p>
    <w:p w14:paraId="23578B73" w14:textId="77777777" w:rsidR="00F561D9" w:rsidRPr="00720A84" w:rsidRDefault="00F561D9" w:rsidP="00F561D9">
      <w:pPr>
        <w:jc w:val="center"/>
        <w:rPr>
          <w:b/>
          <w:lang w:val="en-GB"/>
        </w:rPr>
      </w:pPr>
      <w:r w:rsidRPr="00720A84">
        <w:rPr>
          <w:b/>
          <w:lang w:val="en-GB"/>
        </w:rPr>
        <w:t xml:space="preserve">Table 1.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FDI inflows by sector, 1996-2009 (%)</w:t>
      </w:r>
    </w:p>
    <w:tbl>
      <w:tblPr>
        <w:tblW w:w="9784" w:type="dxa"/>
        <w:jc w:val="center"/>
        <w:tblCellMar>
          <w:left w:w="70" w:type="dxa"/>
          <w:right w:w="70" w:type="dxa"/>
        </w:tblCellMar>
        <w:tblLook w:val="0000" w:firstRow="0" w:lastRow="0" w:firstColumn="0" w:lastColumn="0" w:noHBand="0" w:noVBand="0"/>
      </w:tblPr>
      <w:tblGrid>
        <w:gridCol w:w="1938"/>
        <w:gridCol w:w="500"/>
        <w:gridCol w:w="580"/>
        <w:gridCol w:w="580"/>
        <w:gridCol w:w="580"/>
        <w:gridCol w:w="580"/>
        <w:gridCol w:w="580"/>
        <w:gridCol w:w="580"/>
        <w:gridCol w:w="580"/>
        <w:gridCol w:w="580"/>
        <w:gridCol w:w="580"/>
        <w:gridCol w:w="580"/>
        <w:gridCol w:w="580"/>
        <w:gridCol w:w="580"/>
        <w:gridCol w:w="580"/>
      </w:tblGrid>
      <w:tr w:rsidR="00F561D9" w:rsidRPr="00720A84" w14:paraId="3882FADB" w14:textId="77777777" w:rsidTr="006B40CA">
        <w:trPr>
          <w:trHeight w:hRule="exact" w:val="255"/>
          <w:jc w:val="center"/>
        </w:trPr>
        <w:tc>
          <w:tcPr>
            <w:tcW w:w="1938" w:type="dxa"/>
            <w:tcBorders>
              <w:top w:val="single" w:sz="12" w:space="0" w:color="auto"/>
              <w:left w:val="nil"/>
              <w:bottom w:val="single" w:sz="4" w:space="0" w:color="auto"/>
              <w:right w:val="nil"/>
            </w:tcBorders>
            <w:shd w:val="clear" w:color="auto" w:fill="auto"/>
            <w:noWrap/>
            <w:vAlign w:val="center"/>
          </w:tcPr>
          <w:p w14:paraId="708D8541" w14:textId="77777777" w:rsidR="00F561D9" w:rsidRPr="00720A84" w:rsidRDefault="00F561D9" w:rsidP="006B40CA">
            <w:pPr>
              <w:rPr>
                <w:b/>
                <w:bCs/>
                <w:sz w:val="16"/>
                <w:szCs w:val="16"/>
                <w:lang w:val="en-GB"/>
              </w:rPr>
            </w:pPr>
            <w:r w:rsidRPr="00720A84">
              <w:rPr>
                <w:b/>
                <w:bCs/>
                <w:sz w:val="16"/>
                <w:szCs w:val="16"/>
                <w:lang w:val="en-GB"/>
              </w:rPr>
              <w:t>Sectors</w:t>
            </w:r>
          </w:p>
        </w:tc>
        <w:tc>
          <w:tcPr>
            <w:tcW w:w="488" w:type="dxa"/>
            <w:tcBorders>
              <w:top w:val="single" w:sz="12" w:space="0" w:color="auto"/>
              <w:left w:val="nil"/>
              <w:bottom w:val="single" w:sz="4" w:space="0" w:color="auto"/>
              <w:right w:val="nil"/>
            </w:tcBorders>
            <w:shd w:val="clear" w:color="auto" w:fill="auto"/>
            <w:vAlign w:val="center"/>
          </w:tcPr>
          <w:p w14:paraId="003DFD96" w14:textId="77777777" w:rsidR="00F561D9" w:rsidRPr="00720A84" w:rsidRDefault="00F561D9" w:rsidP="006B40CA">
            <w:pPr>
              <w:jc w:val="center"/>
              <w:rPr>
                <w:b/>
                <w:bCs/>
                <w:sz w:val="16"/>
                <w:szCs w:val="16"/>
                <w:lang w:val="en-GB"/>
              </w:rPr>
            </w:pPr>
            <w:r w:rsidRPr="00720A84">
              <w:rPr>
                <w:b/>
                <w:bCs/>
                <w:sz w:val="16"/>
                <w:szCs w:val="16"/>
                <w:lang w:val="en-GB"/>
              </w:rPr>
              <w:t>1996</w:t>
            </w:r>
          </w:p>
        </w:tc>
        <w:tc>
          <w:tcPr>
            <w:tcW w:w="566" w:type="dxa"/>
            <w:tcBorders>
              <w:top w:val="single" w:sz="12" w:space="0" w:color="auto"/>
              <w:left w:val="nil"/>
              <w:bottom w:val="single" w:sz="4" w:space="0" w:color="auto"/>
              <w:right w:val="nil"/>
            </w:tcBorders>
            <w:shd w:val="clear" w:color="auto" w:fill="auto"/>
            <w:vAlign w:val="center"/>
          </w:tcPr>
          <w:p w14:paraId="6536176A" w14:textId="77777777" w:rsidR="00F561D9" w:rsidRPr="00720A84" w:rsidRDefault="00F561D9" w:rsidP="006B40CA">
            <w:pPr>
              <w:jc w:val="center"/>
              <w:rPr>
                <w:b/>
                <w:bCs/>
                <w:sz w:val="16"/>
                <w:szCs w:val="16"/>
                <w:lang w:val="en-GB"/>
              </w:rPr>
            </w:pPr>
            <w:r w:rsidRPr="00720A84">
              <w:rPr>
                <w:b/>
                <w:bCs/>
                <w:sz w:val="16"/>
                <w:szCs w:val="16"/>
                <w:lang w:val="en-GB"/>
              </w:rPr>
              <w:t>1997</w:t>
            </w:r>
          </w:p>
        </w:tc>
        <w:tc>
          <w:tcPr>
            <w:tcW w:w="566" w:type="dxa"/>
            <w:tcBorders>
              <w:top w:val="single" w:sz="12" w:space="0" w:color="auto"/>
              <w:left w:val="nil"/>
              <w:bottom w:val="single" w:sz="4" w:space="0" w:color="auto"/>
              <w:right w:val="nil"/>
            </w:tcBorders>
            <w:shd w:val="clear" w:color="auto" w:fill="auto"/>
            <w:vAlign w:val="center"/>
          </w:tcPr>
          <w:p w14:paraId="672D38FD" w14:textId="77777777" w:rsidR="00F561D9" w:rsidRPr="00720A84" w:rsidRDefault="00F561D9" w:rsidP="006B40CA">
            <w:pPr>
              <w:jc w:val="center"/>
              <w:rPr>
                <w:b/>
                <w:bCs/>
                <w:sz w:val="16"/>
                <w:szCs w:val="16"/>
                <w:lang w:val="en-GB"/>
              </w:rPr>
            </w:pPr>
            <w:r w:rsidRPr="00720A84">
              <w:rPr>
                <w:b/>
                <w:bCs/>
                <w:sz w:val="16"/>
                <w:szCs w:val="16"/>
                <w:lang w:val="en-GB"/>
              </w:rPr>
              <w:t>1998</w:t>
            </w:r>
          </w:p>
        </w:tc>
        <w:tc>
          <w:tcPr>
            <w:tcW w:w="566" w:type="dxa"/>
            <w:tcBorders>
              <w:top w:val="single" w:sz="12" w:space="0" w:color="auto"/>
              <w:left w:val="nil"/>
              <w:bottom w:val="single" w:sz="4" w:space="0" w:color="auto"/>
              <w:right w:val="nil"/>
            </w:tcBorders>
            <w:shd w:val="clear" w:color="auto" w:fill="auto"/>
            <w:vAlign w:val="center"/>
          </w:tcPr>
          <w:p w14:paraId="4CF03753" w14:textId="77777777" w:rsidR="00F561D9" w:rsidRPr="00720A84" w:rsidRDefault="00F561D9" w:rsidP="006B40CA">
            <w:pPr>
              <w:jc w:val="center"/>
              <w:rPr>
                <w:b/>
                <w:bCs/>
                <w:sz w:val="16"/>
                <w:szCs w:val="16"/>
                <w:lang w:val="en-GB"/>
              </w:rPr>
            </w:pPr>
            <w:r w:rsidRPr="00720A84">
              <w:rPr>
                <w:b/>
                <w:bCs/>
                <w:sz w:val="16"/>
                <w:szCs w:val="16"/>
                <w:lang w:val="en-GB"/>
              </w:rPr>
              <w:t>1999</w:t>
            </w:r>
          </w:p>
        </w:tc>
        <w:tc>
          <w:tcPr>
            <w:tcW w:w="566" w:type="dxa"/>
            <w:tcBorders>
              <w:top w:val="single" w:sz="12" w:space="0" w:color="auto"/>
              <w:left w:val="nil"/>
              <w:bottom w:val="single" w:sz="4" w:space="0" w:color="auto"/>
              <w:right w:val="nil"/>
            </w:tcBorders>
            <w:shd w:val="clear" w:color="auto" w:fill="auto"/>
            <w:vAlign w:val="center"/>
          </w:tcPr>
          <w:p w14:paraId="368736D5" w14:textId="77777777" w:rsidR="00F561D9" w:rsidRPr="00720A84" w:rsidRDefault="00F561D9" w:rsidP="006B40CA">
            <w:pPr>
              <w:jc w:val="center"/>
              <w:rPr>
                <w:b/>
                <w:bCs/>
                <w:sz w:val="16"/>
                <w:szCs w:val="16"/>
                <w:lang w:val="en-GB"/>
              </w:rPr>
            </w:pPr>
            <w:r w:rsidRPr="00720A84">
              <w:rPr>
                <w:b/>
                <w:bCs/>
                <w:sz w:val="16"/>
                <w:szCs w:val="16"/>
                <w:lang w:val="en-GB"/>
              </w:rPr>
              <w:t>2000</w:t>
            </w:r>
          </w:p>
        </w:tc>
        <w:tc>
          <w:tcPr>
            <w:tcW w:w="566" w:type="dxa"/>
            <w:tcBorders>
              <w:top w:val="single" w:sz="12" w:space="0" w:color="auto"/>
              <w:left w:val="nil"/>
              <w:bottom w:val="single" w:sz="4" w:space="0" w:color="auto"/>
              <w:right w:val="nil"/>
            </w:tcBorders>
            <w:shd w:val="clear" w:color="auto" w:fill="auto"/>
            <w:vAlign w:val="center"/>
          </w:tcPr>
          <w:p w14:paraId="7C4F4E62" w14:textId="77777777" w:rsidR="00F561D9" w:rsidRPr="00720A84" w:rsidRDefault="00F561D9" w:rsidP="006B40CA">
            <w:pPr>
              <w:jc w:val="center"/>
              <w:rPr>
                <w:b/>
                <w:bCs/>
                <w:sz w:val="16"/>
                <w:szCs w:val="16"/>
                <w:lang w:val="en-GB"/>
              </w:rPr>
            </w:pPr>
            <w:r w:rsidRPr="00720A84">
              <w:rPr>
                <w:b/>
                <w:bCs/>
                <w:sz w:val="16"/>
                <w:szCs w:val="16"/>
                <w:lang w:val="en-GB"/>
              </w:rPr>
              <w:t>2001</w:t>
            </w:r>
          </w:p>
        </w:tc>
        <w:tc>
          <w:tcPr>
            <w:tcW w:w="566" w:type="dxa"/>
            <w:tcBorders>
              <w:top w:val="single" w:sz="12" w:space="0" w:color="auto"/>
              <w:left w:val="nil"/>
              <w:bottom w:val="single" w:sz="4" w:space="0" w:color="auto"/>
              <w:right w:val="nil"/>
            </w:tcBorders>
            <w:shd w:val="clear" w:color="auto" w:fill="auto"/>
            <w:vAlign w:val="center"/>
          </w:tcPr>
          <w:p w14:paraId="097F10F9" w14:textId="77777777" w:rsidR="00F561D9" w:rsidRPr="00720A84" w:rsidRDefault="00F561D9" w:rsidP="006B40CA">
            <w:pPr>
              <w:jc w:val="center"/>
              <w:rPr>
                <w:b/>
                <w:bCs/>
                <w:sz w:val="16"/>
                <w:szCs w:val="16"/>
                <w:lang w:val="en-GB"/>
              </w:rPr>
            </w:pPr>
            <w:r w:rsidRPr="00720A84">
              <w:rPr>
                <w:b/>
                <w:bCs/>
                <w:sz w:val="16"/>
                <w:szCs w:val="16"/>
                <w:lang w:val="en-GB"/>
              </w:rPr>
              <w:t>2002</w:t>
            </w:r>
          </w:p>
        </w:tc>
        <w:tc>
          <w:tcPr>
            <w:tcW w:w="566" w:type="dxa"/>
            <w:tcBorders>
              <w:top w:val="single" w:sz="12" w:space="0" w:color="auto"/>
              <w:left w:val="nil"/>
              <w:bottom w:val="single" w:sz="4" w:space="0" w:color="auto"/>
              <w:right w:val="nil"/>
            </w:tcBorders>
            <w:shd w:val="clear" w:color="auto" w:fill="auto"/>
            <w:vAlign w:val="center"/>
          </w:tcPr>
          <w:p w14:paraId="6ABACE3C" w14:textId="77777777" w:rsidR="00F561D9" w:rsidRPr="00720A84" w:rsidRDefault="00F561D9" w:rsidP="006B40CA">
            <w:pPr>
              <w:jc w:val="center"/>
              <w:rPr>
                <w:b/>
                <w:bCs/>
                <w:sz w:val="16"/>
                <w:szCs w:val="16"/>
                <w:lang w:val="en-GB"/>
              </w:rPr>
            </w:pPr>
            <w:r w:rsidRPr="00720A84">
              <w:rPr>
                <w:b/>
                <w:bCs/>
                <w:sz w:val="16"/>
                <w:szCs w:val="16"/>
                <w:lang w:val="en-GB"/>
              </w:rPr>
              <w:t>2003</w:t>
            </w:r>
          </w:p>
        </w:tc>
        <w:tc>
          <w:tcPr>
            <w:tcW w:w="566" w:type="dxa"/>
            <w:tcBorders>
              <w:top w:val="single" w:sz="12" w:space="0" w:color="auto"/>
              <w:left w:val="nil"/>
              <w:bottom w:val="single" w:sz="4" w:space="0" w:color="auto"/>
              <w:right w:val="nil"/>
            </w:tcBorders>
            <w:shd w:val="clear" w:color="auto" w:fill="auto"/>
            <w:vAlign w:val="center"/>
          </w:tcPr>
          <w:p w14:paraId="1B86D354" w14:textId="77777777" w:rsidR="00F561D9" w:rsidRPr="00720A84" w:rsidRDefault="00F561D9" w:rsidP="006B40CA">
            <w:pPr>
              <w:jc w:val="center"/>
              <w:rPr>
                <w:b/>
                <w:bCs/>
                <w:sz w:val="16"/>
                <w:szCs w:val="16"/>
                <w:lang w:val="en-GB"/>
              </w:rPr>
            </w:pPr>
            <w:r w:rsidRPr="00720A84">
              <w:rPr>
                <w:b/>
                <w:bCs/>
                <w:sz w:val="16"/>
                <w:szCs w:val="16"/>
                <w:lang w:val="en-GB"/>
              </w:rPr>
              <w:t>2004</w:t>
            </w:r>
          </w:p>
        </w:tc>
        <w:tc>
          <w:tcPr>
            <w:tcW w:w="566" w:type="dxa"/>
            <w:tcBorders>
              <w:top w:val="single" w:sz="12" w:space="0" w:color="auto"/>
              <w:left w:val="nil"/>
              <w:bottom w:val="single" w:sz="4" w:space="0" w:color="auto"/>
              <w:right w:val="nil"/>
            </w:tcBorders>
            <w:shd w:val="clear" w:color="auto" w:fill="auto"/>
            <w:vAlign w:val="center"/>
          </w:tcPr>
          <w:p w14:paraId="1E65F6D7" w14:textId="77777777" w:rsidR="00F561D9" w:rsidRPr="00720A84" w:rsidRDefault="00F561D9" w:rsidP="006B40CA">
            <w:pPr>
              <w:jc w:val="center"/>
              <w:rPr>
                <w:b/>
                <w:bCs/>
                <w:sz w:val="16"/>
                <w:szCs w:val="16"/>
                <w:lang w:val="en-GB"/>
              </w:rPr>
            </w:pPr>
            <w:r w:rsidRPr="00720A84">
              <w:rPr>
                <w:b/>
                <w:bCs/>
                <w:sz w:val="16"/>
                <w:szCs w:val="16"/>
                <w:lang w:val="en-GB"/>
              </w:rPr>
              <w:t>2005</w:t>
            </w:r>
          </w:p>
        </w:tc>
        <w:tc>
          <w:tcPr>
            <w:tcW w:w="566" w:type="dxa"/>
            <w:tcBorders>
              <w:top w:val="single" w:sz="12" w:space="0" w:color="auto"/>
              <w:left w:val="nil"/>
              <w:bottom w:val="single" w:sz="4" w:space="0" w:color="auto"/>
              <w:right w:val="nil"/>
            </w:tcBorders>
            <w:shd w:val="clear" w:color="auto" w:fill="auto"/>
            <w:vAlign w:val="center"/>
          </w:tcPr>
          <w:p w14:paraId="48BB47DC" w14:textId="77777777" w:rsidR="00F561D9" w:rsidRPr="00720A84" w:rsidRDefault="00F561D9" w:rsidP="006B40CA">
            <w:pPr>
              <w:jc w:val="center"/>
              <w:rPr>
                <w:b/>
                <w:bCs/>
                <w:sz w:val="16"/>
                <w:szCs w:val="16"/>
                <w:lang w:val="en-GB"/>
              </w:rPr>
            </w:pPr>
            <w:r w:rsidRPr="00720A84">
              <w:rPr>
                <w:b/>
                <w:bCs/>
                <w:sz w:val="16"/>
                <w:szCs w:val="16"/>
                <w:lang w:val="en-GB"/>
              </w:rPr>
              <w:t>2006</w:t>
            </w:r>
          </w:p>
        </w:tc>
        <w:tc>
          <w:tcPr>
            <w:tcW w:w="566" w:type="dxa"/>
            <w:tcBorders>
              <w:top w:val="single" w:sz="12" w:space="0" w:color="auto"/>
              <w:left w:val="nil"/>
              <w:bottom w:val="single" w:sz="4" w:space="0" w:color="auto"/>
              <w:right w:val="nil"/>
            </w:tcBorders>
            <w:shd w:val="clear" w:color="auto" w:fill="auto"/>
            <w:vAlign w:val="center"/>
          </w:tcPr>
          <w:p w14:paraId="53C08DC6" w14:textId="77777777" w:rsidR="00F561D9" w:rsidRPr="00720A84" w:rsidRDefault="00F561D9" w:rsidP="006B40CA">
            <w:pPr>
              <w:jc w:val="center"/>
              <w:rPr>
                <w:b/>
                <w:bCs/>
                <w:sz w:val="16"/>
                <w:szCs w:val="16"/>
                <w:lang w:val="en-GB"/>
              </w:rPr>
            </w:pPr>
            <w:r w:rsidRPr="00720A84">
              <w:rPr>
                <w:b/>
                <w:bCs/>
                <w:sz w:val="16"/>
                <w:szCs w:val="16"/>
                <w:lang w:val="en-GB"/>
              </w:rPr>
              <w:t>2007</w:t>
            </w:r>
          </w:p>
        </w:tc>
        <w:tc>
          <w:tcPr>
            <w:tcW w:w="566" w:type="dxa"/>
            <w:tcBorders>
              <w:top w:val="single" w:sz="12" w:space="0" w:color="auto"/>
              <w:left w:val="nil"/>
              <w:bottom w:val="single" w:sz="4" w:space="0" w:color="auto"/>
              <w:right w:val="nil"/>
            </w:tcBorders>
            <w:shd w:val="clear" w:color="auto" w:fill="auto"/>
            <w:vAlign w:val="center"/>
          </w:tcPr>
          <w:p w14:paraId="1D0BD061" w14:textId="77777777" w:rsidR="00F561D9" w:rsidRPr="00720A84" w:rsidRDefault="00F561D9" w:rsidP="006B40CA">
            <w:pPr>
              <w:jc w:val="center"/>
              <w:rPr>
                <w:b/>
                <w:bCs/>
                <w:sz w:val="16"/>
                <w:szCs w:val="16"/>
                <w:lang w:val="en-GB"/>
              </w:rPr>
            </w:pPr>
            <w:r w:rsidRPr="00720A84">
              <w:rPr>
                <w:b/>
                <w:bCs/>
                <w:sz w:val="16"/>
                <w:szCs w:val="16"/>
                <w:lang w:val="en-GB"/>
              </w:rPr>
              <w:t>2008</w:t>
            </w:r>
          </w:p>
        </w:tc>
        <w:tc>
          <w:tcPr>
            <w:tcW w:w="566" w:type="dxa"/>
            <w:tcBorders>
              <w:top w:val="single" w:sz="12" w:space="0" w:color="auto"/>
              <w:left w:val="nil"/>
              <w:bottom w:val="single" w:sz="4" w:space="0" w:color="auto"/>
              <w:right w:val="nil"/>
            </w:tcBorders>
            <w:shd w:val="clear" w:color="auto" w:fill="auto"/>
            <w:vAlign w:val="center"/>
          </w:tcPr>
          <w:p w14:paraId="6945DED8" w14:textId="77777777" w:rsidR="00F561D9" w:rsidRPr="00720A84" w:rsidRDefault="00F561D9" w:rsidP="006B40CA">
            <w:pPr>
              <w:jc w:val="center"/>
              <w:rPr>
                <w:b/>
                <w:bCs/>
                <w:sz w:val="16"/>
                <w:szCs w:val="16"/>
                <w:lang w:val="en-GB"/>
              </w:rPr>
            </w:pPr>
            <w:r w:rsidRPr="00720A84">
              <w:rPr>
                <w:b/>
                <w:bCs/>
                <w:sz w:val="16"/>
                <w:szCs w:val="16"/>
                <w:lang w:val="en-GB"/>
              </w:rPr>
              <w:t>2009</w:t>
            </w:r>
          </w:p>
        </w:tc>
      </w:tr>
      <w:tr w:rsidR="00F561D9" w:rsidRPr="00720A84" w14:paraId="4EBFD698" w14:textId="77777777" w:rsidTr="006B40CA">
        <w:trPr>
          <w:trHeight w:val="279"/>
          <w:jc w:val="center"/>
        </w:trPr>
        <w:tc>
          <w:tcPr>
            <w:tcW w:w="1938" w:type="dxa"/>
            <w:tcBorders>
              <w:top w:val="nil"/>
              <w:left w:val="nil"/>
              <w:bottom w:val="nil"/>
              <w:right w:val="nil"/>
            </w:tcBorders>
            <w:shd w:val="clear" w:color="auto" w:fill="auto"/>
            <w:noWrap/>
            <w:vAlign w:val="center"/>
          </w:tcPr>
          <w:p w14:paraId="13DE7D1A" w14:textId="77777777" w:rsidR="00F561D9" w:rsidRPr="00720A84" w:rsidRDefault="00F561D9" w:rsidP="006B40CA">
            <w:pPr>
              <w:rPr>
                <w:b/>
                <w:bCs/>
                <w:sz w:val="16"/>
                <w:szCs w:val="16"/>
                <w:lang w:val="en-GB"/>
              </w:rPr>
            </w:pPr>
            <w:r w:rsidRPr="00720A84">
              <w:rPr>
                <w:b/>
                <w:bCs/>
                <w:sz w:val="16"/>
                <w:szCs w:val="16"/>
                <w:lang w:val="en-GB"/>
              </w:rPr>
              <w:t>Agriculture, livestock and mining</w:t>
            </w:r>
          </w:p>
        </w:tc>
        <w:tc>
          <w:tcPr>
            <w:tcW w:w="488" w:type="dxa"/>
            <w:tcBorders>
              <w:top w:val="nil"/>
              <w:left w:val="nil"/>
              <w:bottom w:val="nil"/>
              <w:right w:val="nil"/>
            </w:tcBorders>
            <w:shd w:val="clear" w:color="auto" w:fill="auto"/>
            <w:noWrap/>
            <w:vAlign w:val="center"/>
          </w:tcPr>
          <w:p w14:paraId="5972043E" w14:textId="77777777" w:rsidR="00F561D9" w:rsidRPr="00720A84" w:rsidRDefault="00F561D9" w:rsidP="006B40CA">
            <w:pPr>
              <w:jc w:val="right"/>
              <w:rPr>
                <w:b/>
                <w:bCs/>
                <w:sz w:val="16"/>
                <w:szCs w:val="16"/>
                <w:lang w:val="en-GB"/>
              </w:rPr>
            </w:pPr>
            <w:r w:rsidRPr="00720A84">
              <w:rPr>
                <w:b/>
                <w:bCs/>
                <w:sz w:val="16"/>
                <w:szCs w:val="16"/>
                <w:lang w:val="en-GB"/>
              </w:rPr>
              <w:t>1.4</w:t>
            </w:r>
          </w:p>
        </w:tc>
        <w:tc>
          <w:tcPr>
            <w:tcW w:w="566" w:type="dxa"/>
            <w:tcBorders>
              <w:top w:val="nil"/>
              <w:left w:val="nil"/>
              <w:bottom w:val="nil"/>
              <w:right w:val="nil"/>
            </w:tcBorders>
            <w:shd w:val="clear" w:color="auto" w:fill="auto"/>
            <w:noWrap/>
            <w:vAlign w:val="center"/>
          </w:tcPr>
          <w:p w14:paraId="0619A867" w14:textId="77777777" w:rsidR="00F561D9" w:rsidRPr="00720A84" w:rsidRDefault="00F561D9" w:rsidP="006B40CA">
            <w:pPr>
              <w:jc w:val="right"/>
              <w:rPr>
                <w:b/>
                <w:bCs/>
                <w:sz w:val="16"/>
                <w:szCs w:val="16"/>
                <w:lang w:val="en-GB"/>
              </w:rPr>
            </w:pPr>
            <w:r w:rsidRPr="00720A84">
              <w:rPr>
                <w:b/>
                <w:bCs/>
                <w:sz w:val="16"/>
                <w:szCs w:val="16"/>
                <w:lang w:val="en-GB"/>
              </w:rPr>
              <w:t>3.0</w:t>
            </w:r>
          </w:p>
        </w:tc>
        <w:tc>
          <w:tcPr>
            <w:tcW w:w="566" w:type="dxa"/>
            <w:tcBorders>
              <w:top w:val="nil"/>
              <w:left w:val="nil"/>
              <w:bottom w:val="nil"/>
              <w:right w:val="nil"/>
            </w:tcBorders>
            <w:shd w:val="clear" w:color="auto" w:fill="auto"/>
            <w:noWrap/>
            <w:vAlign w:val="center"/>
          </w:tcPr>
          <w:p w14:paraId="215E1DC9" w14:textId="77777777" w:rsidR="00F561D9" w:rsidRPr="00720A84" w:rsidRDefault="00F561D9" w:rsidP="006B40CA">
            <w:pPr>
              <w:jc w:val="right"/>
              <w:rPr>
                <w:b/>
                <w:bCs/>
                <w:sz w:val="16"/>
                <w:szCs w:val="16"/>
                <w:lang w:val="en-GB"/>
              </w:rPr>
            </w:pPr>
            <w:r w:rsidRPr="00720A84">
              <w:rPr>
                <w:b/>
                <w:bCs/>
                <w:sz w:val="16"/>
                <w:szCs w:val="16"/>
                <w:lang w:val="en-GB"/>
              </w:rPr>
              <w:t>0.6</w:t>
            </w:r>
          </w:p>
        </w:tc>
        <w:tc>
          <w:tcPr>
            <w:tcW w:w="566" w:type="dxa"/>
            <w:tcBorders>
              <w:top w:val="nil"/>
              <w:left w:val="nil"/>
              <w:bottom w:val="nil"/>
              <w:right w:val="nil"/>
            </w:tcBorders>
            <w:shd w:val="clear" w:color="auto" w:fill="auto"/>
            <w:noWrap/>
            <w:vAlign w:val="center"/>
          </w:tcPr>
          <w:p w14:paraId="32A95B7F" w14:textId="77777777" w:rsidR="00F561D9" w:rsidRPr="00720A84" w:rsidRDefault="00F561D9" w:rsidP="006B40CA">
            <w:pPr>
              <w:jc w:val="right"/>
              <w:rPr>
                <w:b/>
                <w:bCs/>
                <w:sz w:val="16"/>
                <w:szCs w:val="16"/>
                <w:lang w:val="en-GB"/>
              </w:rPr>
            </w:pPr>
            <w:r w:rsidRPr="00720A84">
              <w:rPr>
                <w:b/>
                <w:bCs/>
                <w:sz w:val="16"/>
                <w:szCs w:val="16"/>
                <w:lang w:val="en-GB"/>
              </w:rPr>
              <w:t>1.5</w:t>
            </w:r>
          </w:p>
        </w:tc>
        <w:tc>
          <w:tcPr>
            <w:tcW w:w="566" w:type="dxa"/>
            <w:tcBorders>
              <w:top w:val="nil"/>
              <w:left w:val="nil"/>
              <w:bottom w:val="nil"/>
              <w:right w:val="nil"/>
            </w:tcBorders>
            <w:shd w:val="clear" w:color="auto" w:fill="auto"/>
            <w:noWrap/>
            <w:vAlign w:val="center"/>
          </w:tcPr>
          <w:p w14:paraId="2627E8CF" w14:textId="77777777" w:rsidR="00F561D9" w:rsidRPr="00720A84" w:rsidRDefault="00F561D9" w:rsidP="006B40CA">
            <w:pPr>
              <w:jc w:val="right"/>
              <w:rPr>
                <w:b/>
                <w:bCs/>
                <w:sz w:val="16"/>
                <w:szCs w:val="16"/>
                <w:lang w:val="en-GB"/>
              </w:rPr>
            </w:pPr>
            <w:r w:rsidRPr="00720A84">
              <w:rPr>
                <w:b/>
                <w:bCs/>
                <w:sz w:val="16"/>
                <w:szCs w:val="16"/>
                <w:lang w:val="en-GB"/>
              </w:rPr>
              <w:t>2.2</w:t>
            </w:r>
          </w:p>
        </w:tc>
        <w:tc>
          <w:tcPr>
            <w:tcW w:w="566" w:type="dxa"/>
            <w:tcBorders>
              <w:top w:val="nil"/>
              <w:left w:val="nil"/>
              <w:bottom w:val="nil"/>
              <w:right w:val="nil"/>
            </w:tcBorders>
            <w:shd w:val="clear" w:color="auto" w:fill="auto"/>
            <w:noWrap/>
            <w:vAlign w:val="center"/>
          </w:tcPr>
          <w:p w14:paraId="641B2696" w14:textId="77777777" w:rsidR="00F561D9" w:rsidRPr="00720A84" w:rsidRDefault="00F561D9" w:rsidP="006B40CA">
            <w:pPr>
              <w:jc w:val="right"/>
              <w:rPr>
                <w:b/>
                <w:bCs/>
                <w:sz w:val="16"/>
                <w:szCs w:val="16"/>
                <w:lang w:val="en-GB"/>
              </w:rPr>
            </w:pPr>
            <w:r w:rsidRPr="00720A84">
              <w:rPr>
                <w:b/>
                <w:bCs/>
                <w:sz w:val="16"/>
                <w:szCs w:val="16"/>
                <w:lang w:val="en-GB"/>
              </w:rPr>
              <w:t>7.1</w:t>
            </w:r>
          </w:p>
        </w:tc>
        <w:tc>
          <w:tcPr>
            <w:tcW w:w="566" w:type="dxa"/>
            <w:tcBorders>
              <w:top w:val="nil"/>
              <w:left w:val="nil"/>
              <w:bottom w:val="nil"/>
              <w:right w:val="nil"/>
            </w:tcBorders>
            <w:shd w:val="clear" w:color="auto" w:fill="auto"/>
            <w:noWrap/>
            <w:vAlign w:val="center"/>
          </w:tcPr>
          <w:p w14:paraId="00A43D16" w14:textId="77777777" w:rsidR="00F561D9" w:rsidRPr="00720A84" w:rsidRDefault="00F561D9" w:rsidP="006B40CA">
            <w:pPr>
              <w:jc w:val="right"/>
              <w:rPr>
                <w:b/>
                <w:bCs/>
                <w:sz w:val="16"/>
                <w:szCs w:val="16"/>
                <w:lang w:val="en-GB"/>
              </w:rPr>
            </w:pPr>
            <w:r w:rsidRPr="00720A84">
              <w:rPr>
                <w:b/>
                <w:bCs/>
                <w:sz w:val="16"/>
                <w:szCs w:val="16"/>
                <w:lang w:val="en-GB"/>
              </w:rPr>
              <w:t>3.4</w:t>
            </w:r>
          </w:p>
        </w:tc>
        <w:tc>
          <w:tcPr>
            <w:tcW w:w="566" w:type="dxa"/>
            <w:tcBorders>
              <w:top w:val="nil"/>
              <w:left w:val="nil"/>
              <w:bottom w:val="nil"/>
              <w:right w:val="nil"/>
            </w:tcBorders>
            <w:shd w:val="clear" w:color="auto" w:fill="auto"/>
            <w:noWrap/>
            <w:vAlign w:val="center"/>
          </w:tcPr>
          <w:p w14:paraId="37C81A62" w14:textId="77777777" w:rsidR="00F561D9" w:rsidRPr="00720A84" w:rsidRDefault="00F561D9" w:rsidP="006B40CA">
            <w:pPr>
              <w:jc w:val="right"/>
              <w:rPr>
                <w:b/>
                <w:bCs/>
                <w:sz w:val="16"/>
                <w:szCs w:val="16"/>
                <w:lang w:val="en-GB"/>
              </w:rPr>
            </w:pPr>
            <w:r w:rsidRPr="00720A84">
              <w:rPr>
                <w:b/>
                <w:bCs/>
                <w:sz w:val="16"/>
                <w:szCs w:val="16"/>
                <w:lang w:val="en-GB"/>
              </w:rPr>
              <w:t>11.5</w:t>
            </w:r>
          </w:p>
        </w:tc>
        <w:tc>
          <w:tcPr>
            <w:tcW w:w="566" w:type="dxa"/>
            <w:tcBorders>
              <w:top w:val="nil"/>
              <w:left w:val="nil"/>
              <w:bottom w:val="nil"/>
              <w:right w:val="nil"/>
            </w:tcBorders>
            <w:shd w:val="clear" w:color="auto" w:fill="auto"/>
            <w:noWrap/>
            <w:vAlign w:val="center"/>
          </w:tcPr>
          <w:p w14:paraId="12A8ED95" w14:textId="77777777" w:rsidR="00F561D9" w:rsidRPr="00720A84" w:rsidRDefault="00F561D9" w:rsidP="006B40CA">
            <w:pPr>
              <w:jc w:val="right"/>
              <w:rPr>
                <w:b/>
                <w:bCs/>
                <w:sz w:val="16"/>
                <w:szCs w:val="16"/>
                <w:lang w:val="en-GB"/>
              </w:rPr>
            </w:pPr>
            <w:r w:rsidRPr="00720A84">
              <w:rPr>
                <w:b/>
                <w:bCs/>
                <w:sz w:val="16"/>
                <w:szCs w:val="16"/>
                <w:lang w:val="en-GB"/>
              </w:rPr>
              <w:t>5.3</w:t>
            </w:r>
          </w:p>
        </w:tc>
        <w:tc>
          <w:tcPr>
            <w:tcW w:w="566" w:type="dxa"/>
            <w:tcBorders>
              <w:top w:val="nil"/>
              <w:left w:val="nil"/>
              <w:bottom w:val="nil"/>
              <w:right w:val="nil"/>
            </w:tcBorders>
            <w:shd w:val="clear" w:color="auto" w:fill="auto"/>
            <w:noWrap/>
            <w:vAlign w:val="center"/>
          </w:tcPr>
          <w:p w14:paraId="75AF331C" w14:textId="77777777" w:rsidR="00F561D9" w:rsidRPr="00720A84" w:rsidRDefault="00F561D9" w:rsidP="006B40CA">
            <w:pPr>
              <w:jc w:val="right"/>
              <w:rPr>
                <w:b/>
                <w:bCs/>
                <w:sz w:val="16"/>
                <w:szCs w:val="16"/>
                <w:lang w:val="en-GB"/>
              </w:rPr>
            </w:pPr>
            <w:r w:rsidRPr="00720A84">
              <w:rPr>
                <w:b/>
                <w:bCs/>
                <w:sz w:val="16"/>
                <w:szCs w:val="16"/>
                <w:lang w:val="en-GB"/>
              </w:rPr>
              <w:t>10.2</w:t>
            </w:r>
          </w:p>
        </w:tc>
        <w:tc>
          <w:tcPr>
            <w:tcW w:w="566" w:type="dxa"/>
            <w:tcBorders>
              <w:top w:val="nil"/>
              <w:left w:val="nil"/>
              <w:bottom w:val="nil"/>
              <w:right w:val="nil"/>
            </w:tcBorders>
            <w:shd w:val="clear" w:color="auto" w:fill="auto"/>
            <w:noWrap/>
            <w:vAlign w:val="center"/>
          </w:tcPr>
          <w:p w14:paraId="5D48AC09" w14:textId="77777777" w:rsidR="00F561D9" w:rsidRPr="00720A84" w:rsidRDefault="00F561D9" w:rsidP="006B40CA">
            <w:pPr>
              <w:jc w:val="right"/>
              <w:rPr>
                <w:b/>
                <w:bCs/>
                <w:sz w:val="16"/>
                <w:szCs w:val="16"/>
                <w:lang w:val="en-GB"/>
              </w:rPr>
            </w:pPr>
            <w:r w:rsidRPr="00720A84">
              <w:rPr>
                <w:b/>
                <w:bCs/>
                <w:sz w:val="16"/>
                <w:szCs w:val="16"/>
                <w:lang w:val="en-GB"/>
              </w:rPr>
              <w:t>6.1</w:t>
            </w:r>
          </w:p>
        </w:tc>
        <w:tc>
          <w:tcPr>
            <w:tcW w:w="566" w:type="dxa"/>
            <w:tcBorders>
              <w:top w:val="nil"/>
              <w:left w:val="nil"/>
              <w:bottom w:val="nil"/>
              <w:right w:val="nil"/>
            </w:tcBorders>
            <w:shd w:val="clear" w:color="auto" w:fill="auto"/>
            <w:noWrap/>
            <w:vAlign w:val="center"/>
          </w:tcPr>
          <w:p w14:paraId="47FCC0A4" w14:textId="77777777" w:rsidR="00F561D9" w:rsidRPr="00720A84" w:rsidRDefault="00F561D9" w:rsidP="006B40CA">
            <w:pPr>
              <w:jc w:val="right"/>
              <w:rPr>
                <w:b/>
                <w:bCs/>
                <w:sz w:val="16"/>
                <w:szCs w:val="16"/>
                <w:lang w:val="en-GB"/>
              </w:rPr>
            </w:pPr>
            <w:r w:rsidRPr="00720A84">
              <w:rPr>
                <w:b/>
                <w:bCs/>
                <w:sz w:val="16"/>
                <w:szCs w:val="16"/>
                <w:lang w:val="en-GB"/>
              </w:rPr>
              <w:t>14.8</w:t>
            </w:r>
          </w:p>
        </w:tc>
        <w:tc>
          <w:tcPr>
            <w:tcW w:w="566" w:type="dxa"/>
            <w:tcBorders>
              <w:top w:val="nil"/>
              <w:left w:val="nil"/>
              <w:bottom w:val="nil"/>
              <w:right w:val="nil"/>
            </w:tcBorders>
            <w:shd w:val="clear" w:color="auto" w:fill="auto"/>
            <w:noWrap/>
            <w:vAlign w:val="center"/>
          </w:tcPr>
          <w:p w14:paraId="46773895" w14:textId="77777777" w:rsidR="00F561D9" w:rsidRPr="00720A84" w:rsidRDefault="00F561D9" w:rsidP="006B40CA">
            <w:pPr>
              <w:jc w:val="right"/>
              <w:rPr>
                <w:b/>
                <w:bCs/>
                <w:sz w:val="16"/>
                <w:szCs w:val="16"/>
                <w:lang w:val="en-GB"/>
              </w:rPr>
            </w:pPr>
            <w:r w:rsidRPr="00720A84">
              <w:rPr>
                <w:b/>
                <w:bCs/>
                <w:sz w:val="16"/>
                <w:szCs w:val="16"/>
                <w:lang w:val="en-GB"/>
              </w:rPr>
              <w:t>29.6</w:t>
            </w:r>
          </w:p>
        </w:tc>
        <w:tc>
          <w:tcPr>
            <w:tcW w:w="566" w:type="dxa"/>
            <w:tcBorders>
              <w:top w:val="nil"/>
              <w:left w:val="nil"/>
              <w:bottom w:val="nil"/>
              <w:right w:val="nil"/>
            </w:tcBorders>
            <w:shd w:val="clear" w:color="auto" w:fill="auto"/>
            <w:noWrap/>
            <w:vAlign w:val="center"/>
          </w:tcPr>
          <w:p w14:paraId="66C28045" w14:textId="77777777" w:rsidR="00F561D9" w:rsidRPr="00720A84" w:rsidRDefault="00F561D9" w:rsidP="006B40CA">
            <w:pPr>
              <w:jc w:val="right"/>
              <w:rPr>
                <w:b/>
                <w:bCs/>
                <w:sz w:val="16"/>
                <w:szCs w:val="16"/>
                <w:lang w:val="en-GB"/>
              </w:rPr>
            </w:pPr>
            <w:r w:rsidRPr="00720A84">
              <w:rPr>
                <w:b/>
                <w:bCs/>
                <w:sz w:val="16"/>
                <w:szCs w:val="16"/>
                <w:lang w:val="en-GB"/>
              </w:rPr>
              <w:t>14.7</w:t>
            </w:r>
          </w:p>
        </w:tc>
      </w:tr>
      <w:tr w:rsidR="00F561D9" w:rsidRPr="00720A84" w14:paraId="02316B1A"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309864E7" w14:textId="77777777" w:rsidR="00F561D9" w:rsidRPr="00720A84" w:rsidRDefault="00F561D9" w:rsidP="006B40CA">
            <w:pPr>
              <w:rPr>
                <w:b/>
                <w:bCs/>
                <w:sz w:val="16"/>
                <w:szCs w:val="16"/>
                <w:lang w:val="en-GB"/>
              </w:rPr>
            </w:pPr>
            <w:r w:rsidRPr="00720A84">
              <w:rPr>
                <w:b/>
                <w:bCs/>
                <w:sz w:val="16"/>
                <w:szCs w:val="16"/>
                <w:lang w:val="en-GB"/>
              </w:rPr>
              <w:t>Industry</w:t>
            </w:r>
          </w:p>
        </w:tc>
        <w:tc>
          <w:tcPr>
            <w:tcW w:w="488" w:type="dxa"/>
            <w:tcBorders>
              <w:top w:val="nil"/>
              <w:left w:val="nil"/>
              <w:bottom w:val="nil"/>
              <w:right w:val="nil"/>
            </w:tcBorders>
            <w:shd w:val="clear" w:color="auto" w:fill="auto"/>
            <w:noWrap/>
            <w:vAlign w:val="center"/>
          </w:tcPr>
          <w:p w14:paraId="6163CA08" w14:textId="77777777" w:rsidR="00F561D9" w:rsidRPr="00720A84" w:rsidRDefault="00F561D9" w:rsidP="006B40CA">
            <w:pPr>
              <w:jc w:val="right"/>
              <w:rPr>
                <w:b/>
                <w:bCs/>
                <w:sz w:val="16"/>
                <w:szCs w:val="16"/>
                <w:lang w:val="en-GB"/>
              </w:rPr>
            </w:pPr>
            <w:r w:rsidRPr="00720A84">
              <w:rPr>
                <w:b/>
                <w:bCs/>
                <w:sz w:val="16"/>
                <w:szCs w:val="16"/>
                <w:lang w:val="en-GB"/>
              </w:rPr>
              <w:t>22.7</w:t>
            </w:r>
          </w:p>
        </w:tc>
        <w:tc>
          <w:tcPr>
            <w:tcW w:w="566" w:type="dxa"/>
            <w:tcBorders>
              <w:top w:val="nil"/>
              <w:left w:val="nil"/>
              <w:bottom w:val="nil"/>
              <w:right w:val="nil"/>
            </w:tcBorders>
            <w:shd w:val="clear" w:color="auto" w:fill="auto"/>
            <w:noWrap/>
            <w:vAlign w:val="center"/>
          </w:tcPr>
          <w:p w14:paraId="4C4A861F" w14:textId="77777777" w:rsidR="00F561D9" w:rsidRPr="00720A84" w:rsidRDefault="00F561D9" w:rsidP="006B40CA">
            <w:pPr>
              <w:jc w:val="right"/>
              <w:rPr>
                <w:b/>
                <w:bCs/>
                <w:sz w:val="16"/>
                <w:szCs w:val="16"/>
                <w:lang w:val="en-GB"/>
              </w:rPr>
            </w:pPr>
            <w:r w:rsidRPr="00720A84">
              <w:rPr>
                <w:b/>
                <w:bCs/>
                <w:sz w:val="16"/>
                <w:szCs w:val="16"/>
                <w:lang w:val="en-GB"/>
              </w:rPr>
              <w:t>13.3</w:t>
            </w:r>
          </w:p>
        </w:tc>
        <w:tc>
          <w:tcPr>
            <w:tcW w:w="566" w:type="dxa"/>
            <w:tcBorders>
              <w:top w:val="nil"/>
              <w:left w:val="nil"/>
              <w:bottom w:val="nil"/>
              <w:right w:val="nil"/>
            </w:tcBorders>
            <w:shd w:val="clear" w:color="auto" w:fill="auto"/>
            <w:noWrap/>
            <w:vAlign w:val="center"/>
          </w:tcPr>
          <w:p w14:paraId="62083EB5" w14:textId="77777777" w:rsidR="00F561D9" w:rsidRPr="00720A84" w:rsidRDefault="00F561D9" w:rsidP="006B40CA">
            <w:pPr>
              <w:jc w:val="right"/>
              <w:rPr>
                <w:b/>
                <w:bCs/>
                <w:sz w:val="16"/>
                <w:szCs w:val="16"/>
                <w:lang w:val="en-GB"/>
              </w:rPr>
            </w:pPr>
            <w:r w:rsidRPr="00720A84">
              <w:rPr>
                <w:b/>
                <w:bCs/>
                <w:sz w:val="16"/>
                <w:szCs w:val="16"/>
                <w:lang w:val="en-GB"/>
              </w:rPr>
              <w:t>11.9</w:t>
            </w:r>
          </w:p>
        </w:tc>
        <w:tc>
          <w:tcPr>
            <w:tcW w:w="566" w:type="dxa"/>
            <w:tcBorders>
              <w:top w:val="nil"/>
              <w:left w:val="nil"/>
              <w:bottom w:val="nil"/>
              <w:right w:val="nil"/>
            </w:tcBorders>
            <w:shd w:val="clear" w:color="auto" w:fill="auto"/>
            <w:noWrap/>
            <w:vAlign w:val="center"/>
          </w:tcPr>
          <w:p w14:paraId="715A91B9" w14:textId="77777777" w:rsidR="00F561D9" w:rsidRPr="00720A84" w:rsidRDefault="00F561D9" w:rsidP="006B40CA">
            <w:pPr>
              <w:jc w:val="right"/>
              <w:rPr>
                <w:b/>
                <w:bCs/>
                <w:sz w:val="16"/>
                <w:szCs w:val="16"/>
                <w:lang w:val="en-GB"/>
              </w:rPr>
            </w:pPr>
            <w:r w:rsidRPr="00720A84">
              <w:rPr>
                <w:b/>
                <w:bCs/>
                <w:sz w:val="16"/>
                <w:szCs w:val="16"/>
                <w:lang w:val="en-GB"/>
              </w:rPr>
              <w:t>25.4</w:t>
            </w:r>
          </w:p>
        </w:tc>
        <w:tc>
          <w:tcPr>
            <w:tcW w:w="566" w:type="dxa"/>
            <w:tcBorders>
              <w:top w:val="nil"/>
              <w:left w:val="nil"/>
              <w:bottom w:val="nil"/>
              <w:right w:val="nil"/>
            </w:tcBorders>
            <w:shd w:val="clear" w:color="auto" w:fill="auto"/>
            <w:noWrap/>
            <w:vAlign w:val="center"/>
          </w:tcPr>
          <w:p w14:paraId="3A955C98" w14:textId="77777777" w:rsidR="00F561D9" w:rsidRPr="00720A84" w:rsidRDefault="00F561D9" w:rsidP="006B40CA">
            <w:pPr>
              <w:jc w:val="right"/>
              <w:rPr>
                <w:b/>
                <w:bCs/>
                <w:sz w:val="16"/>
                <w:szCs w:val="16"/>
                <w:lang w:val="en-GB"/>
              </w:rPr>
            </w:pPr>
            <w:r w:rsidRPr="00720A84">
              <w:rPr>
                <w:b/>
                <w:bCs/>
                <w:sz w:val="16"/>
                <w:szCs w:val="16"/>
                <w:lang w:val="en-GB"/>
              </w:rPr>
              <w:t>17.0</w:t>
            </w:r>
          </w:p>
        </w:tc>
        <w:tc>
          <w:tcPr>
            <w:tcW w:w="566" w:type="dxa"/>
            <w:tcBorders>
              <w:top w:val="nil"/>
              <w:left w:val="nil"/>
              <w:bottom w:val="nil"/>
              <w:right w:val="nil"/>
            </w:tcBorders>
            <w:shd w:val="clear" w:color="auto" w:fill="auto"/>
            <w:noWrap/>
            <w:vAlign w:val="center"/>
          </w:tcPr>
          <w:p w14:paraId="0F0E0CC3" w14:textId="77777777" w:rsidR="00F561D9" w:rsidRPr="00720A84" w:rsidRDefault="00F561D9" w:rsidP="006B40CA">
            <w:pPr>
              <w:jc w:val="right"/>
              <w:rPr>
                <w:b/>
                <w:bCs/>
                <w:sz w:val="16"/>
                <w:szCs w:val="16"/>
                <w:lang w:val="en-GB"/>
              </w:rPr>
            </w:pPr>
            <w:r w:rsidRPr="00720A84">
              <w:rPr>
                <w:b/>
                <w:bCs/>
                <w:sz w:val="16"/>
                <w:szCs w:val="16"/>
                <w:lang w:val="en-GB"/>
              </w:rPr>
              <w:t>33.3</w:t>
            </w:r>
          </w:p>
        </w:tc>
        <w:tc>
          <w:tcPr>
            <w:tcW w:w="566" w:type="dxa"/>
            <w:tcBorders>
              <w:top w:val="nil"/>
              <w:left w:val="nil"/>
              <w:bottom w:val="nil"/>
              <w:right w:val="nil"/>
            </w:tcBorders>
            <w:shd w:val="clear" w:color="auto" w:fill="auto"/>
            <w:noWrap/>
            <w:vAlign w:val="center"/>
          </w:tcPr>
          <w:p w14:paraId="290C4AA4" w14:textId="77777777" w:rsidR="00F561D9" w:rsidRPr="00720A84" w:rsidRDefault="00F561D9" w:rsidP="006B40CA">
            <w:pPr>
              <w:jc w:val="right"/>
              <w:rPr>
                <w:b/>
                <w:bCs/>
                <w:sz w:val="16"/>
                <w:szCs w:val="16"/>
                <w:lang w:val="en-GB"/>
              </w:rPr>
            </w:pPr>
            <w:r w:rsidRPr="00720A84">
              <w:rPr>
                <w:b/>
                <w:bCs/>
                <w:sz w:val="16"/>
                <w:szCs w:val="16"/>
                <w:lang w:val="en-GB"/>
              </w:rPr>
              <w:t>40.2</w:t>
            </w:r>
          </w:p>
        </w:tc>
        <w:tc>
          <w:tcPr>
            <w:tcW w:w="566" w:type="dxa"/>
            <w:tcBorders>
              <w:top w:val="nil"/>
              <w:left w:val="nil"/>
              <w:bottom w:val="nil"/>
              <w:right w:val="nil"/>
            </w:tcBorders>
            <w:shd w:val="clear" w:color="auto" w:fill="auto"/>
            <w:noWrap/>
            <w:vAlign w:val="center"/>
          </w:tcPr>
          <w:p w14:paraId="57983916" w14:textId="77777777" w:rsidR="00F561D9" w:rsidRPr="00720A84" w:rsidRDefault="00F561D9" w:rsidP="006B40CA">
            <w:pPr>
              <w:jc w:val="right"/>
              <w:rPr>
                <w:b/>
                <w:bCs/>
                <w:sz w:val="16"/>
                <w:szCs w:val="16"/>
                <w:lang w:val="en-GB"/>
              </w:rPr>
            </w:pPr>
            <w:r w:rsidRPr="00720A84">
              <w:rPr>
                <w:b/>
                <w:bCs/>
                <w:sz w:val="16"/>
                <w:szCs w:val="16"/>
                <w:lang w:val="en-GB"/>
              </w:rPr>
              <w:t>34.9</w:t>
            </w:r>
          </w:p>
        </w:tc>
        <w:tc>
          <w:tcPr>
            <w:tcW w:w="566" w:type="dxa"/>
            <w:tcBorders>
              <w:top w:val="nil"/>
              <w:left w:val="nil"/>
              <w:bottom w:val="nil"/>
              <w:right w:val="nil"/>
            </w:tcBorders>
            <w:shd w:val="clear" w:color="auto" w:fill="auto"/>
            <w:noWrap/>
            <w:vAlign w:val="center"/>
          </w:tcPr>
          <w:p w14:paraId="05D2F416" w14:textId="77777777" w:rsidR="00F561D9" w:rsidRPr="00720A84" w:rsidRDefault="00F561D9" w:rsidP="006B40CA">
            <w:pPr>
              <w:jc w:val="right"/>
              <w:rPr>
                <w:b/>
                <w:bCs/>
                <w:sz w:val="16"/>
                <w:szCs w:val="16"/>
                <w:lang w:val="en-GB"/>
              </w:rPr>
            </w:pPr>
            <w:r w:rsidRPr="00720A84">
              <w:rPr>
                <w:b/>
                <w:bCs/>
                <w:sz w:val="16"/>
                <w:szCs w:val="16"/>
                <w:lang w:val="en-GB"/>
              </w:rPr>
              <w:t>52.8</w:t>
            </w:r>
          </w:p>
        </w:tc>
        <w:tc>
          <w:tcPr>
            <w:tcW w:w="566" w:type="dxa"/>
            <w:tcBorders>
              <w:top w:val="nil"/>
              <w:left w:val="nil"/>
              <w:bottom w:val="nil"/>
              <w:right w:val="nil"/>
            </w:tcBorders>
            <w:shd w:val="clear" w:color="auto" w:fill="auto"/>
            <w:noWrap/>
            <w:vAlign w:val="center"/>
          </w:tcPr>
          <w:p w14:paraId="08EAA379" w14:textId="77777777" w:rsidR="00F561D9" w:rsidRPr="00720A84" w:rsidRDefault="00F561D9" w:rsidP="006B40CA">
            <w:pPr>
              <w:jc w:val="right"/>
              <w:rPr>
                <w:b/>
                <w:bCs/>
                <w:sz w:val="16"/>
                <w:szCs w:val="16"/>
                <w:lang w:val="en-GB"/>
              </w:rPr>
            </w:pPr>
            <w:r w:rsidRPr="00720A84">
              <w:rPr>
                <w:b/>
                <w:bCs/>
                <w:sz w:val="16"/>
                <w:szCs w:val="16"/>
                <w:lang w:val="en-GB"/>
              </w:rPr>
              <w:t>29.8</w:t>
            </w:r>
          </w:p>
        </w:tc>
        <w:tc>
          <w:tcPr>
            <w:tcW w:w="566" w:type="dxa"/>
            <w:tcBorders>
              <w:top w:val="nil"/>
              <w:left w:val="nil"/>
              <w:bottom w:val="nil"/>
              <w:right w:val="nil"/>
            </w:tcBorders>
            <w:shd w:val="clear" w:color="auto" w:fill="auto"/>
            <w:noWrap/>
            <w:vAlign w:val="center"/>
          </w:tcPr>
          <w:p w14:paraId="2C8E0444" w14:textId="77777777" w:rsidR="00F561D9" w:rsidRPr="00720A84" w:rsidRDefault="00F561D9" w:rsidP="006B40CA">
            <w:pPr>
              <w:jc w:val="right"/>
              <w:rPr>
                <w:b/>
                <w:bCs/>
                <w:sz w:val="16"/>
                <w:szCs w:val="16"/>
                <w:lang w:val="en-GB"/>
              </w:rPr>
            </w:pPr>
            <w:r w:rsidRPr="00720A84">
              <w:rPr>
                <w:b/>
                <w:bCs/>
                <w:sz w:val="16"/>
                <w:szCs w:val="16"/>
                <w:lang w:val="en-GB"/>
              </w:rPr>
              <w:t>39.3</w:t>
            </w:r>
          </w:p>
        </w:tc>
        <w:tc>
          <w:tcPr>
            <w:tcW w:w="566" w:type="dxa"/>
            <w:tcBorders>
              <w:top w:val="nil"/>
              <w:left w:val="nil"/>
              <w:bottom w:val="nil"/>
              <w:right w:val="nil"/>
            </w:tcBorders>
            <w:shd w:val="clear" w:color="auto" w:fill="auto"/>
            <w:noWrap/>
            <w:vAlign w:val="center"/>
          </w:tcPr>
          <w:p w14:paraId="5F467E17" w14:textId="77777777" w:rsidR="00F561D9" w:rsidRPr="00720A84" w:rsidRDefault="00F561D9" w:rsidP="006B40CA">
            <w:pPr>
              <w:jc w:val="right"/>
              <w:rPr>
                <w:b/>
                <w:bCs/>
                <w:sz w:val="16"/>
                <w:szCs w:val="16"/>
                <w:lang w:val="en-GB"/>
              </w:rPr>
            </w:pPr>
            <w:r w:rsidRPr="00720A84">
              <w:rPr>
                <w:b/>
                <w:bCs/>
                <w:sz w:val="16"/>
                <w:szCs w:val="16"/>
                <w:lang w:val="en-GB"/>
              </w:rPr>
              <w:t>36.1</w:t>
            </w:r>
          </w:p>
        </w:tc>
        <w:tc>
          <w:tcPr>
            <w:tcW w:w="566" w:type="dxa"/>
            <w:tcBorders>
              <w:top w:val="nil"/>
              <w:left w:val="nil"/>
              <w:bottom w:val="nil"/>
              <w:right w:val="nil"/>
            </w:tcBorders>
            <w:shd w:val="clear" w:color="auto" w:fill="auto"/>
            <w:noWrap/>
            <w:vAlign w:val="center"/>
          </w:tcPr>
          <w:p w14:paraId="2E602CF2" w14:textId="77777777" w:rsidR="00F561D9" w:rsidRPr="00720A84" w:rsidRDefault="00F561D9" w:rsidP="006B40CA">
            <w:pPr>
              <w:jc w:val="right"/>
              <w:rPr>
                <w:b/>
                <w:bCs/>
                <w:sz w:val="16"/>
                <w:szCs w:val="16"/>
                <w:lang w:val="en-GB"/>
              </w:rPr>
            </w:pPr>
            <w:r w:rsidRPr="00720A84">
              <w:rPr>
                <w:b/>
                <w:bCs/>
                <w:sz w:val="16"/>
                <w:szCs w:val="16"/>
                <w:lang w:val="en-GB"/>
              </w:rPr>
              <w:t>31.9</w:t>
            </w:r>
          </w:p>
        </w:tc>
        <w:tc>
          <w:tcPr>
            <w:tcW w:w="566" w:type="dxa"/>
            <w:tcBorders>
              <w:top w:val="nil"/>
              <w:left w:val="nil"/>
              <w:bottom w:val="nil"/>
              <w:right w:val="nil"/>
            </w:tcBorders>
            <w:shd w:val="clear" w:color="auto" w:fill="auto"/>
            <w:noWrap/>
            <w:vAlign w:val="center"/>
          </w:tcPr>
          <w:p w14:paraId="3AA90BAB" w14:textId="77777777" w:rsidR="00F561D9" w:rsidRPr="00720A84" w:rsidRDefault="00F561D9" w:rsidP="006B40CA">
            <w:pPr>
              <w:jc w:val="right"/>
              <w:rPr>
                <w:b/>
                <w:bCs/>
                <w:sz w:val="16"/>
                <w:szCs w:val="16"/>
                <w:lang w:val="en-GB"/>
              </w:rPr>
            </w:pPr>
            <w:r w:rsidRPr="00720A84">
              <w:rPr>
                <w:b/>
                <w:bCs/>
                <w:sz w:val="16"/>
                <w:szCs w:val="16"/>
                <w:lang w:val="en-GB"/>
              </w:rPr>
              <w:t>39.2</w:t>
            </w:r>
          </w:p>
        </w:tc>
      </w:tr>
      <w:tr w:rsidR="00F561D9" w:rsidRPr="00720A84" w14:paraId="0D86E758"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3CE67EF7" w14:textId="77777777" w:rsidR="00F561D9" w:rsidRPr="00720A84" w:rsidRDefault="00F561D9" w:rsidP="006B40CA">
            <w:pPr>
              <w:ind w:left="85"/>
              <w:rPr>
                <w:sz w:val="16"/>
                <w:szCs w:val="16"/>
                <w:lang w:val="en-GB"/>
              </w:rPr>
            </w:pPr>
            <w:r w:rsidRPr="00720A84">
              <w:rPr>
                <w:sz w:val="16"/>
                <w:szCs w:val="16"/>
                <w:lang w:val="en-GB"/>
              </w:rPr>
              <w:t>Food and beverages</w:t>
            </w:r>
          </w:p>
        </w:tc>
        <w:tc>
          <w:tcPr>
            <w:tcW w:w="488" w:type="dxa"/>
            <w:tcBorders>
              <w:top w:val="nil"/>
              <w:left w:val="nil"/>
              <w:bottom w:val="nil"/>
              <w:right w:val="nil"/>
            </w:tcBorders>
            <w:shd w:val="clear" w:color="auto" w:fill="auto"/>
            <w:noWrap/>
            <w:vAlign w:val="center"/>
          </w:tcPr>
          <w:p w14:paraId="71A19E40" w14:textId="77777777" w:rsidR="00F561D9" w:rsidRPr="00720A84" w:rsidRDefault="00F561D9" w:rsidP="006B40CA">
            <w:pPr>
              <w:jc w:val="right"/>
              <w:rPr>
                <w:sz w:val="16"/>
                <w:szCs w:val="16"/>
                <w:lang w:val="en-GB"/>
              </w:rPr>
            </w:pPr>
            <w:r w:rsidRPr="00720A84">
              <w:rPr>
                <w:sz w:val="16"/>
                <w:szCs w:val="16"/>
                <w:lang w:val="en-GB"/>
              </w:rPr>
              <w:t>2.4</w:t>
            </w:r>
          </w:p>
        </w:tc>
        <w:tc>
          <w:tcPr>
            <w:tcW w:w="566" w:type="dxa"/>
            <w:tcBorders>
              <w:top w:val="nil"/>
              <w:left w:val="nil"/>
              <w:bottom w:val="nil"/>
              <w:right w:val="nil"/>
            </w:tcBorders>
            <w:shd w:val="clear" w:color="auto" w:fill="auto"/>
            <w:noWrap/>
            <w:vAlign w:val="center"/>
          </w:tcPr>
          <w:p w14:paraId="6040E9E5" w14:textId="77777777" w:rsidR="00F561D9" w:rsidRPr="00720A84" w:rsidRDefault="00F561D9" w:rsidP="006B40CA">
            <w:pPr>
              <w:jc w:val="right"/>
              <w:rPr>
                <w:sz w:val="16"/>
                <w:szCs w:val="16"/>
                <w:lang w:val="en-GB"/>
              </w:rPr>
            </w:pPr>
            <w:r w:rsidRPr="00720A84">
              <w:rPr>
                <w:sz w:val="16"/>
                <w:szCs w:val="16"/>
                <w:lang w:val="en-GB"/>
              </w:rPr>
              <w:t>2.1</w:t>
            </w:r>
          </w:p>
        </w:tc>
        <w:tc>
          <w:tcPr>
            <w:tcW w:w="566" w:type="dxa"/>
            <w:tcBorders>
              <w:top w:val="nil"/>
              <w:left w:val="nil"/>
              <w:bottom w:val="nil"/>
              <w:right w:val="nil"/>
            </w:tcBorders>
            <w:shd w:val="clear" w:color="auto" w:fill="auto"/>
            <w:noWrap/>
            <w:vAlign w:val="center"/>
          </w:tcPr>
          <w:p w14:paraId="3559DEB8" w14:textId="77777777" w:rsidR="00F561D9" w:rsidRPr="00720A84" w:rsidRDefault="00F561D9" w:rsidP="006B40CA">
            <w:pPr>
              <w:jc w:val="right"/>
              <w:rPr>
                <w:sz w:val="16"/>
                <w:szCs w:val="16"/>
                <w:lang w:val="en-GB"/>
              </w:rPr>
            </w:pPr>
            <w:r w:rsidRPr="00720A84">
              <w:rPr>
                <w:sz w:val="16"/>
                <w:szCs w:val="16"/>
                <w:lang w:val="en-GB"/>
              </w:rPr>
              <w:t>0.6</w:t>
            </w:r>
          </w:p>
        </w:tc>
        <w:tc>
          <w:tcPr>
            <w:tcW w:w="566" w:type="dxa"/>
            <w:tcBorders>
              <w:top w:val="nil"/>
              <w:left w:val="nil"/>
              <w:bottom w:val="nil"/>
              <w:right w:val="nil"/>
            </w:tcBorders>
            <w:shd w:val="clear" w:color="auto" w:fill="auto"/>
            <w:noWrap/>
            <w:vAlign w:val="center"/>
          </w:tcPr>
          <w:p w14:paraId="53C1FB3B" w14:textId="77777777" w:rsidR="00F561D9" w:rsidRPr="00720A84" w:rsidRDefault="00F561D9" w:rsidP="006B40CA">
            <w:pPr>
              <w:jc w:val="right"/>
              <w:rPr>
                <w:sz w:val="16"/>
                <w:szCs w:val="16"/>
                <w:lang w:val="en-GB"/>
              </w:rPr>
            </w:pPr>
            <w:r w:rsidRPr="00720A84">
              <w:rPr>
                <w:sz w:val="16"/>
                <w:szCs w:val="16"/>
                <w:lang w:val="en-GB"/>
              </w:rPr>
              <w:t>4.5</w:t>
            </w:r>
          </w:p>
        </w:tc>
        <w:tc>
          <w:tcPr>
            <w:tcW w:w="566" w:type="dxa"/>
            <w:tcBorders>
              <w:top w:val="nil"/>
              <w:left w:val="nil"/>
              <w:bottom w:val="nil"/>
              <w:right w:val="nil"/>
            </w:tcBorders>
            <w:shd w:val="clear" w:color="auto" w:fill="auto"/>
            <w:noWrap/>
            <w:vAlign w:val="center"/>
          </w:tcPr>
          <w:p w14:paraId="53CFDDB9" w14:textId="77777777" w:rsidR="00F561D9" w:rsidRPr="00720A84" w:rsidRDefault="00F561D9" w:rsidP="006B40CA">
            <w:pPr>
              <w:jc w:val="right"/>
              <w:rPr>
                <w:sz w:val="16"/>
                <w:szCs w:val="16"/>
                <w:lang w:val="en-GB"/>
              </w:rPr>
            </w:pPr>
            <w:r w:rsidRPr="00720A84">
              <w:rPr>
                <w:sz w:val="16"/>
                <w:szCs w:val="16"/>
                <w:lang w:val="en-GB"/>
              </w:rPr>
              <w:t>3.3</w:t>
            </w:r>
          </w:p>
        </w:tc>
        <w:tc>
          <w:tcPr>
            <w:tcW w:w="566" w:type="dxa"/>
            <w:tcBorders>
              <w:top w:val="nil"/>
              <w:left w:val="nil"/>
              <w:bottom w:val="nil"/>
              <w:right w:val="nil"/>
            </w:tcBorders>
            <w:shd w:val="clear" w:color="auto" w:fill="auto"/>
            <w:noWrap/>
            <w:vAlign w:val="center"/>
          </w:tcPr>
          <w:p w14:paraId="6879F37F" w14:textId="77777777" w:rsidR="00F561D9" w:rsidRPr="00720A84" w:rsidRDefault="00F561D9" w:rsidP="006B40CA">
            <w:pPr>
              <w:jc w:val="right"/>
              <w:rPr>
                <w:sz w:val="16"/>
                <w:szCs w:val="16"/>
                <w:lang w:val="en-GB"/>
              </w:rPr>
            </w:pPr>
            <w:r w:rsidRPr="00720A84">
              <w:rPr>
                <w:sz w:val="16"/>
                <w:szCs w:val="16"/>
                <w:lang w:val="en-GB"/>
              </w:rPr>
              <w:t>2.7</w:t>
            </w:r>
          </w:p>
        </w:tc>
        <w:tc>
          <w:tcPr>
            <w:tcW w:w="566" w:type="dxa"/>
            <w:tcBorders>
              <w:top w:val="nil"/>
              <w:left w:val="nil"/>
              <w:bottom w:val="nil"/>
              <w:right w:val="nil"/>
            </w:tcBorders>
            <w:shd w:val="clear" w:color="auto" w:fill="auto"/>
            <w:noWrap/>
            <w:vAlign w:val="center"/>
          </w:tcPr>
          <w:p w14:paraId="297F418E" w14:textId="77777777" w:rsidR="00F561D9" w:rsidRPr="00720A84" w:rsidRDefault="00F561D9" w:rsidP="006B40CA">
            <w:pPr>
              <w:jc w:val="right"/>
              <w:rPr>
                <w:sz w:val="16"/>
                <w:szCs w:val="16"/>
                <w:lang w:val="en-GB"/>
              </w:rPr>
            </w:pPr>
            <w:r w:rsidRPr="00720A84">
              <w:rPr>
                <w:sz w:val="16"/>
                <w:szCs w:val="16"/>
                <w:lang w:val="en-GB"/>
              </w:rPr>
              <w:t>10.0</w:t>
            </w:r>
          </w:p>
        </w:tc>
        <w:tc>
          <w:tcPr>
            <w:tcW w:w="566" w:type="dxa"/>
            <w:tcBorders>
              <w:top w:val="nil"/>
              <w:left w:val="nil"/>
              <w:bottom w:val="nil"/>
              <w:right w:val="nil"/>
            </w:tcBorders>
            <w:shd w:val="clear" w:color="auto" w:fill="auto"/>
            <w:noWrap/>
            <w:vAlign w:val="center"/>
          </w:tcPr>
          <w:p w14:paraId="1202A614" w14:textId="77777777" w:rsidR="00F561D9" w:rsidRPr="00720A84" w:rsidRDefault="00F561D9" w:rsidP="006B40CA">
            <w:pPr>
              <w:jc w:val="right"/>
              <w:rPr>
                <w:sz w:val="16"/>
                <w:szCs w:val="16"/>
                <w:lang w:val="en-GB"/>
              </w:rPr>
            </w:pPr>
            <w:r w:rsidRPr="00720A84">
              <w:rPr>
                <w:sz w:val="16"/>
                <w:szCs w:val="16"/>
                <w:lang w:val="en-GB"/>
              </w:rPr>
              <w:t>3.2</w:t>
            </w:r>
          </w:p>
        </w:tc>
        <w:tc>
          <w:tcPr>
            <w:tcW w:w="566" w:type="dxa"/>
            <w:tcBorders>
              <w:top w:val="nil"/>
              <w:left w:val="nil"/>
              <w:bottom w:val="nil"/>
              <w:right w:val="nil"/>
            </w:tcBorders>
            <w:shd w:val="clear" w:color="auto" w:fill="auto"/>
            <w:noWrap/>
            <w:vAlign w:val="center"/>
          </w:tcPr>
          <w:p w14:paraId="0AA9F74E" w14:textId="77777777" w:rsidR="00F561D9" w:rsidRPr="00720A84" w:rsidRDefault="00F561D9" w:rsidP="006B40CA">
            <w:pPr>
              <w:jc w:val="right"/>
              <w:rPr>
                <w:sz w:val="16"/>
                <w:szCs w:val="16"/>
                <w:lang w:val="en-GB"/>
              </w:rPr>
            </w:pPr>
            <w:r w:rsidRPr="00720A84">
              <w:rPr>
                <w:sz w:val="16"/>
                <w:szCs w:val="16"/>
                <w:lang w:val="en-GB"/>
              </w:rPr>
              <w:t>26.4</w:t>
            </w:r>
          </w:p>
        </w:tc>
        <w:tc>
          <w:tcPr>
            <w:tcW w:w="566" w:type="dxa"/>
            <w:tcBorders>
              <w:top w:val="nil"/>
              <w:left w:val="nil"/>
              <w:bottom w:val="nil"/>
              <w:right w:val="nil"/>
            </w:tcBorders>
            <w:shd w:val="clear" w:color="auto" w:fill="auto"/>
            <w:noWrap/>
            <w:vAlign w:val="center"/>
          </w:tcPr>
          <w:p w14:paraId="35811AFE" w14:textId="77777777" w:rsidR="00F561D9" w:rsidRPr="00720A84" w:rsidRDefault="00F561D9" w:rsidP="006B40CA">
            <w:pPr>
              <w:jc w:val="right"/>
              <w:rPr>
                <w:sz w:val="16"/>
                <w:szCs w:val="16"/>
                <w:lang w:val="en-GB"/>
              </w:rPr>
            </w:pPr>
            <w:r w:rsidRPr="00720A84">
              <w:rPr>
                <w:sz w:val="16"/>
                <w:szCs w:val="16"/>
                <w:lang w:val="en-GB"/>
              </w:rPr>
              <w:t>9.6</w:t>
            </w:r>
          </w:p>
        </w:tc>
        <w:tc>
          <w:tcPr>
            <w:tcW w:w="566" w:type="dxa"/>
            <w:tcBorders>
              <w:top w:val="nil"/>
              <w:left w:val="nil"/>
              <w:bottom w:val="nil"/>
              <w:right w:val="nil"/>
            </w:tcBorders>
            <w:shd w:val="clear" w:color="auto" w:fill="auto"/>
            <w:noWrap/>
            <w:vAlign w:val="center"/>
          </w:tcPr>
          <w:p w14:paraId="34F549D5" w14:textId="77777777" w:rsidR="00F561D9" w:rsidRPr="00720A84" w:rsidRDefault="00F561D9" w:rsidP="006B40CA">
            <w:pPr>
              <w:jc w:val="right"/>
              <w:rPr>
                <w:sz w:val="16"/>
                <w:szCs w:val="16"/>
                <w:lang w:val="en-GB"/>
              </w:rPr>
            </w:pPr>
            <w:r w:rsidRPr="00720A84">
              <w:rPr>
                <w:sz w:val="16"/>
                <w:szCs w:val="16"/>
                <w:lang w:val="en-GB"/>
              </w:rPr>
              <w:t>3.3</w:t>
            </w:r>
          </w:p>
        </w:tc>
        <w:tc>
          <w:tcPr>
            <w:tcW w:w="566" w:type="dxa"/>
            <w:tcBorders>
              <w:top w:val="nil"/>
              <w:left w:val="nil"/>
              <w:bottom w:val="nil"/>
              <w:right w:val="nil"/>
            </w:tcBorders>
            <w:shd w:val="clear" w:color="auto" w:fill="auto"/>
            <w:noWrap/>
            <w:vAlign w:val="center"/>
          </w:tcPr>
          <w:p w14:paraId="411E35C3" w14:textId="77777777" w:rsidR="00F561D9" w:rsidRPr="00720A84" w:rsidRDefault="00F561D9" w:rsidP="006B40CA">
            <w:pPr>
              <w:jc w:val="right"/>
              <w:rPr>
                <w:sz w:val="16"/>
                <w:szCs w:val="16"/>
                <w:lang w:val="en-GB"/>
              </w:rPr>
            </w:pPr>
            <w:r w:rsidRPr="00720A84">
              <w:rPr>
                <w:sz w:val="16"/>
                <w:szCs w:val="16"/>
                <w:lang w:val="en-GB"/>
              </w:rPr>
              <w:t>5.4</w:t>
            </w:r>
          </w:p>
        </w:tc>
        <w:tc>
          <w:tcPr>
            <w:tcW w:w="566" w:type="dxa"/>
            <w:tcBorders>
              <w:top w:val="nil"/>
              <w:left w:val="nil"/>
              <w:bottom w:val="nil"/>
              <w:right w:val="nil"/>
            </w:tcBorders>
            <w:shd w:val="clear" w:color="auto" w:fill="auto"/>
            <w:noWrap/>
            <w:vAlign w:val="center"/>
          </w:tcPr>
          <w:p w14:paraId="3F015B52" w14:textId="77777777" w:rsidR="00F561D9" w:rsidRPr="00720A84" w:rsidRDefault="00F561D9" w:rsidP="006B40CA">
            <w:pPr>
              <w:jc w:val="right"/>
              <w:rPr>
                <w:sz w:val="16"/>
                <w:szCs w:val="16"/>
                <w:lang w:val="en-GB"/>
              </w:rPr>
            </w:pPr>
            <w:r w:rsidRPr="00720A84">
              <w:rPr>
                <w:sz w:val="16"/>
                <w:szCs w:val="16"/>
                <w:lang w:val="en-GB"/>
              </w:rPr>
              <w:t>5.1</w:t>
            </w:r>
          </w:p>
        </w:tc>
        <w:tc>
          <w:tcPr>
            <w:tcW w:w="566" w:type="dxa"/>
            <w:tcBorders>
              <w:top w:val="nil"/>
              <w:left w:val="nil"/>
              <w:bottom w:val="nil"/>
              <w:right w:val="nil"/>
            </w:tcBorders>
            <w:shd w:val="clear" w:color="auto" w:fill="auto"/>
            <w:noWrap/>
            <w:vAlign w:val="center"/>
          </w:tcPr>
          <w:p w14:paraId="32193EB1" w14:textId="77777777" w:rsidR="00F561D9" w:rsidRPr="00720A84" w:rsidRDefault="00F561D9" w:rsidP="006B40CA">
            <w:pPr>
              <w:jc w:val="right"/>
              <w:rPr>
                <w:sz w:val="16"/>
                <w:szCs w:val="16"/>
                <w:lang w:val="en-GB"/>
              </w:rPr>
            </w:pPr>
            <w:r w:rsidRPr="00720A84">
              <w:rPr>
                <w:sz w:val="16"/>
                <w:szCs w:val="16"/>
                <w:lang w:val="en-GB"/>
              </w:rPr>
              <w:t>1.8</w:t>
            </w:r>
          </w:p>
        </w:tc>
      </w:tr>
      <w:tr w:rsidR="00F561D9" w:rsidRPr="00720A84" w14:paraId="5FB881D6"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0B65C2AF" w14:textId="77777777" w:rsidR="00F561D9" w:rsidRPr="00720A84" w:rsidRDefault="00F561D9" w:rsidP="006B40CA">
            <w:pPr>
              <w:ind w:left="85"/>
              <w:rPr>
                <w:sz w:val="16"/>
                <w:szCs w:val="16"/>
                <w:lang w:val="en-GB"/>
              </w:rPr>
            </w:pPr>
            <w:r w:rsidRPr="00720A84">
              <w:rPr>
                <w:sz w:val="16"/>
                <w:szCs w:val="16"/>
                <w:lang w:val="en-GB"/>
              </w:rPr>
              <w:t>Chemical products</w:t>
            </w:r>
          </w:p>
        </w:tc>
        <w:tc>
          <w:tcPr>
            <w:tcW w:w="488" w:type="dxa"/>
            <w:tcBorders>
              <w:top w:val="nil"/>
              <w:left w:val="nil"/>
              <w:bottom w:val="nil"/>
              <w:right w:val="nil"/>
            </w:tcBorders>
            <w:shd w:val="clear" w:color="auto" w:fill="auto"/>
            <w:noWrap/>
            <w:vAlign w:val="center"/>
          </w:tcPr>
          <w:p w14:paraId="59EA7164" w14:textId="77777777" w:rsidR="00F561D9" w:rsidRPr="00720A84" w:rsidRDefault="00F561D9" w:rsidP="006B40CA">
            <w:pPr>
              <w:jc w:val="right"/>
              <w:rPr>
                <w:sz w:val="16"/>
                <w:szCs w:val="16"/>
                <w:lang w:val="en-GB"/>
              </w:rPr>
            </w:pPr>
            <w:r w:rsidRPr="00720A84">
              <w:rPr>
                <w:sz w:val="16"/>
                <w:szCs w:val="16"/>
                <w:lang w:val="en-GB"/>
              </w:rPr>
              <w:t>2.9</w:t>
            </w:r>
          </w:p>
        </w:tc>
        <w:tc>
          <w:tcPr>
            <w:tcW w:w="566" w:type="dxa"/>
            <w:tcBorders>
              <w:top w:val="nil"/>
              <w:left w:val="nil"/>
              <w:bottom w:val="nil"/>
              <w:right w:val="nil"/>
            </w:tcBorders>
            <w:shd w:val="clear" w:color="auto" w:fill="auto"/>
            <w:noWrap/>
            <w:vAlign w:val="center"/>
          </w:tcPr>
          <w:p w14:paraId="120CDD8D" w14:textId="77777777" w:rsidR="00F561D9" w:rsidRPr="00720A84" w:rsidRDefault="00F561D9" w:rsidP="006B40CA">
            <w:pPr>
              <w:jc w:val="right"/>
              <w:rPr>
                <w:sz w:val="16"/>
                <w:szCs w:val="16"/>
                <w:lang w:val="en-GB"/>
              </w:rPr>
            </w:pPr>
            <w:r w:rsidRPr="00720A84">
              <w:rPr>
                <w:sz w:val="16"/>
                <w:szCs w:val="16"/>
                <w:lang w:val="en-GB"/>
              </w:rPr>
              <w:t>2.4</w:t>
            </w:r>
          </w:p>
        </w:tc>
        <w:tc>
          <w:tcPr>
            <w:tcW w:w="566" w:type="dxa"/>
            <w:tcBorders>
              <w:top w:val="nil"/>
              <w:left w:val="nil"/>
              <w:bottom w:val="nil"/>
              <w:right w:val="nil"/>
            </w:tcBorders>
            <w:shd w:val="clear" w:color="auto" w:fill="auto"/>
            <w:noWrap/>
            <w:vAlign w:val="center"/>
          </w:tcPr>
          <w:p w14:paraId="129C23FF" w14:textId="77777777" w:rsidR="00F561D9" w:rsidRPr="00720A84" w:rsidRDefault="00F561D9" w:rsidP="006B40CA">
            <w:pPr>
              <w:jc w:val="right"/>
              <w:rPr>
                <w:sz w:val="16"/>
                <w:szCs w:val="16"/>
                <w:lang w:val="en-GB"/>
              </w:rPr>
            </w:pPr>
            <w:r w:rsidRPr="00720A84">
              <w:rPr>
                <w:sz w:val="16"/>
                <w:szCs w:val="16"/>
                <w:lang w:val="en-GB"/>
              </w:rPr>
              <w:t>1.5</w:t>
            </w:r>
          </w:p>
        </w:tc>
        <w:tc>
          <w:tcPr>
            <w:tcW w:w="566" w:type="dxa"/>
            <w:tcBorders>
              <w:top w:val="nil"/>
              <w:left w:val="nil"/>
              <w:bottom w:val="nil"/>
              <w:right w:val="nil"/>
            </w:tcBorders>
            <w:shd w:val="clear" w:color="auto" w:fill="auto"/>
            <w:noWrap/>
            <w:vAlign w:val="center"/>
          </w:tcPr>
          <w:p w14:paraId="0B1DA2D7" w14:textId="77777777" w:rsidR="00F561D9" w:rsidRPr="00720A84" w:rsidRDefault="00F561D9" w:rsidP="006B40CA">
            <w:pPr>
              <w:jc w:val="right"/>
              <w:rPr>
                <w:sz w:val="16"/>
                <w:szCs w:val="16"/>
                <w:lang w:val="en-GB"/>
              </w:rPr>
            </w:pPr>
            <w:r w:rsidRPr="00720A84">
              <w:rPr>
                <w:sz w:val="16"/>
                <w:szCs w:val="16"/>
                <w:lang w:val="en-GB"/>
              </w:rPr>
              <w:t>4.6</w:t>
            </w:r>
          </w:p>
        </w:tc>
        <w:tc>
          <w:tcPr>
            <w:tcW w:w="566" w:type="dxa"/>
            <w:tcBorders>
              <w:top w:val="nil"/>
              <w:left w:val="nil"/>
              <w:bottom w:val="nil"/>
              <w:right w:val="nil"/>
            </w:tcBorders>
            <w:shd w:val="clear" w:color="auto" w:fill="auto"/>
            <w:noWrap/>
            <w:vAlign w:val="center"/>
          </w:tcPr>
          <w:p w14:paraId="0AFCC43C" w14:textId="77777777" w:rsidR="00F561D9" w:rsidRPr="00720A84" w:rsidRDefault="00F561D9" w:rsidP="006B40CA">
            <w:pPr>
              <w:jc w:val="right"/>
              <w:rPr>
                <w:sz w:val="16"/>
                <w:szCs w:val="16"/>
                <w:lang w:val="en-GB"/>
              </w:rPr>
            </w:pPr>
            <w:r w:rsidRPr="00720A84">
              <w:rPr>
                <w:sz w:val="16"/>
                <w:szCs w:val="16"/>
                <w:lang w:val="en-GB"/>
              </w:rPr>
              <w:t>3.7</w:t>
            </w:r>
          </w:p>
        </w:tc>
        <w:tc>
          <w:tcPr>
            <w:tcW w:w="566" w:type="dxa"/>
            <w:tcBorders>
              <w:top w:val="nil"/>
              <w:left w:val="nil"/>
              <w:bottom w:val="nil"/>
              <w:right w:val="nil"/>
            </w:tcBorders>
            <w:shd w:val="clear" w:color="auto" w:fill="auto"/>
            <w:noWrap/>
            <w:vAlign w:val="center"/>
          </w:tcPr>
          <w:p w14:paraId="1E00F922" w14:textId="77777777" w:rsidR="00F561D9" w:rsidRPr="00720A84" w:rsidRDefault="00F561D9" w:rsidP="006B40CA">
            <w:pPr>
              <w:jc w:val="right"/>
              <w:rPr>
                <w:sz w:val="16"/>
                <w:szCs w:val="16"/>
                <w:lang w:val="en-GB"/>
              </w:rPr>
            </w:pPr>
            <w:r w:rsidRPr="00720A84">
              <w:rPr>
                <w:sz w:val="16"/>
                <w:szCs w:val="16"/>
                <w:lang w:val="en-GB"/>
              </w:rPr>
              <w:t>7.3</w:t>
            </w:r>
          </w:p>
        </w:tc>
        <w:tc>
          <w:tcPr>
            <w:tcW w:w="566" w:type="dxa"/>
            <w:tcBorders>
              <w:top w:val="nil"/>
              <w:left w:val="nil"/>
              <w:bottom w:val="nil"/>
              <w:right w:val="nil"/>
            </w:tcBorders>
            <w:shd w:val="clear" w:color="auto" w:fill="auto"/>
            <w:noWrap/>
            <w:vAlign w:val="center"/>
          </w:tcPr>
          <w:p w14:paraId="26623DD5" w14:textId="77777777" w:rsidR="00F561D9" w:rsidRPr="00720A84" w:rsidRDefault="00F561D9" w:rsidP="006B40CA">
            <w:pPr>
              <w:jc w:val="right"/>
              <w:rPr>
                <w:sz w:val="16"/>
                <w:szCs w:val="16"/>
                <w:lang w:val="en-GB"/>
              </w:rPr>
            </w:pPr>
            <w:r w:rsidRPr="00720A84">
              <w:rPr>
                <w:sz w:val="16"/>
                <w:szCs w:val="16"/>
                <w:lang w:val="en-GB"/>
              </w:rPr>
              <w:t>8.4</w:t>
            </w:r>
          </w:p>
        </w:tc>
        <w:tc>
          <w:tcPr>
            <w:tcW w:w="566" w:type="dxa"/>
            <w:tcBorders>
              <w:top w:val="nil"/>
              <w:left w:val="nil"/>
              <w:bottom w:val="nil"/>
              <w:right w:val="nil"/>
            </w:tcBorders>
            <w:shd w:val="clear" w:color="auto" w:fill="auto"/>
            <w:noWrap/>
            <w:vAlign w:val="center"/>
          </w:tcPr>
          <w:p w14:paraId="21EADBDD" w14:textId="77777777" w:rsidR="00F561D9" w:rsidRPr="00720A84" w:rsidRDefault="00F561D9" w:rsidP="006B40CA">
            <w:pPr>
              <w:jc w:val="right"/>
              <w:rPr>
                <w:sz w:val="16"/>
                <w:szCs w:val="16"/>
                <w:lang w:val="en-GB"/>
              </w:rPr>
            </w:pPr>
            <w:r w:rsidRPr="00720A84">
              <w:rPr>
                <w:sz w:val="16"/>
                <w:szCs w:val="16"/>
                <w:lang w:val="en-GB"/>
              </w:rPr>
              <w:t>7.1</w:t>
            </w:r>
          </w:p>
        </w:tc>
        <w:tc>
          <w:tcPr>
            <w:tcW w:w="566" w:type="dxa"/>
            <w:tcBorders>
              <w:top w:val="nil"/>
              <w:left w:val="nil"/>
              <w:bottom w:val="nil"/>
              <w:right w:val="nil"/>
            </w:tcBorders>
            <w:shd w:val="clear" w:color="auto" w:fill="auto"/>
            <w:noWrap/>
            <w:vAlign w:val="center"/>
          </w:tcPr>
          <w:p w14:paraId="4A016BB3" w14:textId="77777777" w:rsidR="00F561D9" w:rsidRPr="00720A84" w:rsidRDefault="00F561D9" w:rsidP="006B40CA">
            <w:pPr>
              <w:jc w:val="right"/>
              <w:rPr>
                <w:sz w:val="16"/>
                <w:szCs w:val="16"/>
                <w:lang w:val="en-GB"/>
              </w:rPr>
            </w:pPr>
            <w:r w:rsidRPr="00720A84">
              <w:rPr>
                <w:sz w:val="16"/>
                <w:szCs w:val="16"/>
                <w:lang w:val="en-GB"/>
              </w:rPr>
              <w:t>6.7</w:t>
            </w:r>
          </w:p>
        </w:tc>
        <w:tc>
          <w:tcPr>
            <w:tcW w:w="566" w:type="dxa"/>
            <w:tcBorders>
              <w:top w:val="nil"/>
              <w:left w:val="nil"/>
              <w:bottom w:val="nil"/>
              <w:right w:val="nil"/>
            </w:tcBorders>
            <w:shd w:val="clear" w:color="auto" w:fill="auto"/>
            <w:noWrap/>
            <w:vAlign w:val="center"/>
          </w:tcPr>
          <w:p w14:paraId="338D97A2" w14:textId="77777777" w:rsidR="00F561D9" w:rsidRPr="00720A84" w:rsidRDefault="00F561D9" w:rsidP="006B40CA">
            <w:pPr>
              <w:jc w:val="right"/>
              <w:rPr>
                <w:sz w:val="16"/>
                <w:szCs w:val="16"/>
                <w:lang w:val="en-GB"/>
              </w:rPr>
            </w:pPr>
            <w:r w:rsidRPr="00720A84">
              <w:rPr>
                <w:sz w:val="16"/>
                <w:szCs w:val="16"/>
                <w:lang w:val="en-GB"/>
              </w:rPr>
              <w:t>3.5</w:t>
            </w:r>
          </w:p>
        </w:tc>
        <w:tc>
          <w:tcPr>
            <w:tcW w:w="566" w:type="dxa"/>
            <w:tcBorders>
              <w:top w:val="nil"/>
              <w:left w:val="nil"/>
              <w:bottom w:val="nil"/>
              <w:right w:val="nil"/>
            </w:tcBorders>
            <w:shd w:val="clear" w:color="auto" w:fill="auto"/>
            <w:noWrap/>
            <w:vAlign w:val="center"/>
          </w:tcPr>
          <w:p w14:paraId="59FEE104" w14:textId="77777777" w:rsidR="00F561D9" w:rsidRPr="00720A84" w:rsidRDefault="00F561D9" w:rsidP="006B40CA">
            <w:pPr>
              <w:jc w:val="right"/>
              <w:rPr>
                <w:sz w:val="16"/>
                <w:szCs w:val="16"/>
                <w:lang w:val="en-GB"/>
              </w:rPr>
            </w:pPr>
            <w:r w:rsidRPr="00720A84">
              <w:rPr>
                <w:sz w:val="16"/>
                <w:szCs w:val="16"/>
                <w:lang w:val="en-GB"/>
              </w:rPr>
              <w:t>5.1</w:t>
            </w:r>
          </w:p>
        </w:tc>
        <w:tc>
          <w:tcPr>
            <w:tcW w:w="566" w:type="dxa"/>
            <w:tcBorders>
              <w:top w:val="nil"/>
              <w:left w:val="nil"/>
              <w:bottom w:val="nil"/>
              <w:right w:val="nil"/>
            </w:tcBorders>
            <w:shd w:val="clear" w:color="auto" w:fill="auto"/>
            <w:noWrap/>
            <w:vAlign w:val="center"/>
          </w:tcPr>
          <w:p w14:paraId="220B3504" w14:textId="77777777" w:rsidR="00F561D9" w:rsidRPr="00720A84" w:rsidRDefault="00F561D9" w:rsidP="006B40CA">
            <w:pPr>
              <w:jc w:val="right"/>
              <w:rPr>
                <w:sz w:val="16"/>
                <w:szCs w:val="16"/>
                <w:lang w:val="en-GB"/>
              </w:rPr>
            </w:pPr>
            <w:r w:rsidRPr="00720A84">
              <w:rPr>
                <w:sz w:val="16"/>
                <w:szCs w:val="16"/>
                <w:lang w:val="en-GB"/>
              </w:rPr>
              <w:t>2.2</w:t>
            </w:r>
          </w:p>
        </w:tc>
        <w:tc>
          <w:tcPr>
            <w:tcW w:w="566" w:type="dxa"/>
            <w:tcBorders>
              <w:top w:val="nil"/>
              <w:left w:val="nil"/>
              <w:bottom w:val="nil"/>
              <w:right w:val="nil"/>
            </w:tcBorders>
            <w:shd w:val="clear" w:color="auto" w:fill="auto"/>
            <w:noWrap/>
            <w:vAlign w:val="center"/>
          </w:tcPr>
          <w:p w14:paraId="22FD96C6" w14:textId="77777777" w:rsidR="00F561D9" w:rsidRPr="00720A84" w:rsidRDefault="00F561D9" w:rsidP="006B40CA">
            <w:pPr>
              <w:jc w:val="right"/>
              <w:rPr>
                <w:sz w:val="16"/>
                <w:szCs w:val="16"/>
                <w:lang w:val="en-GB"/>
              </w:rPr>
            </w:pPr>
            <w:r w:rsidRPr="00720A84">
              <w:rPr>
                <w:sz w:val="16"/>
                <w:szCs w:val="16"/>
                <w:lang w:val="en-GB"/>
              </w:rPr>
              <w:t>2.5</w:t>
            </w:r>
          </w:p>
        </w:tc>
        <w:tc>
          <w:tcPr>
            <w:tcW w:w="566" w:type="dxa"/>
            <w:tcBorders>
              <w:top w:val="nil"/>
              <w:left w:val="nil"/>
              <w:bottom w:val="nil"/>
              <w:right w:val="nil"/>
            </w:tcBorders>
            <w:shd w:val="clear" w:color="auto" w:fill="auto"/>
            <w:noWrap/>
            <w:vAlign w:val="center"/>
          </w:tcPr>
          <w:p w14:paraId="758DE5DF" w14:textId="77777777" w:rsidR="00F561D9" w:rsidRPr="00720A84" w:rsidRDefault="00F561D9" w:rsidP="006B40CA">
            <w:pPr>
              <w:jc w:val="right"/>
              <w:rPr>
                <w:sz w:val="16"/>
                <w:szCs w:val="16"/>
                <w:lang w:val="en-GB"/>
              </w:rPr>
            </w:pPr>
            <w:r w:rsidRPr="00720A84">
              <w:rPr>
                <w:sz w:val="16"/>
                <w:szCs w:val="16"/>
                <w:lang w:val="en-GB"/>
              </w:rPr>
              <w:t>3.6</w:t>
            </w:r>
          </w:p>
        </w:tc>
      </w:tr>
      <w:tr w:rsidR="00F561D9" w:rsidRPr="00720A84" w14:paraId="45A5C0D0"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4459E940" w14:textId="77777777" w:rsidR="00F561D9" w:rsidRPr="00720A84" w:rsidRDefault="00F561D9" w:rsidP="006B40CA">
            <w:pPr>
              <w:ind w:left="85"/>
              <w:rPr>
                <w:sz w:val="16"/>
                <w:szCs w:val="16"/>
                <w:lang w:val="en-GB"/>
              </w:rPr>
            </w:pPr>
            <w:r w:rsidRPr="00720A84">
              <w:rPr>
                <w:sz w:val="16"/>
                <w:szCs w:val="16"/>
                <w:lang w:val="en-GB"/>
              </w:rPr>
              <w:t>Metallurgy</w:t>
            </w:r>
          </w:p>
        </w:tc>
        <w:tc>
          <w:tcPr>
            <w:tcW w:w="488" w:type="dxa"/>
            <w:tcBorders>
              <w:top w:val="nil"/>
              <w:left w:val="nil"/>
              <w:bottom w:val="nil"/>
              <w:right w:val="nil"/>
            </w:tcBorders>
            <w:shd w:val="clear" w:color="auto" w:fill="auto"/>
            <w:noWrap/>
            <w:vAlign w:val="center"/>
          </w:tcPr>
          <w:p w14:paraId="4856156A" w14:textId="77777777" w:rsidR="00F561D9" w:rsidRPr="00720A84" w:rsidRDefault="00F561D9" w:rsidP="006B40CA">
            <w:pPr>
              <w:jc w:val="right"/>
              <w:rPr>
                <w:sz w:val="16"/>
                <w:szCs w:val="16"/>
                <w:lang w:val="en-GB"/>
              </w:rPr>
            </w:pPr>
            <w:r w:rsidRPr="00720A84">
              <w:rPr>
                <w:sz w:val="16"/>
                <w:szCs w:val="16"/>
                <w:lang w:val="en-GB"/>
              </w:rPr>
              <w:t>0.4</w:t>
            </w:r>
          </w:p>
        </w:tc>
        <w:tc>
          <w:tcPr>
            <w:tcW w:w="566" w:type="dxa"/>
            <w:tcBorders>
              <w:top w:val="nil"/>
              <w:left w:val="nil"/>
              <w:bottom w:val="nil"/>
              <w:right w:val="nil"/>
            </w:tcBorders>
            <w:shd w:val="clear" w:color="auto" w:fill="auto"/>
            <w:noWrap/>
            <w:vAlign w:val="center"/>
          </w:tcPr>
          <w:p w14:paraId="29806331" w14:textId="77777777" w:rsidR="00F561D9" w:rsidRPr="00720A84" w:rsidRDefault="00F561D9" w:rsidP="006B40CA">
            <w:pPr>
              <w:jc w:val="right"/>
              <w:rPr>
                <w:sz w:val="16"/>
                <w:szCs w:val="16"/>
                <w:lang w:val="en-GB"/>
              </w:rPr>
            </w:pPr>
            <w:r w:rsidRPr="00720A84">
              <w:rPr>
                <w:sz w:val="16"/>
                <w:szCs w:val="16"/>
                <w:lang w:val="en-GB"/>
              </w:rPr>
              <w:t>0.0</w:t>
            </w:r>
          </w:p>
        </w:tc>
        <w:tc>
          <w:tcPr>
            <w:tcW w:w="566" w:type="dxa"/>
            <w:tcBorders>
              <w:top w:val="nil"/>
              <w:left w:val="nil"/>
              <w:bottom w:val="nil"/>
              <w:right w:val="nil"/>
            </w:tcBorders>
            <w:shd w:val="clear" w:color="auto" w:fill="auto"/>
            <w:noWrap/>
            <w:vAlign w:val="center"/>
          </w:tcPr>
          <w:p w14:paraId="3D6A26EB" w14:textId="77777777" w:rsidR="00F561D9" w:rsidRPr="00720A84" w:rsidRDefault="00F561D9" w:rsidP="006B40CA">
            <w:pPr>
              <w:jc w:val="right"/>
              <w:rPr>
                <w:sz w:val="16"/>
                <w:szCs w:val="16"/>
                <w:lang w:val="en-GB"/>
              </w:rPr>
            </w:pPr>
            <w:r w:rsidRPr="00720A84">
              <w:rPr>
                <w:sz w:val="16"/>
                <w:szCs w:val="16"/>
                <w:lang w:val="en-GB"/>
              </w:rPr>
              <w:t>0.5</w:t>
            </w:r>
          </w:p>
        </w:tc>
        <w:tc>
          <w:tcPr>
            <w:tcW w:w="566" w:type="dxa"/>
            <w:tcBorders>
              <w:top w:val="nil"/>
              <w:left w:val="nil"/>
              <w:bottom w:val="nil"/>
              <w:right w:val="nil"/>
            </w:tcBorders>
            <w:shd w:val="clear" w:color="auto" w:fill="auto"/>
            <w:noWrap/>
            <w:vAlign w:val="center"/>
          </w:tcPr>
          <w:p w14:paraId="2C63D03A" w14:textId="77777777" w:rsidR="00F561D9" w:rsidRPr="00720A84" w:rsidRDefault="00F561D9" w:rsidP="006B40CA">
            <w:pPr>
              <w:jc w:val="right"/>
              <w:rPr>
                <w:sz w:val="16"/>
                <w:szCs w:val="16"/>
                <w:lang w:val="en-GB"/>
              </w:rPr>
            </w:pPr>
            <w:r w:rsidRPr="00720A84">
              <w:rPr>
                <w:sz w:val="16"/>
                <w:szCs w:val="16"/>
                <w:lang w:val="en-GB"/>
              </w:rPr>
              <w:t>0.4</w:t>
            </w:r>
          </w:p>
        </w:tc>
        <w:tc>
          <w:tcPr>
            <w:tcW w:w="566" w:type="dxa"/>
            <w:tcBorders>
              <w:top w:val="nil"/>
              <w:left w:val="nil"/>
              <w:bottom w:val="nil"/>
              <w:right w:val="nil"/>
            </w:tcBorders>
            <w:shd w:val="clear" w:color="auto" w:fill="auto"/>
            <w:noWrap/>
            <w:vAlign w:val="center"/>
          </w:tcPr>
          <w:p w14:paraId="0C380628" w14:textId="77777777" w:rsidR="00F561D9" w:rsidRPr="00720A84" w:rsidRDefault="00F561D9" w:rsidP="006B40CA">
            <w:pPr>
              <w:jc w:val="right"/>
              <w:rPr>
                <w:sz w:val="16"/>
                <w:szCs w:val="16"/>
                <w:lang w:val="en-GB"/>
              </w:rPr>
            </w:pPr>
            <w:r w:rsidRPr="00720A84">
              <w:rPr>
                <w:sz w:val="16"/>
                <w:szCs w:val="16"/>
                <w:lang w:val="en-GB"/>
              </w:rPr>
              <w:t>0.8</w:t>
            </w:r>
          </w:p>
        </w:tc>
        <w:tc>
          <w:tcPr>
            <w:tcW w:w="566" w:type="dxa"/>
            <w:tcBorders>
              <w:top w:val="nil"/>
              <w:left w:val="nil"/>
              <w:bottom w:val="nil"/>
              <w:right w:val="nil"/>
            </w:tcBorders>
            <w:shd w:val="clear" w:color="auto" w:fill="auto"/>
            <w:noWrap/>
            <w:vAlign w:val="center"/>
          </w:tcPr>
          <w:p w14:paraId="5C50F223" w14:textId="77777777" w:rsidR="00F561D9" w:rsidRPr="00720A84" w:rsidRDefault="00F561D9" w:rsidP="006B40CA">
            <w:pPr>
              <w:jc w:val="right"/>
              <w:rPr>
                <w:sz w:val="16"/>
                <w:szCs w:val="16"/>
                <w:lang w:val="en-GB"/>
              </w:rPr>
            </w:pPr>
            <w:r w:rsidRPr="00720A84">
              <w:rPr>
                <w:sz w:val="16"/>
                <w:szCs w:val="16"/>
                <w:lang w:val="en-GB"/>
              </w:rPr>
              <w:t>2.0</w:t>
            </w:r>
          </w:p>
        </w:tc>
        <w:tc>
          <w:tcPr>
            <w:tcW w:w="566" w:type="dxa"/>
            <w:tcBorders>
              <w:top w:val="nil"/>
              <w:left w:val="nil"/>
              <w:bottom w:val="nil"/>
              <w:right w:val="nil"/>
            </w:tcBorders>
            <w:shd w:val="clear" w:color="auto" w:fill="auto"/>
            <w:noWrap/>
            <w:vAlign w:val="center"/>
          </w:tcPr>
          <w:p w14:paraId="28661F1A" w14:textId="77777777" w:rsidR="00F561D9" w:rsidRPr="00720A84" w:rsidRDefault="00F561D9" w:rsidP="006B40CA">
            <w:pPr>
              <w:jc w:val="right"/>
              <w:rPr>
                <w:sz w:val="16"/>
                <w:szCs w:val="16"/>
                <w:lang w:val="en-GB"/>
              </w:rPr>
            </w:pPr>
            <w:r w:rsidRPr="00720A84">
              <w:rPr>
                <w:sz w:val="16"/>
                <w:szCs w:val="16"/>
                <w:lang w:val="en-GB"/>
              </w:rPr>
              <w:t>0.7</w:t>
            </w:r>
          </w:p>
        </w:tc>
        <w:tc>
          <w:tcPr>
            <w:tcW w:w="566" w:type="dxa"/>
            <w:tcBorders>
              <w:top w:val="nil"/>
              <w:left w:val="nil"/>
              <w:bottom w:val="nil"/>
              <w:right w:val="nil"/>
            </w:tcBorders>
            <w:shd w:val="clear" w:color="auto" w:fill="auto"/>
            <w:noWrap/>
            <w:vAlign w:val="center"/>
          </w:tcPr>
          <w:p w14:paraId="70C401FB" w14:textId="77777777" w:rsidR="00F561D9" w:rsidRPr="00720A84" w:rsidRDefault="00F561D9" w:rsidP="006B40CA">
            <w:pPr>
              <w:jc w:val="right"/>
              <w:rPr>
                <w:sz w:val="16"/>
                <w:szCs w:val="16"/>
                <w:lang w:val="en-GB"/>
              </w:rPr>
            </w:pPr>
            <w:r w:rsidRPr="00720A84">
              <w:rPr>
                <w:sz w:val="16"/>
                <w:szCs w:val="16"/>
                <w:lang w:val="en-GB"/>
              </w:rPr>
              <w:t>2.7</w:t>
            </w:r>
          </w:p>
        </w:tc>
        <w:tc>
          <w:tcPr>
            <w:tcW w:w="566" w:type="dxa"/>
            <w:tcBorders>
              <w:top w:val="nil"/>
              <w:left w:val="nil"/>
              <w:bottom w:val="nil"/>
              <w:right w:val="nil"/>
            </w:tcBorders>
            <w:shd w:val="clear" w:color="auto" w:fill="auto"/>
            <w:noWrap/>
            <w:vAlign w:val="center"/>
          </w:tcPr>
          <w:p w14:paraId="2A8CFCB6" w14:textId="77777777" w:rsidR="00F561D9" w:rsidRPr="00720A84" w:rsidRDefault="00F561D9" w:rsidP="006B40CA">
            <w:pPr>
              <w:jc w:val="right"/>
              <w:rPr>
                <w:sz w:val="16"/>
                <w:szCs w:val="16"/>
                <w:lang w:val="en-GB"/>
              </w:rPr>
            </w:pPr>
            <w:r w:rsidRPr="00720A84">
              <w:rPr>
                <w:sz w:val="16"/>
                <w:szCs w:val="16"/>
                <w:lang w:val="en-GB"/>
              </w:rPr>
              <w:t>4.0</w:t>
            </w:r>
          </w:p>
        </w:tc>
        <w:tc>
          <w:tcPr>
            <w:tcW w:w="566" w:type="dxa"/>
            <w:tcBorders>
              <w:top w:val="nil"/>
              <w:left w:val="nil"/>
              <w:bottom w:val="nil"/>
              <w:right w:val="nil"/>
            </w:tcBorders>
            <w:shd w:val="clear" w:color="auto" w:fill="auto"/>
            <w:noWrap/>
            <w:vAlign w:val="center"/>
          </w:tcPr>
          <w:p w14:paraId="7DC795C6" w14:textId="77777777" w:rsidR="00F561D9" w:rsidRPr="00720A84" w:rsidRDefault="00F561D9" w:rsidP="006B40CA">
            <w:pPr>
              <w:jc w:val="right"/>
              <w:rPr>
                <w:sz w:val="16"/>
                <w:szCs w:val="16"/>
                <w:lang w:val="en-GB"/>
              </w:rPr>
            </w:pPr>
            <w:r w:rsidRPr="00720A84">
              <w:rPr>
                <w:sz w:val="16"/>
                <w:szCs w:val="16"/>
                <w:lang w:val="en-GB"/>
              </w:rPr>
              <w:t>1.4</w:t>
            </w:r>
          </w:p>
        </w:tc>
        <w:tc>
          <w:tcPr>
            <w:tcW w:w="566" w:type="dxa"/>
            <w:tcBorders>
              <w:top w:val="nil"/>
              <w:left w:val="nil"/>
              <w:bottom w:val="nil"/>
              <w:right w:val="nil"/>
            </w:tcBorders>
            <w:shd w:val="clear" w:color="auto" w:fill="auto"/>
            <w:noWrap/>
            <w:vAlign w:val="center"/>
          </w:tcPr>
          <w:p w14:paraId="6CC9CDF4" w14:textId="77777777" w:rsidR="00F561D9" w:rsidRPr="00720A84" w:rsidRDefault="00F561D9" w:rsidP="006B40CA">
            <w:pPr>
              <w:jc w:val="right"/>
              <w:rPr>
                <w:sz w:val="16"/>
                <w:szCs w:val="16"/>
                <w:lang w:val="en-GB"/>
              </w:rPr>
            </w:pPr>
            <w:r w:rsidRPr="00720A84">
              <w:rPr>
                <w:sz w:val="16"/>
                <w:szCs w:val="16"/>
                <w:lang w:val="en-GB"/>
              </w:rPr>
              <w:t>7.7</w:t>
            </w:r>
          </w:p>
        </w:tc>
        <w:tc>
          <w:tcPr>
            <w:tcW w:w="566" w:type="dxa"/>
            <w:tcBorders>
              <w:top w:val="nil"/>
              <w:left w:val="nil"/>
              <w:bottom w:val="nil"/>
              <w:right w:val="nil"/>
            </w:tcBorders>
            <w:shd w:val="clear" w:color="auto" w:fill="auto"/>
            <w:noWrap/>
            <w:vAlign w:val="center"/>
          </w:tcPr>
          <w:p w14:paraId="14EF01C1" w14:textId="77777777" w:rsidR="00F561D9" w:rsidRPr="00720A84" w:rsidRDefault="00F561D9" w:rsidP="006B40CA">
            <w:pPr>
              <w:jc w:val="right"/>
              <w:rPr>
                <w:sz w:val="16"/>
                <w:szCs w:val="16"/>
                <w:lang w:val="en-GB"/>
              </w:rPr>
            </w:pPr>
            <w:r w:rsidRPr="00720A84">
              <w:rPr>
                <w:sz w:val="16"/>
                <w:szCs w:val="16"/>
                <w:lang w:val="en-GB"/>
              </w:rPr>
              <w:t>13.9</w:t>
            </w:r>
          </w:p>
        </w:tc>
        <w:tc>
          <w:tcPr>
            <w:tcW w:w="566" w:type="dxa"/>
            <w:tcBorders>
              <w:top w:val="nil"/>
              <w:left w:val="nil"/>
              <w:bottom w:val="nil"/>
              <w:right w:val="nil"/>
            </w:tcBorders>
            <w:shd w:val="clear" w:color="auto" w:fill="auto"/>
            <w:noWrap/>
            <w:vAlign w:val="center"/>
          </w:tcPr>
          <w:p w14:paraId="3023032F" w14:textId="77777777" w:rsidR="00F561D9" w:rsidRPr="00720A84" w:rsidRDefault="00F561D9" w:rsidP="006B40CA">
            <w:pPr>
              <w:jc w:val="right"/>
              <w:rPr>
                <w:sz w:val="16"/>
                <w:szCs w:val="16"/>
                <w:lang w:val="en-GB"/>
              </w:rPr>
            </w:pPr>
            <w:r w:rsidRPr="00720A84">
              <w:rPr>
                <w:sz w:val="16"/>
                <w:szCs w:val="16"/>
                <w:lang w:val="en-GB"/>
              </w:rPr>
              <w:t>11.4</w:t>
            </w:r>
          </w:p>
        </w:tc>
        <w:tc>
          <w:tcPr>
            <w:tcW w:w="566" w:type="dxa"/>
            <w:tcBorders>
              <w:top w:val="nil"/>
              <w:left w:val="nil"/>
              <w:bottom w:val="nil"/>
              <w:right w:val="nil"/>
            </w:tcBorders>
            <w:shd w:val="clear" w:color="auto" w:fill="auto"/>
            <w:noWrap/>
            <w:vAlign w:val="center"/>
          </w:tcPr>
          <w:p w14:paraId="4A3DF325" w14:textId="77777777" w:rsidR="00F561D9" w:rsidRPr="00720A84" w:rsidRDefault="00F561D9" w:rsidP="006B40CA">
            <w:pPr>
              <w:jc w:val="right"/>
              <w:rPr>
                <w:sz w:val="16"/>
                <w:szCs w:val="16"/>
                <w:lang w:val="en-GB"/>
              </w:rPr>
            </w:pPr>
            <w:r w:rsidRPr="00720A84">
              <w:rPr>
                <w:sz w:val="16"/>
                <w:szCs w:val="16"/>
                <w:lang w:val="en-GB"/>
              </w:rPr>
              <w:t>12.4</w:t>
            </w:r>
          </w:p>
        </w:tc>
      </w:tr>
      <w:tr w:rsidR="00F561D9" w:rsidRPr="00720A84" w14:paraId="118E4C3F" w14:textId="77777777" w:rsidTr="006B40CA">
        <w:trPr>
          <w:trHeight w:val="279"/>
          <w:jc w:val="center"/>
        </w:trPr>
        <w:tc>
          <w:tcPr>
            <w:tcW w:w="1938" w:type="dxa"/>
            <w:tcBorders>
              <w:top w:val="nil"/>
              <w:left w:val="nil"/>
              <w:bottom w:val="nil"/>
              <w:right w:val="nil"/>
            </w:tcBorders>
            <w:shd w:val="clear" w:color="auto" w:fill="auto"/>
            <w:noWrap/>
            <w:vAlign w:val="center"/>
          </w:tcPr>
          <w:p w14:paraId="02E2B466" w14:textId="77777777" w:rsidR="00F561D9" w:rsidRPr="00720A84" w:rsidRDefault="00F561D9" w:rsidP="006B40CA">
            <w:pPr>
              <w:ind w:left="85"/>
              <w:rPr>
                <w:sz w:val="16"/>
                <w:szCs w:val="16"/>
                <w:lang w:val="en-GB"/>
              </w:rPr>
            </w:pPr>
            <w:r w:rsidRPr="00720A84">
              <w:rPr>
                <w:sz w:val="16"/>
                <w:szCs w:val="16"/>
                <w:lang w:val="en-GB"/>
              </w:rPr>
              <w:t>Electrical, electronic and         commun. equipments</w:t>
            </w:r>
          </w:p>
        </w:tc>
        <w:tc>
          <w:tcPr>
            <w:tcW w:w="488" w:type="dxa"/>
            <w:tcBorders>
              <w:top w:val="nil"/>
              <w:left w:val="nil"/>
              <w:bottom w:val="nil"/>
              <w:right w:val="nil"/>
            </w:tcBorders>
            <w:shd w:val="clear" w:color="auto" w:fill="auto"/>
            <w:noWrap/>
            <w:vAlign w:val="center"/>
          </w:tcPr>
          <w:p w14:paraId="4E2F4F72" w14:textId="77777777" w:rsidR="00F561D9" w:rsidRPr="00720A84" w:rsidRDefault="00F561D9" w:rsidP="006B40CA">
            <w:pPr>
              <w:jc w:val="right"/>
              <w:rPr>
                <w:sz w:val="16"/>
                <w:szCs w:val="16"/>
                <w:lang w:val="en-GB"/>
              </w:rPr>
            </w:pPr>
            <w:r w:rsidRPr="00720A84">
              <w:rPr>
                <w:sz w:val="16"/>
                <w:szCs w:val="16"/>
                <w:lang w:val="en-GB"/>
              </w:rPr>
              <w:t>1.3</w:t>
            </w:r>
          </w:p>
        </w:tc>
        <w:tc>
          <w:tcPr>
            <w:tcW w:w="566" w:type="dxa"/>
            <w:tcBorders>
              <w:top w:val="nil"/>
              <w:left w:val="nil"/>
              <w:bottom w:val="nil"/>
              <w:right w:val="nil"/>
            </w:tcBorders>
            <w:shd w:val="clear" w:color="auto" w:fill="auto"/>
            <w:noWrap/>
            <w:vAlign w:val="center"/>
          </w:tcPr>
          <w:p w14:paraId="0807B092" w14:textId="77777777" w:rsidR="00F561D9" w:rsidRPr="00720A84" w:rsidRDefault="00F561D9" w:rsidP="006B40CA">
            <w:pPr>
              <w:jc w:val="right"/>
              <w:rPr>
                <w:sz w:val="16"/>
                <w:szCs w:val="16"/>
                <w:lang w:val="en-GB"/>
              </w:rPr>
            </w:pPr>
            <w:r w:rsidRPr="00720A84">
              <w:rPr>
                <w:sz w:val="16"/>
                <w:szCs w:val="16"/>
                <w:lang w:val="en-GB"/>
              </w:rPr>
              <w:t>2.2</w:t>
            </w:r>
          </w:p>
        </w:tc>
        <w:tc>
          <w:tcPr>
            <w:tcW w:w="566" w:type="dxa"/>
            <w:tcBorders>
              <w:top w:val="nil"/>
              <w:left w:val="nil"/>
              <w:bottom w:val="nil"/>
              <w:right w:val="nil"/>
            </w:tcBorders>
            <w:shd w:val="clear" w:color="auto" w:fill="auto"/>
            <w:noWrap/>
            <w:vAlign w:val="center"/>
          </w:tcPr>
          <w:p w14:paraId="2A0D8797" w14:textId="77777777" w:rsidR="00F561D9" w:rsidRPr="00720A84" w:rsidRDefault="00F561D9" w:rsidP="006B40CA">
            <w:pPr>
              <w:jc w:val="right"/>
              <w:rPr>
                <w:sz w:val="16"/>
                <w:szCs w:val="16"/>
                <w:lang w:val="en-GB"/>
              </w:rPr>
            </w:pPr>
            <w:r w:rsidRPr="00720A84">
              <w:rPr>
                <w:sz w:val="16"/>
                <w:szCs w:val="16"/>
                <w:lang w:val="en-GB"/>
              </w:rPr>
              <w:t>1.8</w:t>
            </w:r>
          </w:p>
        </w:tc>
        <w:tc>
          <w:tcPr>
            <w:tcW w:w="566" w:type="dxa"/>
            <w:tcBorders>
              <w:top w:val="nil"/>
              <w:left w:val="nil"/>
              <w:bottom w:val="nil"/>
              <w:right w:val="nil"/>
            </w:tcBorders>
            <w:shd w:val="clear" w:color="auto" w:fill="auto"/>
            <w:noWrap/>
            <w:vAlign w:val="center"/>
          </w:tcPr>
          <w:p w14:paraId="64176852" w14:textId="77777777" w:rsidR="00F561D9" w:rsidRPr="00720A84" w:rsidRDefault="00F561D9" w:rsidP="006B40CA">
            <w:pPr>
              <w:jc w:val="right"/>
              <w:rPr>
                <w:sz w:val="16"/>
                <w:szCs w:val="16"/>
                <w:lang w:val="en-GB"/>
              </w:rPr>
            </w:pPr>
            <w:r w:rsidRPr="00720A84">
              <w:rPr>
                <w:sz w:val="16"/>
                <w:szCs w:val="16"/>
                <w:lang w:val="en-GB"/>
              </w:rPr>
              <w:t>5.4</w:t>
            </w:r>
          </w:p>
        </w:tc>
        <w:tc>
          <w:tcPr>
            <w:tcW w:w="566" w:type="dxa"/>
            <w:tcBorders>
              <w:top w:val="nil"/>
              <w:left w:val="nil"/>
              <w:bottom w:val="nil"/>
              <w:right w:val="nil"/>
            </w:tcBorders>
            <w:shd w:val="clear" w:color="auto" w:fill="auto"/>
            <w:noWrap/>
            <w:vAlign w:val="center"/>
          </w:tcPr>
          <w:p w14:paraId="710A0207" w14:textId="77777777" w:rsidR="00F561D9" w:rsidRPr="00720A84" w:rsidRDefault="00F561D9" w:rsidP="006B40CA">
            <w:pPr>
              <w:jc w:val="right"/>
              <w:rPr>
                <w:sz w:val="16"/>
                <w:szCs w:val="16"/>
                <w:lang w:val="en-GB"/>
              </w:rPr>
            </w:pPr>
            <w:r w:rsidRPr="00720A84">
              <w:rPr>
                <w:sz w:val="16"/>
                <w:szCs w:val="16"/>
                <w:lang w:val="en-GB"/>
              </w:rPr>
              <w:t>2.5</w:t>
            </w:r>
          </w:p>
        </w:tc>
        <w:tc>
          <w:tcPr>
            <w:tcW w:w="566" w:type="dxa"/>
            <w:tcBorders>
              <w:top w:val="nil"/>
              <w:left w:val="nil"/>
              <w:bottom w:val="nil"/>
              <w:right w:val="nil"/>
            </w:tcBorders>
            <w:shd w:val="clear" w:color="auto" w:fill="auto"/>
            <w:noWrap/>
            <w:vAlign w:val="center"/>
          </w:tcPr>
          <w:p w14:paraId="27FCCA7E" w14:textId="77777777" w:rsidR="00F561D9" w:rsidRPr="00720A84" w:rsidRDefault="00F561D9" w:rsidP="006B40CA">
            <w:pPr>
              <w:jc w:val="right"/>
              <w:rPr>
                <w:sz w:val="16"/>
                <w:szCs w:val="16"/>
                <w:lang w:val="en-GB"/>
              </w:rPr>
            </w:pPr>
            <w:r w:rsidRPr="00720A84">
              <w:rPr>
                <w:sz w:val="16"/>
                <w:szCs w:val="16"/>
                <w:lang w:val="en-GB"/>
              </w:rPr>
              <w:t>7.2</w:t>
            </w:r>
          </w:p>
        </w:tc>
        <w:tc>
          <w:tcPr>
            <w:tcW w:w="566" w:type="dxa"/>
            <w:tcBorders>
              <w:top w:val="nil"/>
              <w:left w:val="nil"/>
              <w:bottom w:val="nil"/>
              <w:right w:val="nil"/>
            </w:tcBorders>
            <w:shd w:val="clear" w:color="auto" w:fill="auto"/>
            <w:noWrap/>
            <w:vAlign w:val="center"/>
          </w:tcPr>
          <w:p w14:paraId="27F118AB" w14:textId="77777777" w:rsidR="00F561D9" w:rsidRPr="00720A84" w:rsidRDefault="00F561D9" w:rsidP="006B40CA">
            <w:pPr>
              <w:jc w:val="right"/>
              <w:rPr>
                <w:sz w:val="16"/>
                <w:szCs w:val="16"/>
                <w:lang w:val="en-GB"/>
              </w:rPr>
            </w:pPr>
            <w:r w:rsidRPr="00720A84">
              <w:rPr>
                <w:sz w:val="16"/>
                <w:szCs w:val="16"/>
                <w:lang w:val="en-GB"/>
              </w:rPr>
              <w:t>5.4</w:t>
            </w:r>
          </w:p>
        </w:tc>
        <w:tc>
          <w:tcPr>
            <w:tcW w:w="566" w:type="dxa"/>
            <w:tcBorders>
              <w:top w:val="nil"/>
              <w:left w:val="nil"/>
              <w:bottom w:val="nil"/>
              <w:right w:val="nil"/>
            </w:tcBorders>
            <w:shd w:val="clear" w:color="auto" w:fill="auto"/>
            <w:noWrap/>
            <w:vAlign w:val="center"/>
          </w:tcPr>
          <w:p w14:paraId="674C2A3E" w14:textId="77777777" w:rsidR="00F561D9" w:rsidRPr="00720A84" w:rsidRDefault="00F561D9" w:rsidP="006B40CA">
            <w:pPr>
              <w:jc w:val="right"/>
              <w:rPr>
                <w:sz w:val="16"/>
                <w:szCs w:val="16"/>
                <w:lang w:val="en-GB"/>
              </w:rPr>
            </w:pPr>
            <w:r w:rsidRPr="00720A84">
              <w:rPr>
                <w:sz w:val="16"/>
                <w:szCs w:val="16"/>
                <w:lang w:val="en-GB"/>
              </w:rPr>
              <w:t>4.0</w:t>
            </w:r>
          </w:p>
        </w:tc>
        <w:tc>
          <w:tcPr>
            <w:tcW w:w="566" w:type="dxa"/>
            <w:tcBorders>
              <w:top w:val="nil"/>
              <w:left w:val="nil"/>
              <w:bottom w:val="nil"/>
              <w:right w:val="nil"/>
            </w:tcBorders>
            <w:shd w:val="clear" w:color="auto" w:fill="auto"/>
            <w:noWrap/>
            <w:vAlign w:val="center"/>
          </w:tcPr>
          <w:p w14:paraId="6FFD695B" w14:textId="77777777" w:rsidR="00F561D9" w:rsidRPr="00720A84" w:rsidRDefault="00F561D9" w:rsidP="006B40CA">
            <w:pPr>
              <w:jc w:val="right"/>
              <w:rPr>
                <w:sz w:val="16"/>
                <w:szCs w:val="16"/>
                <w:lang w:val="en-GB"/>
              </w:rPr>
            </w:pPr>
            <w:r w:rsidRPr="00720A84">
              <w:rPr>
                <w:sz w:val="16"/>
                <w:szCs w:val="16"/>
                <w:lang w:val="en-GB"/>
              </w:rPr>
              <w:t>2.6</w:t>
            </w:r>
          </w:p>
        </w:tc>
        <w:tc>
          <w:tcPr>
            <w:tcW w:w="566" w:type="dxa"/>
            <w:tcBorders>
              <w:top w:val="nil"/>
              <w:left w:val="nil"/>
              <w:bottom w:val="nil"/>
              <w:right w:val="nil"/>
            </w:tcBorders>
            <w:shd w:val="clear" w:color="auto" w:fill="auto"/>
            <w:noWrap/>
            <w:vAlign w:val="center"/>
          </w:tcPr>
          <w:p w14:paraId="67BFCA48" w14:textId="77777777" w:rsidR="00F561D9" w:rsidRPr="00720A84" w:rsidRDefault="00F561D9" w:rsidP="006B40CA">
            <w:pPr>
              <w:jc w:val="right"/>
              <w:rPr>
                <w:sz w:val="16"/>
                <w:szCs w:val="16"/>
                <w:lang w:val="en-GB"/>
              </w:rPr>
            </w:pPr>
            <w:r w:rsidRPr="00720A84">
              <w:rPr>
                <w:sz w:val="16"/>
                <w:szCs w:val="16"/>
                <w:lang w:val="en-GB"/>
              </w:rPr>
              <w:t>2.9</w:t>
            </w:r>
          </w:p>
        </w:tc>
        <w:tc>
          <w:tcPr>
            <w:tcW w:w="566" w:type="dxa"/>
            <w:tcBorders>
              <w:top w:val="nil"/>
              <w:left w:val="nil"/>
              <w:bottom w:val="nil"/>
              <w:right w:val="nil"/>
            </w:tcBorders>
            <w:shd w:val="clear" w:color="auto" w:fill="auto"/>
            <w:noWrap/>
            <w:vAlign w:val="center"/>
          </w:tcPr>
          <w:p w14:paraId="43C020AB" w14:textId="77777777" w:rsidR="00F561D9" w:rsidRPr="00720A84" w:rsidRDefault="00F561D9" w:rsidP="006B40CA">
            <w:pPr>
              <w:jc w:val="right"/>
              <w:rPr>
                <w:sz w:val="16"/>
                <w:szCs w:val="16"/>
                <w:lang w:val="en-GB"/>
              </w:rPr>
            </w:pPr>
            <w:r w:rsidRPr="00720A84">
              <w:rPr>
                <w:sz w:val="16"/>
                <w:szCs w:val="16"/>
                <w:lang w:val="en-GB"/>
              </w:rPr>
              <w:t>2.5</w:t>
            </w:r>
          </w:p>
        </w:tc>
        <w:tc>
          <w:tcPr>
            <w:tcW w:w="566" w:type="dxa"/>
            <w:tcBorders>
              <w:top w:val="nil"/>
              <w:left w:val="nil"/>
              <w:bottom w:val="nil"/>
              <w:right w:val="nil"/>
            </w:tcBorders>
            <w:shd w:val="clear" w:color="auto" w:fill="auto"/>
            <w:noWrap/>
            <w:vAlign w:val="center"/>
          </w:tcPr>
          <w:p w14:paraId="3CB22B45" w14:textId="77777777" w:rsidR="00F561D9" w:rsidRPr="00720A84" w:rsidRDefault="00F561D9" w:rsidP="006B40CA">
            <w:pPr>
              <w:jc w:val="right"/>
              <w:rPr>
                <w:sz w:val="16"/>
                <w:szCs w:val="16"/>
                <w:lang w:val="en-GB"/>
              </w:rPr>
            </w:pPr>
            <w:r w:rsidRPr="00720A84">
              <w:rPr>
                <w:sz w:val="16"/>
                <w:szCs w:val="16"/>
                <w:lang w:val="en-GB"/>
              </w:rPr>
              <w:t>1.6</w:t>
            </w:r>
          </w:p>
        </w:tc>
        <w:tc>
          <w:tcPr>
            <w:tcW w:w="566" w:type="dxa"/>
            <w:tcBorders>
              <w:top w:val="nil"/>
              <w:left w:val="nil"/>
              <w:bottom w:val="nil"/>
              <w:right w:val="nil"/>
            </w:tcBorders>
            <w:shd w:val="clear" w:color="auto" w:fill="auto"/>
            <w:noWrap/>
            <w:vAlign w:val="center"/>
          </w:tcPr>
          <w:p w14:paraId="1A32C62B" w14:textId="77777777" w:rsidR="00F561D9" w:rsidRPr="00720A84" w:rsidRDefault="00F561D9" w:rsidP="006B40CA">
            <w:pPr>
              <w:jc w:val="right"/>
              <w:rPr>
                <w:sz w:val="16"/>
                <w:szCs w:val="16"/>
                <w:lang w:val="en-GB"/>
              </w:rPr>
            </w:pPr>
            <w:r w:rsidRPr="00720A84">
              <w:rPr>
                <w:sz w:val="16"/>
                <w:szCs w:val="16"/>
                <w:lang w:val="en-GB"/>
              </w:rPr>
              <w:t>1.1</w:t>
            </w:r>
          </w:p>
        </w:tc>
        <w:tc>
          <w:tcPr>
            <w:tcW w:w="566" w:type="dxa"/>
            <w:tcBorders>
              <w:top w:val="nil"/>
              <w:left w:val="nil"/>
              <w:bottom w:val="nil"/>
              <w:right w:val="nil"/>
            </w:tcBorders>
            <w:shd w:val="clear" w:color="auto" w:fill="auto"/>
            <w:noWrap/>
            <w:vAlign w:val="center"/>
          </w:tcPr>
          <w:p w14:paraId="28E919C4" w14:textId="77777777" w:rsidR="00F561D9" w:rsidRPr="00720A84" w:rsidRDefault="00F561D9" w:rsidP="006B40CA">
            <w:pPr>
              <w:jc w:val="right"/>
              <w:rPr>
                <w:sz w:val="16"/>
                <w:szCs w:val="16"/>
                <w:lang w:val="en-GB"/>
              </w:rPr>
            </w:pPr>
            <w:r w:rsidRPr="00720A84">
              <w:rPr>
                <w:sz w:val="16"/>
                <w:szCs w:val="16"/>
                <w:lang w:val="en-GB"/>
              </w:rPr>
              <w:t>2.2</w:t>
            </w:r>
          </w:p>
        </w:tc>
      </w:tr>
      <w:tr w:rsidR="00F561D9" w:rsidRPr="00720A84" w14:paraId="552007C3"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1B0FD0C6" w14:textId="77777777" w:rsidR="00F561D9" w:rsidRPr="00720A84" w:rsidRDefault="00F561D9" w:rsidP="006B40CA">
            <w:pPr>
              <w:ind w:left="85"/>
              <w:rPr>
                <w:sz w:val="16"/>
                <w:szCs w:val="16"/>
                <w:lang w:val="en-GB"/>
              </w:rPr>
            </w:pPr>
            <w:r w:rsidRPr="00720A84">
              <w:rPr>
                <w:sz w:val="16"/>
                <w:szCs w:val="16"/>
                <w:lang w:val="en-GB"/>
              </w:rPr>
              <w:t>Automotive</w:t>
            </w:r>
          </w:p>
        </w:tc>
        <w:tc>
          <w:tcPr>
            <w:tcW w:w="488" w:type="dxa"/>
            <w:tcBorders>
              <w:top w:val="nil"/>
              <w:left w:val="nil"/>
              <w:bottom w:val="nil"/>
              <w:right w:val="nil"/>
            </w:tcBorders>
            <w:shd w:val="clear" w:color="auto" w:fill="auto"/>
            <w:noWrap/>
            <w:vAlign w:val="center"/>
          </w:tcPr>
          <w:p w14:paraId="48C90522" w14:textId="77777777" w:rsidR="00F561D9" w:rsidRPr="00720A84" w:rsidRDefault="00F561D9" w:rsidP="006B40CA">
            <w:pPr>
              <w:jc w:val="right"/>
              <w:rPr>
                <w:sz w:val="16"/>
                <w:szCs w:val="16"/>
                <w:lang w:val="en-GB"/>
              </w:rPr>
            </w:pPr>
            <w:r w:rsidRPr="00720A84">
              <w:rPr>
                <w:sz w:val="16"/>
                <w:szCs w:val="16"/>
                <w:lang w:val="en-GB"/>
              </w:rPr>
              <w:t>3.7</w:t>
            </w:r>
          </w:p>
        </w:tc>
        <w:tc>
          <w:tcPr>
            <w:tcW w:w="566" w:type="dxa"/>
            <w:tcBorders>
              <w:top w:val="nil"/>
              <w:left w:val="nil"/>
              <w:bottom w:val="nil"/>
              <w:right w:val="nil"/>
            </w:tcBorders>
            <w:shd w:val="clear" w:color="auto" w:fill="auto"/>
            <w:noWrap/>
            <w:vAlign w:val="center"/>
          </w:tcPr>
          <w:p w14:paraId="62D6D4F2" w14:textId="77777777" w:rsidR="00F561D9" w:rsidRPr="00720A84" w:rsidRDefault="00F561D9" w:rsidP="006B40CA">
            <w:pPr>
              <w:jc w:val="right"/>
              <w:rPr>
                <w:sz w:val="16"/>
                <w:szCs w:val="16"/>
                <w:lang w:val="en-GB"/>
              </w:rPr>
            </w:pPr>
            <w:r w:rsidRPr="00720A84">
              <w:rPr>
                <w:sz w:val="16"/>
                <w:szCs w:val="16"/>
                <w:lang w:val="en-GB"/>
              </w:rPr>
              <w:t>1.5</w:t>
            </w:r>
          </w:p>
        </w:tc>
        <w:tc>
          <w:tcPr>
            <w:tcW w:w="566" w:type="dxa"/>
            <w:tcBorders>
              <w:top w:val="nil"/>
              <w:left w:val="nil"/>
              <w:bottom w:val="nil"/>
              <w:right w:val="nil"/>
            </w:tcBorders>
            <w:shd w:val="clear" w:color="auto" w:fill="auto"/>
            <w:noWrap/>
            <w:vAlign w:val="center"/>
          </w:tcPr>
          <w:p w14:paraId="66B441D2" w14:textId="77777777" w:rsidR="00F561D9" w:rsidRPr="00720A84" w:rsidRDefault="00F561D9" w:rsidP="006B40CA">
            <w:pPr>
              <w:jc w:val="right"/>
              <w:rPr>
                <w:sz w:val="16"/>
                <w:szCs w:val="16"/>
                <w:lang w:val="en-GB"/>
              </w:rPr>
            </w:pPr>
            <w:r w:rsidRPr="00720A84">
              <w:rPr>
                <w:sz w:val="16"/>
                <w:szCs w:val="16"/>
                <w:lang w:val="en-GB"/>
              </w:rPr>
              <w:t>4.6</w:t>
            </w:r>
          </w:p>
        </w:tc>
        <w:tc>
          <w:tcPr>
            <w:tcW w:w="566" w:type="dxa"/>
            <w:tcBorders>
              <w:top w:val="nil"/>
              <w:left w:val="nil"/>
              <w:bottom w:val="nil"/>
              <w:right w:val="nil"/>
            </w:tcBorders>
            <w:shd w:val="clear" w:color="auto" w:fill="auto"/>
            <w:noWrap/>
            <w:vAlign w:val="center"/>
          </w:tcPr>
          <w:p w14:paraId="2C4E036F" w14:textId="77777777" w:rsidR="00F561D9" w:rsidRPr="00720A84" w:rsidRDefault="00F561D9" w:rsidP="006B40CA">
            <w:pPr>
              <w:jc w:val="right"/>
              <w:rPr>
                <w:sz w:val="16"/>
                <w:szCs w:val="16"/>
                <w:lang w:val="en-GB"/>
              </w:rPr>
            </w:pPr>
            <w:r w:rsidRPr="00720A84">
              <w:rPr>
                <w:sz w:val="16"/>
                <w:szCs w:val="16"/>
                <w:lang w:val="en-GB"/>
              </w:rPr>
              <w:t>6.6</w:t>
            </w:r>
          </w:p>
        </w:tc>
        <w:tc>
          <w:tcPr>
            <w:tcW w:w="566" w:type="dxa"/>
            <w:tcBorders>
              <w:top w:val="nil"/>
              <w:left w:val="nil"/>
              <w:bottom w:val="nil"/>
              <w:right w:val="nil"/>
            </w:tcBorders>
            <w:shd w:val="clear" w:color="auto" w:fill="auto"/>
            <w:noWrap/>
            <w:vAlign w:val="center"/>
          </w:tcPr>
          <w:p w14:paraId="47E6939D" w14:textId="77777777" w:rsidR="00F561D9" w:rsidRPr="00720A84" w:rsidRDefault="00F561D9" w:rsidP="006B40CA">
            <w:pPr>
              <w:jc w:val="right"/>
              <w:rPr>
                <w:sz w:val="16"/>
                <w:szCs w:val="16"/>
                <w:lang w:val="en-GB"/>
              </w:rPr>
            </w:pPr>
            <w:r w:rsidRPr="00720A84">
              <w:rPr>
                <w:sz w:val="16"/>
                <w:szCs w:val="16"/>
                <w:lang w:val="en-GB"/>
              </w:rPr>
              <w:t>3.2</w:t>
            </w:r>
          </w:p>
        </w:tc>
        <w:tc>
          <w:tcPr>
            <w:tcW w:w="566" w:type="dxa"/>
            <w:tcBorders>
              <w:top w:val="nil"/>
              <w:left w:val="nil"/>
              <w:bottom w:val="nil"/>
              <w:right w:val="nil"/>
            </w:tcBorders>
            <w:shd w:val="clear" w:color="auto" w:fill="auto"/>
            <w:noWrap/>
            <w:vAlign w:val="center"/>
          </w:tcPr>
          <w:p w14:paraId="73B9C327" w14:textId="77777777" w:rsidR="00F561D9" w:rsidRPr="00720A84" w:rsidRDefault="00F561D9" w:rsidP="006B40CA">
            <w:pPr>
              <w:jc w:val="right"/>
              <w:rPr>
                <w:sz w:val="16"/>
                <w:szCs w:val="16"/>
                <w:lang w:val="en-GB"/>
              </w:rPr>
            </w:pPr>
            <w:r w:rsidRPr="00720A84">
              <w:rPr>
                <w:sz w:val="16"/>
                <w:szCs w:val="16"/>
                <w:lang w:val="en-GB"/>
              </w:rPr>
              <w:t>7.4</w:t>
            </w:r>
          </w:p>
        </w:tc>
        <w:tc>
          <w:tcPr>
            <w:tcW w:w="566" w:type="dxa"/>
            <w:tcBorders>
              <w:top w:val="nil"/>
              <w:left w:val="nil"/>
              <w:bottom w:val="nil"/>
              <w:right w:val="nil"/>
            </w:tcBorders>
            <w:shd w:val="clear" w:color="auto" w:fill="auto"/>
            <w:noWrap/>
            <w:vAlign w:val="center"/>
          </w:tcPr>
          <w:p w14:paraId="38809632" w14:textId="77777777" w:rsidR="00F561D9" w:rsidRPr="00720A84" w:rsidRDefault="00F561D9" w:rsidP="006B40CA">
            <w:pPr>
              <w:jc w:val="right"/>
              <w:rPr>
                <w:sz w:val="16"/>
                <w:szCs w:val="16"/>
                <w:lang w:val="en-GB"/>
              </w:rPr>
            </w:pPr>
            <w:r w:rsidRPr="00720A84">
              <w:rPr>
                <w:sz w:val="16"/>
                <w:szCs w:val="16"/>
                <w:lang w:val="en-GB"/>
              </w:rPr>
              <w:t>9.4</w:t>
            </w:r>
          </w:p>
        </w:tc>
        <w:tc>
          <w:tcPr>
            <w:tcW w:w="566" w:type="dxa"/>
            <w:tcBorders>
              <w:top w:val="nil"/>
              <w:left w:val="nil"/>
              <w:bottom w:val="nil"/>
              <w:right w:val="nil"/>
            </w:tcBorders>
            <w:shd w:val="clear" w:color="auto" w:fill="auto"/>
            <w:noWrap/>
            <w:vAlign w:val="center"/>
          </w:tcPr>
          <w:p w14:paraId="380ECCB6" w14:textId="77777777" w:rsidR="00F561D9" w:rsidRPr="00720A84" w:rsidRDefault="00F561D9" w:rsidP="006B40CA">
            <w:pPr>
              <w:jc w:val="right"/>
              <w:rPr>
                <w:sz w:val="16"/>
                <w:szCs w:val="16"/>
                <w:lang w:val="en-GB"/>
              </w:rPr>
            </w:pPr>
            <w:r w:rsidRPr="00720A84">
              <w:rPr>
                <w:sz w:val="16"/>
                <w:szCs w:val="16"/>
                <w:lang w:val="en-GB"/>
              </w:rPr>
              <w:t>7.5</w:t>
            </w:r>
          </w:p>
        </w:tc>
        <w:tc>
          <w:tcPr>
            <w:tcW w:w="566" w:type="dxa"/>
            <w:tcBorders>
              <w:top w:val="nil"/>
              <w:left w:val="nil"/>
              <w:bottom w:val="nil"/>
              <w:right w:val="nil"/>
            </w:tcBorders>
            <w:shd w:val="clear" w:color="auto" w:fill="auto"/>
            <w:noWrap/>
            <w:vAlign w:val="center"/>
          </w:tcPr>
          <w:p w14:paraId="2AD04613" w14:textId="77777777" w:rsidR="00F561D9" w:rsidRPr="00720A84" w:rsidRDefault="00F561D9" w:rsidP="006B40CA">
            <w:pPr>
              <w:jc w:val="right"/>
              <w:rPr>
                <w:sz w:val="16"/>
                <w:szCs w:val="16"/>
                <w:lang w:val="en-GB"/>
              </w:rPr>
            </w:pPr>
            <w:r w:rsidRPr="00720A84">
              <w:rPr>
                <w:sz w:val="16"/>
                <w:szCs w:val="16"/>
                <w:lang w:val="en-GB"/>
              </w:rPr>
              <w:t>4.2</w:t>
            </w:r>
          </w:p>
        </w:tc>
        <w:tc>
          <w:tcPr>
            <w:tcW w:w="566" w:type="dxa"/>
            <w:tcBorders>
              <w:top w:val="nil"/>
              <w:left w:val="nil"/>
              <w:bottom w:val="nil"/>
              <w:right w:val="nil"/>
            </w:tcBorders>
            <w:shd w:val="clear" w:color="auto" w:fill="auto"/>
            <w:noWrap/>
            <w:vAlign w:val="center"/>
          </w:tcPr>
          <w:p w14:paraId="131D0638" w14:textId="77777777" w:rsidR="00F561D9" w:rsidRPr="00720A84" w:rsidRDefault="00F561D9" w:rsidP="006B40CA">
            <w:pPr>
              <w:jc w:val="right"/>
              <w:rPr>
                <w:sz w:val="16"/>
                <w:szCs w:val="16"/>
                <w:lang w:val="en-GB"/>
              </w:rPr>
            </w:pPr>
            <w:r w:rsidRPr="00720A84">
              <w:rPr>
                <w:sz w:val="16"/>
                <w:szCs w:val="16"/>
                <w:lang w:val="en-GB"/>
              </w:rPr>
              <w:t>4.3</w:t>
            </w:r>
          </w:p>
        </w:tc>
        <w:tc>
          <w:tcPr>
            <w:tcW w:w="566" w:type="dxa"/>
            <w:tcBorders>
              <w:top w:val="nil"/>
              <w:left w:val="nil"/>
              <w:bottom w:val="nil"/>
              <w:right w:val="nil"/>
            </w:tcBorders>
            <w:shd w:val="clear" w:color="auto" w:fill="auto"/>
            <w:noWrap/>
            <w:vAlign w:val="center"/>
          </w:tcPr>
          <w:p w14:paraId="5B84587A" w14:textId="77777777" w:rsidR="00F561D9" w:rsidRPr="00720A84" w:rsidRDefault="00F561D9" w:rsidP="006B40CA">
            <w:pPr>
              <w:jc w:val="right"/>
              <w:rPr>
                <w:sz w:val="16"/>
                <w:szCs w:val="16"/>
                <w:lang w:val="en-GB"/>
              </w:rPr>
            </w:pPr>
            <w:r w:rsidRPr="00720A84">
              <w:rPr>
                <w:sz w:val="16"/>
                <w:szCs w:val="16"/>
                <w:lang w:val="en-GB"/>
              </w:rPr>
              <w:t>1.3</w:t>
            </w:r>
          </w:p>
        </w:tc>
        <w:tc>
          <w:tcPr>
            <w:tcW w:w="566" w:type="dxa"/>
            <w:tcBorders>
              <w:top w:val="nil"/>
              <w:left w:val="nil"/>
              <w:bottom w:val="nil"/>
              <w:right w:val="nil"/>
            </w:tcBorders>
            <w:shd w:val="clear" w:color="auto" w:fill="auto"/>
            <w:noWrap/>
            <w:vAlign w:val="center"/>
          </w:tcPr>
          <w:p w14:paraId="7F431AC1" w14:textId="77777777" w:rsidR="00F561D9" w:rsidRPr="00720A84" w:rsidRDefault="00F561D9" w:rsidP="006B40CA">
            <w:pPr>
              <w:jc w:val="right"/>
              <w:rPr>
                <w:sz w:val="16"/>
                <w:szCs w:val="16"/>
                <w:lang w:val="en-GB"/>
              </w:rPr>
            </w:pPr>
            <w:r w:rsidRPr="00720A84">
              <w:rPr>
                <w:sz w:val="16"/>
                <w:szCs w:val="16"/>
                <w:lang w:val="en-GB"/>
              </w:rPr>
              <w:t>2.6</w:t>
            </w:r>
          </w:p>
        </w:tc>
        <w:tc>
          <w:tcPr>
            <w:tcW w:w="566" w:type="dxa"/>
            <w:tcBorders>
              <w:top w:val="nil"/>
              <w:left w:val="nil"/>
              <w:bottom w:val="nil"/>
              <w:right w:val="nil"/>
            </w:tcBorders>
            <w:shd w:val="clear" w:color="auto" w:fill="auto"/>
            <w:noWrap/>
            <w:vAlign w:val="center"/>
          </w:tcPr>
          <w:p w14:paraId="4C666788" w14:textId="77777777" w:rsidR="00F561D9" w:rsidRPr="00720A84" w:rsidRDefault="00F561D9" w:rsidP="006B40CA">
            <w:pPr>
              <w:jc w:val="right"/>
              <w:rPr>
                <w:sz w:val="16"/>
                <w:szCs w:val="16"/>
                <w:lang w:val="en-GB"/>
              </w:rPr>
            </w:pPr>
            <w:r w:rsidRPr="00720A84">
              <w:rPr>
                <w:sz w:val="16"/>
                <w:szCs w:val="16"/>
                <w:lang w:val="en-GB"/>
              </w:rPr>
              <w:t>2.2</w:t>
            </w:r>
          </w:p>
        </w:tc>
        <w:tc>
          <w:tcPr>
            <w:tcW w:w="566" w:type="dxa"/>
            <w:tcBorders>
              <w:top w:val="nil"/>
              <w:left w:val="nil"/>
              <w:bottom w:val="nil"/>
              <w:right w:val="nil"/>
            </w:tcBorders>
            <w:shd w:val="clear" w:color="auto" w:fill="auto"/>
            <w:noWrap/>
            <w:vAlign w:val="center"/>
          </w:tcPr>
          <w:p w14:paraId="0F9EAB58" w14:textId="77777777" w:rsidR="00F561D9" w:rsidRPr="00720A84" w:rsidRDefault="00F561D9" w:rsidP="006B40CA">
            <w:pPr>
              <w:jc w:val="right"/>
              <w:rPr>
                <w:sz w:val="16"/>
                <w:szCs w:val="16"/>
                <w:lang w:val="en-GB"/>
              </w:rPr>
            </w:pPr>
            <w:r w:rsidRPr="00720A84">
              <w:rPr>
                <w:sz w:val="16"/>
                <w:szCs w:val="16"/>
                <w:lang w:val="en-GB"/>
              </w:rPr>
              <w:t>7.1</w:t>
            </w:r>
          </w:p>
        </w:tc>
      </w:tr>
      <w:tr w:rsidR="00F561D9" w:rsidRPr="00720A84" w14:paraId="1E176234"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48D6B7E7" w14:textId="77777777" w:rsidR="00F561D9" w:rsidRPr="00720A84" w:rsidRDefault="00F561D9" w:rsidP="006B40CA">
            <w:pPr>
              <w:ind w:left="85"/>
              <w:rPr>
                <w:sz w:val="16"/>
                <w:szCs w:val="16"/>
                <w:lang w:val="en-GB"/>
              </w:rPr>
            </w:pPr>
            <w:r w:rsidRPr="00720A84">
              <w:rPr>
                <w:sz w:val="16"/>
                <w:szCs w:val="16"/>
                <w:lang w:val="en-GB"/>
              </w:rPr>
              <w:t>Others</w:t>
            </w:r>
          </w:p>
        </w:tc>
        <w:tc>
          <w:tcPr>
            <w:tcW w:w="488" w:type="dxa"/>
            <w:tcBorders>
              <w:top w:val="nil"/>
              <w:left w:val="nil"/>
              <w:bottom w:val="nil"/>
              <w:right w:val="nil"/>
            </w:tcBorders>
            <w:shd w:val="clear" w:color="auto" w:fill="auto"/>
            <w:noWrap/>
            <w:vAlign w:val="center"/>
          </w:tcPr>
          <w:p w14:paraId="705A009E" w14:textId="77777777" w:rsidR="00F561D9" w:rsidRPr="00720A84" w:rsidRDefault="00F561D9" w:rsidP="006B40CA">
            <w:pPr>
              <w:jc w:val="right"/>
              <w:rPr>
                <w:sz w:val="16"/>
                <w:szCs w:val="16"/>
                <w:lang w:val="en-GB"/>
              </w:rPr>
            </w:pPr>
            <w:r w:rsidRPr="00720A84">
              <w:rPr>
                <w:sz w:val="16"/>
                <w:szCs w:val="16"/>
                <w:lang w:val="en-GB"/>
              </w:rPr>
              <w:t>11.9</w:t>
            </w:r>
          </w:p>
        </w:tc>
        <w:tc>
          <w:tcPr>
            <w:tcW w:w="566" w:type="dxa"/>
            <w:tcBorders>
              <w:top w:val="nil"/>
              <w:left w:val="nil"/>
              <w:bottom w:val="nil"/>
              <w:right w:val="nil"/>
            </w:tcBorders>
            <w:shd w:val="clear" w:color="auto" w:fill="auto"/>
            <w:noWrap/>
            <w:vAlign w:val="center"/>
          </w:tcPr>
          <w:p w14:paraId="47D69639" w14:textId="77777777" w:rsidR="00F561D9" w:rsidRPr="00720A84" w:rsidRDefault="00F561D9" w:rsidP="006B40CA">
            <w:pPr>
              <w:jc w:val="right"/>
              <w:rPr>
                <w:sz w:val="16"/>
                <w:szCs w:val="16"/>
                <w:lang w:val="en-GB"/>
              </w:rPr>
            </w:pPr>
            <w:r w:rsidRPr="00720A84">
              <w:rPr>
                <w:sz w:val="16"/>
                <w:szCs w:val="16"/>
                <w:lang w:val="en-GB"/>
              </w:rPr>
              <w:t>5.1</w:t>
            </w:r>
          </w:p>
        </w:tc>
        <w:tc>
          <w:tcPr>
            <w:tcW w:w="566" w:type="dxa"/>
            <w:tcBorders>
              <w:top w:val="nil"/>
              <w:left w:val="nil"/>
              <w:bottom w:val="nil"/>
              <w:right w:val="nil"/>
            </w:tcBorders>
            <w:shd w:val="clear" w:color="auto" w:fill="auto"/>
            <w:noWrap/>
            <w:vAlign w:val="center"/>
          </w:tcPr>
          <w:p w14:paraId="0E4DE70C" w14:textId="77777777" w:rsidR="00F561D9" w:rsidRPr="00720A84" w:rsidRDefault="00F561D9" w:rsidP="006B40CA">
            <w:pPr>
              <w:jc w:val="right"/>
              <w:rPr>
                <w:sz w:val="16"/>
                <w:szCs w:val="16"/>
                <w:lang w:val="en-GB"/>
              </w:rPr>
            </w:pPr>
            <w:r w:rsidRPr="00720A84">
              <w:rPr>
                <w:sz w:val="16"/>
                <w:szCs w:val="16"/>
                <w:lang w:val="en-GB"/>
              </w:rPr>
              <w:t>2.9</w:t>
            </w:r>
          </w:p>
        </w:tc>
        <w:tc>
          <w:tcPr>
            <w:tcW w:w="566" w:type="dxa"/>
            <w:tcBorders>
              <w:top w:val="nil"/>
              <w:left w:val="nil"/>
              <w:bottom w:val="nil"/>
              <w:right w:val="nil"/>
            </w:tcBorders>
            <w:shd w:val="clear" w:color="auto" w:fill="auto"/>
            <w:noWrap/>
            <w:vAlign w:val="center"/>
          </w:tcPr>
          <w:p w14:paraId="5DA55EC5" w14:textId="77777777" w:rsidR="00F561D9" w:rsidRPr="00720A84" w:rsidRDefault="00F561D9" w:rsidP="006B40CA">
            <w:pPr>
              <w:jc w:val="right"/>
              <w:rPr>
                <w:sz w:val="16"/>
                <w:szCs w:val="16"/>
                <w:lang w:val="en-GB"/>
              </w:rPr>
            </w:pPr>
            <w:r w:rsidRPr="00720A84">
              <w:rPr>
                <w:sz w:val="16"/>
                <w:szCs w:val="16"/>
                <w:lang w:val="en-GB"/>
              </w:rPr>
              <w:t>3.8</w:t>
            </w:r>
          </w:p>
        </w:tc>
        <w:tc>
          <w:tcPr>
            <w:tcW w:w="566" w:type="dxa"/>
            <w:tcBorders>
              <w:top w:val="nil"/>
              <w:left w:val="nil"/>
              <w:bottom w:val="nil"/>
              <w:right w:val="nil"/>
            </w:tcBorders>
            <w:shd w:val="clear" w:color="auto" w:fill="auto"/>
            <w:noWrap/>
            <w:vAlign w:val="center"/>
          </w:tcPr>
          <w:p w14:paraId="2C319A3D" w14:textId="77777777" w:rsidR="00F561D9" w:rsidRPr="00720A84" w:rsidRDefault="00F561D9" w:rsidP="006B40CA">
            <w:pPr>
              <w:jc w:val="right"/>
              <w:rPr>
                <w:sz w:val="16"/>
                <w:szCs w:val="16"/>
                <w:lang w:val="en-GB"/>
              </w:rPr>
            </w:pPr>
            <w:r w:rsidRPr="00720A84">
              <w:rPr>
                <w:sz w:val="16"/>
                <w:szCs w:val="16"/>
                <w:lang w:val="en-GB"/>
              </w:rPr>
              <w:t>3.5</w:t>
            </w:r>
          </w:p>
        </w:tc>
        <w:tc>
          <w:tcPr>
            <w:tcW w:w="566" w:type="dxa"/>
            <w:tcBorders>
              <w:top w:val="nil"/>
              <w:left w:val="nil"/>
              <w:bottom w:val="nil"/>
              <w:right w:val="nil"/>
            </w:tcBorders>
            <w:shd w:val="clear" w:color="auto" w:fill="auto"/>
            <w:noWrap/>
            <w:vAlign w:val="center"/>
          </w:tcPr>
          <w:p w14:paraId="05F6D481" w14:textId="77777777" w:rsidR="00F561D9" w:rsidRPr="00720A84" w:rsidRDefault="00F561D9" w:rsidP="006B40CA">
            <w:pPr>
              <w:jc w:val="right"/>
              <w:rPr>
                <w:sz w:val="16"/>
                <w:szCs w:val="16"/>
                <w:lang w:val="en-GB"/>
              </w:rPr>
            </w:pPr>
            <w:r w:rsidRPr="00720A84">
              <w:rPr>
                <w:sz w:val="16"/>
                <w:szCs w:val="16"/>
                <w:lang w:val="en-GB"/>
              </w:rPr>
              <w:t>6.6</w:t>
            </w:r>
          </w:p>
        </w:tc>
        <w:tc>
          <w:tcPr>
            <w:tcW w:w="566" w:type="dxa"/>
            <w:tcBorders>
              <w:top w:val="nil"/>
              <w:left w:val="nil"/>
              <w:bottom w:val="nil"/>
              <w:right w:val="nil"/>
            </w:tcBorders>
            <w:shd w:val="clear" w:color="auto" w:fill="auto"/>
            <w:noWrap/>
            <w:vAlign w:val="center"/>
          </w:tcPr>
          <w:p w14:paraId="69431122" w14:textId="77777777" w:rsidR="00F561D9" w:rsidRPr="00720A84" w:rsidRDefault="00F561D9" w:rsidP="006B40CA">
            <w:pPr>
              <w:jc w:val="right"/>
              <w:rPr>
                <w:sz w:val="16"/>
                <w:szCs w:val="16"/>
                <w:lang w:val="en-GB"/>
              </w:rPr>
            </w:pPr>
            <w:r w:rsidRPr="00720A84">
              <w:rPr>
                <w:sz w:val="16"/>
                <w:szCs w:val="16"/>
                <w:lang w:val="en-GB"/>
              </w:rPr>
              <w:t>6.4</w:t>
            </w:r>
          </w:p>
        </w:tc>
        <w:tc>
          <w:tcPr>
            <w:tcW w:w="566" w:type="dxa"/>
            <w:tcBorders>
              <w:top w:val="nil"/>
              <w:left w:val="nil"/>
              <w:bottom w:val="nil"/>
              <w:right w:val="nil"/>
            </w:tcBorders>
            <w:shd w:val="clear" w:color="auto" w:fill="auto"/>
            <w:noWrap/>
            <w:vAlign w:val="center"/>
          </w:tcPr>
          <w:p w14:paraId="4CF52F00" w14:textId="77777777" w:rsidR="00F561D9" w:rsidRPr="00720A84" w:rsidRDefault="00F561D9" w:rsidP="006B40CA">
            <w:pPr>
              <w:jc w:val="right"/>
              <w:rPr>
                <w:sz w:val="16"/>
                <w:szCs w:val="16"/>
                <w:lang w:val="en-GB"/>
              </w:rPr>
            </w:pPr>
            <w:r w:rsidRPr="00720A84">
              <w:rPr>
                <w:sz w:val="16"/>
                <w:szCs w:val="16"/>
                <w:lang w:val="en-GB"/>
              </w:rPr>
              <w:t>10.4</w:t>
            </w:r>
          </w:p>
        </w:tc>
        <w:tc>
          <w:tcPr>
            <w:tcW w:w="566" w:type="dxa"/>
            <w:tcBorders>
              <w:top w:val="nil"/>
              <w:left w:val="nil"/>
              <w:bottom w:val="nil"/>
              <w:right w:val="nil"/>
            </w:tcBorders>
            <w:shd w:val="clear" w:color="auto" w:fill="auto"/>
            <w:noWrap/>
            <w:vAlign w:val="center"/>
          </w:tcPr>
          <w:p w14:paraId="7518F12F" w14:textId="77777777" w:rsidR="00F561D9" w:rsidRPr="00720A84" w:rsidRDefault="00F561D9" w:rsidP="006B40CA">
            <w:pPr>
              <w:jc w:val="right"/>
              <w:rPr>
                <w:sz w:val="16"/>
                <w:szCs w:val="16"/>
                <w:lang w:val="en-GB"/>
              </w:rPr>
            </w:pPr>
            <w:r w:rsidRPr="00720A84">
              <w:rPr>
                <w:sz w:val="16"/>
                <w:szCs w:val="16"/>
                <w:lang w:val="en-GB"/>
              </w:rPr>
              <w:t>8.9</w:t>
            </w:r>
          </w:p>
        </w:tc>
        <w:tc>
          <w:tcPr>
            <w:tcW w:w="566" w:type="dxa"/>
            <w:tcBorders>
              <w:top w:val="nil"/>
              <w:left w:val="nil"/>
              <w:bottom w:val="nil"/>
              <w:right w:val="nil"/>
            </w:tcBorders>
            <w:shd w:val="clear" w:color="auto" w:fill="auto"/>
            <w:noWrap/>
            <w:vAlign w:val="center"/>
          </w:tcPr>
          <w:p w14:paraId="58E97E46" w14:textId="77777777" w:rsidR="00F561D9" w:rsidRPr="00720A84" w:rsidRDefault="00F561D9" w:rsidP="006B40CA">
            <w:pPr>
              <w:jc w:val="right"/>
              <w:rPr>
                <w:sz w:val="16"/>
                <w:szCs w:val="16"/>
                <w:lang w:val="en-GB"/>
              </w:rPr>
            </w:pPr>
            <w:r w:rsidRPr="00720A84">
              <w:rPr>
                <w:sz w:val="16"/>
                <w:szCs w:val="16"/>
                <w:lang w:val="en-GB"/>
              </w:rPr>
              <w:t>7.9</w:t>
            </w:r>
          </w:p>
        </w:tc>
        <w:tc>
          <w:tcPr>
            <w:tcW w:w="566" w:type="dxa"/>
            <w:tcBorders>
              <w:top w:val="nil"/>
              <w:left w:val="nil"/>
              <w:bottom w:val="nil"/>
              <w:right w:val="nil"/>
            </w:tcBorders>
            <w:shd w:val="clear" w:color="auto" w:fill="auto"/>
            <w:noWrap/>
            <w:vAlign w:val="center"/>
          </w:tcPr>
          <w:p w14:paraId="109E3A58" w14:textId="77777777" w:rsidR="00F561D9" w:rsidRPr="00720A84" w:rsidRDefault="00F561D9" w:rsidP="006B40CA">
            <w:pPr>
              <w:jc w:val="right"/>
              <w:rPr>
                <w:sz w:val="16"/>
                <w:szCs w:val="16"/>
                <w:lang w:val="en-GB"/>
              </w:rPr>
            </w:pPr>
            <w:r w:rsidRPr="00720A84">
              <w:rPr>
                <w:sz w:val="16"/>
                <w:szCs w:val="16"/>
                <w:lang w:val="en-GB"/>
              </w:rPr>
              <w:t>19.4</w:t>
            </w:r>
          </w:p>
        </w:tc>
        <w:tc>
          <w:tcPr>
            <w:tcW w:w="566" w:type="dxa"/>
            <w:tcBorders>
              <w:top w:val="nil"/>
              <w:left w:val="nil"/>
              <w:bottom w:val="nil"/>
              <w:right w:val="nil"/>
            </w:tcBorders>
            <w:shd w:val="clear" w:color="auto" w:fill="auto"/>
            <w:noWrap/>
            <w:vAlign w:val="center"/>
          </w:tcPr>
          <w:p w14:paraId="2130FF90" w14:textId="77777777" w:rsidR="00F561D9" w:rsidRPr="00720A84" w:rsidRDefault="00F561D9" w:rsidP="006B40CA">
            <w:pPr>
              <w:jc w:val="right"/>
              <w:rPr>
                <w:sz w:val="16"/>
                <w:szCs w:val="16"/>
                <w:lang w:val="en-GB"/>
              </w:rPr>
            </w:pPr>
            <w:r w:rsidRPr="00720A84">
              <w:rPr>
                <w:sz w:val="16"/>
                <w:szCs w:val="16"/>
                <w:lang w:val="en-GB"/>
              </w:rPr>
              <w:t>10.4</w:t>
            </w:r>
          </w:p>
        </w:tc>
        <w:tc>
          <w:tcPr>
            <w:tcW w:w="566" w:type="dxa"/>
            <w:tcBorders>
              <w:top w:val="nil"/>
              <w:left w:val="nil"/>
              <w:bottom w:val="nil"/>
              <w:right w:val="nil"/>
            </w:tcBorders>
            <w:shd w:val="clear" w:color="auto" w:fill="auto"/>
            <w:noWrap/>
            <w:vAlign w:val="center"/>
          </w:tcPr>
          <w:p w14:paraId="6FC8F6A0" w14:textId="77777777" w:rsidR="00F561D9" w:rsidRPr="00720A84" w:rsidRDefault="00F561D9" w:rsidP="006B40CA">
            <w:pPr>
              <w:jc w:val="right"/>
              <w:rPr>
                <w:sz w:val="16"/>
                <w:szCs w:val="16"/>
                <w:lang w:val="en-GB"/>
              </w:rPr>
            </w:pPr>
            <w:r w:rsidRPr="00720A84">
              <w:rPr>
                <w:sz w:val="16"/>
                <w:szCs w:val="16"/>
                <w:lang w:val="en-GB"/>
              </w:rPr>
              <w:t>9.7</w:t>
            </w:r>
          </w:p>
        </w:tc>
        <w:tc>
          <w:tcPr>
            <w:tcW w:w="566" w:type="dxa"/>
            <w:tcBorders>
              <w:top w:val="nil"/>
              <w:left w:val="nil"/>
              <w:bottom w:val="nil"/>
              <w:right w:val="nil"/>
            </w:tcBorders>
            <w:shd w:val="clear" w:color="auto" w:fill="auto"/>
            <w:noWrap/>
            <w:vAlign w:val="center"/>
          </w:tcPr>
          <w:p w14:paraId="0BAA44A0" w14:textId="77777777" w:rsidR="00F561D9" w:rsidRPr="00720A84" w:rsidRDefault="00F561D9" w:rsidP="006B40CA">
            <w:pPr>
              <w:jc w:val="right"/>
              <w:rPr>
                <w:sz w:val="16"/>
                <w:szCs w:val="16"/>
                <w:lang w:val="en-GB"/>
              </w:rPr>
            </w:pPr>
            <w:r w:rsidRPr="00720A84">
              <w:rPr>
                <w:sz w:val="16"/>
                <w:szCs w:val="16"/>
                <w:lang w:val="en-GB"/>
              </w:rPr>
              <w:t>12.0</w:t>
            </w:r>
          </w:p>
        </w:tc>
      </w:tr>
      <w:tr w:rsidR="00F561D9" w:rsidRPr="00720A84" w14:paraId="49C26795"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021F2196" w14:textId="77777777" w:rsidR="00F561D9" w:rsidRPr="00720A84" w:rsidRDefault="00F561D9" w:rsidP="006B40CA">
            <w:pPr>
              <w:rPr>
                <w:b/>
                <w:bCs/>
                <w:sz w:val="16"/>
                <w:szCs w:val="16"/>
                <w:lang w:val="en-GB"/>
              </w:rPr>
            </w:pPr>
            <w:r w:rsidRPr="00720A84">
              <w:rPr>
                <w:b/>
                <w:bCs/>
                <w:sz w:val="16"/>
                <w:szCs w:val="16"/>
                <w:lang w:val="en-GB"/>
              </w:rPr>
              <w:t>Services</w:t>
            </w:r>
          </w:p>
        </w:tc>
        <w:tc>
          <w:tcPr>
            <w:tcW w:w="488" w:type="dxa"/>
            <w:tcBorders>
              <w:top w:val="nil"/>
              <w:left w:val="nil"/>
              <w:bottom w:val="nil"/>
              <w:right w:val="nil"/>
            </w:tcBorders>
            <w:shd w:val="clear" w:color="auto" w:fill="auto"/>
            <w:noWrap/>
            <w:vAlign w:val="center"/>
          </w:tcPr>
          <w:p w14:paraId="7F582FE9" w14:textId="77777777" w:rsidR="00F561D9" w:rsidRPr="00720A84" w:rsidRDefault="00F561D9" w:rsidP="006B40CA">
            <w:pPr>
              <w:jc w:val="right"/>
              <w:rPr>
                <w:b/>
                <w:bCs/>
                <w:sz w:val="16"/>
                <w:szCs w:val="16"/>
                <w:lang w:val="en-GB"/>
              </w:rPr>
            </w:pPr>
            <w:r w:rsidRPr="00720A84">
              <w:rPr>
                <w:b/>
                <w:bCs/>
                <w:sz w:val="16"/>
                <w:szCs w:val="16"/>
                <w:lang w:val="en-GB"/>
              </w:rPr>
              <w:t>75.9</w:t>
            </w:r>
          </w:p>
        </w:tc>
        <w:tc>
          <w:tcPr>
            <w:tcW w:w="566" w:type="dxa"/>
            <w:tcBorders>
              <w:top w:val="nil"/>
              <w:left w:val="nil"/>
              <w:bottom w:val="nil"/>
              <w:right w:val="nil"/>
            </w:tcBorders>
            <w:shd w:val="clear" w:color="auto" w:fill="auto"/>
            <w:noWrap/>
            <w:vAlign w:val="center"/>
          </w:tcPr>
          <w:p w14:paraId="7532F53B" w14:textId="77777777" w:rsidR="00F561D9" w:rsidRPr="00720A84" w:rsidRDefault="00F561D9" w:rsidP="006B40CA">
            <w:pPr>
              <w:jc w:val="right"/>
              <w:rPr>
                <w:b/>
                <w:bCs/>
                <w:sz w:val="16"/>
                <w:szCs w:val="16"/>
                <w:lang w:val="en-GB"/>
              </w:rPr>
            </w:pPr>
            <w:r w:rsidRPr="00720A84">
              <w:rPr>
                <w:b/>
                <w:bCs/>
                <w:sz w:val="16"/>
                <w:szCs w:val="16"/>
                <w:lang w:val="en-GB"/>
              </w:rPr>
              <w:t>83.7</w:t>
            </w:r>
          </w:p>
        </w:tc>
        <w:tc>
          <w:tcPr>
            <w:tcW w:w="566" w:type="dxa"/>
            <w:tcBorders>
              <w:top w:val="nil"/>
              <w:left w:val="nil"/>
              <w:bottom w:val="nil"/>
              <w:right w:val="nil"/>
            </w:tcBorders>
            <w:shd w:val="clear" w:color="auto" w:fill="auto"/>
            <w:noWrap/>
            <w:vAlign w:val="center"/>
          </w:tcPr>
          <w:p w14:paraId="3EF6C574" w14:textId="77777777" w:rsidR="00F561D9" w:rsidRPr="00720A84" w:rsidRDefault="00F561D9" w:rsidP="006B40CA">
            <w:pPr>
              <w:jc w:val="right"/>
              <w:rPr>
                <w:b/>
                <w:bCs/>
                <w:sz w:val="16"/>
                <w:szCs w:val="16"/>
                <w:lang w:val="en-GB"/>
              </w:rPr>
            </w:pPr>
            <w:r w:rsidRPr="00720A84">
              <w:rPr>
                <w:b/>
                <w:bCs/>
                <w:sz w:val="16"/>
                <w:szCs w:val="16"/>
                <w:lang w:val="en-GB"/>
              </w:rPr>
              <w:t>87.5</w:t>
            </w:r>
          </w:p>
        </w:tc>
        <w:tc>
          <w:tcPr>
            <w:tcW w:w="566" w:type="dxa"/>
            <w:tcBorders>
              <w:top w:val="nil"/>
              <w:left w:val="nil"/>
              <w:bottom w:val="nil"/>
              <w:right w:val="nil"/>
            </w:tcBorders>
            <w:shd w:val="clear" w:color="auto" w:fill="auto"/>
            <w:noWrap/>
            <w:vAlign w:val="center"/>
          </w:tcPr>
          <w:p w14:paraId="1C01D812" w14:textId="77777777" w:rsidR="00F561D9" w:rsidRPr="00720A84" w:rsidRDefault="00F561D9" w:rsidP="006B40CA">
            <w:pPr>
              <w:jc w:val="right"/>
              <w:rPr>
                <w:b/>
                <w:bCs/>
                <w:sz w:val="16"/>
                <w:szCs w:val="16"/>
                <w:lang w:val="en-GB"/>
              </w:rPr>
            </w:pPr>
            <w:r w:rsidRPr="00720A84">
              <w:rPr>
                <w:b/>
                <w:bCs/>
                <w:sz w:val="16"/>
                <w:szCs w:val="16"/>
                <w:lang w:val="en-GB"/>
              </w:rPr>
              <w:t>73.1</w:t>
            </w:r>
          </w:p>
        </w:tc>
        <w:tc>
          <w:tcPr>
            <w:tcW w:w="566" w:type="dxa"/>
            <w:tcBorders>
              <w:top w:val="nil"/>
              <w:left w:val="nil"/>
              <w:bottom w:val="nil"/>
              <w:right w:val="nil"/>
            </w:tcBorders>
            <w:shd w:val="clear" w:color="auto" w:fill="auto"/>
            <w:noWrap/>
            <w:vAlign w:val="center"/>
          </w:tcPr>
          <w:p w14:paraId="0DCAF7B8" w14:textId="77777777" w:rsidR="00F561D9" w:rsidRPr="00720A84" w:rsidRDefault="00F561D9" w:rsidP="006B40CA">
            <w:pPr>
              <w:jc w:val="right"/>
              <w:rPr>
                <w:b/>
                <w:bCs/>
                <w:sz w:val="16"/>
                <w:szCs w:val="16"/>
                <w:lang w:val="en-GB"/>
              </w:rPr>
            </w:pPr>
            <w:r w:rsidRPr="00720A84">
              <w:rPr>
                <w:b/>
                <w:bCs/>
                <w:sz w:val="16"/>
                <w:szCs w:val="16"/>
                <w:lang w:val="en-GB"/>
              </w:rPr>
              <w:t>80.9</w:t>
            </w:r>
          </w:p>
        </w:tc>
        <w:tc>
          <w:tcPr>
            <w:tcW w:w="566" w:type="dxa"/>
            <w:tcBorders>
              <w:top w:val="nil"/>
              <w:left w:val="nil"/>
              <w:bottom w:val="nil"/>
              <w:right w:val="nil"/>
            </w:tcBorders>
            <w:shd w:val="clear" w:color="auto" w:fill="auto"/>
            <w:noWrap/>
            <w:vAlign w:val="center"/>
          </w:tcPr>
          <w:p w14:paraId="3E8E04C4" w14:textId="77777777" w:rsidR="00F561D9" w:rsidRPr="00720A84" w:rsidRDefault="00F561D9" w:rsidP="006B40CA">
            <w:pPr>
              <w:jc w:val="right"/>
              <w:rPr>
                <w:b/>
                <w:bCs/>
                <w:sz w:val="16"/>
                <w:szCs w:val="16"/>
                <w:lang w:val="en-GB"/>
              </w:rPr>
            </w:pPr>
            <w:r w:rsidRPr="00720A84">
              <w:rPr>
                <w:b/>
                <w:bCs/>
                <w:sz w:val="16"/>
                <w:szCs w:val="16"/>
                <w:lang w:val="en-GB"/>
              </w:rPr>
              <w:t>59.6</w:t>
            </w:r>
          </w:p>
        </w:tc>
        <w:tc>
          <w:tcPr>
            <w:tcW w:w="566" w:type="dxa"/>
            <w:tcBorders>
              <w:top w:val="nil"/>
              <w:left w:val="nil"/>
              <w:bottom w:val="nil"/>
              <w:right w:val="nil"/>
            </w:tcBorders>
            <w:shd w:val="clear" w:color="auto" w:fill="auto"/>
            <w:noWrap/>
            <w:vAlign w:val="center"/>
          </w:tcPr>
          <w:p w14:paraId="6959B282" w14:textId="77777777" w:rsidR="00F561D9" w:rsidRPr="00720A84" w:rsidRDefault="00F561D9" w:rsidP="006B40CA">
            <w:pPr>
              <w:jc w:val="right"/>
              <w:rPr>
                <w:b/>
                <w:bCs/>
                <w:sz w:val="16"/>
                <w:szCs w:val="16"/>
                <w:lang w:val="en-GB"/>
              </w:rPr>
            </w:pPr>
            <w:r w:rsidRPr="00720A84">
              <w:rPr>
                <w:b/>
                <w:bCs/>
                <w:sz w:val="16"/>
                <w:szCs w:val="16"/>
                <w:lang w:val="en-GB"/>
              </w:rPr>
              <w:t>56.4</w:t>
            </w:r>
          </w:p>
        </w:tc>
        <w:tc>
          <w:tcPr>
            <w:tcW w:w="566" w:type="dxa"/>
            <w:tcBorders>
              <w:top w:val="nil"/>
              <w:left w:val="nil"/>
              <w:bottom w:val="nil"/>
              <w:right w:val="nil"/>
            </w:tcBorders>
            <w:shd w:val="clear" w:color="auto" w:fill="auto"/>
            <w:noWrap/>
            <w:vAlign w:val="center"/>
          </w:tcPr>
          <w:p w14:paraId="3122273A" w14:textId="77777777" w:rsidR="00F561D9" w:rsidRPr="00720A84" w:rsidRDefault="00F561D9" w:rsidP="006B40CA">
            <w:pPr>
              <w:jc w:val="right"/>
              <w:rPr>
                <w:b/>
                <w:bCs/>
                <w:sz w:val="16"/>
                <w:szCs w:val="16"/>
                <w:lang w:val="en-GB"/>
              </w:rPr>
            </w:pPr>
            <w:r w:rsidRPr="00720A84">
              <w:rPr>
                <w:b/>
                <w:bCs/>
                <w:sz w:val="16"/>
                <w:szCs w:val="16"/>
                <w:lang w:val="en-GB"/>
              </w:rPr>
              <w:t>53.6</w:t>
            </w:r>
          </w:p>
        </w:tc>
        <w:tc>
          <w:tcPr>
            <w:tcW w:w="566" w:type="dxa"/>
            <w:tcBorders>
              <w:top w:val="nil"/>
              <w:left w:val="nil"/>
              <w:bottom w:val="nil"/>
              <w:right w:val="nil"/>
            </w:tcBorders>
            <w:shd w:val="clear" w:color="auto" w:fill="auto"/>
            <w:noWrap/>
            <w:vAlign w:val="center"/>
          </w:tcPr>
          <w:p w14:paraId="0647BB88" w14:textId="77777777" w:rsidR="00F561D9" w:rsidRPr="00720A84" w:rsidRDefault="00F561D9" w:rsidP="006B40CA">
            <w:pPr>
              <w:jc w:val="right"/>
              <w:rPr>
                <w:b/>
                <w:bCs/>
                <w:sz w:val="16"/>
                <w:szCs w:val="16"/>
                <w:lang w:val="en-GB"/>
              </w:rPr>
            </w:pPr>
            <w:r w:rsidRPr="00720A84">
              <w:rPr>
                <w:b/>
                <w:bCs/>
                <w:sz w:val="16"/>
                <w:szCs w:val="16"/>
                <w:lang w:val="en-GB"/>
              </w:rPr>
              <w:t>41.9</w:t>
            </w:r>
          </w:p>
        </w:tc>
        <w:tc>
          <w:tcPr>
            <w:tcW w:w="566" w:type="dxa"/>
            <w:tcBorders>
              <w:top w:val="nil"/>
              <w:left w:val="nil"/>
              <w:bottom w:val="nil"/>
              <w:right w:val="nil"/>
            </w:tcBorders>
            <w:shd w:val="clear" w:color="auto" w:fill="auto"/>
            <w:noWrap/>
            <w:vAlign w:val="center"/>
          </w:tcPr>
          <w:p w14:paraId="08F2139F" w14:textId="77777777" w:rsidR="00F561D9" w:rsidRPr="00720A84" w:rsidRDefault="00F561D9" w:rsidP="006B40CA">
            <w:pPr>
              <w:jc w:val="right"/>
              <w:rPr>
                <w:b/>
                <w:bCs/>
                <w:sz w:val="16"/>
                <w:szCs w:val="16"/>
                <w:lang w:val="en-GB"/>
              </w:rPr>
            </w:pPr>
            <w:r w:rsidRPr="00720A84">
              <w:rPr>
                <w:b/>
                <w:bCs/>
                <w:sz w:val="16"/>
                <w:szCs w:val="16"/>
                <w:lang w:val="en-GB"/>
              </w:rPr>
              <w:t>60.1</w:t>
            </w:r>
          </w:p>
        </w:tc>
        <w:tc>
          <w:tcPr>
            <w:tcW w:w="566" w:type="dxa"/>
            <w:tcBorders>
              <w:top w:val="nil"/>
              <w:left w:val="nil"/>
              <w:bottom w:val="nil"/>
              <w:right w:val="nil"/>
            </w:tcBorders>
            <w:shd w:val="clear" w:color="auto" w:fill="auto"/>
            <w:noWrap/>
            <w:vAlign w:val="center"/>
          </w:tcPr>
          <w:p w14:paraId="49E76B9D" w14:textId="77777777" w:rsidR="00F561D9" w:rsidRPr="00720A84" w:rsidRDefault="00F561D9" w:rsidP="006B40CA">
            <w:pPr>
              <w:jc w:val="right"/>
              <w:rPr>
                <w:b/>
                <w:bCs/>
                <w:sz w:val="16"/>
                <w:szCs w:val="16"/>
                <w:lang w:val="en-GB"/>
              </w:rPr>
            </w:pPr>
            <w:r w:rsidRPr="00720A84">
              <w:rPr>
                <w:b/>
                <w:bCs/>
                <w:sz w:val="16"/>
                <w:szCs w:val="16"/>
                <w:lang w:val="en-GB"/>
              </w:rPr>
              <w:t>54.5</w:t>
            </w:r>
          </w:p>
        </w:tc>
        <w:tc>
          <w:tcPr>
            <w:tcW w:w="566" w:type="dxa"/>
            <w:tcBorders>
              <w:top w:val="nil"/>
              <w:left w:val="nil"/>
              <w:bottom w:val="nil"/>
              <w:right w:val="nil"/>
            </w:tcBorders>
            <w:shd w:val="clear" w:color="auto" w:fill="auto"/>
            <w:noWrap/>
            <w:vAlign w:val="center"/>
          </w:tcPr>
          <w:p w14:paraId="4E18505C" w14:textId="77777777" w:rsidR="00F561D9" w:rsidRPr="00720A84" w:rsidRDefault="00F561D9" w:rsidP="006B40CA">
            <w:pPr>
              <w:jc w:val="right"/>
              <w:rPr>
                <w:b/>
                <w:bCs/>
                <w:sz w:val="16"/>
                <w:szCs w:val="16"/>
                <w:lang w:val="en-GB"/>
              </w:rPr>
            </w:pPr>
            <w:r w:rsidRPr="00720A84">
              <w:rPr>
                <w:b/>
                <w:bCs/>
                <w:sz w:val="16"/>
                <w:szCs w:val="16"/>
                <w:lang w:val="en-GB"/>
              </w:rPr>
              <w:t>49.1</w:t>
            </w:r>
          </w:p>
        </w:tc>
        <w:tc>
          <w:tcPr>
            <w:tcW w:w="566" w:type="dxa"/>
            <w:tcBorders>
              <w:top w:val="nil"/>
              <w:left w:val="nil"/>
              <w:bottom w:val="nil"/>
              <w:right w:val="nil"/>
            </w:tcBorders>
            <w:shd w:val="clear" w:color="auto" w:fill="auto"/>
            <w:noWrap/>
            <w:vAlign w:val="center"/>
          </w:tcPr>
          <w:p w14:paraId="15CFA999" w14:textId="77777777" w:rsidR="00F561D9" w:rsidRPr="00720A84" w:rsidRDefault="00F561D9" w:rsidP="006B40CA">
            <w:pPr>
              <w:jc w:val="right"/>
              <w:rPr>
                <w:b/>
                <w:bCs/>
                <w:sz w:val="16"/>
                <w:szCs w:val="16"/>
                <w:lang w:val="en-GB"/>
              </w:rPr>
            </w:pPr>
            <w:r w:rsidRPr="00720A84">
              <w:rPr>
                <w:b/>
                <w:bCs/>
                <w:sz w:val="16"/>
                <w:szCs w:val="16"/>
                <w:lang w:val="en-GB"/>
              </w:rPr>
              <w:t>38.5</w:t>
            </w:r>
          </w:p>
        </w:tc>
        <w:tc>
          <w:tcPr>
            <w:tcW w:w="566" w:type="dxa"/>
            <w:tcBorders>
              <w:top w:val="nil"/>
              <w:left w:val="nil"/>
              <w:bottom w:val="nil"/>
              <w:right w:val="nil"/>
            </w:tcBorders>
            <w:shd w:val="clear" w:color="auto" w:fill="auto"/>
            <w:noWrap/>
            <w:vAlign w:val="center"/>
          </w:tcPr>
          <w:p w14:paraId="5AAA13B2" w14:textId="77777777" w:rsidR="00F561D9" w:rsidRPr="00720A84" w:rsidRDefault="00F561D9" w:rsidP="006B40CA">
            <w:pPr>
              <w:jc w:val="right"/>
              <w:rPr>
                <w:b/>
                <w:bCs/>
                <w:sz w:val="16"/>
                <w:szCs w:val="16"/>
                <w:lang w:val="en-GB"/>
              </w:rPr>
            </w:pPr>
            <w:r w:rsidRPr="00720A84">
              <w:rPr>
                <w:b/>
                <w:bCs/>
                <w:sz w:val="16"/>
                <w:szCs w:val="16"/>
                <w:lang w:val="en-GB"/>
              </w:rPr>
              <w:t>46.1</w:t>
            </w:r>
          </w:p>
        </w:tc>
      </w:tr>
      <w:tr w:rsidR="00F561D9" w:rsidRPr="00720A84" w14:paraId="15983EAF"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420CA9C1" w14:textId="77777777" w:rsidR="00F561D9" w:rsidRPr="00720A84" w:rsidRDefault="00F561D9" w:rsidP="006B40CA">
            <w:pPr>
              <w:ind w:left="85"/>
              <w:rPr>
                <w:sz w:val="16"/>
                <w:szCs w:val="16"/>
                <w:lang w:val="en-GB"/>
              </w:rPr>
            </w:pPr>
            <w:r w:rsidRPr="00720A84">
              <w:rPr>
                <w:sz w:val="16"/>
                <w:szCs w:val="16"/>
                <w:lang w:val="en-GB"/>
              </w:rPr>
              <w:t>Utilities</w:t>
            </w:r>
          </w:p>
        </w:tc>
        <w:tc>
          <w:tcPr>
            <w:tcW w:w="488" w:type="dxa"/>
            <w:tcBorders>
              <w:top w:val="nil"/>
              <w:left w:val="nil"/>
              <w:bottom w:val="nil"/>
              <w:right w:val="nil"/>
            </w:tcBorders>
            <w:shd w:val="clear" w:color="auto" w:fill="auto"/>
            <w:noWrap/>
            <w:vAlign w:val="center"/>
          </w:tcPr>
          <w:p w14:paraId="7AD916CB" w14:textId="77777777" w:rsidR="00F561D9" w:rsidRPr="00720A84" w:rsidRDefault="00F561D9" w:rsidP="006B40CA">
            <w:pPr>
              <w:jc w:val="right"/>
              <w:rPr>
                <w:sz w:val="16"/>
                <w:szCs w:val="16"/>
                <w:lang w:val="en-GB"/>
              </w:rPr>
            </w:pPr>
            <w:r w:rsidRPr="00720A84">
              <w:rPr>
                <w:sz w:val="16"/>
                <w:szCs w:val="16"/>
                <w:lang w:val="en-GB"/>
              </w:rPr>
              <w:t>21.2</w:t>
            </w:r>
          </w:p>
        </w:tc>
        <w:tc>
          <w:tcPr>
            <w:tcW w:w="566" w:type="dxa"/>
            <w:tcBorders>
              <w:top w:val="nil"/>
              <w:left w:val="nil"/>
              <w:bottom w:val="nil"/>
              <w:right w:val="nil"/>
            </w:tcBorders>
            <w:shd w:val="clear" w:color="auto" w:fill="auto"/>
            <w:noWrap/>
            <w:vAlign w:val="center"/>
          </w:tcPr>
          <w:p w14:paraId="754C6719" w14:textId="77777777" w:rsidR="00F561D9" w:rsidRPr="00720A84" w:rsidRDefault="00F561D9" w:rsidP="006B40CA">
            <w:pPr>
              <w:jc w:val="right"/>
              <w:rPr>
                <w:sz w:val="16"/>
                <w:szCs w:val="16"/>
                <w:lang w:val="en-GB"/>
              </w:rPr>
            </w:pPr>
            <w:r w:rsidRPr="00720A84">
              <w:rPr>
                <w:sz w:val="16"/>
                <w:szCs w:val="16"/>
                <w:lang w:val="en-GB"/>
              </w:rPr>
              <w:t>23.2</w:t>
            </w:r>
          </w:p>
        </w:tc>
        <w:tc>
          <w:tcPr>
            <w:tcW w:w="566" w:type="dxa"/>
            <w:tcBorders>
              <w:top w:val="nil"/>
              <w:left w:val="nil"/>
              <w:bottom w:val="nil"/>
              <w:right w:val="nil"/>
            </w:tcBorders>
            <w:shd w:val="clear" w:color="auto" w:fill="auto"/>
            <w:noWrap/>
            <w:vAlign w:val="center"/>
          </w:tcPr>
          <w:p w14:paraId="0F1C25F1" w14:textId="77777777" w:rsidR="00F561D9" w:rsidRPr="00720A84" w:rsidRDefault="00F561D9" w:rsidP="006B40CA">
            <w:pPr>
              <w:jc w:val="right"/>
              <w:rPr>
                <w:sz w:val="16"/>
                <w:szCs w:val="16"/>
                <w:lang w:val="en-GB"/>
              </w:rPr>
            </w:pPr>
            <w:r w:rsidRPr="00720A84">
              <w:rPr>
                <w:sz w:val="16"/>
                <w:szCs w:val="16"/>
                <w:lang w:val="en-GB"/>
              </w:rPr>
              <w:t>9.5</w:t>
            </w:r>
          </w:p>
        </w:tc>
        <w:tc>
          <w:tcPr>
            <w:tcW w:w="566" w:type="dxa"/>
            <w:tcBorders>
              <w:top w:val="nil"/>
              <w:left w:val="nil"/>
              <w:bottom w:val="nil"/>
              <w:right w:val="nil"/>
            </w:tcBorders>
            <w:shd w:val="clear" w:color="auto" w:fill="auto"/>
            <w:noWrap/>
            <w:vAlign w:val="center"/>
          </w:tcPr>
          <w:p w14:paraId="45E84BC4" w14:textId="77777777" w:rsidR="00F561D9" w:rsidRPr="00720A84" w:rsidRDefault="00F561D9" w:rsidP="006B40CA">
            <w:pPr>
              <w:jc w:val="right"/>
              <w:rPr>
                <w:sz w:val="16"/>
                <w:szCs w:val="16"/>
                <w:lang w:val="en-GB"/>
              </w:rPr>
            </w:pPr>
            <w:r w:rsidRPr="00720A84">
              <w:rPr>
                <w:sz w:val="16"/>
                <w:szCs w:val="16"/>
                <w:lang w:val="en-GB"/>
              </w:rPr>
              <w:t>10.8</w:t>
            </w:r>
          </w:p>
        </w:tc>
        <w:tc>
          <w:tcPr>
            <w:tcW w:w="566" w:type="dxa"/>
            <w:tcBorders>
              <w:top w:val="nil"/>
              <w:left w:val="nil"/>
              <w:bottom w:val="nil"/>
              <w:right w:val="nil"/>
            </w:tcBorders>
            <w:shd w:val="clear" w:color="auto" w:fill="auto"/>
            <w:noWrap/>
            <w:vAlign w:val="center"/>
          </w:tcPr>
          <w:p w14:paraId="7BAF8766" w14:textId="77777777" w:rsidR="00F561D9" w:rsidRPr="00720A84" w:rsidRDefault="00F561D9" w:rsidP="006B40CA">
            <w:pPr>
              <w:jc w:val="right"/>
              <w:rPr>
                <w:sz w:val="16"/>
                <w:szCs w:val="16"/>
                <w:lang w:val="en-GB"/>
              </w:rPr>
            </w:pPr>
            <w:r w:rsidRPr="00720A84">
              <w:rPr>
                <w:sz w:val="16"/>
                <w:szCs w:val="16"/>
                <w:lang w:val="en-GB"/>
              </w:rPr>
              <w:t>9.9</w:t>
            </w:r>
          </w:p>
        </w:tc>
        <w:tc>
          <w:tcPr>
            <w:tcW w:w="566" w:type="dxa"/>
            <w:tcBorders>
              <w:top w:val="nil"/>
              <w:left w:val="nil"/>
              <w:bottom w:val="nil"/>
              <w:right w:val="nil"/>
            </w:tcBorders>
            <w:shd w:val="clear" w:color="auto" w:fill="auto"/>
            <w:noWrap/>
            <w:vAlign w:val="center"/>
          </w:tcPr>
          <w:p w14:paraId="17EA5529" w14:textId="77777777" w:rsidR="00F561D9" w:rsidRPr="00720A84" w:rsidRDefault="00F561D9" w:rsidP="006B40CA">
            <w:pPr>
              <w:jc w:val="right"/>
              <w:rPr>
                <w:sz w:val="16"/>
                <w:szCs w:val="16"/>
                <w:lang w:val="en-GB"/>
              </w:rPr>
            </w:pPr>
            <w:r w:rsidRPr="00720A84">
              <w:rPr>
                <w:sz w:val="16"/>
                <w:szCs w:val="16"/>
                <w:lang w:val="en-GB"/>
              </w:rPr>
              <w:t>6.9</w:t>
            </w:r>
          </w:p>
        </w:tc>
        <w:tc>
          <w:tcPr>
            <w:tcW w:w="566" w:type="dxa"/>
            <w:tcBorders>
              <w:top w:val="nil"/>
              <w:left w:val="nil"/>
              <w:bottom w:val="nil"/>
              <w:right w:val="nil"/>
            </w:tcBorders>
            <w:shd w:val="clear" w:color="auto" w:fill="auto"/>
            <w:noWrap/>
            <w:vAlign w:val="center"/>
          </w:tcPr>
          <w:p w14:paraId="13D1B82D" w14:textId="77777777" w:rsidR="00F561D9" w:rsidRPr="00720A84" w:rsidRDefault="00F561D9" w:rsidP="006B40CA">
            <w:pPr>
              <w:jc w:val="right"/>
              <w:rPr>
                <w:sz w:val="16"/>
                <w:szCs w:val="16"/>
                <w:lang w:val="en-GB"/>
              </w:rPr>
            </w:pPr>
            <w:r w:rsidRPr="00720A84">
              <w:rPr>
                <w:sz w:val="16"/>
                <w:szCs w:val="16"/>
                <w:lang w:val="en-GB"/>
              </w:rPr>
              <w:t>8.2</w:t>
            </w:r>
          </w:p>
        </w:tc>
        <w:tc>
          <w:tcPr>
            <w:tcW w:w="566" w:type="dxa"/>
            <w:tcBorders>
              <w:top w:val="nil"/>
              <w:left w:val="nil"/>
              <w:bottom w:val="nil"/>
              <w:right w:val="nil"/>
            </w:tcBorders>
            <w:shd w:val="clear" w:color="auto" w:fill="auto"/>
            <w:noWrap/>
            <w:vAlign w:val="center"/>
          </w:tcPr>
          <w:p w14:paraId="6F934540" w14:textId="77777777" w:rsidR="00F561D9" w:rsidRPr="00720A84" w:rsidRDefault="00F561D9" w:rsidP="006B40CA">
            <w:pPr>
              <w:jc w:val="right"/>
              <w:rPr>
                <w:sz w:val="16"/>
                <w:szCs w:val="16"/>
                <w:lang w:val="en-GB"/>
              </w:rPr>
            </w:pPr>
            <w:r w:rsidRPr="00720A84">
              <w:rPr>
                <w:sz w:val="16"/>
                <w:szCs w:val="16"/>
                <w:lang w:val="en-GB"/>
              </w:rPr>
              <w:t>5.0</w:t>
            </w:r>
          </w:p>
        </w:tc>
        <w:tc>
          <w:tcPr>
            <w:tcW w:w="566" w:type="dxa"/>
            <w:tcBorders>
              <w:top w:val="nil"/>
              <w:left w:val="nil"/>
              <w:bottom w:val="nil"/>
              <w:right w:val="nil"/>
            </w:tcBorders>
            <w:shd w:val="clear" w:color="auto" w:fill="auto"/>
            <w:noWrap/>
            <w:vAlign w:val="center"/>
          </w:tcPr>
          <w:p w14:paraId="7FD49D36" w14:textId="77777777" w:rsidR="00F561D9" w:rsidRPr="00720A84" w:rsidRDefault="00F561D9" w:rsidP="006B40CA">
            <w:pPr>
              <w:jc w:val="right"/>
              <w:rPr>
                <w:sz w:val="16"/>
                <w:szCs w:val="16"/>
                <w:lang w:val="en-GB"/>
              </w:rPr>
            </w:pPr>
            <w:r w:rsidRPr="00720A84">
              <w:rPr>
                <w:sz w:val="16"/>
                <w:szCs w:val="16"/>
                <w:lang w:val="en-GB"/>
              </w:rPr>
              <w:t>5.8</w:t>
            </w:r>
          </w:p>
        </w:tc>
        <w:tc>
          <w:tcPr>
            <w:tcW w:w="566" w:type="dxa"/>
            <w:tcBorders>
              <w:top w:val="nil"/>
              <w:left w:val="nil"/>
              <w:bottom w:val="nil"/>
              <w:right w:val="nil"/>
            </w:tcBorders>
            <w:shd w:val="clear" w:color="auto" w:fill="auto"/>
            <w:noWrap/>
            <w:vAlign w:val="center"/>
          </w:tcPr>
          <w:p w14:paraId="1AA00F4A" w14:textId="77777777" w:rsidR="00F561D9" w:rsidRPr="00720A84" w:rsidRDefault="00F561D9" w:rsidP="006B40CA">
            <w:pPr>
              <w:jc w:val="right"/>
              <w:rPr>
                <w:sz w:val="16"/>
                <w:szCs w:val="16"/>
                <w:lang w:val="en-GB"/>
              </w:rPr>
            </w:pPr>
            <w:r w:rsidRPr="00720A84">
              <w:rPr>
                <w:sz w:val="16"/>
                <w:szCs w:val="16"/>
                <w:lang w:val="en-GB"/>
              </w:rPr>
              <w:t>7.3</w:t>
            </w:r>
          </w:p>
        </w:tc>
        <w:tc>
          <w:tcPr>
            <w:tcW w:w="566" w:type="dxa"/>
            <w:tcBorders>
              <w:top w:val="nil"/>
              <w:left w:val="nil"/>
              <w:bottom w:val="nil"/>
              <w:right w:val="nil"/>
            </w:tcBorders>
            <w:shd w:val="clear" w:color="auto" w:fill="auto"/>
            <w:noWrap/>
            <w:vAlign w:val="center"/>
          </w:tcPr>
          <w:p w14:paraId="0977484D" w14:textId="77777777" w:rsidR="00F561D9" w:rsidRPr="00720A84" w:rsidRDefault="00F561D9" w:rsidP="006B40CA">
            <w:pPr>
              <w:jc w:val="right"/>
              <w:rPr>
                <w:sz w:val="16"/>
                <w:szCs w:val="16"/>
                <w:lang w:val="en-GB"/>
              </w:rPr>
            </w:pPr>
            <w:r w:rsidRPr="00720A84">
              <w:rPr>
                <w:sz w:val="16"/>
                <w:szCs w:val="16"/>
                <w:lang w:val="en-GB"/>
              </w:rPr>
              <w:t>10.5</w:t>
            </w:r>
          </w:p>
        </w:tc>
        <w:tc>
          <w:tcPr>
            <w:tcW w:w="566" w:type="dxa"/>
            <w:tcBorders>
              <w:top w:val="nil"/>
              <w:left w:val="nil"/>
              <w:bottom w:val="nil"/>
              <w:right w:val="nil"/>
            </w:tcBorders>
            <w:shd w:val="clear" w:color="auto" w:fill="auto"/>
            <w:noWrap/>
            <w:vAlign w:val="center"/>
          </w:tcPr>
          <w:p w14:paraId="401D7136" w14:textId="77777777" w:rsidR="00F561D9" w:rsidRPr="00720A84" w:rsidRDefault="00F561D9" w:rsidP="006B40CA">
            <w:pPr>
              <w:jc w:val="right"/>
              <w:rPr>
                <w:sz w:val="16"/>
                <w:szCs w:val="16"/>
                <w:lang w:val="en-GB"/>
              </w:rPr>
            </w:pPr>
            <w:r w:rsidRPr="00720A84">
              <w:rPr>
                <w:sz w:val="16"/>
                <w:szCs w:val="16"/>
                <w:lang w:val="en-GB"/>
              </w:rPr>
              <w:t>1.8</w:t>
            </w:r>
          </w:p>
        </w:tc>
        <w:tc>
          <w:tcPr>
            <w:tcW w:w="566" w:type="dxa"/>
            <w:tcBorders>
              <w:top w:val="nil"/>
              <w:left w:val="nil"/>
              <w:bottom w:val="nil"/>
              <w:right w:val="nil"/>
            </w:tcBorders>
            <w:shd w:val="clear" w:color="auto" w:fill="auto"/>
            <w:noWrap/>
            <w:vAlign w:val="center"/>
          </w:tcPr>
          <w:p w14:paraId="448D0A25" w14:textId="77777777" w:rsidR="00F561D9" w:rsidRPr="00720A84" w:rsidRDefault="00F561D9" w:rsidP="006B40CA">
            <w:pPr>
              <w:jc w:val="right"/>
              <w:rPr>
                <w:sz w:val="16"/>
                <w:szCs w:val="16"/>
                <w:lang w:val="en-GB"/>
              </w:rPr>
            </w:pPr>
            <w:r w:rsidRPr="00720A84">
              <w:rPr>
                <w:sz w:val="16"/>
                <w:szCs w:val="16"/>
                <w:lang w:val="en-GB"/>
              </w:rPr>
              <w:t>2.1</w:t>
            </w:r>
          </w:p>
        </w:tc>
        <w:tc>
          <w:tcPr>
            <w:tcW w:w="566" w:type="dxa"/>
            <w:tcBorders>
              <w:top w:val="nil"/>
              <w:left w:val="nil"/>
              <w:bottom w:val="nil"/>
              <w:right w:val="nil"/>
            </w:tcBorders>
            <w:shd w:val="clear" w:color="auto" w:fill="auto"/>
            <w:noWrap/>
            <w:vAlign w:val="center"/>
          </w:tcPr>
          <w:p w14:paraId="71CB0C00" w14:textId="77777777" w:rsidR="00F561D9" w:rsidRPr="00720A84" w:rsidRDefault="00F561D9" w:rsidP="006B40CA">
            <w:pPr>
              <w:jc w:val="right"/>
              <w:rPr>
                <w:sz w:val="16"/>
                <w:szCs w:val="16"/>
                <w:lang w:val="en-GB"/>
              </w:rPr>
            </w:pPr>
            <w:r w:rsidRPr="00720A84">
              <w:rPr>
                <w:sz w:val="16"/>
                <w:szCs w:val="16"/>
                <w:lang w:val="en-GB"/>
              </w:rPr>
              <w:t>3.2</w:t>
            </w:r>
          </w:p>
        </w:tc>
      </w:tr>
      <w:tr w:rsidR="00F561D9" w:rsidRPr="00720A84" w14:paraId="75F0EC95"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0CA97B98" w14:textId="77777777" w:rsidR="00F561D9" w:rsidRPr="00720A84" w:rsidRDefault="00F561D9" w:rsidP="006B40CA">
            <w:pPr>
              <w:ind w:left="85"/>
              <w:rPr>
                <w:sz w:val="16"/>
                <w:szCs w:val="16"/>
                <w:lang w:val="en-GB"/>
              </w:rPr>
            </w:pPr>
            <w:r w:rsidRPr="00720A84">
              <w:rPr>
                <w:sz w:val="16"/>
                <w:szCs w:val="16"/>
                <w:lang w:val="en-GB"/>
              </w:rPr>
              <w:t>Retail and wholesale trade</w:t>
            </w:r>
          </w:p>
        </w:tc>
        <w:tc>
          <w:tcPr>
            <w:tcW w:w="488" w:type="dxa"/>
            <w:tcBorders>
              <w:top w:val="nil"/>
              <w:left w:val="nil"/>
              <w:bottom w:val="nil"/>
              <w:right w:val="nil"/>
            </w:tcBorders>
            <w:shd w:val="clear" w:color="auto" w:fill="auto"/>
            <w:noWrap/>
            <w:vAlign w:val="center"/>
          </w:tcPr>
          <w:p w14:paraId="5CF73CA6" w14:textId="77777777" w:rsidR="00F561D9" w:rsidRPr="00720A84" w:rsidRDefault="00F561D9" w:rsidP="006B40CA">
            <w:pPr>
              <w:jc w:val="right"/>
              <w:rPr>
                <w:sz w:val="16"/>
                <w:szCs w:val="16"/>
                <w:lang w:val="en-GB"/>
              </w:rPr>
            </w:pPr>
            <w:r w:rsidRPr="00720A84">
              <w:rPr>
                <w:sz w:val="16"/>
                <w:szCs w:val="16"/>
                <w:lang w:val="en-GB"/>
              </w:rPr>
              <w:t>8.0</w:t>
            </w:r>
          </w:p>
        </w:tc>
        <w:tc>
          <w:tcPr>
            <w:tcW w:w="566" w:type="dxa"/>
            <w:tcBorders>
              <w:top w:val="nil"/>
              <w:left w:val="nil"/>
              <w:bottom w:val="nil"/>
              <w:right w:val="nil"/>
            </w:tcBorders>
            <w:shd w:val="clear" w:color="auto" w:fill="auto"/>
            <w:noWrap/>
            <w:vAlign w:val="center"/>
          </w:tcPr>
          <w:p w14:paraId="13DEA29F" w14:textId="77777777" w:rsidR="00F561D9" w:rsidRPr="00720A84" w:rsidRDefault="00F561D9" w:rsidP="006B40CA">
            <w:pPr>
              <w:jc w:val="right"/>
              <w:rPr>
                <w:sz w:val="16"/>
                <w:szCs w:val="16"/>
                <w:lang w:val="en-GB"/>
              </w:rPr>
            </w:pPr>
            <w:r w:rsidRPr="00720A84">
              <w:rPr>
                <w:sz w:val="16"/>
                <w:szCs w:val="16"/>
                <w:lang w:val="en-GB"/>
              </w:rPr>
              <w:t>5.1</w:t>
            </w:r>
          </w:p>
        </w:tc>
        <w:tc>
          <w:tcPr>
            <w:tcW w:w="566" w:type="dxa"/>
            <w:tcBorders>
              <w:top w:val="nil"/>
              <w:left w:val="nil"/>
              <w:bottom w:val="nil"/>
              <w:right w:val="nil"/>
            </w:tcBorders>
            <w:shd w:val="clear" w:color="auto" w:fill="auto"/>
            <w:noWrap/>
            <w:vAlign w:val="center"/>
          </w:tcPr>
          <w:p w14:paraId="5F1159F8" w14:textId="77777777" w:rsidR="00F561D9" w:rsidRPr="00720A84" w:rsidRDefault="00F561D9" w:rsidP="006B40CA">
            <w:pPr>
              <w:jc w:val="right"/>
              <w:rPr>
                <w:sz w:val="16"/>
                <w:szCs w:val="16"/>
                <w:lang w:val="en-GB"/>
              </w:rPr>
            </w:pPr>
            <w:r w:rsidRPr="00720A84">
              <w:rPr>
                <w:sz w:val="16"/>
                <w:szCs w:val="16"/>
                <w:lang w:val="en-GB"/>
              </w:rPr>
              <w:t>9.4</w:t>
            </w:r>
          </w:p>
        </w:tc>
        <w:tc>
          <w:tcPr>
            <w:tcW w:w="566" w:type="dxa"/>
            <w:tcBorders>
              <w:top w:val="nil"/>
              <w:left w:val="nil"/>
              <w:bottom w:val="nil"/>
              <w:right w:val="nil"/>
            </w:tcBorders>
            <w:shd w:val="clear" w:color="auto" w:fill="auto"/>
            <w:noWrap/>
            <w:vAlign w:val="center"/>
          </w:tcPr>
          <w:p w14:paraId="37B55F61" w14:textId="77777777" w:rsidR="00F561D9" w:rsidRPr="00720A84" w:rsidRDefault="00F561D9" w:rsidP="006B40CA">
            <w:pPr>
              <w:jc w:val="right"/>
              <w:rPr>
                <w:sz w:val="16"/>
                <w:szCs w:val="16"/>
                <w:lang w:val="en-GB"/>
              </w:rPr>
            </w:pPr>
            <w:r w:rsidRPr="00720A84">
              <w:rPr>
                <w:sz w:val="16"/>
                <w:szCs w:val="16"/>
                <w:lang w:val="en-GB"/>
              </w:rPr>
              <w:t>9.7</w:t>
            </w:r>
          </w:p>
        </w:tc>
        <w:tc>
          <w:tcPr>
            <w:tcW w:w="566" w:type="dxa"/>
            <w:tcBorders>
              <w:top w:val="nil"/>
              <w:left w:val="nil"/>
              <w:bottom w:val="nil"/>
              <w:right w:val="nil"/>
            </w:tcBorders>
            <w:shd w:val="clear" w:color="auto" w:fill="auto"/>
            <w:noWrap/>
            <w:vAlign w:val="center"/>
          </w:tcPr>
          <w:p w14:paraId="4418CF60" w14:textId="77777777" w:rsidR="00F561D9" w:rsidRPr="00720A84" w:rsidRDefault="00F561D9" w:rsidP="006B40CA">
            <w:pPr>
              <w:jc w:val="right"/>
              <w:rPr>
                <w:sz w:val="16"/>
                <w:szCs w:val="16"/>
                <w:lang w:val="en-GB"/>
              </w:rPr>
            </w:pPr>
            <w:r w:rsidRPr="00720A84">
              <w:rPr>
                <w:sz w:val="16"/>
                <w:szCs w:val="16"/>
                <w:lang w:val="en-GB"/>
              </w:rPr>
              <w:t>5.2</w:t>
            </w:r>
          </w:p>
        </w:tc>
        <w:tc>
          <w:tcPr>
            <w:tcW w:w="566" w:type="dxa"/>
            <w:tcBorders>
              <w:top w:val="nil"/>
              <w:left w:val="nil"/>
              <w:bottom w:val="nil"/>
              <w:right w:val="nil"/>
            </w:tcBorders>
            <w:shd w:val="clear" w:color="auto" w:fill="auto"/>
            <w:noWrap/>
            <w:vAlign w:val="center"/>
          </w:tcPr>
          <w:p w14:paraId="06D86621" w14:textId="77777777" w:rsidR="00F561D9" w:rsidRPr="00720A84" w:rsidRDefault="00F561D9" w:rsidP="006B40CA">
            <w:pPr>
              <w:jc w:val="right"/>
              <w:rPr>
                <w:sz w:val="16"/>
                <w:szCs w:val="16"/>
                <w:lang w:val="en-GB"/>
              </w:rPr>
            </w:pPr>
            <w:r w:rsidRPr="00720A84">
              <w:rPr>
                <w:sz w:val="16"/>
                <w:szCs w:val="16"/>
                <w:lang w:val="en-GB"/>
              </w:rPr>
              <w:t>6.9</w:t>
            </w:r>
          </w:p>
        </w:tc>
        <w:tc>
          <w:tcPr>
            <w:tcW w:w="566" w:type="dxa"/>
            <w:tcBorders>
              <w:top w:val="nil"/>
              <w:left w:val="nil"/>
              <w:bottom w:val="nil"/>
              <w:right w:val="nil"/>
            </w:tcBorders>
            <w:shd w:val="clear" w:color="auto" w:fill="auto"/>
            <w:noWrap/>
            <w:vAlign w:val="center"/>
          </w:tcPr>
          <w:p w14:paraId="36D2A1B5" w14:textId="77777777" w:rsidR="00F561D9" w:rsidRPr="00720A84" w:rsidRDefault="00F561D9" w:rsidP="006B40CA">
            <w:pPr>
              <w:jc w:val="right"/>
              <w:rPr>
                <w:sz w:val="16"/>
                <w:szCs w:val="16"/>
                <w:lang w:val="en-GB"/>
              </w:rPr>
            </w:pPr>
            <w:r w:rsidRPr="00720A84">
              <w:rPr>
                <w:sz w:val="16"/>
                <w:szCs w:val="16"/>
                <w:lang w:val="en-GB"/>
              </w:rPr>
              <w:t>7.6</w:t>
            </w:r>
          </w:p>
        </w:tc>
        <w:tc>
          <w:tcPr>
            <w:tcW w:w="566" w:type="dxa"/>
            <w:tcBorders>
              <w:top w:val="nil"/>
              <w:left w:val="nil"/>
              <w:bottom w:val="nil"/>
              <w:right w:val="nil"/>
            </w:tcBorders>
            <w:shd w:val="clear" w:color="auto" w:fill="auto"/>
            <w:noWrap/>
            <w:vAlign w:val="center"/>
          </w:tcPr>
          <w:p w14:paraId="49926C8D" w14:textId="77777777" w:rsidR="00F561D9" w:rsidRPr="00720A84" w:rsidRDefault="00F561D9" w:rsidP="006B40CA">
            <w:pPr>
              <w:jc w:val="right"/>
              <w:rPr>
                <w:sz w:val="16"/>
                <w:szCs w:val="16"/>
                <w:lang w:val="en-GB"/>
              </w:rPr>
            </w:pPr>
            <w:r w:rsidRPr="00720A84">
              <w:rPr>
                <w:sz w:val="16"/>
                <w:szCs w:val="16"/>
                <w:lang w:val="en-GB"/>
              </w:rPr>
              <w:t>6.3</w:t>
            </w:r>
          </w:p>
        </w:tc>
        <w:tc>
          <w:tcPr>
            <w:tcW w:w="566" w:type="dxa"/>
            <w:tcBorders>
              <w:top w:val="nil"/>
              <w:left w:val="nil"/>
              <w:bottom w:val="nil"/>
              <w:right w:val="nil"/>
            </w:tcBorders>
            <w:shd w:val="clear" w:color="auto" w:fill="auto"/>
            <w:noWrap/>
            <w:vAlign w:val="center"/>
          </w:tcPr>
          <w:p w14:paraId="115B4839" w14:textId="77777777" w:rsidR="00F561D9" w:rsidRPr="00720A84" w:rsidRDefault="00F561D9" w:rsidP="006B40CA">
            <w:pPr>
              <w:jc w:val="right"/>
              <w:rPr>
                <w:sz w:val="16"/>
                <w:szCs w:val="16"/>
                <w:lang w:val="en-GB"/>
              </w:rPr>
            </w:pPr>
            <w:r w:rsidRPr="00720A84">
              <w:rPr>
                <w:sz w:val="16"/>
                <w:szCs w:val="16"/>
                <w:lang w:val="en-GB"/>
              </w:rPr>
              <w:t>5.9</w:t>
            </w:r>
          </w:p>
        </w:tc>
        <w:tc>
          <w:tcPr>
            <w:tcW w:w="566" w:type="dxa"/>
            <w:tcBorders>
              <w:top w:val="nil"/>
              <w:left w:val="nil"/>
              <w:bottom w:val="nil"/>
              <w:right w:val="nil"/>
            </w:tcBorders>
            <w:shd w:val="clear" w:color="auto" w:fill="auto"/>
            <w:noWrap/>
            <w:vAlign w:val="center"/>
          </w:tcPr>
          <w:p w14:paraId="75EE74DE" w14:textId="77777777" w:rsidR="00F561D9" w:rsidRPr="00720A84" w:rsidRDefault="00F561D9" w:rsidP="006B40CA">
            <w:pPr>
              <w:jc w:val="right"/>
              <w:rPr>
                <w:sz w:val="16"/>
                <w:szCs w:val="16"/>
                <w:lang w:val="en-GB"/>
              </w:rPr>
            </w:pPr>
            <w:r w:rsidRPr="00720A84">
              <w:rPr>
                <w:sz w:val="16"/>
                <w:szCs w:val="16"/>
                <w:lang w:val="en-GB"/>
              </w:rPr>
              <w:t>12.9</w:t>
            </w:r>
          </w:p>
        </w:tc>
        <w:tc>
          <w:tcPr>
            <w:tcW w:w="566" w:type="dxa"/>
            <w:tcBorders>
              <w:top w:val="nil"/>
              <w:left w:val="nil"/>
              <w:bottom w:val="nil"/>
              <w:right w:val="nil"/>
            </w:tcBorders>
            <w:shd w:val="clear" w:color="auto" w:fill="auto"/>
            <w:noWrap/>
            <w:vAlign w:val="center"/>
          </w:tcPr>
          <w:p w14:paraId="58065166" w14:textId="77777777" w:rsidR="00F561D9" w:rsidRPr="00720A84" w:rsidRDefault="00F561D9" w:rsidP="006B40CA">
            <w:pPr>
              <w:jc w:val="right"/>
              <w:rPr>
                <w:sz w:val="16"/>
                <w:szCs w:val="16"/>
                <w:lang w:val="en-GB"/>
              </w:rPr>
            </w:pPr>
            <w:r w:rsidRPr="00720A84">
              <w:rPr>
                <w:sz w:val="16"/>
                <w:szCs w:val="16"/>
                <w:lang w:val="en-GB"/>
              </w:rPr>
              <w:t>6.6</w:t>
            </w:r>
          </w:p>
        </w:tc>
        <w:tc>
          <w:tcPr>
            <w:tcW w:w="566" w:type="dxa"/>
            <w:tcBorders>
              <w:top w:val="nil"/>
              <w:left w:val="nil"/>
              <w:bottom w:val="nil"/>
              <w:right w:val="nil"/>
            </w:tcBorders>
            <w:shd w:val="clear" w:color="auto" w:fill="auto"/>
            <w:noWrap/>
            <w:vAlign w:val="center"/>
          </w:tcPr>
          <w:p w14:paraId="056D8D80" w14:textId="77777777" w:rsidR="00F561D9" w:rsidRPr="00720A84" w:rsidRDefault="00F561D9" w:rsidP="006B40CA">
            <w:pPr>
              <w:jc w:val="right"/>
              <w:rPr>
                <w:sz w:val="16"/>
                <w:szCs w:val="16"/>
                <w:lang w:val="en-GB"/>
              </w:rPr>
            </w:pPr>
            <w:r w:rsidRPr="00720A84">
              <w:rPr>
                <w:sz w:val="16"/>
                <w:szCs w:val="16"/>
                <w:lang w:val="en-GB"/>
              </w:rPr>
              <w:t>8.2</w:t>
            </w:r>
          </w:p>
        </w:tc>
        <w:tc>
          <w:tcPr>
            <w:tcW w:w="566" w:type="dxa"/>
            <w:tcBorders>
              <w:top w:val="nil"/>
              <w:left w:val="nil"/>
              <w:bottom w:val="nil"/>
              <w:right w:val="nil"/>
            </w:tcBorders>
            <w:shd w:val="clear" w:color="auto" w:fill="auto"/>
            <w:noWrap/>
            <w:vAlign w:val="center"/>
          </w:tcPr>
          <w:p w14:paraId="56DA1A00" w14:textId="77777777" w:rsidR="00F561D9" w:rsidRPr="00720A84" w:rsidRDefault="00F561D9" w:rsidP="006B40CA">
            <w:pPr>
              <w:jc w:val="right"/>
              <w:rPr>
                <w:sz w:val="16"/>
                <w:szCs w:val="16"/>
                <w:lang w:val="en-GB"/>
              </w:rPr>
            </w:pPr>
            <w:r w:rsidRPr="00720A84">
              <w:rPr>
                <w:sz w:val="16"/>
                <w:szCs w:val="16"/>
                <w:lang w:val="en-GB"/>
              </w:rPr>
              <w:t>5.8</w:t>
            </w:r>
          </w:p>
        </w:tc>
        <w:tc>
          <w:tcPr>
            <w:tcW w:w="566" w:type="dxa"/>
            <w:tcBorders>
              <w:top w:val="nil"/>
              <w:left w:val="nil"/>
              <w:bottom w:val="nil"/>
              <w:right w:val="nil"/>
            </w:tcBorders>
            <w:shd w:val="clear" w:color="auto" w:fill="auto"/>
            <w:noWrap/>
            <w:vAlign w:val="center"/>
          </w:tcPr>
          <w:p w14:paraId="08245C2D" w14:textId="77777777" w:rsidR="00F561D9" w:rsidRPr="00720A84" w:rsidRDefault="00F561D9" w:rsidP="006B40CA">
            <w:pPr>
              <w:jc w:val="right"/>
              <w:rPr>
                <w:sz w:val="16"/>
                <w:szCs w:val="16"/>
                <w:lang w:val="en-GB"/>
              </w:rPr>
            </w:pPr>
            <w:r w:rsidRPr="00720A84">
              <w:rPr>
                <w:sz w:val="16"/>
                <w:szCs w:val="16"/>
                <w:lang w:val="en-GB"/>
              </w:rPr>
              <w:t>9.1</w:t>
            </w:r>
          </w:p>
        </w:tc>
      </w:tr>
      <w:tr w:rsidR="00F561D9" w:rsidRPr="00720A84" w14:paraId="44D16999"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36B0FFD9" w14:textId="77777777" w:rsidR="00F561D9" w:rsidRPr="00720A84" w:rsidRDefault="00F561D9" w:rsidP="006B40CA">
            <w:pPr>
              <w:ind w:left="85"/>
              <w:rPr>
                <w:sz w:val="16"/>
                <w:szCs w:val="16"/>
                <w:lang w:val="en-GB"/>
              </w:rPr>
            </w:pPr>
            <w:r w:rsidRPr="00720A84">
              <w:rPr>
                <w:sz w:val="16"/>
                <w:szCs w:val="16"/>
                <w:lang w:val="en-GB"/>
              </w:rPr>
              <w:t>Financial intermediation</w:t>
            </w:r>
          </w:p>
        </w:tc>
        <w:tc>
          <w:tcPr>
            <w:tcW w:w="488" w:type="dxa"/>
            <w:tcBorders>
              <w:top w:val="nil"/>
              <w:left w:val="nil"/>
              <w:bottom w:val="nil"/>
              <w:right w:val="nil"/>
            </w:tcBorders>
            <w:shd w:val="clear" w:color="auto" w:fill="auto"/>
            <w:noWrap/>
            <w:vAlign w:val="center"/>
          </w:tcPr>
          <w:p w14:paraId="3F53FB14" w14:textId="77777777" w:rsidR="00F561D9" w:rsidRPr="00720A84" w:rsidRDefault="00F561D9" w:rsidP="006B40CA">
            <w:pPr>
              <w:jc w:val="right"/>
              <w:rPr>
                <w:sz w:val="16"/>
                <w:szCs w:val="16"/>
                <w:lang w:val="en-GB"/>
              </w:rPr>
            </w:pPr>
            <w:r w:rsidRPr="00720A84">
              <w:rPr>
                <w:sz w:val="16"/>
                <w:szCs w:val="16"/>
                <w:lang w:val="en-GB"/>
              </w:rPr>
              <w:t>5.0</w:t>
            </w:r>
          </w:p>
        </w:tc>
        <w:tc>
          <w:tcPr>
            <w:tcW w:w="566" w:type="dxa"/>
            <w:tcBorders>
              <w:top w:val="nil"/>
              <w:left w:val="nil"/>
              <w:bottom w:val="nil"/>
              <w:right w:val="nil"/>
            </w:tcBorders>
            <w:shd w:val="clear" w:color="auto" w:fill="auto"/>
            <w:noWrap/>
            <w:vAlign w:val="center"/>
          </w:tcPr>
          <w:p w14:paraId="13D4008A" w14:textId="77777777" w:rsidR="00F561D9" w:rsidRPr="00720A84" w:rsidRDefault="00F561D9" w:rsidP="006B40CA">
            <w:pPr>
              <w:jc w:val="right"/>
              <w:rPr>
                <w:sz w:val="16"/>
                <w:szCs w:val="16"/>
                <w:lang w:val="en-GB"/>
              </w:rPr>
            </w:pPr>
            <w:r w:rsidRPr="00720A84">
              <w:rPr>
                <w:sz w:val="16"/>
                <w:szCs w:val="16"/>
                <w:lang w:val="en-GB"/>
              </w:rPr>
              <w:t>10.4</w:t>
            </w:r>
          </w:p>
        </w:tc>
        <w:tc>
          <w:tcPr>
            <w:tcW w:w="566" w:type="dxa"/>
            <w:tcBorders>
              <w:top w:val="nil"/>
              <w:left w:val="nil"/>
              <w:bottom w:val="nil"/>
              <w:right w:val="nil"/>
            </w:tcBorders>
            <w:shd w:val="clear" w:color="auto" w:fill="auto"/>
            <w:noWrap/>
            <w:vAlign w:val="center"/>
          </w:tcPr>
          <w:p w14:paraId="4725728B" w14:textId="77777777" w:rsidR="00F561D9" w:rsidRPr="00720A84" w:rsidRDefault="00F561D9" w:rsidP="006B40CA">
            <w:pPr>
              <w:jc w:val="right"/>
              <w:rPr>
                <w:sz w:val="16"/>
                <w:szCs w:val="16"/>
                <w:lang w:val="en-GB"/>
              </w:rPr>
            </w:pPr>
            <w:r w:rsidRPr="00720A84">
              <w:rPr>
                <w:sz w:val="16"/>
                <w:szCs w:val="16"/>
                <w:lang w:val="en-GB"/>
              </w:rPr>
              <w:t>25.4</w:t>
            </w:r>
          </w:p>
        </w:tc>
        <w:tc>
          <w:tcPr>
            <w:tcW w:w="566" w:type="dxa"/>
            <w:tcBorders>
              <w:top w:val="nil"/>
              <w:left w:val="nil"/>
              <w:bottom w:val="nil"/>
              <w:right w:val="nil"/>
            </w:tcBorders>
            <w:shd w:val="clear" w:color="auto" w:fill="auto"/>
            <w:noWrap/>
            <w:vAlign w:val="center"/>
          </w:tcPr>
          <w:p w14:paraId="02A8121F" w14:textId="77777777" w:rsidR="00F561D9" w:rsidRPr="00720A84" w:rsidRDefault="00F561D9" w:rsidP="006B40CA">
            <w:pPr>
              <w:jc w:val="right"/>
              <w:rPr>
                <w:sz w:val="16"/>
                <w:szCs w:val="16"/>
                <w:lang w:val="en-GB"/>
              </w:rPr>
            </w:pPr>
            <w:r w:rsidRPr="00720A84">
              <w:rPr>
                <w:sz w:val="16"/>
                <w:szCs w:val="16"/>
                <w:lang w:val="en-GB"/>
              </w:rPr>
              <w:t>6.1</w:t>
            </w:r>
          </w:p>
        </w:tc>
        <w:tc>
          <w:tcPr>
            <w:tcW w:w="566" w:type="dxa"/>
            <w:tcBorders>
              <w:top w:val="nil"/>
              <w:left w:val="nil"/>
              <w:bottom w:val="nil"/>
              <w:right w:val="nil"/>
            </w:tcBorders>
            <w:shd w:val="clear" w:color="auto" w:fill="auto"/>
            <w:noWrap/>
            <w:vAlign w:val="center"/>
          </w:tcPr>
          <w:p w14:paraId="04CBD7A7" w14:textId="77777777" w:rsidR="00F561D9" w:rsidRPr="00720A84" w:rsidRDefault="00F561D9" w:rsidP="006B40CA">
            <w:pPr>
              <w:jc w:val="right"/>
              <w:rPr>
                <w:sz w:val="16"/>
                <w:szCs w:val="16"/>
                <w:lang w:val="en-GB"/>
              </w:rPr>
            </w:pPr>
            <w:r w:rsidRPr="00720A84">
              <w:rPr>
                <w:sz w:val="16"/>
                <w:szCs w:val="16"/>
                <w:lang w:val="en-GB"/>
              </w:rPr>
              <w:t>21.3</w:t>
            </w:r>
          </w:p>
        </w:tc>
        <w:tc>
          <w:tcPr>
            <w:tcW w:w="566" w:type="dxa"/>
            <w:tcBorders>
              <w:top w:val="nil"/>
              <w:left w:val="nil"/>
              <w:bottom w:val="nil"/>
              <w:right w:val="nil"/>
            </w:tcBorders>
            <w:shd w:val="clear" w:color="auto" w:fill="auto"/>
            <w:noWrap/>
            <w:vAlign w:val="center"/>
          </w:tcPr>
          <w:p w14:paraId="1B1CD17A" w14:textId="77777777" w:rsidR="00F561D9" w:rsidRPr="00720A84" w:rsidRDefault="00F561D9" w:rsidP="006B40CA">
            <w:pPr>
              <w:jc w:val="right"/>
              <w:rPr>
                <w:sz w:val="16"/>
                <w:szCs w:val="16"/>
                <w:lang w:val="en-GB"/>
              </w:rPr>
            </w:pPr>
            <w:r w:rsidRPr="00720A84">
              <w:rPr>
                <w:sz w:val="16"/>
                <w:szCs w:val="16"/>
                <w:lang w:val="en-GB"/>
              </w:rPr>
              <w:t>9.4</w:t>
            </w:r>
          </w:p>
        </w:tc>
        <w:tc>
          <w:tcPr>
            <w:tcW w:w="566" w:type="dxa"/>
            <w:tcBorders>
              <w:top w:val="nil"/>
              <w:left w:val="nil"/>
              <w:bottom w:val="nil"/>
              <w:right w:val="nil"/>
            </w:tcBorders>
            <w:shd w:val="clear" w:color="auto" w:fill="auto"/>
            <w:noWrap/>
            <w:vAlign w:val="center"/>
          </w:tcPr>
          <w:p w14:paraId="3B9CFB72" w14:textId="77777777" w:rsidR="00F561D9" w:rsidRPr="00720A84" w:rsidRDefault="00F561D9" w:rsidP="006B40CA">
            <w:pPr>
              <w:jc w:val="right"/>
              <w:rPr>
                <w:sz w:val="16"/>
                <w:szCs w:val="16"/>
                <w:lang w:val="en-GB"/>
              </w:rPr>
            </w:pPr>
            <w:r w:rsidRPr="00720A84">
              <w:rPr>
                <w:sz w:val="16"/>
                <w:szCs w:val="16"/>
                <w:lang w:val="en-GB"/>
              </w:rPr>
              <w:t>6.2</w:t>
            </w:r>
          </w:p>
        </w:tc>
        <w:tc>
          <w:tcPr>
            <w:tcW w:w="566" w:type="dxa"/>
            <w:tcBorders>
              <w:top w:val="nil"/>
              <w:left w:val="nil"/>
              <w:bottom w:val="nil"/>
              <w:right w:val="nil"/>
            </w:tcBorders>
            <w:shd w:val="clear" w:color="auto" w:fill="auto"/>
            <w:noWrap/>
            <w:vAlign w:val="center"/>
          </w:tcPr>
          <w:p w14:paraId="10670F9C" w14:textId="77777777" w:rsidR="00F561D9" w:rsidRPr="00720A84" w:rsidRDefault="00F561D9" w:rsidP="006B40CA">
            <w:pPr>
              <w:jc w:val="right"/>
              <w:rPr>
                <w:sz w:val="16"/>
                <w:szCs w:val="16"/>
                <w:lang w:val="en-GB"/>
              </w:rPr>
            </w:pPr>
            <w:r w:rsidRPr="00720A84">
              <w:rPr>
                <w:sz w:val="16"/>
                <w:szCs w:val="16"/>
                <w:lang w:val="en-GB"/>
              </w:rPr>
              <w:t>3.0</w:t>
            </w:r>
          </w:p>
        </w:tc>
        <w:tc>
          <w:tcPr>
            <w:tcW w:w="566" w:type="dxa"/>
            <w:tcBorders>
              <w:top w:val="nil"/>
              <w:left w:val="nil"/>
              <w:bottom w:val="nil"/>
              <w:right w:val="nil"/>
            </w:tcBorders>
            <w:shd w:val="clear" w:color="auto" w:fill="auto"/>
            <w:noWrap/>
            <w:vAlign w:val="center"/>
          </w:tcPr>
          <w:p w14:paraId="5CCE7E88" w14:textId="77777777" w:rsidR="00F561D9" w:rsidRPr="00720A84" w:rsidRDefault="00F561D9" w:rsidP="006B40CA">
            <w:pPr>
              <w:jc w:val="right"/>
              <w:rPr>
                <w:sz w:val="16"/>
                <w:szCs w:val="16"/>
                <w:lang w:val="en-GB"/>
              </w:rPr>
            </w:pPr>
            <w:r w:rsidRPr="00720A84">
              <w:rPr>
                <w:sz w:val="16"/>
                <w:szCs w:val="16"/>
                <w:lang w:val="en-GB"/>
              </w:rPr>
              <w:t>4.2</w:t>
            </w:r>
          </w:p>
        </w:tc>
        <w:tc>
          <w:tcPr>
            <w:tcW w:w="566" w:type="dxa"/>
            <w:tcBorders>
              <w:top w:val="nil"/>
              <w:left w:val="nil"/>
              <w:bottom w:val="nil"/>
              <w:right w:val="nil"/>
            </w:tcBorders>
            <w:shd w:val="clear" w:color="auto" w:fill="auto"/>
            <w:noWrap/>
            <w:vAlign w:val="center"/>
          </w:tcPr>
          <w:p w14:paraId="78D8FD59" w14:textId="77777777" w:rsidR="00F561D9" w:rsidRPr="00720A84" w:rsidRDefault="00F561D9" w:rsidP="006B40CA">
            <w:pPr>
              <w:jc w:val="right"/>
              <w:rPr>
                <w:sz w:val="16"/>
                <w:szCs w:val="16"/>
                <w:lang w:val="en-GB"/>
              </w:rPr>
            </w:pPr>
            <w:r w:rsidRPr="00720A84">
              <w:rPr>
                <w:sz w:val="16"/>
                <w:szCs w:val="16"/>
                <w:lang w:val="en-GB"/>
              </w:rPr>
              <w:t>4.1</w:t>
            </w:r>
          </w:p>
        </w:tc>
        <w:tc>
          <w:tcPr>
            <w:tcW w:w="566" w:type="dxa"/>
            <w:tcBorders>
              <w:top w:val="nil"/>
              <w:left w:val="nil"/>
              <w:bottom w:val="nil"/>
              <w:right w:val="nil"/>
            </w:tcBorders>
            <w:shd w:val="clear" w:color="auto" w:fill="auto"/>
            <w:noWrap/>
            <w:vAlign w:val="center"/>
          </w:tcPr>
          <w:p w14:paraId="377C2649" w14:textId="77777777" w:rsidR="00F561D9" w:rsidRPr="00720A84" w:rsidRDefault="00F561D9" w:rsidP="006B40CA">
            <w:pPr>
              <w:jc w:val="right"/>
              <w:rPr>
                <w:sz w:val="16"/>
                <w:szCs w:val="16"/>
                <w:lang w:val="en-GB"/>
              </w:rPr>
            </w:pPr>
            <w:r w:rsidRPr="00720A84">
              <w:rPr>
                <w:sz w:val="16"/>
                <w:szCs w:val="16"/>
                <w:lang w:val="en-GB"/>
              </w:rPr>
              <w:t>11.9</w:t>
            </w:r>
          </w:p>
        </w:tc>
        <w:tc>
          <w:tcPr>
            <w:tcW w:w="566" w:type="dxa"/>
            <w:tcBorders>
              <w:top w:val="nil"/>
              <w:left w:val="nil"/>
              <w:bottom w:val="nil"/>
              <w:right w:val="nil"/>
            </w:tcBorders>
            <w:shd w:val="clear" w:color="auto" w:fill="auto"/>
            <w:noWrap/>
            <w:vAlign w:val="center"/>
          </w:tcPr>
          <w:p w14:paraId="30D5882D" w14:textId="77777777" w:rsidR="00F561D9" w:rsidRPr="00720A84" w:rsidRDefault="00F561D9" w:rsidP="006B40CA">
            <w:pPr>
              <w:jc w:val="right"/>
              <w:rPr>
                <w:sz w:val="16"/>
                <w:szCs w:val="16"/>
                <w:lang w:val="en-GB"/>
              </w:rPr>
            </w:pPr>
            <w:r w:rsidRPr="00720A84">
              <w:rPr>
                <w:sz w:val="16"/>
                <w:szCs w:val="16"/>
                <w:lang w:val="en-GB"/>
              </w:rPr>
              <w:t>17.3</w:t>
            </w:r>
          </w:p>
        </w:tc>
        <w:tc>
          <w:tcPr>
            <w:tcW w:w="566" w:type="dxa"/>
            <w:tcBorders>
              <w:top w:val="nil"/>
              <w:left w:val="nil"/>
              <w:bottom w:val="nil"/>
              <w:right w:val="nil"/>
            </w:tcBorders>
            <w:shd w:val="clear" w:color="auto" w:fill="auto"/>
            <w:noWrap/>
            <w:vAlign w:val="center"/>
          </w:tcPr>
          <w:p w14:paraId="0AD5EF08" w14:textId="77777777" w:rsidR="00F561D9" w:rsidRPr="00720A84" w:rsidRDefault="00F561D9" w:rsidP="006B40CA">
            <w:pPr>
              <w:jc w:val="right"/>
              <w:rPr>
                <w:sz w:val="16"/>
                <w:szCs w:val="16"/>
                <w:lang w:val="en-GB"/>
              </w:rPr>
            </w:pPr>
            <w:r w:rsidRPr="00720A84">
              <w:rPr>
                <w:sz w:val="16"/>
                <w:szCs w:val="16"/>
                <w:lang w:val="en-GB"/>
              </w:rPr>
              <w:t>8.7</w:t>
            </w:r>
          </w:p>
        </w:tc>
        <w:tc>
          <w:tcPr>
            <w:tcW w:w="566" w:type="dxa"/>
            <w:tcBorders>
              <w:top w:val="nil"/>
              <w:left w:val="nil"/>
              <w:bottom w:val="nil"/>
              <w:right w:val="nil"/>
            </w:tcBorders>
            <w:shd w:val="clear" w:color="auto" w:fill="auto"/>
            <w:noWrap/>
            <w:vAlign w:val="center"/>
          </w:tcPr>
          <w:p w14:paraId="4C3FC0B9" w14:textId="77777777" w:rsidR="00F561D9" w:rsidRPr="00720A84" w:rsidRDefault="00F561D9" w:rsidP="006B40CA">
            <w:pPr>
              <w:jc w:val="right"/>
              <w:rPr>
                <w:sz w:val="16"/>
                <w:szCs w:val="16"/>
                <w:lang w:val="en-GB"/>
              </w:rPr>
            </w:pPr>
            <w:r w:rsidRPr="00720A84">
              <w:rPr>
                <w:sz w:val="16"/>
                <w:szCs w:val="16"/>
                <w:lang w:val="en-GB"/>
              </w:rPr>
              <w:t>8.2</w:t>
            </w:r>
          </w:p>
        </w:tc>
      </w:tr>
      <w:tr w:rsidR="00F561D9" w:rsidRPr="00720A84" w14:paraId="768EA1F3"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30CCFE1B" w14:textId="77777777" w:rsidR="00F561D9" w:rsidRPr="00720A84" w:rsidRDefault="00F561D9" w:rsidP="006B40CA">
            <w:pPr>
              <w:ind w:left="85"/>
              <w:rPr>
                <w:sz w:val="16"/>
                <w:szCs w:val="16"/>
                <w:lang w:val="en-GB"/>
              </w:rPr>
            </w:pPr>
            <w:r w:rsidRPr="00720A84">
              <w:rPr>
                <w:sz w:val="16"/>
                <w:szCs w:val="16"/>
                <w:lang w:val="en-GB"/>
              </w:rPr>
              <w:t>Post and telecommun.</w:t>
            </w:r>
          </w:p>
        </w:tc>
        <w:tc>
          <w:tcPr>
            <w:tcW w:w="488" w:type="dxa"/>
            <w:tcBorders>
              <w:top w:val="nil"/>
              <w:left w:val="nil"/>
              <w:bottom w:val="nil"/>
              <w:right w:val="nil"/>
            </w:tcBorders>
            <w:shd w:val="clear" w:color="auto" w:fill="auto"/>
            <w:noWrap/>
            <w:vAlign w:val="center"/>
          </w:tcPr>
          <w:p w14:paraId="433D1E63" w14:textId="77777777" w:rsidR="00F561D9" w:rsidRPr="00720A84" w:rsidRDefault="00F561D9" w:rsidP="006B40CA">
            <w:pPr>
              <w:jc w:val="right"/>
              <w:rPr>
                <w:sz w:val="16"/>
                <w:szCs w:val="16"/>
                <w:lang w:val="en-GB"/>
              </w:rPr>
            </w:pPr>
            <w:r w:rsidRPr="00720A84">
              <w:rPr>
                <w:sz w:val="16"/>
                <w:szCs w:val="16"/>
                <w:lang w:val="en-GB"/>
              </w:rPr>
              <w:t>8.0</w:t>
            </w:r>
          </w:p>
        </w:tc>
        <w:tc>
          <w:tcPr>
            <w:tcW w:w="566" w:type="dxa"/>
            <w:tcBorders>
              <w:top w:val="nil"/>
              <w:left w:val="nil"/>
              <w:bottom w:val="nil"/>
              <w:right w:val="nil"/>
            </w:tcBorders>
            <w:shd w:val="clear" w:color="auto" w:fill="auto"/>
            <w:noWrap/>
            <w:vAlign w:val="center"/>
          </w:tcPr>
          <w:p w14:paraId="1AC387DF" w14:textId="77777777" w:rsidR="00F561D9" w:rsidRPr="00720A84" w:rsidRDefault="00F561D9" w:rsidP="006B40CA">
            <w:pPr>
              <w:jc w:val="right"/>
              <w:rPr>
                <w:sz w:val="16"/>
                <w:szCs w:val="16"/>
                <w:lang w:val="en-GB"/>
              </w:rPr>
            </w:pPr>
            <w:r w:rsidRPr="00720A84">
              <w:rPr>
                <w:sz w:val="16"/>
                <w:szCs w:val="16"/>
                <w:lang w:val="en-GB"/>
              </w:rPr>
              <w:t>5.4</w:t>
            </w:r>
          </w:p>
        </w:tc>
        <w:tc>
          <w:tcPr>
            <w:tcW w:w="566" w:type="dxa"/>
            <w:tcBorders>
              <w:top w:val="nil"/>
              <w:left w:val="nil"/>
              <w:bottom w:val="nil"/>
              <w:right w:val="nil"/>
            </w:tcBorders>
            <w:shd w:val="clear" w:color="auto" w:fill="auto"/>
            <w:noWrap/>
            <w:vAlign w:val="center"/>
          </w:tcPr>
          <w:p w14:paraId="5A402990" w14:textId="77777777" w:rsidR="00F561D9" w:rsidRPr="00720A84" w:rsidRDefault="00F561D9" w:rsidP="006B40CA">
            <w:pPr>
              <w:jc w:val="right"/>
              <w:rPr>
                <w:sz w:val="16"/>
                <w:szCs w:val="16"/>
                <w:lang w:val="en-GB"/>
              </w:rPr>
            </w:pPr>
            <w:r w:rsidRPr="00720A84">
              <w:rPr>
                <w:sz w:val="16"/>
                <w:szCs w:val="16"/>
                <w:lang w:val="en-GB"/>
              </w:rPr>
              <w:t>11.0</w:t>
            </w:r>
          </w:p>
        </w:tc>
        <w:tc>
          <w:tcPr>
            <w:tcW w:w="566" w:type="dxa"/>
            <w:tcBorders>
              <w:top w:val="nil"/>
              <w:left w:val="nil"/>
              <w:bottom w:val="nil"/>
              <w:right w:val="nil"/>
            </w:tcBorders>
            <w:shd w:val="clear" w:color="auto" w:fill="auto"/>
            <w:noWrap/>
            <w:vAlign w:val="center"/>
          </w:tcPr>
          <w:p w14:paraId="6A8751F3" w14:textId="77777777" w:rsidR="00F561D9" w:rsidRPr="00720A84" w:rsidRDefault="00F561D9" w:rsidP="006B40CA">
            <w:pPr>
              <w:jc w:val="right"/>
              <w:rPr>
                <w:sz w:val="16"/>
                <w:szCs w:val="16"/>
                <w:lang w:val="en-GB"/>
              </w:rPr>
            </w:pPr>
            <w:r w:rsidRPr="00720A84">
              <w:rPr>
                <w:sz w:val="16"/>
                <w:szCs w:val="16"/>
                <w:lang w:val="en-GB"/>
              </w:rPr>
              <w:t>29.4</w:t>
            </w:r>
          </w:p>
        </w:tc>
        <w:tc>
          <w:tcPr>
            <w:tcW w:w="566" w:type="dxa"/>
            <w:tcBorders>
              <w:top w:val="nil"/>
              <w:left w:val="nil"/>
              <w:bottom w:val="nil"/>
              <w:right w:val="nil"/>
            </w:tcBorders>
            <w:shd w:val="clear" w:color="auto" w:fill="auto"/>
            <w:noWrap/>
            <w:vAlign w:val="center"/>
          </w:tcPr>
          <w:p w14:paraId="645FD2E8" w14:textId="77777777" w:rsidR="00F561D9" w:rsidRPr="00720A84" w:rsidRDefault="00F561D9" w:rsidP="006B40CA">
            <w:pPr>
              <w:jc w:val="right"/>
              <w:rPr>
                <w:sz w:val="16"/>
                <w:szCs w:val="16"/>
                <w:lang w:val="en-GB"/>
              </w:rPr>
            </w:pPr>
            <w:r w:rsidRPr="00720A84">
              <w:rPr>
                <w:sz w:val="16"/>
                <w:szCs w:val="16"/>
                <w:lang w:val="en-GB"/>
              </w:rPr>
              <w:t>36.5</w:t>
            </w:r>
          </w:p>
        </w:tc>
        <w:tc>
          <w:tcPr>
            <w:tcW w:w="566" w:type="dxa"/>
            <w:tcBorders>
              <w:top w:val="nil"/>
              <w:left w:val="nil"/>
              <w:bottom w:val="nil"/>
              <w:right w:val="nil"/>
            </w:tcBorders>
            <w:shd w:val="clear" w:color="auto" w:fill="auto"/>
            <w:noWrap/>
            <w:vAlign w:val="center"/>
          </w:tcPr>
          <w:p w14:paraId="4B2B033E" w14:textId="77777777" w:rsidR="00F561D9" w:rsidRPr="00720A84" w:rsidRDefault="00F561D9" w:rsidP="006B40CA">
            <w:pPr>
              <w:jc w:val="right"/>
              <w:rPr>
                <w:sz w:val="16"/>
                <w:szCs w:val="16"/>
                <w:lang w:val="en-GB"/>
              </w:rPr>
            </w:pPr>
            <w:r w:rsidRPr="00720A84">
              <w:rPr>
                <w:sz w:val="16"/>
                <w:szCs w:val="16"/>
                <w:lang w:val="en-GB"/>
              </w:rPr>
              <w:t>19.6</w:t>
            </w:r>
          </w:p>
        </w:tc>
        <w:tc>
          <w:tcPr>
            <w:tcW w:w="566" w:type="dxa"/>
            <w:tcBorders>
              <w:top w:val="nil"/>
              <w:left w:val="nil"/>
              <w:bottom w:val="nil"/>
              <w:right w:val="nil"/>
            </w:tcBorders>
            <w:shd w:val="clear" w:color="auto" w:fill="auto"/>
            <w:noWrap/>
            <w:vAlign w:val="center"/>
          </w:tcPr>
          <w:p w14:paraId="4C28501E" w14:textId="77777777" w:rsidR="00F561D9" w:rsidRPr="00720A84" w:rsidRDefault="00F561D9" w:rsidP="006B40CA">
            <w:pPr>
              <w:jc w:val="right"/>
              <w:rPr>
                <w:sz w:val="16"/>
                <w:szCs w:val="16"/>
                <w:lang w:val="en-GB"/>
              </w:rPr>
            </w:pPr>
            <w:r w:rsidRPr="00720A84">
              <w:rPr>
                <w:sz w:val="16"/>
                <w:szCs w:val="16"/>
                <w:lang w:val="en-GB"/>
              </w:rPr>
              <w:t>22.3</w:t>
            </w:r>
          </w:p>
        </w:tc>
        <w:tc>
          <w:tcPr>
            <w:tcW w:w="566" w:type="dxa"/>
            <w:tcBorders>
              <w:top w:val="nil"/>
              <w:left w:val="nil"/>
              <w:bottom w:val="nil"/>
              <w:right w:val="nil"/>
            </w:tcBorders>
            <w:shd w:val="clear" w:color="auto" w:fill="auto"/>
            <w:noWrap/>
            <w:vAlign w:val="center"/>
          </w:tcPr>
          <w:p w14:paraId="41966CA2" w14:textId="77777777" w:rsidR="00F561D9" w:rsidRPr="00720A84" w:rsidRDefault="00F561D9" w:rsidP="006B40CA">
            <w:pPr>
              <w:jc w:val="right"/>
              <w:rPr>
                <w:sz w:val="16"/>
                <w:szCs w:val="16"/>
                <w:lang w:val="en-GB"/>
              </w:rPr>
            </w:pPr>
            <w:r w:rsidRPr="00720A84">
              <w:rPr>
                <w:sz w:val="16"/>
                <w:szCs w:val="16"/>
                <w:lang w:val="en-GB"/>
              </w:rPr>
              <w:t>21.8</w:t>
            </w:r>
          </w:p>
        </w:tc>
        <w:tc>
          <w:tcPr>
            <w:tcW w:w="566" w:type="dxa"/>
            <w:tcBorders>
              <w:top w:val="nil"/>
              <w:left w:val="nil"/>
              <w:bottom w:val="nil"/>
              <w:right w:val="nil"/>
            </w:tcBorders>
            <w:shd w:val="clear" w:color="auto" w:fill="auto"/>
            <w:noWrap/>
            <w:vAlign w:val="center"/>
          </w:tcPr>
          <w:p w14:paraId="42D2659B" w14:textId="77777777" w:rsidR="00F561D9" w:rsidRPr="00720A84" w:rsidRDefault="00F561D9" w:rsidP="006B40CA">
            <w:pPr>
              <w:jc w:val="right"/>
              <w:rPr>
                <w:sz w:val="16"/>
                <w:szCs w:val="16"/>
                <w:lang w:val="en-GB"/>
              </w:rPr>
            </w:pPr>
            <w:r w:rsidRPr="00720A84">
              <w:rPr>
                <w:sz w:val="16"/>
                <w:szCs w:val="16"/>
                <w:lang w:val="en-GB"/>
              </w:rPr>
              <w:t>14.7</w:t>
            </w:r>
          </w:p>
        </w:tc>
        <w:tc>
          <w:tcPr>
            <w:tcW w:w="566" w:type="dxa"/>
            <w:tcBorders>
              <w:top w:val="nil"/>
              <w:left w:val="nil"/>
              <w:bottom w:val="nil"/>
              <w:right w:val="nil"/>
            </w:tcBorders>
            <w:shd w:val="clear" w:color="auto" w:fill="auto"/>
            <w:noWrap/>
            <w:vAlign w:val="center"/>
          </w:tcPr>
          <w:p w14:paraId="1C90D496" w14:textId="77777777" w:rsidR="00F561D9" w:rsidRPr="00720A84" w:rsidRDefault="00F561D9" w:rsidP="006B40CA">
            <w:pPr>
              <w:jc w:val="right"/>
              <w:rPr>
                <w:sz w:val="16"/>
                <w:szCs w:val="16"/>
                <w:lang w:val="en-GB"/>
              </w:rPr>
            </w:pPr>
            <w:r w:rsidRPr="00720A84">
              <w:rPr>
                <w:sz w:val="16"/>
                <w:szCs w:val="16"/>
                <w:lang w:val="en-GB"/>
              </w:rPr>
              <w:t>8.8</w:t>
            </w:r>
          </w:p>
        </w:tc>
        <w:tc>
          <w:tcPr>
            <w:tcW w:w="566" w:type="dxa"/>
            <w:tcBorders>
              <w:top w:val="nil"/>
              <w:left w:val="nil"/>
              <w:bottom w:val="nil"/>
              <w:right w:val="nil"/>
            </w:tcBorders>
            <w:shd w:val="clear" w:color="auto" w:fill="auto"/>
            <w:noWrap/>
            <w:vAlign w:val="center"/>
          </w:tcPr>
          <w:p w14:paraId="7B3839D5" w14:textId="77777777" w:rsidR="00F561D9" w:rsidRPr="00720A84" w:rsidRDefault="00F561D9" w:rsidP="006B40CA">
            <w:pPr>
              <w:jc w:val="right"/>
              <w:rPr>
                <w:sz w:val="16"/>
                <w:szCs w:val="16"/>
                <w:lang w:val="en-GB"/>
              </w:rPr>
            </w:pPr>
            <w:r w:rsidRPr="00720A84">
              <w:rPr>
                <w:sz w:val="16"/>
                <w:szCs w:val="16"/>
                <w:lang w:val="en-GB"/>
              </w:rPr>
              <w:t>5.5</w:t>
            </w:r>
          </w:p>
        </w:tc>
        <w:tc>
          <w:tcPr>
            <w:tcW w:w="566" w:type="dxa"/>
            <w:tcBorders>
              <w:top w:val="nil"/>
              <w:left w:val="nil"/>
              <w:bottom w:val="nil"/>
              <w:right w:val="nil"/>
            </w:tcBorders>
            <w:shd w:val="clear" w:color="auto" w:fill="auto"/>
            <w:noWrap/>
            <w:vAlign w:val="center"/>
          </w:tcPr>
          <w:p w14:paraId="370F9B30" w14:textId="77777777" w:rsidR="00F561D9" w:rsidRPr="00720A84" w:rsidRDefault="00F561D9" w:rsidP="006B40CA">
            <w:pPr>
              <w:jc w:val="right"/>
              <w:rPr>
                <w:sz w:val="16"/>
                <w:szCs w:val="16"/>
                <w:lang w:val="en-GB"/>
              </w:rPr>
            </w:pPr>
            <w:r w:rsidRPr="00720A84">
              <w:rPr>
                <w:sz w:val="16"/>
                <w:szCs w:val="16"/>
                <w:lang w:val="en-GB"/>
              </w:rPr>
              <w:t>0.9</w:t>
            </w:r>
          </w:p>
        </w:tc>
        <w:tc>
          <w:tcPr>
            <w:tcW w:w="566" w:type="dxa"/>
            <w:tcBorders>
              <w:top w:val="nil"/>
              <w:left w:val="nil"/>
              <w:bottom w:val="nil"/>
              <w:right w:val="nil"/>
            </w:tcBorders>
            <w:shd w:val="clear" w:color="auto" w:fill="auto"/>
            <w:noWrap/>
            <w:vAlign w:val="center"/>
          </w:tcPr>
          <w:p w14:paraId="6CC14F2F" w14:textId="77777777" w:rsidR="00F561D9" w:rsidRPr="00720A84" w:rsidRDefault="00F561D9" w:rsidP="006B40CA">
            <w:pPr>
              <w:jc w:val="right"/>
              <w:rPr>
                <w:sz w:val="16"/>
                <w:szCs w:val="16"/>
                <w:lang w:val="en-GB"/>
              </w:rPr>
            </w:pPr>
            <w:r w:rsidRPr="00720A84">
              <w:rPr>
                <w:sz w:val="16"/>
                <w:szCs w:val="16"/>
                <w:lang w:val="en-GB"/>
              </w:rPr>
              <w:t>1.0</w:t>
            </w:r>
          </w:p>
        </w:tc>
        <w:tc>
          <w:tcPr>
            <w:tcW w:w="566" w:type="dxa"/>
            <w:tcBorders>
              <w:top w:val="nil"/>
              <w:left w:val="nil"/>
              <w:bottom w:val="nil"/>
              <w:right w:val="nil"/>
            </w:tcBorders>
            <w:shd w:val="clear" w:color="auto" w:fill="auto"/>
            <w:noWrap/>
            <w:vAlign w:val="center"/>
          </w:tcPr>
          <w:p w14:paraId="4F07BA9B" w14:textId="77777777" w:rsidR="00F561D9" w:rsidRPr="00720A84" w:rsidRDefault="00F561D9" w:rsidP="006B40CA">
            <w:pPr>
              <w:jc w:val="right"/>
              <w:rPr>
                <w:sz w:val="16"/>
                <w:szCs w:val="16"/>
                <w:lang w:val="en-GB"/>
              </w:rPr>
            </w:pPr>
            <w:r w:rsidRPr="00720A84">
              <w:rPr>
                <w:sz w:val="16"/>
                <w:szCs w:val="16"/>
                <w:lang w:val="en-GB"/>
              </w:rPr>
              <w:t>1.0</w:t>
            </w:r>
          </w:p>
        </w:tc>
      </w:tr>
      <w:tr w:rsidR="00F561D9" w:rsidRPr="00720A84" w14:paraId="5C80A3B3" w14:textId="77777777" w:rsidTr="006B40CA">
        <w:trPr>
          <w:trHeight w:hRule="exact" w:val="255"/>
          <w:jc w:val="center"/>
        </w:trPr>
        <w:tc>
          <w:tcPr>
            <w:tcW w:w="1938" w:type="dxa"/>
            <w:tcBorders>
              <w:top w:val="nil"/>
              <w:left w:val="nil"/>
              <w:bottom w:val="nil"/>
              <w:right w:val="nil"/>
            </w:tcBorders>
            <w:shd w:val="clear" w:color="auto" w:fill="auto"/>
            <w:noWrap/>
            <w:vAlign w:val="center"/>
          </w:tcPr>
          <w:p w14:paraId="58E7D8B8" w14:textId="77777777" w:rsidR="00F561D9" w:rsidRPr="00720A84" w:rsidRDefault="00F561D9" w:rsidP="006B40CA">
            <w:pPr>
              <w:ind w:left="85"/>
              <w:rPr>
                <w:sz w:val="16"/>
                <w:szCs w:val="16"/>
                <w:lang w:val="en-GB"/>
              </w:rPr>
            </w:pPr>
            <w:r w:rsidRPr="00720A84">
              <w:rPr>
                <w:sz w:val="16"/>
                <w:szCs w:val="16"/>
                <w:lang w:val="en-GB"/>
              </w:rPr>
              <w:t>Others</w:t>
            </w:r>
          </w:p>
        </w:tc>
        <w:tc>
          <w:tcPr>
            <w:tcW w:w="488" w:type="dxa"/>
            <w:tcBorders>
              <w:top w:val="nil"/>
              <w:left w:val="nil"/>
              <w:bottom w:val="nil"/>
              <w:right w:val="nil"/>
            </w:tcBorders>
            <w:shd w:val="clear" w:color="auto" w:fill="auto"/>
            <w:noWrap/>
            <w:vAlign w:val="center"/>
          </w:tcPr>
          <w:p w14:paraId="5171E4FB" w14:textId="77777777" w:rsidR="00F561D9" w:rsidRPr="00720A84" w:rsidRDefault="00F561D9" w:rsidP="006B40CA">
            <w:pPr>
              <w:jc w:val="right"/>
              <w:rPr>
                <w:sz w:val="16"/>
                <w:szCs w:val="16"/>
                <w:lang w:val="en-GB"/>
              </w:rPr>
            </w:pPr>
            <w:r w:rsidRPr="00720A84">
              <w:rPr>
                <w:sz w:val="16"/>
                <w:szCs w:val="16"/>
                <w:lang w:val="en-GB"/>
              </w:rPr>
              <w:t>33.7</w:t>
            </w:r>
          </w:p>
        </w:tc>
        <w:tc>
          <w:tcPr>
            <w:tcW w:w="566" w:type="dxa"/>
            <w:tcBorders>
              <w:top w:val="nil"/>
              <w:left w:val="nil"/>
              <w:bottom w:val="nil"/>
              <w:right w:val="nil"/>
            </w:tcBorders>
            <w:shd w:val="clear" w:color="auto" w:fill="auto"/>
            <w:noWrap/>
            <w:vAlign w:val="center"/>
          </w:tcPr>
          <w:p w14:paraId="196A5EBB" w14:textId="77777777" w:rsidR="00F561D9" w:rsidRPr="00720A84" w:rsidRDefault="00F561D9" w:rsidP="006B40CA">
            <w:pPr>
              <w:jc w:val="right"/>
              <w:rPr>
                <w:sz w:val="16"/>
                <w:szCs w:val="16"/>
                <w:lang w:val="en-GB"/>
              </w:rPr>
            </w:pPr>
            <w:r w:rsidRPr="00720A84">
              <w:rPr>
                <w:sz w:val="16"/>
                <w:szCs w:val="16"/>
                <w:lang w:val="en-GB"/>
              </w:rPr>
              <w:t>39.6</w:t>
            </w:r>
          </w:p>
        </w:tc>
        <w:tc>
          <w:tcPr>
            <w:tcW w:w="566" w:type="dxa"/>
            <w:tcBorders>
              <w:top w:val="nil"/>
              <w:left w:val="nil"/>
              <w:bottom w:val="nil"/>
              <w:right w:val="nil"/>
            </w:tcBorders>
            <w:shd w:val="clear" w:color="auto" w:fill="auto"/>
            <w:noWrap/>
            <w:vAlign w:val="center"/>
          </w:tcPr>
          <w:p w14:paraId="20C0F4D7" w14:textId="77777777" w:rsidR="00F561D9" w:rsidRPr="00720A84" w:rsidRDefault="00F561D9" w:rsidP="006B40CA">
            <w:pPr>
              <w:jc w:val="right"/>
              <w:rPr>
                <w:sz w:val="16"/>
                <w:szCs w:val="16"/>
                <w:lang w:val="en-GB"/>
              </w:rPr>
            </w:pPr>
            <w:r w:rsidRPr="00720A84">
              <w:rPr>
                <w:sz w:val="16"/>
                <w:szCs w:val="16"/>
                <w:lang w:val="en-GB"/>
              </w:rPr>
              <w:t>32.1</w:t>
            </w:r>
          </w:p>
        </w:tc>
        <w:tc>
          <w:tcPr>
            <w:tcW w:w="566" w:type="dxa"/>
            <w:tcBorders>
              <w:top w:val="nil"/>
              <w:left w:val="nil"/>
              <w:bottom w:val="nil"/>
              <w:right w:val="nil"/>
            </w:tcBorders>
            <w:shd w:val="clear" w:color="auto" w:fill="auto"/>
            <w:noWrap/>
            <w:vAlign w:val="center"/>
          </w:tcPr>
          <w:p w14:paraId="257DABD5" w14:textId="77777777" w:rsidR="00F561D9" w:rsidRPr="00720A84" w:rsidRDefault="00F561D9" w:rsidP="006B40CA">
            <w:pPr>
              <w:jc w:val="right"/>
              <w:rPr>
                <w:sz w:val="16"/>
                <w:szCs w:val="16"/>
                <w:lang w:val="en-GB"/>
              </w:rPr>
            </w:pPr>
            <w:r w:rsidRPr="00720A84">
              <w:rPr>
                <w:sz w:val="16"/>
                <w:szCs w:val="16"/>
                <w:lang w:val="en-GB"/>
              </w:rPr>
              <w:t>17.1</w:t>
            </w:r>
          </w:p>
        </w:tc>
        <w:tc>
          <w:tcPr>
            <w:tcW w:w="566" w:type="dxa"/>
            <w:tcBorders>
              <w:top w:val="nil"/>
              <w:left w:val="nil"/>
              <w:bottom w:val="nil"/>
              <w:right w:val="nil"/>
            </w:tcBorders>
            <w:shd w:val="clear" w:color="auto" w:fill="auto"/>
            <w:noWrap/>
            <w:vAlign w:val="center"/>
          </w:tcPr>
          <w:p w14:paraId="6135C80B" w14:textId="77777777" w:rsidR="00F561D9" w:rsidRPr="00720A84" w:rsidRDefault="00F561D9" w:rsidP="006B40CA">
            <w:pPr>
              <w:jc w:val="right"/>
              <w:rPr>
                <w:sz w:val="16"/>
                <w:szCs w:val="16"/>
                <w:lang w:val="en-GB"/>
              </w:rPr>
            </w:pPr>
            <w:r w:rsidRPr="00720A84">
              <w:rPr>
                <w:sz w:val="16"/>
                <w:szCs w:val="16"/>
                <w:lang w:val="en-GB"/>
              </w:rPr>
              <w:t>7.9</w:t>
            </w:r>
          </w:p>
        </w:tc>
        <w:tc>
          <w:tcPr>
            <w:tcW w:w="566" w:type="dxa"/>
            <w:tcBorders>
              <w:top w:val="nil"/>
              <w:left w:val="nil"/>
              <w:bottom w:val="nil"/>
              <w:right w:val="nil"/>
            </w:tcBorders>
            <w:shd w:val="clear" w:color="auto" w:fill="auto"/>
            <w:noWrap/>
            <w:vAlign w:val="center"/>
          </w:tcPr>
          <w:p w14:paraId="67483AA4" w14:textId="77777777" w:rsidR="00F561D9" w:rsidRPr="00720A84" w:rsidRDefault="00F561D9" w:rsidP="006B40CA">
            <w:pPr>
              <w:jc w:val="right"/>
              <w:rPr>
                <w:sz w:val="16"/>
                <w:szCs w:val="16"/>
                <w:lang w:val="en-GB"/>
              </w:rPr>
            </w:pPr>
            <w:r w:rsidRPr="00720A84">
              <w:rPr>
                <w:sz w:val="16"/>
                <w:szCs w:val="16"/>
                <w:lang w:val="en-GB"/>
              </w:rPr>
              <w:t>16.9</w:t>
            </w:r>
          </w:p>
        </w:tc>
        <w:tc>
          <w:tcPr>
            <w:tcW w:w="566" w:type="dxa"/>
            <w:tcBorders>
              <w:top w:val="nil"/>
              <w:left w:val="nil"/>
              <w:bottom w:val="nil"/>
              <w:right w:val="nil"/>
            </w:tcBorders>
            <w:shd w:val="clear" w:color="auto" w:fill="auto"/>
            <w:noWrap/>
            <w:vAlign w:val="center"/>
          </w:tcPr>
          <w:p w14:paraId="58FE8DF4" w14:textId="77777777" w:rsidR="00F561D9" w:rsidRPr="00720A84" w:rsidRDefault="00F561D9" w:rsidP="006B40CA">
            <w:pPr>
              <w:jc w:val="right"/>
              <w:rPr>
                <w:sz w:val="16"/>
                <w:szCs w:val="16"/>
                <w:lang w:val="en-GB"/>
              </w:rPr>
            </w:pPr>
            <w:r w:rsidRPr="00720A84">
              <w:rPr>
                <w:sz w:val="16"/>
                <w:szCs w:val="16"/>
                <w:lang w:val="en-GB"/>
              </w:rPr>
              <w:t>12.0</w:t>
            </w:r>
          </w:p>
        </w:tc>
        <w:tc>
          <w:tcPr>
            <w:tcW w:w="566" w:type="dxa"/>
            <w:tcBorders>
              <w:top w:val="nil"/>
              <w:left w:val="nil"/>
              <w:bottom w:val="nil"/>
              <w:right w:val="nil"/>
            </w:tcBorders>
            <w:shd w:val="clear" w:color="auto" w:fill="auto"/>
            <w:noWrap/>
            <w:vAlign w:val="center"/>
          </w:tcPr>
          <w:p w14:paraId="3898A474" w14:textId="77777777" w:rsidR="00F561D9" w:rsidRPr="00720A84" w:rsidRDefault="00F561D9" w:rsidP="006B40CA">
            <w:pPr>
              <w:jc w:val="right"/>
              <w:rPr>
                <w:sz w:val="16"/>
                <w:szCs w:val="16"/>
                <w:lang w:val="en-GB"/>
              </w:rPr>
            </w:pPr>
            <w:r w:rsidRPr="00720A84">
              <w:rPr>
                <w:sz w:val="16"/>
                <w:szCs w:val="16"/>
                <w:lang w:val="en-GB"/>
              </w:rPr>
              <w:t>17.5</w:t>
            </w:r>
          </w:p>
        </w:tc>
        <w:tc>
          <w:tcPr>
            <w:tcW w:w="566" w:type="dxa"/>
            <w:tcBorders>
              <w:top w:val="nil"/>
              <w:left w:val="nil"/>
              <w:bottom w:val="nil"/>
              <w:right w:val="nil"/>
            </w:tcBorders>
            <w:shd w:val="clear" w:color="auto" w:fill="auto"/>
            <w:noWrap/>
            <w:vAlign w:val="center"/>
          </w:tcPr>
          <w:p w14:paraId="52E9D5AC" w14:textId="77777777" w:rsidR="00F561D9" w:rsidRPr="00720A84" w:rsidRDefault="00F561D9" w:rsidP="006B40CA">
            <w:pPr>
              <w:jc w:val="right"/>
              <w:rPr>
                <w:sz w:val="16"/>
                <w:szCs w:val="16"/>
                <w:lang w:val="en-GB"/>
              </w:rPr>
            </w:pPr>
            <w:r w:rsidRPr="00720A84">
              <w:rPr>
                <w:sz w:val="16"/>
                <w:szCs w:val="16"/>
                <w:lang w:val="en-GB"/>
              </w:rPr>
              <w:t>11.3</w:t>
            </w:r>
          </w:p>
        </w:tc>
        <w:tc>
          <w:tcPr>
            <w:tcW w:w="566" w:type="dxa"/>
            <w:tcBorders>
              <w:top w:val="nil"/>
              <w:left w:val="nil"/>
              <w:bottom w:val="nil"/>
              <w:right w:val="nil"/>
            </w:tcBorders>
            <w:shd w:val="clear" w:color="auto" w:fill="auto"/>
            <w:noWrap/>
            <w:vAlign w:val="center"/>
          </w:tcPr>
          <w:p w14:paraId="6FB71806" w14:textId="77777777" w:rsidR="00F561D9" w:rsidRPr="00720A84" w:rsidRDefault="00F561D9" w:rsidP="006B40CA">
            <w:pPr>
              <w:jc w:val="right"/>
              <w:rPr>
                <w:sz w:val="16"/>
                <w:szCs w:val="16"/>
                <w:lang w:val="en-GB"/>
              </w:rPr>
            </w:pPr>
            <w:r w:rsidRPr="00720A84">
              <w:rPr>
                <w:sz w:val="16"/>
                <w:szCs w:val="16"/>
                <w:lang w:val="en-GB"/>
              </w:rPr>
              <w:t>26.9</w:t>
            </w:r>
          </w:p>
        </w:tc>
        <w:tc>
          <w:tcPr>
            <w:tcW w:w="566" w:type="dxa"/>
            <w:tcBorders>
              <w:top w:val="nil"/>
              <w:left w:val="nil"/>
              <w:bottom w:val="nil"/>
              <w:right w:val="nil"/>
            </w:tcBorders>
            <w:shd w:val="clear" w:color="auto" w:fill="auto"/>
            <w:noWrap/>
            <w:vAlign w:val="center"/>
          </w:tcPr>
          <w:p w14:paraId="5E2197A3" w14:textId="77777777" w:rsidR="00F561D9" w:rsidRPr="00720A84" w:rsidRDefault="00F561D9" w:rsidP="006B40CA">
            <w:pPr>
              <w:jc w:val="right"/>
              <w:rPr>
                <w:sz w:val="16"/>
                <w:szCs w:val="16"/>
                <w:lang w:val="en-GB"/>
              </w:rPr>
            </w:pPr>
            <w:r w:rsidRPr="00720A84">
              <w:rPr>
                <w:sz w:val="16"/>
                <w:szCs w:val="16"/>
                <w:lang w:val="en-GB"/>
              </w:rPr>
              <w:t>20.1</w:t>
            </w:r>
          </w:p>
        </w:tc>
        <w:tc>
          <w:tcPr>
            <w:tcW w:w="566" w:type="dxa"/>
            <w:tcBorders>
              <w:top w:val="nil"/>
              <w:left w:val="nil"/>
              <w:bottom w:val="nil"/>
              <w:right w:val="nil"/>
            </w:tcBorders>
            <w:shd w:val="clear" w:color="auto" w:fill="auto"/>
            <w:noWrap/>
            <w:vAlign w:val="center"/>
          </w:tcPr>
          <w:p w14:paraId="49C332FD" w14:textId="77777777" w:rsidR="00F561D9" w:rsidRPr="00720A84" w:rsidRDefault="00F561D9" w:rsidP="006B40CA">
            <w:pPr>
              <w:jc w:val="right"/>
              <w:rPr>
                <w:sz w:val="16"/>
                <w:szCs w:val="16"/>
                <w:lang w:val="en-GB"/>
              </w:rPr>
            </w:pPr>
            <w:r w:rsidRPr="00720A84">
              <w:rPr>
                <w:sz w:val="16"/>
                <w:szCs w:val="16"/>
                <w:lang w:val="en-GB"/>
              </w:rPr>
              <w:t>20.9</w:t>
            </w:r>
          </w:p>
        </w:tc>
        <w:tc>
          <w:tcPr>
            <w:tcW w:w="566" w:type="dxa"/>
            <w:tcBorders>
              <w:top w:val="nil"/>
              <w:left w:val="nil"/>
              <w:bottom w:val="nil"/>
              <w:right w:val="nil"/>
            </w:tcBorders>
            <w:shd w:val="clear" w:color="auto" w:fill="auto"/>
            <w:noWrap/>
            <w:vAlign w:val="center"/>
          </w:tcPr>
          <w:p w14:paraId="6087E787" w14:textId="77777777" w:rsidR="00F561D9" w:rsidRPr="00720A84" w:rsidRDefault="00F561D9" w:rsidP="006B40CA">
            <w:pPr>
              <w:jc w:val="right"/>
              <w:rPr>
                <w:sz w:val="16"/>
                <w:szCs w:val="16"/>
                <w:lang w:val="en-GB"/>
              </w:rPr>
            </w:pPr>
            <w:r w:rsidRPr="00720A84">
              <w:rPr>
                <w:sz w:val="16"/>
                <w:szCs w:val="16"/>
                <w:lang w:val="en-GB"/>
              </w:rPr>
              <w:t>20.9</w:t>
            </w:r>
          </w:p>
        </w:tc>
        <w:tc>
          <w:tcPr>
            <w:tcW w:w="566" w:type="dxa"/>
            <w:tcBorders>
              <w:top w:val="nil"/>
              <w:left w:val="nil"/>
              <w:bottom w:val="nil"/>
              <w:right w:val="nil"/>
            </w:tcBorders>
            <w:shd w:val="clear" w:color="auto" w:fill="auto"/>
            <w:noWrap/>
            <w:vAlign w:val="center"/>
          </w:tcPr>
          <w:p w14:paraId="58CA1B28" w14:textId="77777777" w:rsidR="00F561D9" w:rsidRPr="00720A84" w:rsidRDefault="00F561D9" w:rsidP="006B40CA">
            <w:pPr>
              <w:jc w:val="right"/>
              <w:rPr>
                <w:sz w:val="16"/>
                <w:szCs w:val="16"/>
                <w:lang w:val="en-GB"/>
              </w:rPr>
            </w:pPr>
            <w:r w:rsidRPr="00720A84">
              <w:rPr>
                <w:sz w:val="16"/>
                <w:szCs w:val="16"/>
                <w:lang w:val="en-GB"/>
              </w:rPr>
              <w:t>24.6</w:t>
            </w:r>
          </w:p>
        </w:tc>
      </w:tr>
      <w:tr w:rsidR="00F561D9" w:rsidRPr="00720A84" w14:paraId="6F8C81E1" w14:textId="77777777" w:rsidTr="006B40CA">
        <w:trPr>
          <w:trHeight w:hRule="exact" w:val="255"/>
          <w:jc w:val="center"/>
        </w:trPr>
        <w:tc>
          <w:tcPr>
            <w:tcW w:w="1938" w:type="dxa"/>
            <w:tcBorders>
              <w:top w:val="nil"/>
              <w:left w:val="nil"/>
              <w:bottom w:val="single" w:sz="4" w:space="0" w:color="auto"/>
              <w:right w:val="nil"/>
            </w:tcBorders>
            <w:shd w:val="clear" w:color="auto" w:fill="auto"/>
            <w:noWrap/>
            <w:vAlign w:val="center"/>
          </w:tcPr>
          <w:p w14:paraId="4E14DF85" w14:textId="77777777" w:rsidR="00F561D9" w:rsidRPr="00720A84" w:rsidRDefault="00F561D9" w:rsidP="006B40CA">
            <w:pPr>
              <w:rPr>
                <w:b/>
                <w:bCs/>
                <w:sz w:val="16"/>
                <w:szCs w:val="16"/>
                <w:lang w:val="en-GB"/>
              </w:rPr>
            </w:pPr>
            <w:r w:rsidRPr="00720A84">
              <w:rPr>
                <w:b/>
                <w:bCs/>
                <w:sz w:val="16"/>
                <w:szCs w:val="16"/>
                <w:lang w:val="en-GB"/>
              </w:rPr>
              <w:t>Total</w:t>
            </w:r>
          </w:p>
        </w:tc>
        <w:tc>
          <w:tcPr>
            <w:tcW w:w="488" w:type="dxa"/>
            <w:tcBorders>
              <w:top w:val="nil"/>
              <w:left w:val="nil"/>
              <w:bottom w:val="single" w:sz="4" w:space="0" w:color="auto"/>
              <w:right w:val="nil"/>
            </w:tcBorders>
            <w:shd w:val="clear" w:color="auto" w:fill="auto"/>
            <w:noWrap/>
            <w:vAlign w:val="center"/>
          </w:tcPr>
          <w:p w14:paraId="11CFD4D3"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6D245E85"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274AF32D"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015FDDB1"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55C888B2"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0930F3C1"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3603DEF3"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4D8CCDB8"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2DBCE396"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4273BFDE"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6D948156"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7532AA56"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33BDAD3D" w14:textId="77777777" w:rsidR="00F561D9" w:rsidRPr="00720A84" w:rsidRDefault="00F561D9" w:rsidP="006B40CA">
            <w:pPr>
              <w:jc w:val="right"/>
              <w:rPr>
                <w:b/>
                <w:bCs/>
                <w:sz w:val="16"/>
                <w:szCs w:val="16"/>
                <w:lang w:val="en-GB"/>
              </w:rPr>
            </w:pPr>
            <w:r w:rsidRPr="00720A84">
              <w:rPr>
                <w:b/>
                <w:bCs/>
                <w:sz w:val="16"/>
                <w:szCs w:val="16"/>
                <w:lang w:val="en-GB"/>
              </w:rPr>
              <w:t>100.0</w:t>
            </w:r>
          </w:p>
        </w:tc>
        <w:tc>
          <w:tcPr>
            <w:tcW w:w="566" w:type="dxa"/>
            <w:tcBorders>
              <w:top w:val="nil"/>
              <w:left w:val="nil"/>
              <w:bottom w:val="single" w:sz="4" w:space="0" w:color="auto"/>
              <w:right w:val="nil"/>
            </w:tcBorders>
            <w:shd w:val="clear" w:color="auto" w:fill="auto"/>
            <w:noWrap/>
            <w:vAlign w:val="center"/>
          </w:tcPr>
          <w:p w14:paraId="0EABCAB7" w14:textId="77777777" w:rsidR="00F561D9" w:rsidRPr="00720A84" w:rsidRDefault="00F561D9" w:rsidP="006B40CA">
            <w:pPr>
              <w:jc w:val="right"/>
              <w:rPr>
                <w:b/>
                <w:bCs/>
                <w:sz w:val="16"/>
                <w:szCs w:val="16"/>
                <w:lang w:val="en-GB"/>
              </w:rPr>
            </w:pPr>
            <w:r w:rsidRPr="00720A84">
              <w:rPr>
                <w:b/>
                <w:bCs/>
                <w:sz w:val="16"/>
                <w:szCs w:val="16"/>
                <w:lang w:val="en-GB"/>
              </w:rPr>
              <w:t>100.0</w:t>
            </w:r>
          </w:p>
        </w:tc>
      </w:tr>
      <w:tr w:rsidR="00F561D9" w:rsidRPr="00720A84" w14:paraId="25665F2B" w14:textId="77777777" w:rsidTr="006B40CA">
        <w:trPr>
          <w:trHeight w:hRule="exact" w:val="255"/>
          <w:jc w:val="center"/>
        </w:trPr>
        <w:tc>
          <w:tcPr>
            <w:tcW w:w="1938" w:type="dxa"/>
            <w:tcBorders>
              <w:top w:val="nil"/>
              <w:left w:val="nil"/>
              <w:bottom w:val="single" w:sz="12" w:space="0" w:color="auto"/>
              <w:right w:val="nil"/>
            </w:tcBorders>
            <w:shd w:val="clear" w:color="auto" w:fill="auto"/>
            <w:noWrap/>
            <w:vAlign w:val="center"/>
          </w:tcPr>
          <w:p w14:paraId="7C5F85CD" w14:textId="77777777" w:rsidR="00F561D9" w:rsidRPr="00720A84" w:rsidRDefault="00F561D9" w:rsidP="006B40CA">
            <w:pPr>
              <w:rPr>
                <w:b/>
                <w:bCs/>
                <w:sz w:val="16"/>
                <w:szCs w:val="16"/>
                <w:lang w:val="en-GB"/>
              </w:rPr>
            </w:pPr>
            <w:r w:rsidRPr="00720A84">
              <w:rPr>
                <w:b/>
                <w:bCs/>
                <w:sz w:val="16"/>
                <w:szCs w:val="16"/>
                <w:lang w:val="en-GB"/>
              </w:rPr>
              <w:t>Total (US$ million)</w:t>
            </w:r>
          </w:p>
        </w:tc>
        <w:tc>
          <w:tcPr>
            <w:tcW w:w="488" w:type="dxa"/>
            <w:tcBorders>
              <w:top w:val="nil"/>
              <w:left w:val="nil"/>
              <w:bottom w:val="single" w:sz="12" w:space="0" w:color="auto"/>
              <w:right w:val="nil"/>
            </w:tcBorders>
            <w:shd w:val="clear" w:color="auto" w:fill="auto"/>
            <w:noWrap/>
            <w:vAlign w:val="center"/>
          </w:tcPr>
          <w:p w14:paraId="779D0D6B" w14:textId="77777777" w:rsidR="00F561D9" w:rsidRPr="00720A84" w:rsidRDefault="00F561D9" w:rsidP="006B40CA">
            <w:pPr>
              <w:jc w:val="right"/>
              <w:rPr>
                <w:b/>
                <w:bCs/>
                <w:sz w:val="16"/>
                <w:szCs w:val="16"/>
                <w:lang w:val="en-GB"/>
              </w:rPr>
            </w:pPr>
            <w:r w:rsidRPr="00720A84">
              <w:rPr>
                <w:b/>
                <w:bCs/>
                <w:sz w:val="16"/>
                <w:szCs w:val="16"/>
                <w:lang w:val="en-GB"/>
              </w:rPr>
              <w:t>7,665</w:t>
            </w:r>
          </w:p>
        </w:tc>
        <w:tc>
          <w:tcPr>
            <w:tcW w:w="566" w:type="dxa"/>
            <w:tcBorders>
              <w:top w:val="nil"/>
              <w:left w:val="nil"/>
              <w:bottom w:val="single" w:sz="12" w:space="0" w:color="auto"/>
              <w:right w:val="nil"/>
            </w:tcBorders>
            <w:shd w:val="clear" w:color="auto" w:fill="auto"/>
            <w:noWrap/>
            <w:vAlign w:val="center"/>
          </w:tcPr>
          <w:p w14:paraId="5F18BD20" w14:textId="77777777" w:rsidR="00F561D9" w:rsidRPr="00720A84" w:rsidRDefault="00F561D9" w:rsidP="006B40CA">
            <w:pPr>
              <w:jc w:val="right"/>
              <w:rPr>
                <w:b/>
                <w:bCs/>
                <w:sz w:val="16"/>
                <w:szCs w:val="16"/>
                <w:lang w:val="en-GB"/>
              </w:rPr>
            </w:pPr>
            <w:r w:rsidRPr="00720A84">
              <w:rPr>
                <w:b/>
                <w:bCs/>
                <w:sz w:val="16"/>
                <w:szCs w:val="16"/>
                <w:lang w:val="en-GB"/>
              </w:rPr>
              <w:t>15,311</w:t>
            </w:r>
          </w:p>
        </w:tc>
        <w:tc>
          <w:tcPr>
            <w:tcW w:w="566" w:type="dxa"/>
            <w:tcBorders>
              <w:top w:val="nil"/>
              <w:left w:val="nil"/>
              <w:bottom w:val="single" w:sz="12" w:space="0" w:color="auto"/>
              <w:right w:val="nil"/>
            </w:tcBorders>
            <w:shd w:val="clear" w:color="auto" w:fill="auto"/>
            <w:noWrap/>
            <w:vAlign w:val="center"/>
          </w:tcPr>
          <w:p w14:paraId="531C6D2F" w14:textId="77777777" w:rsidR="00F561D9" w:rsidRPr="00720A84" w:rsidRDefault="00F561D9" w:rsidP="006B40CA">
            <w:pPr>
              <w:jc w:val="right"/>
              <w:rPr>
                <w:b/>
                <w:bCs/>
                <w:sz w:val="16"/>
                <w:szCs w:val="16"/>
                <w:lang w:val="en-GB"/>
              </w:rPr>
            </w:pPr>
            <w:r w:rsidRPr="00720A84">
              <w:rPr>
                <w:b/>
                <w:bCs/>
                <w:sz w:val="16"/>
                <w:szCs w:val="16"/>
                <w:lang w:val="en-GB"/>
              </w:rPr>
              <w:t>23,271</w:t>
            </w:r>
          </w:p>
        </w:tc>
        <w:tc>
          <w:tcPr>
            <w:tcW w:w="566" w:type="dxa"/>
            <w:tcBorders>
              <w:top w:val="nil"/>
              <w:left w:val="nil"/>
              <w:bottom w:val="single" w:sz="12" w:space="0" w:color="auto"/>
              <w:right w:val="nil"/>
            </w:tcBorders>
            <w:shd w:val="clear" w:color="auto" w:fill="auto"/>
            <w:noWrap/>
            <w:vAlign w:val="center"/>
          </w:tcPr>
          <w:p w14:paraId="049587E2" w14:textId="77777777" w:rsidR="00F561D9" w:rsidRPr="00720A84" w:rsidRDefault="00F561D9" w:rsidP="006B40CA">
            <w:pPr>
              <w:jc w:val="right"/>
              <w:rPr>
                <w:b/>
                <w:bCs/>
                <w:sz w:val="16"/>
                <w:szCs w:val="16"/>
                <w:lang w:val="en-GB"/>
              </w:rPr>
            </w:pPr>
            <w:r w:rsidRPr="00720A84">
              <w:rPr>
                <w:b/>
                <w:bCs/>
                <w:sz w:val="16"/>
                <w:szCs w:val="16"/>
                <w:lang w:val="en-GB"/>
              </w:rPr>
              <w:t>27,572</w:t>
            </w:r>
          </w:p>
        </w:tc>
        <w:tc>
          <w:tcPr>
            <w:tcW w:w="566" w:type="dxa"/>
            <w:tcBorders>
              <w:top w:val="nil"/>
              <w:left w:val="nil"/>
              <w:bottom w:val="single" w:sz="12" w:space="0" w:color="auto"/>
              <w:right w:val="nil"/>
            </w:tcBorders>
            <w:shd w:val="clear" w:color="auto" w:fill="auto"/>
            <w:noWrap/>
            <w:vAlign w:val="center"/>
          </w:tcPr>
          <w:p w14:paraId="778A9A7A" w14:textId="77777777" w:rsidR="00F561D9" w:rsidRPr="00720A84" w:rsidRDefault="00F561D9" w:rsidP="006B40CA">
            <w:pPr>
              <w:jc w:val="right"/>
              <w:rPr>
                <w:b/>
                <w:bCs/>
                <w:sz w:val="16"/>
                <w:szCs w:val="16"/>
                <w:lang w:val="en-GB"/>
              </w:rPr>
            </w:pPr>
            <w:r w:rsidRPr="00720A84">
              <w:rPr>
                <w:b/>
                <w:bCs/>
                <w:sz w:val="16"/>
                <w:szCs w:val="16"/>
                <w:lang w:val="en-GB"/>
              </w:rPr>
              <w:t>29,876</w:t>
            </w:r>
          </w:p>
        </w:tc>
        <w:tc>
          <w:tcPr>
            <w:tcW w:w="566" w:type="dxa"/>
            <w:tcBorders>
              <w:top w:val="nil"/>
              <w:left w:val="nil"/>
              <w:bottom w:val="single" w:sz="12" w:space="0" w:color="auto"/>
              <w:right w:val="nil"/>
            </w:tcBorders>
            <w:shd w:val="clear" w:color="auto" w:fill="auto"/>
            <w:noWrap/>
            <w:vAlign w:val="center"/>
          </w:tcPr>
          <w:p w14:paraId="1B552F10" w14:textId="77777777" w:rsidR="00F561D9" w:rsidRPr="00720A84" w:rsidRDefault="00F561D9" w:rsidP="006B40CA">
            <w:pPr>
              <w:jc w:val="right"/>
              <w:rPr>
                <w:b/>
                <w:bCs/>
                <w:sz w:val="16"/>
                <w:szCs w:val="16"/>
                <w:lang w:val="en-GB"/>
              </w:rPr>
            </w:pPr>
            <w:r w:rsidRPr="00720A84">
              <w:rPr>
                <w:b/>
                <w:bCs/>
                <w:sz w:val="16"/>
                <w:szCs w:val="16"/>
                <w:lang w:val="en-GB"/>
              </w:rPr>
              <w:t>21,042</w:t>
            </w:r>
          </w:p>
        </w:tc>
        <w:tc>
          <w:tcPr>
            <w:tcW w:w="566" w:type="dxa"/>
            <w:tcBorders>
              <w:top w:val="nil"/>
              <w:left w:val="nil"/>
              <w:bottom w:val="single" w:sz="12" w:space="0" w:color="auto"/>
              <w:right w:val="nil"/>
            </w:tcBorders>
            <w:shd w:val="clear" w:color="auto" w:fill="auto"/>
            <w:noWrap/>
            <w:vAlign w:val="center"/>
          </w:tcPr>
          <w:p w14:paraId="2DFB2C4A" w14:textId="77777777" w:rsidR="00F561D9" w:rsidRPr="00720A84" w:rsidRDefault="00F561D9" w:rsidP="006B40CA">
            <w:pPr>
              <w:jc w:val="right"/>
              <w:rPr>
                <w:b/>
                <w:bCs/>
                <w:sz w:val="16"/>
                <w:szCs w:val="16"/>
                <w:lang w:val="en-GB"/>
              </w:rPr>
            </w:pPr>
            <w:r w:rsidRPr="00720A84">
              <w:rPr>
                <w:b/>
                <w:bCs/>
                <w:sz w:val="16"/>
                <w:szCs w:val="16"/>
                <w:lang w:val="en-GB"/>
              </w:rPr>
              <w:t>18,778</w:t>
            </w:r>
          </w:p>
        </w:tc>
        <w:tc>
          <w:tcPr>
            <w:tcW w:w="566" w:type="dxa"/>
            <w:tcBorders>
              <w:top w:val="nil"/>
              <w:left w:val="nil"/>
              <w:bottom w:val="single" w:sz="12" w:space="0" w:color="auto"/>
              <w:right w:val="nil"/>
            </w:tcBorders>
            <w:shd w:val="clear" w:color="auto" w:fill="auto"/>
            <w:noWrap/>
            <w:vAlign w:val="center"/>
          </w:tcPr>
          <w:p w14:paraId="17DEE48F" w14:textId="77777777" w:rsidR="00F561D9" w:rsidRPr="00720A84" w:rsidRDefault="00F561D9" w:rsidP="006B40CA">
            <w:pPr>
              <w:jc w:val="right"/>
              <w:rPr>
                <w:b/>
                <w:bCs/>
                <w:sz w:val="16"/>
                <w:szCs w:val="16"/>
                <w:lang w:val="en-GB"/>
              </w:rPr>
            </w:pPr>
            <w:r w:rsidRPr="00720A84">
              <w:rPr>
                <w:b/>
                <w:bCs/>
                <w:sz w:val="16"/>
                <w:szCs w:val="16"/>
                <w:lang w:val="en-GB"/>
              </w:rPr>
              <w:t>12,902</w:t>
            </w:r>
          </w:p>
        </w:tc>
        <w:tc>
          <w:tcPr>
            <w:tcW w:w="566" w:type="dxa"/>
            <w:tcBorders>
              <w:top w:val="nil"/>
              <w:left w:val="nil"/>
              <w:bottom w:val="single" w:sz="12" w:space="0" w:color="auto"/>
              <w:right w:val="nil"/>
            </w:tcBorders>
            <w:shd w:val="clear" w:color="auto" w:fill="auto"/>
            <w:noWrap/>
            <w:vAlign w:val="center"/>
          </w:tcPr>
          <w:p w14:paraId="5CF2F4F9" w14:textId="77777777" w:rsidR="00F561D9" w:rsidRPr="00720A84" w:rsidRDefault="00F561D9" w:rsidP="006B40CA">
            <w:pPr>
              <w:jc w:val="right"/>
              <w:rPr>
                <w:b/>
                <w:bCs/>
                <w:sz w:val="16"/>
                <w:szCs w:val="16"/>
                <w:lang w:val="en-GB"/>
              </w:rPr>
            </w:pPr>
            <w:r w:rsidRPr="00720A84">
              <w:rPr>
                <w:b/>
                <w:bCs/>
                <w:sz w:val="16"/>
                <w:szCs w:val="16"/>
                <w:lang w:val="en-GB"/>
              </w:rPr>
              <w:t>20,265</w:t>
            </w:r>
          </w:p>
        </w:tc>
        <w:tc>
          <w:tcPr>
            <w:tcW w:w="566" w:type="dxa"/>
            <w:tcBorders>
              <w:top w:val="nil"/>
              <w:left w:val="nil"/>
              <w:bottom w:val="single" w:sz="12" w:space="0" w:color="auto"/>
              <w:right w:val="nil"/>
            </w:tcBorders>
            <w:shd w:val="clear" w:color="auto" w:fill="auto"/>
            <w:noWrap/>
            <w:vAlign w:val="center"/>
          </w:tcPr>
          <w:p w14:paraId="6FACE90B" w14:textId="77777777" w:rsidR="00F561D9" w:rsidRPr="00720A84" w:rsidRDefault="00F561D9" w:rsidP="006B40CA">
            <w:pPr>
              <w:jc w:val="right"/>
              <w:rPr>
                <w:b/>
                <w:bCs/>
                <w:sz w:val="16"/>
                <w:szCs w:val="16"/>
                <w:lang w:val="en-GB"/>
              </w:rPr>
            </w:pPr>
            <w:r w:rsidRPr="00720A84">
              <w:rPr>
                <w:b/>
                <w:bCs/>
                <w:sz w:val="16"/>
                <w:szCs w:val="16"/>
                <w:lang w:val="en-GB"/>
              </w:rPr>
              <w:t>21,522</w:t>
            </w:r>
          </w:p>
        </w:tc>
        <w:tc>
          <w:tcPr>
            <w:tcW w:w="566" w:type="dxa"/>
            <w:tcBorders>
              <w:top w:val="nil"/>
              <w:left w:val="nil"/>
              <w:bottom w:val="single" w:sz="12" w:space="0" w:color="auto"/>
              <w:right w:val="nil"/>
            </w:tcBorders>
            <w:shd w:val="clear" w:color="auto" w:fill="auto"/>
            <w:noWrap/>
            <w:vAlign w:val="center"/>
          </w:tcPr>
          <w:p w14:paraId="57753D1C" w14:textId="77777777" w:rsidR="00F561D9" w:rsidRPr="00720A84" w:rsidRDefault="00F561D9" w:rsidP="006B40CA">
            <w:pPr>
              <w:jc w:val="right"/>
              <w:rPr>
                <w:b/>
                <w:bCs/>
                <w:sz w:val="16"/>
                <w:szCs w:val="16"/>
                <w:lang w:val="en-GB"/>
              </w:rPr>
            </w:pPr>
            <w:r w:rsidRPr="00720A84">
              <w:rPr>
                <w:b/>
                <w:bCs/>
                <w:sz w:val="16"/>
                <w:szCs w:val="16"/>
                <w:lang w:val="en-GB"/>
              </w:rPr>
              <w:t>22,231</w:t>
            </w:r>
          </w:p>
        </w:tc>
        <w:tc>
          <w:tcPr>
            <w:tcW w:w="566" w:type="dxa"/>
            <w:tcBorders>
              <w:top w:val="nil"/>
              <w:left w:val="nil"/>
              <w:bottom w:val="single" w:sz="12" w:space="0" w:color="auto"/>
              <w:right w:val="nil"/>
            </w:tcBorders>
            <w:shd w:val="clear" w:color="auto" w:fill="auto"/>
            <w:noWrap/>
            <w:vAlign w:val="center"/>
          </w:tcPr>
          <w:p w14:paraId="47B64D96" w14:textId="77777777" w:rsidR="00F561D9" w:rsidRPr="00720A84" w:rsidRDefault="00F561D9" w:rsidP="006B40CA">
            <w:pPr>
              <w:jc w:val="right"/>
              <w:rPr>
                <w:b/>
                <w:bCs/>
                <w:sz w:val="16"/>
                <w:szCs w:val="16"/>
                <w:lang w:val="en-GB"/>
              </w:rPr>
            </w:pPr>
            <w:r w:rsidRPr="00720A84">
              <w:rPr>
                <w:b/>
                <w:bCs/>
                <w:sz w:val="16"/>
                <w:szCs w:val="16"/>
                <w:lang w:val="en-GB"/>
              </w:rPr>
              <w:t>33,705</w:t>
            </w:r>
          </w:p>
        </w:tc>
        <w:tc>
          <w:tcPr>
            <w:tcW w:w="566" w:type="dxa"/>
            <w:tcBorders>
              <w:top w:val="nil"/>
              <w:left w:val="nil"/>
              <w:bottom w:val="single" w:sz="12" w:space="0" w:color="auto"/>
              <w:right w:val="nil"/>
            </w:tcBorders>
            <w:shd w:val="clear" w:color="auto" w:fill="auto"/>
            <w:noWrap/>
            <w:vAlign w:val="center"/>
          </w:tcPr>
          <w:p w14:paraId="37CB5B58" w14:textId="77777777" w:rsidR="00F561D9" w:rsidRPr="00720A84" w:rsidRDefault="00F561D9" w:rsidP="006B40CA">
            <w:pPr>
              <w:jc w:val="right"/>
              <w:rPr>
                <w:b/>
                <w:bCs/>
                <w:sz w:val="16"/>
                <w:szCs w:val="16"/>
                <w:lang w:val="en-GB"/>
              </w:rPr>
            </w:pPr>
            <w:r w:rsidRPr="00720A84">
              <w:rPr>
                <w:b/>
                <w:bCs/>
                <w:sz w:val="16"/>
                <w:szCs w:val="16"/>
                <w:lang w:val="en-GB"/>
              </w:rPr>
              <w:t>43,886</w:t>
            </w:r>
          </w:p>
        </w:tc>
        <w:tc>
          <w:tcPr>
            <w:tcW w:w="566" w:type="dxa"/>
            <w:tcBorders>
              <w:top w:val="nil"/>
              <w:left w:val="nil"/>
              <w:bottom w:val="single" w:sz="12" w:space="0" w:color="auto"/>
              <w:right w:val="nil"/>
            </w:tcBorders>
            <w:shd w:val="clear" w:color="auto" w:fill="auto"/>
            <w:noWrap/>
            <w:vAlign w:val="center"/>
          </w:tcPr>
          <w:p w14:paraId="0F7C0F5F" w14:textId="77777777" w:rsidR="00F561D9" w:rsidRPr="00720A84" w:rsidRDefault="00F561D9" w:rsidP="006B40CA">
            <w:pPr>
              <w:jc w:val="right"/>
              <w:rPr>
                <w:b/>
                <w:bCs/>
                <w:sz w:val="16"/>
                <w:szCs w:val="16"/>
                <w:lang w:val="en-GB"/>
              </w:rPr>
            </w:pPr>
            <w:r w:rsidRPr="00720A84">
              <w:rPr>
                <w:b/>
                <w:bCs/>
                <w:sz w:val="16"/>
                <w:szCs w:val="16"/>
                <w:lang w:val="en-GB"/>
              </w:rPr>
              <w:t>30,444</w:t>
            </w:r>
          </w:p>
        </w:tc>
      </w:tr>
    </w:tbl>
    <w:p w14:paraId="635DBC2D" w14:textId="77777777" w:rsidR="00F561D9" w:rsidRPr="00720A84" w:rsidRDefault="00F561D9" w:rsidP="00F561D9">
      <w:pPr>
        <w:jc w:val="both"/>
        <w:rPr>
          <w:sz w:val="20"/>
          <w:szCs w:val="20"/>
          <w:lang w:val="en-GB"/>
        </w:rPr>
      </w:pPr>
      <w:r w:rsidRPr="00A2564A">
        <w:rPr>
          <w:sz w:val="20"/>
          <w:szCs w:val="20"/>
          <w:lang w:val="en-GB"/>
        </w:rPr>
        <w:t>Source</w:t>
      </w:r>
      <w:r>
        <w:rPr>
          <w:sz w:val="20"/>
          <w:szCs w:val="20"/>
          <w:lang w:val="en-GB"/>
        </w:rPr>
        <w:t>: a</w:t>
      </w:r>
      <w:r w:rsidRPr="00720A84">
        <w:rPr>
          <w:sz w:val="20"/>
          <w:szCs w:val="20"/>
          <w:lang w:val="en-GB"/>
        </w:rPr>
        <w:t>uthor’s calculations based on Brazilian Central Bank data, available at: htt</w:t>
      </w:r>
      <w:r>
        <w:rPr>
          <w:sz w:val="20"/>
          <w:szCs w:val="20"/>
          <w:lang w:val="en-GB"/>
        </w:rPr>
        <w:t>ps://www3.bcb.gov.br/sgspub</w:t>
      </w:r>
      <w:r w:rsidRPr="00720A84">
        <w:rPr>
          <w:sz w:val="20"/>
          <w:szCs w:val="20"/>
          <w:lang w:val="en-GB"/>
        </w:rPr>
        <w:t>.</w:t>
      </w:r>
    </w:p>
    <w:p w14:paraId="1E08F619" w14:textId="77777777" w:rsidR="00F561D9" w:rsidRPr="00720A84" w:rsidRDefault="00F561D9" w:rsidP="00F561D9">
      <w:pPr>
        <w:jc w:val="both"/>
        <w:rPr>
          <w:sz w:val="20"/>
          <w:szCs w:val="20"/>
          <w:lang w:val="en-GB"/>
        </w:rPr>
      </w:pPr>
      <w:r w:rsidRPr="00A2564A">
        <w:rPr>
          <w:sz w:val="20"/>
          <w:szCs w:val="20"/>
          <w:lang w:val="en-GB"/>
        </w:rPr>
        <w:t>Note</w:t>
      </w:r>
      <w:r>
        <w:rPr>
          <w:sz w:val="20"/>
          <w:szCs w:val="20"/>
          <w:lang w:val="en-GB"/>
        </w:rPr>
        <w:t>: “o</w:t>
      </w:r>
      <w:r w:rsidRPr="00720A84">
        <w:rPr>
          <w:sz w:val="20"/>
          <w:szCs w:val="20"/>
          <w:lang w:val="en-GB"/>
        </w:rPr>
        <w:t xml:space="preserve">thers” include a miscellaneous assortment of activities. Figures for more representative activities are shown in the table. </w:t>
      </w:r>
      <w:bookmarkStart w:id="2" w:name="OLE_LINK3"/>
      <w:bookmarkStart w:id="3" w:name="OLE_LINK4"/>
      <w:r w:rsidRPr="00720A84">
        <w:rPr>
          <w:sz w:val="20"/>
          <w:szCs w:val="20"/>
          <w:lang w:val="en-GB"/>
        </w:rPr>
        <w:t>Data presented for investments over US$ 10 million in the year.</w:t>
      </w:r>
      <w:bookmarkEnd w:id="2"/>
      <w:bookmarkEnd w:id="3"/>
    </w:p>
    <w:p w14:paraId="58D5D833" w14:textId="77777777" w:rsidR="00F561D9" w:rsidRDefault="00F561D9" w:rsidP="00F561D9">
      <w:pPr>
        <w:jc w:val="both"/>
        <w:rPr>
          <w:lang w:val="en-GB"/>
        </w:rPr>
      </w:pPr>
      <w:r w:rsidRPr="00720A84">
        <w:rPr>
          <w:lang w:val="en-GB"/>
        </w:rPr>
        <w:lastRenderedPageBreak/>
        <w:t xml:space="preserve">Given that in </w:t>
      </w:r>
      <w:r>
        <w:rPr>
          <w:lang w:val="en-GB"/>
        </w:rPr>
        <w:t>the 1990s</w:t>
      </w:r>
      <w:r w:rsidRPr="00720A84">
        <w:rPr>
          <w:lang w:val="en-GB"/>
        </w:rPr>
        <w:t xml:space="preserve"> the </w:t>
      </w:r>
      <w:r>
        <w:rPr>
          <w:lang w:val="en-GB"/>
        </w:rPr>
        <w:t>type</w:t>
      </w:r>
      <w:r w:rsidRPr="00720A84">
        <w:rPr>
          <w:lang w:val="en-GB"/>
        </w:rPr>
        <w:t xml:space="preserve"> of investment was concentrated on M&amp;A in services, participation of industry in FDI inflows remained relatively low. This does not mean, however, that no real investments were carried out by companies. The price stability and a perspective of regional integration with the creation of Merc</w:t>
      </w:r>
      <w:r>
        <w:rPr>
          <w:lang w:val="en-GB"/>
        </w:rPr>
        <w:t>osur</w:t>
      </w:r>
      <w:r w:rsidRPr="00720A84">
        <w:rPr>
          <w:lang w:val="en-GB"/>
        </w:rPr>
        <w:t xml:space="preserve"> have also attracted investments to explore a potential consumer market. In </w:t>
      </w:r>
      <w:r>
        <w:rPr>
          <w:lang w:val="en-GB"/>
        </w:rPr>
        <w:t xml:space="preserve">the </w:t>
      </w:r>
      <w:r w:rsidRPr="00720A84">
        <w:rPr>
          <w:lang w:val="en-GB"/>
        </w:rPr>
        <w:t xml:space="preserve">automobile industry, for instance, there was a movement to explore economies of scale and scope in </w:t>
      </w:r>
      <w:r w:rsidRPr="00E853AB">
        <w:rPr>
          <w:lang w:val="en-GB"/>
        </w:rPr>
        <w:t xml:space="preserve">the production between </w:t>
      </w:r>
      <w:smartTag w:uri="urn:schemas-microsoft-com:office:smarttags" w:element="country-region">
        <w:r w:rsidRPr="00E853AB">
          <w:rPr>
            <w:lang w:val="en-GB"/>
          </w:rPr>
          <w:t>Brazil</w:t>
        </w:r>
      </w:smartTag>
      <w:r w:rsidRPr="00E853AB">
        <w:rPr>
          <w:lang w:val="en-GB"/>
        </w:rPr>
        <w:t xml:space="preserve"> and </w:t>
      </w:r>
      <w:smartTag w:uri="urn:schemas-microsoft-com:office:smarttags" w:element="place">
        <w:smartTag w:uri="urn:schemas-microsoft-com:office:smarttags" w:element="country-region">
          <w:r w:rsidRPr="00E853AB">
            <w:rPr>
              <w:lang w:val="en-GB"/>
            </w:rPr>
            <w:t>Argentina</w:t>
          </w:r>
        </w:smartTag>
      </w:smartTag>
      <w:r w:rsidRPr="00E853AB">
        <w:rPr>
          <w:lang w:val="en-GB"/>
        </w:rPr>
        <w:t xml:space="preserve"> with the new automotive regime. In addition, other global players </w:t>
      </w:r>
      <w:r>
        <w:rPr>
          <w:lang w:val="en-GB"/>
        </w:rPr>
        <w:t>such as</w:t>
      </w:r>
      <w:r w:rsidRPr="00E853AB">
        <w:rPr>
          <w:lang w:val="en-GB"/>
        </w:rPr>
        <w:t xml:space="preserve"> Japanese and French companies (Honda,</w:t>
      </w:r>
      <w:r w:rsidRPr="00720A84">
        <w:rPr>
          <w:lang w:val="en-GB"/>
        </w:rPr>
        <w:t xml:space="preserve"> </w:t>
      </w:r>
      <w:smartTag w:uri="urn:schemas-microsoft-com:office:smarttags" w:element="City">
        <w:smartTag w:uri="urn:schemas-microsoft-com:office:smarttags" w:element="place">
          <w:r w:rsidRPr="00720A84">
            <w:rPr>
              <w:lang w:val="en-GB"/>
            </w:rPr>
            <w:t>Toyota</w:t>
          </w:r>
        </w:smartTag>
      </w:smartTag>
      <w:r w:rsidRPr="00720A84">
        <w:rPr>
          <w:lang w:val="en-GB"/>
        </w:rPr>
        <w:t>, Peugeot and Renault) have adopted a strategy to strengthen themselves (or definitely enter) in the domestic market conducing investments in new facilities.</w:t>
      </w:r>
    </w:p>
    <w:p w14:paraId="1ED4026F" w14:textId="77777777" w:rsidR="00F561D9" w:rsidRDefault="00F561D9" w:rsidP="00F561D9">
      <w:pPr>
        <w:jc w:val="both"/>
        <w:rPr>
          <w:lang w:val="en-GB"/>
        </w:rPr>
      </w:pPr>
    </w:p>
    <w:p w14:paraId="466E1100" w14:textId="77777777" w:rsidR="00F561D9" w:rsidRDefault="00F561D9" w:rsidP="00F561D9">
      <w:pPr>
        <w:jc w:val="both"/>
        <w:rPr>
          <w:lang w:val="en-GB"/>
        </w:rPr>
      </w:pPr>
      <w:r>
        <w:rPr>
          <w:lang w:val="en-GB"/>
        </w:rPr>
        <w:t>Since</w:t>
      </w:r>
      <w:r w:rsidRPr="00720A84">
        <w:rPr>
          <w:lang w:val="en-GB"/>
        </w:rPr>
        <w:t xml:space="preserve"> 2000, industry has regained importance in FDI inflows even though services </w:t>
      </w:r>
      <w:r>
        <w:rPr>
          <w:lang w:val="en-GB"/>
        </w:rPr>
        <w:t>sectors in general have</w:t>
      </w:r>
      <w:r w:rsidRPr="00720A84">
        <w:rPr>
          <w:lang w:val="en-GB"/>
        </w:rPr>
        <w:t xml:space="preserve"> remained the </w:t>
      </w:r>
      <w:r>
        <w:rPr>
          <w:lang w:val="en-GB"/>
        </w:rPr>
        <w:t>main</w:t>
      </w:r>
      <w:r w:rsidRPr="00720A84">
        <w:rPr>
          <w:lang w:val="en-GB"/>
        </w:rPr>
        <w:t xml:space="preserve"> foreign investment receiver. </w:t>
      </w:r>
      <w:r>
        <w:rPr>
          <w:lang w:val="en-GB"/>
        </w:rPr>
        <w:t>Economic</w:t>
      </w:r>
      <w:r w:rsidRPr="00720A84">
        <w:rPr>
          <w:lang w:val="en-GB"/>
        </w:rPr>
        <w:t xml:space="preserve"> growth recovery may explain initiatives of </w:t>
      </w:r>
      <w:r>
        <w:rPr>
          <w:lang w:val="en-GB"/>
        </w:rPr>
        <w:t>transn</w:t>
      </w:r>
      <w:r w:rsidRPr="00720A84">
        <w:rPr>
          <w:lang w:val="en-GB"/>
        </w:rPr>
        <w:t>ational</w:t>
      </w:r>
      <w:r>
        <w:rPr>
          <w:lang w:val="en-GB"/>
        </w:rPr>
        <w:t xml:space="preserve"> companies</w:t>
      </w:r>
      <w:r w:rsidRPr="00720A84">
        <w:rPr>
          <w:lang w:val="en-GB"/>
        </w:rPr>
        <w:t xml:space="preserve"> already established in </w:t>
      </w:r>
      <w:smartTag w:uri="urn:schemas-microsoft-com:office:smarttags" w:element="country-region">
        <w:smartTag w:uri="urn:schemas-microsoft-com:office:smarttags" w:element="place">
          <w:r w:rsidRPr="00720A84">
            <w:rPr>
              <w:lang w:val="en-GB"/>
            </w:rPr>
            <w:t>Brazil</w:t>
          </w:r>
        </w:smartTag>
      </w:smartTag>
      <w:r w:rsidRPr="00720A84">
        <w:rPr>
          <w:lang w:val="en-GB"/>
        </w:rPr>
        <w:t xml:space="preserve"> to increase their capacity </w:t>
      </w:r>
      <w:r>
        <w:rPr>
          <w:lang w:val="en-GB"/>
        </w:rPr>
        <w:t>and</w:t>
      </w:r>
      <w:r w:rsidRPr="00720A84">
        <w:rPr>
          <w:lang w:val="en-GB"/>
        </w:rPr>
        <w:t xml:space="preserve"> attend prospective demand. Nonetheless, it should also be considered </w:t>
      </w:r>
      <w:r>
        <w:rPr>
          <w:lang w:val="en-GB"/>
        </w:rPr>
        <w:t>the</w:t>
      </w:r>
      <w:r w:rsidRPr="00720A84">
        <w:rPr>
          <w:lang w:val="en-GB"/>
        </w:rPr>
        <w:t xml:space="preserve"> international liquidity wave after 2003</w:t>
      </w:r>
      <w:r>
        <w:rPr>
          <w:lang w:val="en-GB"/>
        </w:rPr>
        <w:t>, which on the one hand was</w:t>
      </w:r>
      <w:r w:rsidRPr="00720A84">
        <w:rPr>
          <w:lang w:val="en-GB"/>
        </w:rPr>
        <w:t xml:space="preserve"> translated into some M&amp;A movements</w:t>
      </w:r>
      <w:r>
        <w:rPr>
          <w:lang w:val="en-GB"/>
        </w:rPr>
        <w:t xml:space="preserve">, such as </w:t>
      </w:r>
      <w:r w:rsidRPr="00720A84">
        <w:rPr>
          <w:lang w:val="en-GB"/>
        </w:rPr>
        <w:t>the merger between the Belgian Interbrew and the Brazilian Ambev in 2004</w:t>
      </w:r>
      <w:r w:rsidRPr="00720A84">
        <w:rPr>
          <w:rStyle w:val="Refdenotaderodap"/>
          <w:lang w:val="en-GB"/>
        </w:rPr>
        <w:footnoteReference w:id="14"/>
      </w:r>
      <w:r>
        <w:rPr>
          <w:lang w:val="en-GB"/>
        </w:rPr>
        <w:t xml:space="preserve">, and on the other hand contributed to </w:t>
      </w:r>
      <w:r w:rsidRPr="00720A84">
        <w:rPr>
          <w:lang w:val="en-GB"/>
        </w:rPr>
        <w:t>a boom in commodity prices</w:t>
      </w:r>
      <w:r>
        <w:rPr>
          <w:lang w:val="en-GB"/>
        </w:rPr>
        <w:t xml:space="preserve"> and a rising participation of </w:t>
      </w:r>
      <w:r w:rsidRPr="00720A84">
        <w:rPr>
          <w:lang w:val="en-GB"/>
        </w:rPr>
        <w:t>primary sector</w:t>
      </w:r>
      <w:r>
        <w:rPr>
          <w:lang w:val="en-GB"/>
        </w:rPr>
        <w:t xml:space="preserve"> in FDI inflows, </w:t>
      </w:r>
      <w:r w:rsidRPr="00720A84">
        <w:rPr>
          <w:lang w:val="en-GB"/>
        </w:rPr>
        <w:t>mainly of oil</w:t>
      </w:r>
      <w:r>
        <w:rPr>
          <w:lang w:val="en-GB"/>
        </w:rPr>
        <w:t>,</w:t>
      </w:r>
      <w:r w:rsidRPr="00720A84">
        <w:rPr>
          <w:lang w:val="en-GB"/>
        </w:rPr>
        <w:t xml:space="preserve"> gas and mining sectors</w:t>
      </w:r>
      <w:r>
        <w:rPr>
          <w:lang w:val="en-GB"/>
        </w:rPr>
        <w:t xml:space="preserve">, simultaneously with </w:t>
      </w:r>
      <w:r w:rsidRPr="00720A84">
        <w:rPr>
          <w:lang w:val="en-GB"/>
        </w:rPr>
        <w:t xml:space="preserve">a decrease in services </w:t>
      </w:r>
      <w:r>
        <w:rPr>
          <w:lang w:val="en-GB"/>
        </w:rPr>
        <w:t>share</w:t>
      </w:r>
      <w:r w:rsidRPr="00720A84">
        <w:rPr>
          <w:lang w:val="en-GB"/>
        </w:rPr>
        <w:t>.</w:t>
      </w:r>
    </w:p>
    <w:p w14:paraId="078EFB14" w14:textId="77777777" w:rsidR="00F561D9" w:rsidRPr="00720A84" w:rsidRDefault="00F561D9" w:rsidP="00F561D9">
      <w:pPr>
        <w:jc w:val="both"/>
        <w:rPr>
          <w:lang w:val="en-GB"/>
        </w:rPr>
      </w:pPr>
    </w:p>
    <w:p w14:paraId="1342EC16" w14:textId="77777777" w:rsidR="00F561D9" w:rsidRDefault="00F561D9" w:rsidP="00F561D9">
      <w:pPr>
        <w:jc w:val="both"/>
        <w:rPr>
          <w:lang w:val="en-GB"/>
        </w:rPr>
      </w:pPr>
      <w:r w:rsidRPr="00720A84">
        <w:rPr>
          <w:lang w:val="en-GB"/>
        </w:rPr>
        <w:t xml:space="preserve">Last but not least, </w:t>
      </w:r>
      <w:r>
        <w:rPr>
          <w:lang w:val="en-GB"/>
        </w:rPr>
        <w:t>FDI-related</w:t>
      </w:r>
      <w:r w:rsidRPr="00720A84">
        <w:rPr>
          <w:lang w:val="en-GB"/>
        </w:rPr>
        <w:t xml:space="preserve"> income movement</w:t>
      </w:r>
      <w:r>
        <w:rPr>
          <w:lang w:val="en-GB"/>
        </w:rPr>
        <w:t>s</w:t>
      </w:r>
      <w:r w:rsidRPr="00C14DA1">
        <w:rPr>
          <w:lang w:val="en-GB"/>
        </w:rPr>
        <w:t xml:space="preserve"> </w:t>
      </w:r>
      <w:r w:rsidRPr="00720A84">
        <w:rPr>
          <w:lang w:val="en-GB"/>
        </w:rPr>
        <w:t>should be analysed</w:t>
      </w:r>
      <w:r>
        <w:rPr>
          <w:lang w:val="en-GB"/>
        </w:rPr>
        <w:t xml:space="preserve">, given the </w:t>
      </w:r>
      <w:r w:rsidRPr="00720A84">
        <w:rPr>
          <w:lang w:val="en-GB"/>
        </w:rPr>
        <w:t xml:space="preserve">massive presence of </w:t>
      </w:r>
      <w:r>
        <w:rPr>
          <w:lang w:val="en-GB"/>
        </w:rPr>
        <w:t xml:space="preserve">transnational </w:t>
      </w:r>
      <w:r w:rsidRPr="00720A84">
        <w:rPr>
          <w:lang w:val="en-GB"/>
        </w:rPr>
        <w:t xml:space="preserve">subsidiaries from developed countries in </w:t>
      </w:r>
      <w:smartTag w:uri="urn:schemas-microsoft-com:office:smarttags" w:element="place">
        <w:smartTag w:uri="urn:schemas-microsoft-com:office:smarttags" w:element="country-region">
          <w:r w:rsidRPr="00720A84">
            <w:rPr>
              <w:lang w:val="en-GB"/>
            </w:rPr>
            <w:t>Brazil</w:t>
          </w:r>
        </w:smartTag>
      </w:smartTag>
      <w:r>
        <w:rPr>
          <w:lang w:val="en-GB"/>
        </w:rPr>
        <w:t xml:space="preserve"> and their insertion in </w:t>
      </w:r>
      <w:r w:rsidRPr="00720A84">
        <w:rPr>
          <w:lang w:val="en-GB"/>
        </w:rPr>
        <w:t xml:space="preserve">a global corporate strategy. Figure </w:t>
      </w:r>
      <w:r>
        <w:rPr>
          <w:lang w:val="en-GB"/>
        </w:rPr>
        <w:t>7</w:t>
      </w:r>
      <w:r w:rsidRPr="00720A84">
        <w:rPr>
          <w:lang w:val="en-GB"/>
        </w:rPr>
        <w:t xml:space="preserve"> shows the increasing services and income deficit trend during the 1990s and especially the 2000s. The largest deficit share has corresponded to income rather than services. A higher participation of services could be observed in the early 1990s and late 2000s. From the total income deficit, FDI</w:t>
      </w:r>
      <w:r>
        <w:rPr>
          <w:lang w:val="en-GB"/>
        </w:rPr>
        <w:t>-related</w:t>
      </w:r>
      <w:r w:rsidRPr="00720A84">
        <w:rPr>
          <w:lang w:val="en-GB"/>
        </w:rPr>
        <w:t xml:space="preserve"> income has remained not much expressive until 2004, reflecting the stronger participation of interests paid for portfolio capital in the income deficit. After 2007, however, FDI</w:t>
      </w:r>
      <w:r>
        <w:rPr>
          <w:lang w:val="en-GB"/>
        </w:rPr>
        <w:t>-related</w:t>
      </w:r>
      <w:r w:rsidRPr="00720A84">
        <w:rPr>
          <w:lang w:val="en-GB"/>
        </w:rPr>
        <w:t xml:space="preserve"> income has regained participation, representing more than a half of this deficit. The absolute majority of FDI</w:t>
      </w:r>
      <w:r>
        <w:rPr>
          <w:lang w:val="en-GB"/>
        </w:rPr>
        <w:t>-related</w:t>
      </w:r>
      <w:r w:rsidRPr="00720A84">
        <w:rPr>
          <w:lang w:val="en-GB"/>
        </w:rPr>
        <w:t xml:space="preserve"> income deficit was due to profit and dividend remittances, quite a different feature in relation to the 1990s when some combination between reinvested earnings and interests paid on intercompany loans was verified.</w:t>
      </w:r>
    </w:p>
    <w:p w14:paraId="0967B5DA" w14:textId="77777777" w:rsidR="00F561D9" w:rsidRDefault="00F561D9" w:rsidP="00F561D9">
      <w:pPr>
        <w:jc w:val="both"/>
        <w:rPr>
          <w:lang w:val="en-GB"/>
        </w:rPr>
      </w:pPr>
    </w:p>
    <w:p w14:paraId="6AB825F6" w14:textId="77777777" w:rsidR="00F561D9" w:rsidRPr="00720A84" w:rsidRDefault="00F561D9" w:rsidP="00F561D9">
      <w:pPr>
        <w:jc w:val="center"/>
        <w:rPr>
          <w:b/>
          <w:lang w:val="en-GB"/>
        </w:rPr>
      </w:pPr>
      <w:bookmarkStart w:id="4" w:name="OLE_LINK7"/>
      <w:bookmarkStart w:id="5" w:name="OLE_LINK8"/>
      <w:r w:rsidRPr="00720A84">
        <w:rPr>
          <w:b/>
          <w:lang w:val="en-GB"/>
        </w:rPr>
        <w:t xml:space="preserve">Figure </w:t>
      </w:r>
      <w:r>
        <w:rPr>
          <w:b/>
          <w:lang w:val="en-GB"/>
        </w:rPr>
        <w:t>7</w:t>
      </w:r>
      <w:r w:rsidRPr="00720A84">
        <w:rPr>
          <w:b/>
          <w:lang w:val="en-GB"/>
        </w:rPr>
        <w:t xml:space="preserve">.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Income deficit details</w:t>
      </w:r>
      <w:r>
        <w:rPr>
          <w:b/>
          <w:lang w:val="en-GB"/>
        </w:rPr>
        <w:t>, 1990-2010</w:t>
      </w:r>
    </w:p>
    <w:tbl>
      <w:tblPr>
        <w:tblStyle w:val="Tabelacomgrade"/>
        <w:tblW w:w="10553"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5316"/>
        <w:gridCol w:w="5237"/>
      </w:tblGrid>
      <w:tr w:rsidR="00F561D9" w:rsidRPr="00720A84" w14:paraId="55898B61" w14:textId="77777777" w:rsidTr="006B40CA">
        <w:trPr>
          <w:trHeight w:val="3400"/>
          <w:jc w:val="center"/>
        </w:trPr>
        <w:tc>
          <w:tcPr>
            <w:tcW w:w="5316" w:type="dxa"/>
            <w:vAlign w:val="center"/>
          </w:tcPr>
          <w:p w14:paraId="3595504B" w14:textId="77777777" w:rsidR="00F561D9" w:rsidRPr="00720A84" w:rsidRDefault="00F561D9" w:rsidP="006B40CA">
            <w:pPr>
              <w:jc w:val="center"/>
              <w:rPr>
                <w:lang w:val="en-GB"/>
              </w:rPr>
            </w:pPr>
            <w:r w:rsidRPr="00720A84">
              <w:rPr>
                <w:b/>
                <w:lang w:val="en-GB"/>
              </w:rPr>
              <w:t>Services and income deficit in current account</w:t>
            </w:r>
          </w:p>
          <w:p w14:paraId="3C3625BD" w14:textId="0D22615C" w:rsidR="00F561D9" w:rsidRPr="00720A84" w:rsidRDefault="00F561D9" w:rsidP="006B40CA">
            <w:pPr>
              <w:jc w:val="center"/>
              <w:rPr>
                <w:lang w:val="en-GB"/>
              </w:rPr>
            </w:pPr>
            <w:r w:rsidRPr="00720A84">
              <w:rPr>
                <w:noProof/>
                <w:lang w:val="en-GB"/>
              </w:rPr>
              <w:drawing>
                <wp:inline distT="0" distB="0" distL="0" distR="0" wp14:anchorId="612DB68B" wp14:editId="665CB1EB">
                  <wp:extent cx="3209925" cy="19526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1952625"/>
                          </a:xfrm>
                          <a:prstGeom prst="rect">
                            <a:avLst/>
                          </a:prstGeom>
                          <a:noFill/>
                          <a:ln>
                            <a:noFill/>
                          </a:ln>
                        </pic:spPr>
                      </pic:pic>
                    </a:graphicData>
                  </a:graphic>
                </wp:inline>
              </w:drawing>
            </w:r>
          </w:p>
        </w:tc>
        <w:tc>
          <w:tcPr>
            <w:tcW w:w="5237" w:type="dxa"/>
            <w:vAlign w:val="center"/>
          </w:tcPr>
          <w:p w14:paraId="04528AFF" w14:textId="77777777" w:rsidR="00F561D9" w:rsidRPr="00720A84" w:rsidRDefault="00F561D9" w:rsidP="006B40CA">
            <w:pPr>
              <w:jc w:val="center"/>
              <w:rPr>
                <w:b/>
                <w:lang w:val="en-GB"/>
              </w:rPr>
            </w:pPr>
            <w:r>
              <w:rPr>
                <w:b/>
                <w:lang w:val="en-GB"/>
              </w:rPr>
              <w:t>FDI-related income deficit by category</w:t>
            </w:r>
            <w:r w:rsidRPr="00720A84">
              <w:rPr>
                <w:b/>
                <w:lang w:val="en-GB"/>
              </w:rPr>
              <w:t xml:space="preserve"> (%)</w:t>
            </w:r>
          </w:p>
          <w:p w14:paraId="6DAB091D" w14:textId="269AAE37" w:rsidR="00F561D9" w:rsidRPr="00720A84" w:rsidRDefault="00F561D9" w:rsidP="006B40CA">
            <w:pPr>
              <w:jc w:val="center"/>
              <w:rPr>
                <w:b/>
                <w:lang w:val="en-GB"/>
              </w:rPr>
            </w:pPr>
            <w:r w:rsidRPr="00720A84">
              <w:rPr>
                <w:noProof/>
                <w:lang w:val="en-GB"/>
              </w:rPr>
              <w:drawing>
                <wp:inline distT="0" distB="0" distL="0" distR="0" wp14:anchorId="31C0E211" wp14:editId="70206A4B">
                  <wp:extent cx="3162300" cy="19431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943100"/>
                          </a:xfrm>
                          <a:prstGeom prst="rect">
                            <a:avLst/>
                          </a:prstGeom>
                          <a:noFill/>
                          <a:ln>
                            <a:noFill/>
                          </a:ln>
                        </pic:spPr>
                      </pic:pic>
                    </a:graphicData>
                  </a:graphic>
                </wp:inline>
              </w:drawing>
            </w:r>
          </w:p>
        </w:tc>
      </w:tr>
    </w:tbl>
    <w:p w14:paraId="18B4ED2B" w14:textId="77777777" w:rsidR="00F561D9" w:rsidRPr="00720A84" w:rsidRDefault="00F561D9" w:rsidP="00F561D9">
      <w:pPr>
        <w:jc w:val="both"/>
        <w:rPr>
          <w:sz w:val="20"/>
          <w:szCs w:val="20"/>
          <w:lang w:val="en-GB"/>
        </w:rPr>
      </w:pPr>
      <w:r w:rsidRPr="00A2564A">
        <w:rPr>
          <w:sz w:val="20"/>
          <w:szCs w:val="20"/>
          <w:lang w:val="en-GB"/>
        </w:rPr>
        <w:t>Source</w:t>
      </w:r>
      <w:r>
        <w:rPr>
          <w:sz w:val="20"/>
          <w:szCs w:val="20"/>
          <w:lang w:val="en-GB"/>
        </w:rPr>
        <w:t>: a</w:t>
      </w:r>
      <w:r w:rsidRPr="00720A84">
        <w:rPr>
          <w:sz w:val="20"/>
          <w:szCs w:val="20"/>
          <w:lang w:val="en-GB"/>
        </w:rPr>
        <w:t xml:space="preserve">uthor’s calculations based on Brazilian Central Bank data, available at: </w:t>
      </w:r>
      <w:r>
        <w:rPr>
          <w:sz w:val="20"/>
          <w:szCs w:val="20"/>
          <w:lang w:val="en-GB"/>
        </w:rPr>
        <w:t>https://www3.bcb.gov.br/sgspub</w:t>
      </w:r>
      <w:r w:rsidRPr="00720A84">
        <w:rPr>
          <w:sz w:val="20"/>
          <w:szCs w:val="20"/>
          <w:lang w:val="en-GB"/>
        </w:rPr>
        <w:t>.</w:t>
      </w:r>
    </w:p>
    <w:bookmarkEnd w:id="4"/>
    <w:bookmarkEnd w:id="5"/>
    <w:p w14:paraId="6FFB57CB" w14:textId="77777777" w:rsidR="00F561D9" w:rsidRDefault="00F561D9" w:rsidP="00F561D9">
      <w:pPr>
        <w:jc w:val="both"/>
        <w:rPr>
          <w:lang w:val="en-GB"/>
        </w:rPr>
      </w:pPr>
    </w:p>
    <w:p w14:paraId="18640A66" w14:textId="77777777" w:rsidR="00F561D9" w:rsidRDefault="00F561D9" w:rsidP="00F561D9">
      <w:pPr>
        <w:jc w:val="both"/>
        <w:rPr>
          <w:lang w:val="en-GB"/>
        </w:rPr>
      </w:pPr>
      <w:r w:rsidRPr="00C14DA1">
        <w:rPr>
          <w:lang w:val="en-GB"/>
        </w:rPr>
        <w:t xml:space="preserve">These observations are particularly important in rethinking the role of </w:t>
      </w:r>
      <w:r>
        <w:rPr>
          <w:lang w:val="en-GB"/>
        </w:rPr>
        <w:t>transnational</w:t>
      </w:r>
      <w:r w:rsidRPr="00C14DA1">
        <w:rPr>
          <w:lang w:val="en-GB"/>
        </w:rPr>
        <w:t xml:space="preserve"> corporations in the country. Engaged into their global strategy and benefited from the </w:t>
      </w:r>
      <w:r>
        <w:rPr>
          <w:lang w:val="en-GB"/>
        </w:rPr>
        <w:t xml:space="preserve">lack </w:t>
      </w:r>
      <w:r w:rsidRPr="00C14DA1">
        <w:rPr>
          <w:lang w:val="en-GB"/>
        </w:rPr>
        <w:t xml:space="preserve">of capital controls, they </w:t>
      </w:r>
      <w:r>
        <w:rPr>
          <w:lang w:val="en-GB"/>
        </w:rPr>
        <w:t>promoted</w:t>
      </w:r>
      <w:r w:rsidRPr="00C14DA1">
        <w:rPr>
          <w:lang w:val="en-GB"/>
        </w:rPr>
        <w:t xml:space="preserve"> massive profit and dividend remittance</w:t>
      </w:r>
      <w:r>
        <w:rPr>
          <w:lang w:val="en-GB"/>
        </w:rPr>
        <w:t>s</w:t>
      </w:r>
      <w:r w:rsidRPr="00C14DA1">
        <w:rPr>
          <w:lang w:val="en-GB"/>
        </w:rPr>
        <w:t xml:space="preserve"> from subsidiaries in emerging markets </w:t>
      </w:r>
      <w:r>
        <w:rPr>
          <w:lang w:val="en-GB"/>
        </w:rPr>
        <w:t>such as</w:t>
      </w:r>
      <w:r w:rsidRPr="00C14DA1">
        <w:rPr>
          <w:lang w:val="en-GB"/>
        </w:rPr>
        <w:t xml:space="preserve"> </w:t>
      </w:r>
      <w:smartTag w:uri="urn:schemas-microsoft-com:office:smarttags" w:element="country-region">
        <w:smartTag w:uri="urn:schemas-microsoft-com:office:smarttags" w:element="place">
          <w:r w:rsidRPr="00C14DA1">
            <w:rPr>
              <w:lang w:val="en-GB"/>
            </w:rPr>
            <w:lastRenderedPageBreak/>
            <w:t>Brazil</w:t>
          </w:r>
        </w:smartTag>
      </w:smartTag>
      <w:r w:rsidRPr="00C14DA1">
        <w:rPr>
          <w:lang w:val="en-GB"/>
        </w:rPr>
        <w:t>, which were profitable and in expansion, to headquarters in developed countries in order to offset big l</w:t>
      </w:r>
      <w:r>
        <w:rPr>
          <w:lang w:val="en-GB"/>
        </w:rPr>
        <w:t>osses resulted from the crisis.</w:t>
      </w:r>
    </w:p>
    <w:p w14:paraId="50EFA413" w14:textId="77777777" w:rsidR="00F561D9" w:rsidRDefault="00F561D9" w:rsidP="00F561D9">
      <w:pPr>
        <w:jc w:val="both"/>
        <w:rPr>
          <w:lang w:val="en-GB"/>
        </w:rPr>
      </w:pPr>
    </w:p>
    <w:p w14:paraId="14764F83" w14:textId="77777777" w:rsidR="00F561D9" w:rsidRDefault="00F561D9" w:rsidP="00F561D9">
      <w:pPr>
        <w:jc w:val="both"/>
        <w:rPr>
          <w:lang w:val="en-GB"/>
        </w:rPr>
      </w:pPr>
      <w:r w:rsidRPr="00C14DA1">
        <w:rPr>
          <w:lang w:val="en-GB"/>
        </w:rPr>
        <w:t>Furthermore, in some industries, such as the automobile</w:t>
      </w:r>
      <w:r w:rsidRPr="00720A84">
        <w:rPr>
          <w:lang w:val="en-GB"/>
        </w:rPr>
        <w:t xml:space="preserve"> </w:t>
      </w:r>
      <w:r>
        <w:rPr>
          <w:lang w:val="en-GB"/>
        </w:rPr>
        <w:t>industry</w:t>
      </w:r>
      <w:r w:rsidRPr="00720A84">
        <w:rPr>
          <w:lang w:val="en-GB"/>
        </w:rPr>
        <w:t xml:space="preserve">, production in places </w:t>
      </w:r>
      <w:r>
        <w:rPr>
          <w:lang w:val="en-GB"/>
        </w:rPr>
        <w:t>such as</w:t>
      </w:r>
      <w:r w:rsidRPr="00720A84">
        <w:rPr>
          <w:lang w:val="en-GB"/>
        </w:rPr>
        <w:t xml:space="preserve"> </w:t>
      </w:r>
      <w:smartTag w:uri="urn:schemas-microsoft-com:office:smarttags" w:element="country-region">
        <w:r w:rsidRPr="00720A84">
          <w:rPr>
            <w:lang w:val="en-GB"/>
          </w:rPr>
          <w:t>Mexico</w:t>
        </w:r>
      </w:smartTag>
      <w:r w:rsidRPr="00720A84">
        <w:rPr>
          <w:lang w:val="en-GB"/>
        </w:rPr>
        <w:t xml:space="preserve"> was partially redirected to </w:t>
      </w:r>
      <w:smartTag w:uri="urn:schemas-microsoft-com:office:smarttags" w:element="country-region">
        <w:r w:rsidRPr="00720A84">
          <w:rPr>
            <w:lang w:val="en-GB"/>
          </w:rPr>
          <w:t>Brazil</w:t>
        </w:r>
      </w:smartTag>
      <w:r w:rsidRPr="00720A84">
        <w:rPr>
          <w:lang w:val="en-GB"/>
        </w:rPr>
        <w:t xml:space="preserve"> through increasing imports, given the </w:t>
      </w:r>
      <w:smartTag w:uri="urn:schemas-microsoft-com:office:smarttags" w:element="country-region">
        <w:r w:rsidRPr="00720A84">
          <w:rPr>
            <w:lang w:val="en-GB"/>
          </w:rPr>
          <w:t>U.S.</w:t>
        </w:r>
      </w:smartTag>
      <w:r w:rsidRPr="00720A84">
        <w:rPr>
          <w:lang w:val="en-GB"/>
        </w:rPr>
        <w:t xml:space="preserve"> stagnation, the fast demand recovery in </w:t>
      </w:r>
      <w:smartTag w:uri="urn:schemas-microsoft-com:office:smarttags" w:element="place">
        <w:smartTag w:uri="urn:schemas-microsoft-com:office:smarttags" w:element="country-region">
          <w:r w:rsidRPr="00720A84">
            <w:rPr>
              <w:lang w:val="en-GB"/>
            </w:rPr>
            <w:t>Brazil</w:t>
          </w:r>
        </w:smartTag>
      </w:smartTag>
      <w:r w:rsidRPr="00720A84">
        <w:rPr>
          <w:lang w:val="en-GB"/>
        </w:rPr>
        <w:t xml:space="preserve">, the Brazilian currency appreciation and the existence of a bilateral trade agreement between them to </w:t>
      </w:r>
      <w:r w:rsidRPr="00E853AB">
        <w:rPr>
          <w:lang w:val="en-GB"/>
        </w:rPr>
        <w:t>avoid import tariffs (ECLAC, 2009). Both movements have clearly contributed to put</w:t>
      </w:r>
      <w:r w:rsidRPr="00720A84">
        <w:rPr>
          <w:lang w:val="en-GB"/>
        </w:rPr>
        <w:t xml:space="preserve"> pressu</w:t>
      </w:r>
      <w:r>
        <w:rPr>
          <w:lang w:val="en-GB"/>
        </w:rPr>
        <w:t>re on current account deficit (f</w:t>
      </w:r>
      <w:r w:rsidRPr="00720A84">
        <w:rPr>
          <w:lang w:val="en-GB"/>
        </w:rPr>
        <w:t xml:space="preserve">igure 2) and once </w:t>
      </w:r>
      <w:r>
        <w:rPr>
          <w:lang w:val="en-GB"/>
        </w:rPr>
        <w:t>again</w:t>
      </w:r>
      <w:r w:rsidRPr="00720A84">
        <w:rPr>
          <w:lang w:val="en-GB"/>
        </w:rPr>
        <w:t xml:space="preserve"> on prospective economic growth, since the macroeconomic regime remains based on the trick growth puzzle. </w:t>
      </w:r>
      <w:r>
        <w:rPr>
          <w:lang w:val="en-GB"/>
        </w:rPr>
        <w:t xml:space="preserve">Therefore, as </w:t>
      </w:r>
      <w:r w:rsidRPr="00720A84">
        <w:rPr>
          <w:lang w:val="en-GB"/>
        </w:rPr>
        <w:t xml:space="preserve">country’s national interests and </w:t>
      </w:r>
      <w:r>
        <w:rPr>
          <w:lang w:val="en-GB"/>
        </w:rPr>
        <w:t>transnational corporations</w:t>
      </w:r>
      <w:r w:rsidRPr="00720A84">
        <w:rPr>
          <w:lang w:val="en-GB"/>
        </w:rPr>
        <w:t xml:space="preserve">’ interests inside the country </w:t>
      </w:r>
      <w:r>
        <w:rPr>
          <w:lang w:val="en-GB"/>
        </w:rPr>
        <w:t xml:space="preserve">do </w:t>
      </w:r>
      <w:r w:rsidRPr="00720A84">
        <w:rPr>
          <w:lang w:val="en-GB"/>
        </w:rPr>
        <w:t xml:space="preserve">not necessarily coincide, policy initiatives to manage them </w:t>
      </w:r>
      <w:r>
        <w:rPr>
          <w:lang w:val="en-GB"/>
        </w:rPr>
        <w:t xml:space="preserve">are required </w:t>
      </w:r>
      <w:r w:rsidRPr="00720A84">
        <w:rPr>
          <w:lang w:val="en-GB"/>
        </w:rPr>
        <w:t>when</w:t>
      </w:r>
      <w:r>
        <w:rPr>
          <w:lang w:val="en-GB"/>
        </w:rPr>
        <w:t>ever</w:t>
      </w:r>
      <w:r w:rsidRPr="00720A84">
        <w:rPr>
          <w:lang w:val="en-GB"/>
        </w:rPr>
        <w:t xml:space="preserve"> a long-term national development strategy indeed exists.</w:t>
      </w:r>
      <w:r>
        <w:rPr>
          <w:lang w:val="en-GB"/>
        </w:rPr>
        <w:t xml:space="preserve"> </w:t>
      </w:r>
      <w:r w:rsidRPr="00E853AB">
        <w:rPr>
          <w:lang w:val="en-GB"/>
        </w:rPr>
        <w:t>As Chang (2003c, p.269) points out</w:t>
      </w:r>
      <w:r>
        <w:rPr>
          <w:lang w:val="en-GB"/>
        </w:rPr>
        <w:t>:</w:t>
      </w:r>
    </w:p>
    <w:p w14:paraId="19D50991" w14:textId="77777777" w:rsidR="00F561D9" w:rsidRDefault="00F561D9" w:rsidP="00F561D9">
      <w:pPr>
        <w:jc w:val="both"/>
        <w:rPr>
          <w:lang w:val="en-GB"/>
        </w:rPr>
      </w:pPr>
    </w:p>
    <w:p w14:paraId="1CDCC343" w14:textId="77777777" w:rsidR="00F561D9" w:rsidRPr="0017780E" w:rsidRDefault="00F561D9" w:rsidP="00F561D9">
      <w:pPr>
        <w:ind w:left="1134"/>
        <w:jc w:val="both"/>
        <w:rPr>
          <w:sz w:val="22"/>
          <w:szCs w:val="22"/>
          <w:lang w:val="en-GB"/>
        </w:rPr>
      </w:pPr>
      <w:r w:rsidRPr="0017780E">
        <w:rPr>
          <w:sz w:val="22"/>
          <w:szCs w:val="22"/>
          <w:lang w:val="en-GB"/>
        </w:rPr>
        <w:t>“the current literature tends to regard the process of globalisation and the rise of TNCs as an unstoppable process that no one can control and in which nations, especially developing nations, are passive agents that will have to fully embrace this process or perish. However, such a view is misleading, since there is a lot of room for manoeuvre for national governments and since such room may even be increasing for some countries in some industries, especially with the recent aggressive expansion of some TNCs from East Asia [or, in general, from developing economies]. It would be a big mistake for a developing country to voluntarily give up all such room for manoeuvre by adopting a universally liberal FDI policy across all sectors. What is needed is a more differentiated and strategic approach to TNCs, which will allow host countries to intelligently ‘use’ TNCs for their long-term developmental purposes”.</w:t>
      </w:r>
    </w:p>
    <w:p w14:paraId="5C3BB509" w14:textId="77777777" w:rsidR="00F561D9" w:rsidRPr="00720A84" w:rsidRDefault="00F561D9" w:rsidP="00F561D9">
      <w:pPr>
        <w:jc w:val="both"/>
        <w:rPr>
          <w:lang w:val="en-GB"/>
        </w:rPr>
      </w:pPr>
    </w:p>
    <w:p w14:paraId="799CEFFC" w14:textId="77777777" w:rsidR="00F561D9" w:rsidRPr="00720A84" w:rsidRDefault="00F561D9" w:rsidP="00F561D9">
      <w:pPr>
        <w:jc w:val="both"/>
        <w:rPr>
          <w:b/>
          <w:lang w:val="en-GB"/>
        </w:rPr>
      </w:pPr>
      <w:r w:rsidRPr="00720A84">
        <w:rPr>
          <w:b/>
          <w:lang w:val="en-GB"/>
        </w:rPr>
        <w:t xml:space="preserve">2. Emerging Brazilian </w:t>
      </w:r>
      <w:r>
        <w:rPr>
          <w:b/>
          <w:lang w:val="en-GB"/>
        </w:rPr>
        <w:t>trans</w:t>
      </w:r>
      <w:r w:rsidRPr="00720A84">
        <w:rPr>
          <w:b/>
          <w:lang w:val="en-GB"/>
        </w:rPr>
        <w:t>national</w:t>
      </w:r>
      <w:r>
        <w:rPr>
          <w:b/>
          <w:lang w:val="en-GB"/>
        </w:rPr>
        <w:t xml:space="preserve"> companies</w:t>
      </w:r>
      <w:r w:rsidRPr="00720A84">
        <w:rPr>
          <w:b/>
          <w:lang w:val="en-GB"/>
        </w:rPr>
        <w:t>: a recent</w:t>
      </w:r>
      <w:r>
        <w:rPr>
          <w:b/>
          <w:lang w:val="en-GB"/>
        </w:rPr>
        <w:t xml:space="preserve"> but</w:t>
      </w:r>
      <w:r w:rsidRPr="00720A84">
        <w:rPr>
          <w:b/>
          <w:lang w:val="en-GB"/>
        </w:rPr>
        <w:t xml:space="preserve"> still limited process</w:t>
      </w:r>
    </w:p>
    <w:p w14:paraId="14AF8EF6" w14:textId="77777777" w:rsidR="00F561D9" w:rsidRPr="002F16C6" w:rsidRDefault="00F561D9" w:rsidP="00F561D9">
      <w:pPr>
        <w:jc w:val="both"/>
        <w:rPr>
          <w:lang w:val="en-GB"/>
        </w:rPr>
      </w:pPr>
    </w:p>
    <w:p w14:paraId="2E0C22F3" w14:textId="77777777" w:rsidR="00F561D9" w:rsidRDefault="00F561D9" w:rsidP="00F561D9">
      <w:pPr>
        <w:jc w:val="both"/>
        <w:rPr>
          <w:lang w:val="en-GB"/>
        </w:rPr>
      </w:pPr>
      <w:r>
        <w:rPr>
          <w:lang w:val="en-GB"/>
        </w:rPr>
        <w:t xml:space="preserve">Brazilian outward expansion is a much more recent phenomenon. Even after the economic openness in the early 1990s, there was no strong movement of Brazilian companies going global in that decade, probably as a consequence of a competitive need for assuring first their markets domestically. It is clear how the outward FDI stock has almost not changed during the 1990s, except for a slight increase in the last years, resulting in a marked drop in </w:t>
      </w:r>
      <w:smartTag w:uri="urn:schemas-microsoft-com:office:smarttags" w:element="country-region">
        <w:smartTag w:uri="urn:schemas-microsoft-com:office:smarttags" w:element="place">
          <w:r>
            <w:rPr>
              <w:lang w:val="en-GB"/>
            </w:rPr>
            <w:t>Brazil</w:t>
          </w:r>
        </w:smartTag>
      </w:smartTag>
      <w:r>
        <w:rPr>
          <w:lang w:val="en-GB"/>
        </w:rPr>
        <w:t>’s total world participation (figure 8). Some attempts, however, have been made, especially after the price stabilisation and the institutional framework to establish Mercosur.</w:t>
      </w:r>
      <w:r w:rsidRPr="00DD7E01">
        <w:rPr>
          <w:lang w:val="en-GB"/>
        </w:rPr>
        <w:t xml:space="preserve"> </w:t>
      </w:r>
      <w:r>
        <w:rPr>
          <w:lang w:val="en-GB"/>
        </w:rPr>
        <w:t xml:space="preserve">In the fiercer competitive environment, some companies have engaged into the internationalisation strategy mainly to conquer regional markets. Most of them concentrate their operations in </w:t>
      </w:r>
      <w:smartTag w:uri="urn:schemas-microsoft-com:office:smarttags" w:element="place">
        <w:r>
          <w:rPr>
            <w:lang w:val="en-GB"/>
          </w:rPr>
          <w:t>Latin America</w:t>
        </w:r>
      </w:smartTag>
      <w:r>
        <w:rPr>
          <w:lang w:val="en-GB"/>
        </w:rPr>
        <w:t xml:space="preserve"> and have </w:t>
      </w:r>
      <w:r w:rsidRPr="00E853AB">
        <w:rPr>
          <w:lang w:val="en-GB"/>
        </w:rPr>
        <w:t>quite often expanded themselves abroad through acquisitions (Fleury &amp; Fleury, 2009).</w:t>
      </w:r>
    </w:p>
    <w:p w14:paraId="22A584DE" w14:textId="77777777" w:rsidR="00F561D9" w:rsidRDefault="00F561D9" w:rsidP="00F561D9">
      <w:pPr>
        <w:jc w:val="both"/>
        <w:rPr>
          <w:lang w:val="en-GB"/>
        </w:rPr>
      </w:pPr>
    </w:p>
    <w:p w14:paraId="42E70227" w14:textId="77777777" w:rsidR="00F561D9" w:rsidRPr="00720A84" w:rsidRDefault="00F561D9" w:rsidP="00F561D9">
      <w:pPr>
        <w:jc w:val="center"/>
        <w:rPr>
          <w:b/>
          <w:lang w:val="en-GB"/>
        </w:rPr>
      </w:pPr>
      <w:r w:rsidRPr="00720A84">
        <w:rPr>
          <w:b/>
          <w:lang w:val="en-GB"/>
        </w:rPr>
        <w:t xml:space="preserve">Figure </w:t>
      </w:r>
      <w:r>
        <w:rPr>
          <w:b/>
          <w:lang w:val="en-GB"/>
        </w:rPr>
        <w:t>8</w:t>
      </w:r>
      <w:r w:rsidRPr="00720A84">
        <w:rPr>
          <w:b/>
          <w:lang w:val="en-GB"/>
        </w:rPr>
        <w:t xml:space="preserve">. </w:t>
      </w:r>
      <w:smartTag w:uri="urn:schemas-microsoft-com:office:smarttags" w:element="country-region">
        <w:smartTag w:uri="urn:schemas-microsoft-com:office:smarttags" w:element="place">
          <w:r w:rsidRPr="00720A84">
            <w:rPr>
              <w:b/>
              <w:lang w:val="en-GB"/>
            </w:rPr>
            <w:t>Brazil</w:t>
          </w:r>
        </w:smartTag>
      </w:smartTag>
      <w:r w:rsidRPr="00720A84">
        <w:rPr>
          <w:b/>
          <w:lang w:val="en-GB"/>
        </w:rPr>
        <w:t xml:space="preserve">: </w:t>
      </w:r>
      <w:r>
        <w:rPr>
          <w:b/>
          <w:lang w:val="en-GB"/>
        </w:rPr>
        <w:t>Outward FDI flows and stock, 1990-2010</w:t>
      </w:r>
    </w:p>
    <w:tbl>
      <w:tblPr>
        <w:tblStyle w:val="Tabelacomgrade"/>
        <w:tblW w:w="9837"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4912"/>
        <w:gridCol w:w="4925"/>
      </w:tblGrid>
      <w:tr w:rsidR="00F561D9" w:rsidRPr="00720A84" w14:paraId="25BCE533" w14:textId="77777777" w:rsidTr="006B40CA">
        <w:trPr>
          <w:trHeight w:val="3154"/>
          <w:jc w:val="center"/>
        </w:trPr>
        <w:tc>
          <w:tcPr>
            <w:tcW w:w="4912" w:type="dxa"/>
            <w:vAlign w:val="center"/>
          </w:tcPr>
          <w:p w14:paraId="334A7347" w14:textId="77777777" w:rsidR="00F561D9" w:rsidRPr="00F0690C" w:rsidRDefault="00F561D9" w:rsidP="006B40CA">
            <w:pPr>
              <w:jc w:val="center"/>
              <w:rPr>
                <w:lang w:val="en-GB"/>
              </w:rPr>
            </w:pPr>
            <w:r w:rsidRPr="00F0690C">
              <w:rPr>
                <w:b/>
                <w:lang w:val="en-GB"/>
              </w:rPr>
              <w:t>FDI outflows</w:t>
            </w:r>
          </w:p>
          <w:p w14:paraId="4A352DDA" w14:textId="3400E6A6" w:rsidR="00F561D9" w:rsidRPr="00D3618D" w:rsidRDefault="00F561D9" w:rsidP="006B40CA">
            <w:pPr>
              <w:jc w:val="center"/>
              <w:rPr>
                <w:lang w:val="en-GB"/>
              </w:rPr>
            </w:pPr>
            <w:r w:rsidRPr="00D3618D">
              <w:rPr>
                <w:noProof/>
                <w:lang w:val="en-GB"/>
              </w:rPr>
              <w:drawing>
                <wp:inline distT="0" distB="0" distL="0" distR="0" wp14:anchorId="4FAD6B69" wp14:editId="08C62187">
                  <wp:extent cx="2762250" cy="1847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1847850"/>
                          </a:xfrm>
                          <a:prstGeom prst="rect">
                            <a:avLst/>
                          </a:prstGeom>
                          <a:noFill/>
                          <a:ln>
                            <a:noFill/>
                          </a:ln>
                        </pic:spPr>
                      </pic:pic>
                    </a:graphicData>
                  </a:graphic>
                </wp:inline>
              </w:drawing>
            </w:r>
          </w:p>
        </w:tc>
        <w:tc>
          <w:tcPr>
            <w:tcW w:w="4925" w:type="dxa"/>
            <w:vAlign w:val="center"/>
          </w:tcPr>
          <w:p w14:paraId="752CF3D6" w14:textId="77777777" w:rsidR="00F561D9" w:rsidRPr="00F0690C" w:rsidRDefault="00F561D9" w:rsidP="006B40CA">
            <w:pPr>
              <w:jc w:val="center"/>
              <w:rPr>
                <w:b/>
                <w:lang w:val="en-GB"/>
              </w:rPr>
            </w:pPr>
            <w:r w:rsidRPr="00F0690C">
              <w:rPr>
                <w:b/>
                <w:lang w:val="en-GB"/>
              </w:rPr>
              <w:t>Outward FDI stock</w:t>
            </w:r>
          </w:p>
          <w:p w14:paraId="58934B4E" w14:textId="2933E46B" w:rsidR="00F561D9" w:rsidRPr="00D3618D" w:rsidRDefault="00F561D9" w:rsidP="006B40CA">
            <w:pPr>
              <w:jc w:val="center"/>
              <w:rPr>
                <w:b/>
                <w:lang w:val="en-GB"/>
              </w:rPr>
            </w:pPr>
            <w:r w:rsidRPr="00D3618D">
              <w:rPr>
                <w:b/>
                <w:noProof/>
                <w:lang w:val="en-GB"/>
              </w:rPr>
              <w:drawing>
                <wp:inline distT="0" distB="0" distL="0" distR="0" wp14:anchorId="4AFE6EB0" wp14:editId="44526D32">
                  <wp:extent cx="2781300" cy="1847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847850"/>
                          </a:xfrm>
                          <a:prstGeom prst="rect">
                            <a:avLst/>
                          </a:prstGeom>
                          <a:noFill/>
                          <a:ln>
                            <a:noFill/>
                          </a:ln>
                        </pic:spPr>
                      </pic:pic>
                    </a:graphicData>
                  </a:graphic>
                </wp:inline>
              </w:drawing>
            </w:r>
          </w:p>
        </w:tc>
      </w:tr>
    </w:tbl>
    <w:p w14:paraId="5AB1A4A6" w14:textId="77777777" w:rsidR="00F561D9" w:rsidRPr="00720A84" w:rsidRDefault="00F561D9" w:rsidP="00F561D9">
      <w:pPr>
        <w:pStyle w:val="Textodenotaderodap"/>
        <w:jc w:val="both"/>
        <w:rPr>
          <w:lang w:val="en-GB"/>
        </w:rPr>
      </w:pPr>
      <w:r w:rsidRPr="00A2564A">
        <w:rPr>
          <w:lang w:val="en-GB"/>
        </w:rPr>
        <w:t>Source</w:t>
      </w:r>
      <w:r>
        <w:rPr>
          <w:lang w:val="en-GB"/>
        </w:rPr>
        <w:t>: a</w:t>
      </w:r>
      <w:r w:rsidRPr="00720A84">
        <w:rPr>
          <w:lang w:val="en-GB"/>
        </w:rPr>
        <w:t xml:space="preserve">uthor’s calculations based on </w:t>
      </w:r>
      <w:r>
        <w:rPr>
          <w:lang w:val="en-GB"/>
        </w:rPr>
        <w:t>UNCTAD</w:t>
      </w:r>
      <w:r w:rsidRPr="00720A84">
        <w:rPr>
          <w:lang w:val="en-GB"/>
        </w:rPr>
        <w:t xml:space="preserve"> data, available at:</w:t>
      </w:r>
      <w:r>
        <w:rPr>
          <w:lang w:val="en-GB"/>
        </w:rPr>
        <w:t xml:space="preserve"> http://unctadstat.unctad.org/</w:t>
      </w:r>
      <w:r w:rsidRPr="00720A84">
        <w:rPr>
          <w:lang w:val="en-GB"/>
        </w:rPr>
        <w:t>.</w:t>
      </w:r>
    </w:p>
    <w:p w14:paraId="6C066D50" w14:textId="77777777" w:rsidR="00F561D9" w:rsidRDefault="00F561D9" w:rsidP="00F561D9">
      <w:pPr>
        <w:jc w:val="both"/>
        <w:rPr>
          <w:lang w:val="en-GB"/>
        </w:rPr>
      </w:pPr>
    </w:p>
    <w:p w14:paraId="4D9C7D50" w14:textId="77777777" w:rsidR="00F561D9" w:rsidRDefault="00F561D9" w:rsidP="00F561D9">
      <w:pPr>
        <w:jc w:val="both"/>
        <w:rPr>
          <w:lang w:val="en-GB"/>
        </w:rPr>
      </w:pPr>
      <w:r>
        <w:rPr>
          <w:lang w:val="en-GB"/>
        </w:rPr>
        <w:t xml:space="preserve">Brazilian outward movement has been marked by some particular features. Firstly, in 2000s companies intensified their investments abroad not only in near regions, but also in developed </w:t>
      </w:r>
      <w:r>
        <w:rPr>
          <w:lang w:val="en-GB"/>
        </w:rPr>
        <w:lastRenderedPageBreak/>
        <w:t xml:space="preserve">economies. The process, however, still remains more characterised as a regional rather than a global internationalisation, in the sense companies continue investing above all in Latin America or, more specifically, Mercosur, where they have better market positions and can benefit from a favourable trade and investment institutional framework with partner countries. Secondly, most corporations have preferentially engaged into the internationalisation movement through M&amp;A operations rather than </w:t>
      </w:r>
      <w:smartTag w:uri="urn:schemas-microsoft-com:office:smarttags" w:element="City">
        <w:smartTag w:uri="urn:schemas-microsoft-com:office:smarttags" w:element="place">
          <w:r>
            <w:rPr>
              <w:lang w:val="en-GB"/>
            </w:rPr>
            <w:t>greenfield</w:t>
          </w:r>
        </w:smartTag>
      </w:smartTag>
      <w:r>
        <w:rPr>
          <w:lang w:val="en-GB"/>
        </w:rPr>
        <w:t xml:space="preserve"> investments, although construction of new facilities and joint venture partnerships were also observed (see appendix table).</w:t>
      </w:r>
    </w:p>
    <w:p w14:paraId="07804B98" w14:textId="77777777" w:rsidR="00F561D9" w:rsidRDefault="00F561D9" w:rsidP="00F561D9">
      <w:pPr>
        <w:jc w:val="both"/>
        <w:rPr>
          <w:lang w:val="en-GB"/>
        </w:rPr>
      </w:pPr>
    </w:p>
    <w:p w14:paraId="5FE0BE6A" w14:textId="77777777" w:rsidR="00F561D9" w:rsidRDefault="00F561D9" w:rsidP="00F561D9">
      <w:pPr>
        <w:jc w:val="both"/>
        <w:rPr>
          <w:lang w:val="en-GB"/>
        </w:rPr>
      </w:pPr>
      <w:r>
        <w:rPr>
          <w:lang w:val="en-GB"/>
        </w:rPr>
        <w:t>Thirdly, Brazilian internationalisation process still relies on a small, although increasing, number of companies, among which there is a large disparity and polarisation (figure 9). In fact, the number of big businesses with a strong presence abroad is even more limited. Only a few, such as Petrobrás, Vale, Gerdau, Ambev</w:t>
      </w:r>
      <w:r>
        <w:rPr>
          <w:rStyle w:val="Refdenotaderodap"/>
          <w:lang w:val="en-GB"/>
        </w:rPr>
        <w:footnoteReference w:id="15"/>
      </w:r>
      <w:r>
        <w:rPr>
          <w:lang w:val="en-GB"/>
        </w:rPr>
        <w:t>, Votorantim and Odebrecht, have presented both total sales and number of units abroad higher than the average. The great majority of companies, however, have shown similar size and number of international units, just below the mean.</w:t>
      </w:r>
    </w:p>
    <w:p w14:paraId="4BF5CB30" w14:textId="77777777" w:rsidR="00F561D9" w:rsidRDefault="00F561D9" w:rsidP="00F561D9">
      <w:pPr>
        <w:jc w:val="both"/>
        <w:rPr>
          <w:lang w:val="en-GB"/>
        </w:rPr>
      </w:pPr>
    </w:p>
    <w:p w14:paraId="2F80D2BF" w14:textId="77777777" w:rsidR="00F561D9" w:rsidRPr="00720A84" w:rsidRDefault="00F561D9" w:rsidP="00F561D9">
      <w:pPr>
        <w:jc w:val="center"/>
        <w:rPr>
          <w:b/>
          <w:lang w:val="en-GB"/>
        </w:rPr>
      </w:pPr>
      <w:r w:rsidRPr="00720A84">
        <w:rPr>
          <w:b/>
          <w:lang w:val="en-GB"/>
        </w:rPr>
        <w:t xml:space="preserve">Figure </w:t>
      </w:r>
      <w:r>
        <w:rPr>
          <w:b/>
          <w:lang w:val="en-GB"/>
        </w:rPr>
        <w:t>9</w:t>
      </w:r>
      <w:r w:rsidRPr="00720A84">
        <w:rPr>
          <w:b/>
          <w:lang w:val="en-GB"/>
        </w:rPr>
        <w:t xml:space="preserve">. Distribution of Brazilian </w:t>
      </w:r>
      <w:r>
        <w:rPr>
          <w:b/>
          <w:lang w:val="en-GB"/>
        </w:rPr>
        <w:t>trans</w:t>
      </w:r>
      <w:r w:rsidRPr="00720A84">
        <w:rPr>
          <w:b/>
          <w:lang w:val="en-GB"/>
        </w:rPr>
        <w:t>national</w:t>
      </w:r>
      <w:r>
        <w:rPr>
          <w:b/>
          <w:lang w:val="en-GB"/>
        </w:rPr>
        <w:t xml:space="preserve"> corporations</w:t>
      </w:r>
      <w:r w:rsidRPr="00720A84">
        <w:rPr>
          <w:b/>
          <w:lang w:val="en-GB"/>
        </w:rPr>
        <w:t>’ standardised size and number of units abroad</w:t>
      </w:r>
      <w:r>
        <w:rPr>
          <w:b/>
          <w:lang w:val="en-GB"/>
        </w:rPr>
        <w:t xml:space="preserve"> before the crisis, 2007</w:t>
      </w:r>
    </w:p>
    <w:p w14:paraId="7C21A8D9" w14:textId="73F960F5" w:rsidR="00F561D9" w:rsidRPr="00720A84" w:rsidRDefault="00F561D9" w:rsidP="00F561D9">
      <w:pPr>
        <w:jc w:val="center"/>
        <w:rPr>
          <w:lang w:val="en-GB"/>
        </w:rPr>
      </w:pPr>
      <w:r w:rsidRPr="00720A84">
        <w:rPr>
          <w:noProof/>
          <w:lang w:val="en-GB"/>
        </w:rPr>
        <mc:AlternateContent>
          <mc:Choice Requires="wps">
            <w:drawing>
              <wp:anchor distT="0" distB="0" distL="114300" distR="114300" simplePos="0" relativeHeight="251660288" behindDoc="0" locked="0" layoutInCell="1" allowOverlap="1" wp14:anchorId="70F8996F" wp14:editId="7B407C9C">
                <wp:simplePos x="0" y="0"/>
                <wp:positionH relativeFrom="column">
                  <wp:posOffset>2762250</wp:posOffset>
                </wp:positionH>
                <wp:positionV relativeFrom="paragraph">
                  <wp:posOffset>1339215</wp:posOffset>
                </wp:positionV>
                <wp:extent cx="198120" cy="198120"/>
                <wp:effectExtent l="53340" t="9525" r="5715" b="49530"/>
                <wp:wrapNone/>
                <wp:docPr id="18" name="Conector re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12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400A0" id="Conector reto 1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05.45pt" to="233.1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">
                <v:stroke endarrow="block"/>
              </v:line>
            </w:pict>
          </mc:Fallback>
        </mc:AlternateContent>
      </w:r>
      <w:r w:rsidRPr="00720A84">
        <w:rPr>
          <w:noProof/>
          <w:lang w:val="en-GB"/>
        </w:rPr>
        <mc:AlternateContent>
          <mc:Choice Requires="wps">
            <w:drawing>
              <wp:anchor distT="0" distB="0" distL="114300" distR="114300" simplePos="0" relativeHeight="251659264" behindDoc="0" locked="0" layoutInCell="1" allowOverlap="1" wp14:anchorId="0C23337C" wp14:editId="472CCBF2">
                <wp:simplePos x="0" y="0"/>
                <wp:positionH relativeFrom="column">
                  <wp:posOffset>2919095</wp:posOffset>
                </wp:positionH>
                <wp:positionV relativeFrom="paragraph">
                  <wp:posOffset>1076325</wp:posOffset>
                </wp:positionV>
                <wp:extent cx="309880" cy="309880"/>
                <wp:effectExtent l="10160" t="13335" r="13335" b="10160"/>
                <wp:wrapNone/>
                <wp:docPr id="17"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880" cy="3098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BC5FF" id="Elipse 17" o:spid="_x0000_s1026" style="position:absolute;margin-left:229.85pt;margin-top:84.75pt;width:24.4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" filled="f"/>
            </w:pict>
          </mc:Fallback>
        </mc:AlternateContent>
      </w:r>
      <w:r w:rsidRPr="00720A84">
        <w:rPr>
          <w:noProof/>
          <w:lang w:val="en-GB"/>
        </w:rPr>
        <w:drawing>
          <wp:inline distT="0" distB="0" distL="0" distR="0" wp14:anchorId="1DE94416" wp14:editId="73032281">
            <wp:extent cx="3629025" cy="24860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486025"/>
                    </a:xfrm>
                    <a:prstGeom prst="rect">
                      <a:avLst/>
                    </a:prstGeom>
                    <a:noFill/>
                    <a:ln>
                      <a:noFill/>
                    </a:ln>
                  </pic:spPr>
                </pic:pic>
              </a:graphicData>
            </a:graphic>
          </wp:inline>
        </w:drawing>
      </w:r>
    </w:p>
    <w:p w14:paraId="32578744" w14:textId="77777777" w:rsidR="00F561D9" w:rsidRPr="00720A84" w:rsidRDefault="00F561D9" w:rsidP="00F561D9">
      <w:pPr>
        <w:pStyle w:val="Textodenotaderodap"/>
        <w:jc w:val="both"/>
        <w:rPr>
          <w:lang w:val="en-GB"/>
        </w:rPr>
      </w:pPr>
      <w:r w:rsidRPr="00A2564A">
        <w:rPr>
          <w:lang w:val="en-GB"/>
        </w:rPr>
        <w:t>Source</w:t>
      </w:r>
      <w:r>
        <w:rPr>
          <w:lang w:val="en-GB"/>
        </w:rPr>
        <w:t>: a</w:t>
      </w:r>
      <w:r w:rsidRPr="00E853AB">
        <w:rPr>
          <w:lang w:val="en-GB"/>
        </w:rPr>
        <w:t xml:space="preserve">uthor’s calculations based on data from Fleury &amp; Fleury (2009) presented at </w:t>
      </w:r>
      <w:r>
        <w:rPr>
          <w:lang w:val="en-GB"/>
        </w:rPr>
        <w:t>the appendix table</w:t>
      </w:r>
      <w:r w:rsidRPr="00E853AB">
        <w:rPr>
          <w:lang w:val="en-GB"/>
        </w:rPr>
        <w:t>.</w:t>
      </w:r>
    </w:p>
    <w:p w14:paraId="62ED0E0C" w14:textId="77777777" w:rsidR="00F561D9" w:rsidRPr="00720A84" w:rsidRDefault="00F561D9" w:rsidP="00F561D9">
      <w:pPr>
        <w:pStyle w:val="Textodenotaderodap"/>
        <w:jc w:val="both"/>
        <w:rPr>
          <w:lang w:val="en-GB"/>
        </w:rPr>
      </w:pPr>
      <w:r w:rsidRPr="00A2564A">
        <w:rPr>
          <w:lang w:val="en-GB"/>
        </w:rPr>
        <w:t>Note</w:t>
      </w:r>
      <w:r>
        <w:rPr>
          <w:lang w:val="en-GB"/>
        </w:rPr>
        <w:t>: f</w:t>
      </w:r>
      <w:r w:rsidRPr="00720A84">
        <w:rPr>
          <w:lang w:val="en-GB"/>
        </w:rPr>
        <w:t xml:space="preserve">rom </w:t>
      </w:r>
      <w:r>
        <w:rPr>
          <w:lang w:val="en-GB"/>
        </w:rPr>
        <w:t>the appendix table</w:t>
      </w:r>
      <w:r w:rsidRPr="00720A84">
        <w:rPr>
          <w:lang w:val="en-GB"/>
        </w:rPr>
        <w:t>, Braskem, Camargo Correa, Coopinhal, Duas Rodas, Metagal, Ibope and YKP were not considered due to the lack of either size or units abroad information. For variables size and number of units abroad, mean and standard deviation for the 41 remaining companies were, respectively, US$ 5,175 million and US$ 12,945 million and 14 units and 22 units.</w:t>
      </w:r>
    </w:p>
    <w:p w14:paraId="3B40D41A" w14:textId="77777777" w:rsidR="00F561D9" w:rsidRDefault="00F561D9" w:rsidP="00F561D9">
      <w:pPr>
        <w:jc w:val="both"/>
        <w:rPr>
          <w:lang w:val="en-GB"/>
        </w:rPr>
      </w:pPr>
    </w:p>
    <w:p w14:paraId="4115B8F2" w14:textId="77777777" w:rsidR="00F561D9" w:rsidRDefault="00F561D9" w:rsidP="00F561D9">
      <w:pPr>
        <w:jc w:val="both"/>
        <w:rPr>
          <w:lang w:val="en-GB"/>
        </w:rPr>
      </w:pPr>
      <w:r>
        <w:rPr>
          <w:lang w:val="en-GB"/>
        </w:rPr>
        <w:t>UNCTAD</w:t>
      </w:r>
      <w:r w:rsidRPr="00E853AB">
        <w:rPr>
          <w:lang w:val="en-GB"/>
        </w:rPr>
        <w:t xml:space="preserve"> (2009) also indicates a relatively</w:t>
      </w:r>
      <w:r>
        <w:rPr>
          <w:lang w:val="en-GB"/>
        </w:rPr>
        <w:t xml:space="preserve"> limited number of Brazilian global giant </w:t>
      </w:r>
      <w:r w:rsidRPr="00B34A72">
        <w:rPr>
          <w:lang w:val="en-GB"/>
        </w:rPr>
        <w:t>players. Among the top 100 non-financial transnational corporations from developing countries</w:t>
      </w:r>
      <w:r w:rsidRPr="00B34A72">
        <w:rPr>
          <w:rStyle w:val="Refdenotaderodap"/>
          <w:lang w:val="en-GB"/>
        </w:rPr>
        <w:footnoteReference w:id="16"/>
      </w:r>
      <w:r w:rsidRPr="00B34A72">
        <w:rPr>
          <w:lang w:val="en-GB"/>
        </w:rPr>
        <w:t xml:space="preserve">, there were only three </w:t>
      </w:r>
      <w:r>
        <w:rPr>
          <w:lang w:val="en-GB"/>
        </w:rPr>
        <w:t xml:space="preserve">from </w:t>
      </w:r>
      <w:smartTag w:uri="urn:schemas-microsoft-com:office:smarttags" w:element="country-region">
        <w:smartTag w:uri="urn:schemas-microsoft-com:office:smarttags" w:element="place">
          <w:r w:rsidRPr="00B34A72">
            <w:rPr>
              <w:lang w:val="en-GB"/>
            </w:rPr>
            <w:t>Brazil</w:t>
          </w:r>
        </w:smartTag>
      </w:smartTag>
      <w:r>
        <w:rPr>
          <w:lang w:val="en-GB"/>
        </w:rPr>
        <w:t xml:space="preserve"> in 2007 (Vale, Petrobrás and Gerdau)</w:t>
      </w:r>
      <w:r w:rsidRPr="00B34A72">
        <w:rPr>
          <w:lang w:val="en-GB"/>
        </w:rPr>
        <w:t>. This does not mean, however, the</w:t>
      </w:r>
      <w:r>
        <w:rPr>
          <w:lang w:val="en-GB"/>
        </w:rPr>
        <w:t xml:space="preserve"> inexistence of other leading companies able to compete and, especially as a result of the crisis, to consolidate abroad</w:t>
      </w:r>
      <w:r>
        <w:rPr>
          <w:rStyle w:val="Refdenotaderodap"/>
          <w:lang w:val="en-GB"/>
        </w:rPr>
        <w:footnoteReference w:id="17"/>
      </w:r>
      <w:r>
        <w:rPr>
          <w:lang w:val="en-GB"/>
        </w:rPr>
        <w:t>. They have international presence, but are concentrated in particular market niches, such as Embraer in the aircraft industry.</w:t>
      </w:r>
    </w:p>
    <w:p w14:paraId="7964EB09" w14:textId="77777777" w:rsidR="00F561D9" w:rsidRDefault="00F561D9" w:rsidP="00F561D9">
      <w:pPr>
        <w:jc w:val="both"/>
        <w:rPr>
          <w:lang w:val="en-GB"/>
        </w:rPr>
      </w:pPr>
    </w:p>
    <w:p w14:paraId="2F99B148" w14:textId="77777777" w:rsidR="00F561D9" w:rsidRDefault="00F561D9" w:rsidP="00F561D9">
      <w:pPr>
        <w:jc w:val="both"/>
        <w:rPr>
          <w:lang w:val="en-GB"/>
        </w:rPr>
      </w:pPr>
      <w:r w:rsidRPr="00D8095F">
        <w:rPr>
          <w:lang w:val="en-US"/>
        </w:rPr>
        <w:t>Finally, although</w:t>
      </w:r>
      <w:r>
        <w:rPr>
          <w:lang w:val="en-GB"/>
        </w:rPr>
        <w:t xml:space="preserve"> Brazilian transnational companies operate in different sectors, most of them not closely related to each other, they are more concentrated in low-tech segments, expressed by the </w:t>
      </w:r>
      <w:r>
        <w:rPr>
          <w:lang w:val="en-GB"/>
        </w:rPr>
        <w:lastRenderedPageBreak/>
        <w:t>predominance of resource-based companies, basic input suppliers, construction enterprises and consumer goods producers. In fact, this reflects the previously stressed structure of national business. Only a few companies are equipment and component suppliers (most in automotive industry) and systems assemblers which involve a higher technological degree (e.g. Embraer and Marcopolo).</w:t>
      </w:r>
    </w:p>
    <w:p w14:paraId="3632D81F" w14:textId="77777777" w:rsidR="00F561D9" w:rsidRDefault="00F561D9" w:rsidP="00F561D9">
      <w:pPr>
        <w:jc w:val="both"/>
        <w:rPr>
          <w:lang w:val="en-GB"/>
        </w:rPr>
      </w:pPr>
    </w:p>
    <w:p w14:paraId="5799E33E" w14:textId="77777777" w:rsidR="00F561D9" w:rsidRDefault="00F561D9" w:rsidP="00F561D9">
      <w:pPr>
        <w:jc w:val="both"/>
        <w:rPr>
          <w:lang w:val="en-GB"/>
        </w:rPr>
      </w:pPr>
      <w:r>
        <w:rPr>
          <w:lang w:val="en-GB"/>
        </w:rPr>
        <w:t>Given these characteristics of internationalised national groups, the</w:t>
      </w:r>
      <w:r w:rsidRPr="00720A84">
        <w:rPr>
          <w:lang w:val="en-GB"/>
        </w:rPr>
        <w:t xml:space="preserve"> </w:t>
      </w:r>
      <w:r>
        <w:rPr>
          <w:lang w:val="en-GB"/>
        </w:rPr>
        <w:t xml:space="preserve">sharp </w:t>
      </w:r>
      <w:r w:rsidRPr="00720A84">
        <w:rPr>
          <w:lang w:val="en-GB"/>
        </w:rPr>
        <w:t xml:space="preserve">rise of Brazilian </w:t>
      </w:r>
      <w:r>
        <w:rPr>
          <w:lang w:val="en-GB"/>
        </w:rPr>
        <w:t>outward movement in the 2000s</w:t>
      </w:r>
      <w:r w:rsidRPr="00720A84">
        <w:rPr>
          <w:lang w:val="en-GB"/>
        </w:rPr>
        <w:t xml:space="preserve"> may be </w:t>
      </w:r>
      <w:r>
        <w:rPr>
          <w:lang w:val="en-GB"/>
        </w:rPr>
        <w:t>explained by a combination of interrelated international and domestic macroeconomic conditions, structural factors, competitive strategies and supportive measures for internationalisation. International liquidity and growing markets were inviting conditions for companies to expand their operations abroad both as an opportunity to produce near their customers and as a source of finance for their activities in international financial markets. In this sense, national currency appreciation trend has benefited them to raise foreign funds. Together with the decline of domestic interest rates, this movement has meant a structural change towards the reduction in the cost of credit</w:t>
      </w:r>
      <w:r>
        <w:rPr>
          <w:rStyle w:val="Refdenotaderodap"/>
          <w:lang w:val="en-GB"/>
        </w:rPr>
        <w:footnoteReference w:id="18"/>
      </w:r>
      <w:r>
        <w:rPr>
          <w:lang w:val="en-GB"/>
        </w:rPr>
        <w:t>.</w:t>
      </w:r>
    </w:p>
    <w:p w14:paraId="45AFB463" w14:textId="77777777" w:rsidR="00F561D9" w:rsidRDefault="00F561D9" w:rsidP="00F561D9">
      <w:pPr>
        <w:jc w:val="both"/>
        <w:rPr>
          <w:lang w:val="en-GB"/>
        </w:rPr>
      </w:pPr>
    </w:p>
    <w:p w14:paraId="00A82544" w14:textId="77777777" w:rsidR="00F561D9" w:rsidRDefault="00F561D9" w:rsidP="00F561D9">
      <w:pPr>
        <w:jc w:val="both"/>
        <w:rPr>
          <w:lang w:val="en-GB"/>
        </w:rPr>
      </w:pPr>
      <w:r>
        <w:rPr>
          <w:lang w:val="en-GB"/>
        </w:rPr>
        <w:t>Another relevant feature is related to the boom in commodity prices. Given the abundance of natural resources in the country and the fact that many Brazilian large companies are resource-based, they could register huge gains and consequently intensify their consolidation process as global players.</w:t>
      </w:r>
    </w:p>
    <w:p w14:paraId="4DAA5960" w14:textId="77777777" w:rsidR="00F561D9" w:rsidRDefault="00F561D9" w:rsidP="00F561D9">
      <w:pPr>
        <w:jc w:val="both"/>
        <w:rPr>
          <w:lang w:val="en-GB"/>
        </w:rPr>
      </w:pPr>
    </w:p>
    <w:p w14:paraId="1B339025" w14:textId="77777777" w:rsidR="00F561D9" w:rsidRDefault="00F561D9" w:rsidP="00F561D9">
      <w:pPr>
        <w:jc w:val="both"/>
        <w:rPr>
          <w:lang w:val="en-GB"/>
        </w:rPr>
      </w:pPr>
      <w:r>
        <w:rPr>
          <w:lang w:val="en-GB"/>
        </w:rPr>
        <w:t xml:space="preserve">It should be mentioned, additionally, the shift in </w:t>
      </w:r>
      <w:r w:rsidRPr="00720A84">
        <w:rPr>
          <w:lang w:val="en-GB"/>
        </w:rPr>
        <w:t xml:space="preserve">governmental </w:t>
      </w:r>
      <w:r>
        <w:rPr>
          <w:lang w:val="en-GB"/>
        </w:rPr>
        <w:t>orientation</w:t>
      </w:r>
      <w:r w:rsidRPr="00720A84">
        <w:rPr>
          <w:lang w:val="en-GB"/>
        </w:rPr>
        <w:t xml:space="preserve"> towards the </w:t>
      </w:r>
      <w:r>
        <w:rPr>
          <w:lang w:val="en-GB"/>
        </w:rPr>
        <w:t xml:space="preserve">expansion of companies activities abroad. Despite </w:t>
      </w:r>
      <w:r w:rsidRPr="00757B7E">
        <w:rPr>
          <w:lang w:val="en-GB"/>
        </w:rPr>
        <w:t xml:space="preserve">no deliberate policy focused on supporting </w:t>
      </w:r>
      <w:r>
        <w:rPr>
          <w:lang w:val="en-GB"/>
        </w:rPr>
        <w:t>specific sectors</w:t>
      </w:r>
      <w:r w:rsidRPr="00757B7E">
        <w:rPr>
          <w:lang w:val="en-GB"/>
        </w:rPr>
        <w:t xml:space="preserve">, </w:t>
      </w:r>
      <w:r>
        <w:rPr>
          <w:lang w:val="en-GB"/>
        </w:rPr>
        <w:t xml:space="preserve">there has been </w:t>
      </w:r>
      <w:r w:rsidRPr="00757B7E">
        <w:rPr>
          <w:lang w:val="en-GB"/>
        </w:rPr>
        <w:t xml:space="preserve">at least a recognition that having large national corporations able to compete globally is a decisive component to </w:t>
      </w:r>
      <w:r>
        <w:rPr>
          <w:lang w:val="en-GB"/>
        </w:rPr>
        <w:t>attenuate country’s external vulnerability</w:t>
      </w:r>
      <w:r w:rsidRPr="00757B7E">
        <w:rPr>
          <w:lang w:val="en-GB"/>
        </w:rPr>
        <w:t xml:space="preserve"> to international market conditions in a more liberalised world where competition is not limited to national boundaries anymore. Consequently, supportive initiatives to companies’ internationalisation have become a governmental concern</w:t>
      </w:r>
      <w:r>
        <w:rPr>
          <w:rStyle w:val="Refdenotaderodap"/>
          <w:lang w:val="en-GB"/>
        </w:rPr>
        <w:footnoteReference w:id="19"/>
      </w:r>
      <w:r w:rsidRPr="00757B7E">
        <w:rPr>
          <w:lang w:val="en-GB"/>
        </w:rPr>
        <w:t>.</w:t>
      </w:r>
    </w:p>
    <w:p w14:paraId="242D9956" w14:textId="77777777" w:rsidR="00F561D9" w:rsidRDefault="00F561D9" w:rsidP="00F561D9">
      <w:pPr>
        <w:jc w:val="both"/>
        <w:rPr>
          <w:lang w:val="en-GB"/>
        </w:rPr>
      </w:pPr>
    </w:p>
    <w:p w14:paraId="04602D12" w14:textId="77777777" w:rsidR="00F561D9" w:rsidRDefault="00F561D9" w:rsidP="00F561D9">
      <w:pPr>
        <w:jc w:val="both"/>
        <w:rPr>
          <w:lang w:val="en-GB"/>
        </w:rPr>
      </w:pPr>
      <w:r>
        <w:rPr>
          <w:lang w:val="en-GB"/>
        </w:rPr>
        <w:t>In 2002 BNDES created a credit line to support the outward process of domestic corporations</w:t>
      </w:r>
      <w:r>
        <w:rPr>
          <w:rStyle w:val="Refdenotaderodap"/>
          <w:lang w:val="en-GB"/>
        </w:rPr>
        <w:footnoteReference w:id="20"/>
      </w:r>
      <w:r>
        <w:rPr>
          <w:lang w:val="en-GB"/>
        </w:rPr>
        <w:t xml:space="preserve">. The bank also established an office in </w:t>
      </w:r>
      <w:smartTag w:uri="urn:schemas-microsoft-com:office:smarttags" w:element="City">
        <w:r>
          <w:rPr>
            <w:lang w:val="en-GB"/>
          </w:rPr>
          <w:t>Montevideo</w:t>
        </w:r>
      </w:smartTag>
      <w:r>
        <w:rPr>
          <w:lang w:val="en-GB"/>
        </w:rPr>
        <w:t xml:space="preserve"> and a subsidiary (BNDES Limited) in </w:t>
      </w:r>
      <w:smartTag w:uri="urn:schemas-microsoft-com:office:smarttags" w:element="City">
        <w:smartTag w:uri="urn:schemas-microsoft-com:office:smarttags" w:element="place">
          <w:r>
            <w:rPr>
              <w:lang w:val="en-GB"/>
            </w:rPr>
            <w:t>London</w:t>
          </w:r>
        </w:smartTag>
      </w:smartTag>
      <w:r>
        <w:rPr>
          <w:lang w:val="en-GB"/>
        </w:rPr>
        <w:t xml:space="preserve"> in 2009 as an effort to enlarge its operations in regional and international markets. The expansion of such supportive initiatives was conditioned by the improvement in external accounts, i.e. the elimination of the balance of payments constraint through current account surpluses obtained after 2003 (figure 2) and the accumulation of international reserves (figure 3). This fact reveals the importance of managing the balance of payments in order to avoid discontinuities in conditions and policies necessary for the internationalisation process.</w:t>
      </w:r>
    </w:p>
    <w:p w14:paraId="78ADC12F" w14:textId="77777777" w:rsidR="00F561D9" w:rsidRDefault="00F561D9" w:rsidP="00F561D9">
      <w:pPr>
        <w:jc w:val="both"/>
        <w:rPr>
          <w:lang w:val="en-GB"/>
        </w:rPr>
      </w:pPr>
    </w:p>
    <w:p w14:paraId="3CD92A60" w14:textId="77777777" w:rsidR="00F561D9" w:rsidRDefault="00F561D9" w:rsidP="00F561D9">
      <w:pPr>
        <w:jc w:val="both"/>
        <w:rPr>
          <w:lang w:val="en-GB"/>
        </w:rPr>
      </w:pPr>
      <w:r>
        <w:rPr>
          <w:lang w:val="en-GB"/>
        </w:rPr>
        <w:t xml:space="preserve">However, governments should be aware of not promoting an “undesirable </w:t>
      </w:r>
      <w:r w:rsidRPr="00E853AB">
        <w:rPr>
          <w:lang w:val="en-GB"/>
        </w:rPr>
        <w:t>internationalisation”</w:t>
      </w:r>
      <w:r>
        <w:rPr>
          <w:lang w:val="en-GB"/>
        </w:rPr>
        <w:t xml:space="preserve">, once </w:t>
      </w:r>
      <w:r w:rsidRPr="00E853AB">
        <w:rPr>
          <w:lang w:val="en-US"/>
        </w:rPr>
        <w:t>companies could start</w:t>
      </w:r>
      <w:r>
        <w:rPr>
          <w:lang w:val="en-US"/>
        </w:rPr>
        <w:t xml:space="preserve"> investing and producing elsewhere as </w:t>
      </w:r>
      <w:r>
        <w:rPr>
          <w:lang w:val="en-GB"/>
        </w:rPr>
        <w:t xml:space="preserve">a response to domestic unfavourable competitive and macroeconomic policies, such as appreciated exchange rate, inadequate internal finance conditions and high tax burden. In such a case, they would prefer to expand their operations abroad rather than domestically, causing a fall in national production, employment and income levels. In the internationalisation process governments should promote there is neither a crowding out </w:t>
      </w:r>
      <w:r>
        <w:rPr>
          <w:lang w:val="en-GB"/>
        </w:rPr>
        <w:lastRenderedPageBreak/>
        <w:t>movement between domestic and international production nor the suppression of national productive basis (in other words, a deindustrialisation process), but on the contrary a consolidation and competitive expansion of corporations’ activities, requiring that policies be inserted into a coordinated national development plan.</w:t>
      </w:r>
    </w:p>
    <w:p w14:paraId="723B79EA" w14:textId="77777777" w:rsidR="00F561D9" w:rsidRDefault="00F561D9" w:rsidP="00F561D9">
      <w:pPr>
        <w:jc w:val="both"/>
        <w:rPr>
          <w:lang w:val="en-GB"/>
        </w:rPr>
      </w:pPr>
    </w:p>
    <w:p w14:paraId="6EC10C6D" w14:textId="77777777" w:rsidR="00F561D9" w:rsidRDefault="00F561D9" w:rsidP="00F561D9">
      <w:pPr>
        <w:jc w:val="both"/>
        <w:rPr>
          <w:lang w:val="en-GB"/>
        </w:rPr>
      </w:pPr>
      <w:r>
        <w:rPr>
          <w:lang w:val="en-GB"/>
        </w:rPr>
        <w:t xml:space="preserve">It is difficult to assess in which extent </w:t>
      </w:r>
      <w:smartTag w:uri="urn:schemas-microsoft-com:office:smarttags" w:element="country-region">
        <w:r>
          <w:rPr>
            <w:lang w:val="en-GB"/>
          </w:rPr>
          <w:t>Brazil</w:t>
        </w:r>
      </w:smartTag>
      <w:r>
        <w:rPr>
          <w:lang w:val="en-GB"/>
        </w:rPr>
        <w:t xml:space="preserve"> has experimented or not an “undesirable internationalisation”, more probable to occur towards closer and trade partner countries such as </w:t>
      </w:r>
      <w:smartTag w:uri="urn:schemas-microsoft-com:office:smarttags" w:element="place">
        <w:smartTag w:uri="urn:schemas-microsoft-com:office:smarttags" w:element="country-region">
          <w:r>
            <w:rPr>
              <w:lang w:val="en-GB"/>
            </w:rPr>
            <w:t>Argentina</w:t>
          </w:r>
        </w:smartTag>
      </w:smartTag>
      <w:r>
        <w:rPr>
          <w:lang w:val="en-GB"/>
        </w:rPr>
        <w:t>, but it should certainly be a governmental concern, especially given some unfavourable macroeconomic conditions. In addition, if on the one hand the context of international economic crisis gives the opportunity for large and competitive companies from emerging economies to expand themselves abroad, mainly through acquisitions, on the other hand it requires an increase in domestic finance and thus in governmental support to sustain the outward movement.</w:t>
      </w:r>
    </w:p>
    <w:p w14:paraId="7F06ACB4" w14:textId="77777777" w:rsidR="00F561D9" w:rsidRDefault="00F561D9" w:rsidP="00F561D9">
      <w:pPr>
        <w:jc w:val="both"/>
        <w:rPr>
          <w:lang w:val="en-GB"/>
        </w:rPr>
      </w:pPr>
    </w:p>
    <w:p w14:paraId="3E1C6004" w14:textId="77777777" w:rsidR="00F561D9" w:rsidRPr="00720A84" w:rsidRDefault="00F561D9" w:rsidP="00F561D9">
      <w:pPr>
        <w:jc w:val="both"/>
        <w:rPr>
          <w:b/>
          <w:lang w:val="en-GB"/>
        </w:rPr>
      </w:pPr>
      <w:r w:rsidRPr="00720A84">
        <w:rPr>
          <w:b/>
          <w:lang w:val="en-GB"/>
        </w:rPr>
        <w:t>Concluding remarks</w:t>
      </w:r>
    </w:p>
    <w:p w14:paraId="619C3F36" w14:textId="77777777" w:rsidR="00F561D9" w:rsidRDefault="00F561D9" w:rsidP="00F561D9">
      <w:pPr>
        <w:jc w:val="both"/>
        <w:rPr>
          <w:lang w:val="en-GB"/>
        </w:rPr>
      </w:pPr>
    </w:p>
    <w:p w14:paraId="4231D894" w14:textId="77777777" w:rsidR="00F561D9" w:rsidRDefault="00F561D9" w:rsidP="00F561D9">
      <w:pPr>
        <w:jc w:val="both"/>
        <w:rPr>
          <w:lang w:val="en-GB"/>
        </w:rPr>
      </w:pPr>
      <w:r>
        <w:rPr>
          <w:lang w:val="en-GB"/>
        </w:rPr>
        <w:t xml:space="preserve">The discussion presented in this paper raised some central issues of the nature of foreign inward investments and the recent increasing expansion of national companies abroad, especially regarding the Brazilian development trajectory over the last two decades. On the one hand, there was a remarkable shift in FDI inflows into the country from a M&amp;A movement focused on services mainly as a result of the privatisation boom in the 1990s to more productive investments given the economic growth recovery between 2004 and the emergence of the global economic crisis. </w:t>
      </w:r>
      <w:r w:rsidRPr="001643E3">
        <w:rPr>
          <w:lang w:val="en-GB"/>
        </w:rPr>
        <w:t xml:space="preserve">On the other hand, </w:t>
      </w:r>
      <w:r>
        <w:rPr>
          <w:lang w:val="en-GB"/>
        </w:rPr>
        <w:t xml:space="preserve">despite the still limited number of large Brazilian companies at global level, there was </w:t>
      </w:r>
      <w:r w:rsidRPr="001643E3">
        <w:rPr>
          <w:lang w:val="en-GB"/>
        </w:rPr>
        <w:t xml:space="preserve">a rising internationalisation process of </w:t>
      </w:r>
      <w:r>
        <w:rPr>
          <w:lang w:val="en-GB"/>
        </w:rPr>
        <w:t>these corporations</w:t>
      </w:r>
      <w:r w:rsidRPr="001643E3">
        <w:rPr>
          <w:lang w:val="en-GB"/>
        </w:rPr>
        <w:t xml:space="preserve"> </w:t>
      </w:r>
      <w:r>
        <w:rPr>
          <w:lang w:val="en-GB"/>
        </w:rPr>
        <w:t>over</w:t>
      </w:r>
      <w:r w:rsidRPr="001643E3">
        <w:rPr>
          <w:lang w:val="en-GB"/>
        </w:rPr>
        <w:t xml:space="preserve"> the last years.</w:t>
      </w:r>
    </w:p>
    <w:p w14:paraId="0D4E7711" w14:textId="77777777" w:rsidR="00F561D9" w:rsidRDefault="00F561D9" w:rsidP="00F561D9">
      <w:pPr>
        <w:jc w:val="both"/>
        <w:rPr>
          <w:lang w:val="en-GB"/>
        </w:rPr>
      </w:pPr>
    </w:p>
    <w:p w14:paraId="163A7DBA" w14:textId="77777777" w:rsidR="00F561D9" w:rsidRDefault="00F561D9" w:rsidP="00F561D9">
      <w:pPr>
        <w:jc w:val="both"/>
        <w:rPr>
          <w:lang w:val="en-GB"/>
        </w:rPr>
      </w:pPr>
      <w:r>
        <w:rPr>
          <w:lang w:val="en-GB"/>
        </w:rPr>
        <w:t>The approach adopted in this paper highlights the understanding of both movements in the light of domestic economic policy reorientation that together with changing international economic conditions influence corporate strategies and their investment decisions. During the 1990s neoliberal reforms towards economic openness were implemented and a clear free market biased framework regarding economic policy</w:t>
      </w:r>
      <w:r w:rsidRPr="00A70884">
        <w:rPr>
          <w:lang w:val="en-GB"/>
        </w:rPr>
        <w:t xml:space="preserve"> </w:t>
      </w:r>
      <w:r>
        <w:rPr>
          <w:lang w:val="en-GB"/>
        </w:rPr>
        <w:t>was dominant. Capital mobility was thus encouraged in full, exposing the country to external vulnerabilities. In 1999, immediately after the Brazilian currency crisis, a new but also orthodox macroeconomic regime was adopted.</w:t>
      </w:r>
    </w:p>
    <w:p w14:paraId="5CF60509" w14:textId="77777777" w:rsidR="00F561D9" w:rsidRDefault="00F561D9" w:rsidP="00F561D9">
      <w:pPr>
        <w:jc w:val="both"/>
        <w:rPr>
          <w:lang w:val="en-GB"/>
        </w:rPr>
      </w:pPr>
    </w:p>
    <w:p w14:paraId="652C1A83" w14:textId="77777777" w:rsidR="00F561D9" w:rsidRDefault="00F561D9" w:rsidP="00F561D9">
      <w:pPr>
        <w:jc w:val="both"/>
        <w:rPr>
          <w:lang w:val="en-GB"/>
        </w:rPr>
      </w:pPr>
      <w:r>
        <w:rPr>
          <w:lang w:val="en-GB"/>
        </w:rPr>
        <w:t>After 2004, however, favourable international economic conditions – such as the liquidity recovery, the increasing Chinese demand and a rise in commodity prices – together with a more developmental view in the government to promote growth and equity as policy counterbalances created room for the beginning of structural changes. Current account surpluses and the accumulation of international reserves as a shield against external shocks were decisive to the adoption of supportive internationalisation measures taken under the recognition of the need for promoting large companies able to compete abroad. A reduction in the cost of credit has also contributed to strengthen company finances and let them go global – inclusive through acquisition opportunities opened during the economic crisis – as well as to boost consumption and investment, thus achieving higher growth rates, a pull factor for foreign investments in new productive capacity.</w:t>
      </w:r>
    </w:p>
    <w:p w14:paraId="6801F12C" w14:textId="77777777" w:rsidR="00F561D9" w:rsidRDefault="00F561D9" w:rsidP="00F561D9">
      <w:pPr>
        <w:jc w:val="both"/>
        <w:rPr>
          <w:lang w:val="en-GB"/>
        </w:rPr>
      </w:pPr>
    </w:p>
    <w:p w14:paraId="2D8E202B" w14:textId="77777777" w:rsidR="00F561D9" w:rsidRDefault="00F561D9" w:rsidP="00F561D9">
      <w:pPr>
        <w:jc w:val="both"/>
        <w:rPr>
          <w:lang w:val="en-GB"/>
        </w:rPr>
      </w:pPr>
      <w:r>
        <w:rPr>
          <w:lang w:val="en-GB"/>
        </w:rPr>
        <w:t>Nevertheless, some challenges, which are further aggravated by the developments of the international crisis, arise from both inward and outward processes to the domestic recovery of a sustained development trajectory. Firstly, negative effects of possible corporate rearrangements in worldwide or regional production networks could be mentioned on: (a) country’s external accounts, when there are intense profit and dividend remittances under the global corporate strategy and increasing imports to take advantages from local markets in expansion; (b) national productive basis, when an “undesirable internationalisation” occurs as a result of domestic push factors (e.g. adverse macroeconomic conditions) or when national production starts to be substituted by imports from elsewhere in order to meet a rising domestic demand.</w:t>
      </w:r>
    </w:p>
    <w:p w14:paraId="4074DCC6" w14:textId="77777777" w:rsidR="00F561D9" w:rsidRDefault="00F561D9" w:rsidP="00F561D9">
      <w:pPr>
        <w:jc w:val="both"/>
        <w:rPr>
          <w:lang w:val="en-GB"/>
        </w:rPr>
      </w:pPr>
    </w:p>
    <w:p w14:paraId="5E4678E3" w14:textId="77777777" w:rsidR="00F561D9" w:rsidRDefault="00F561D9" w:rsidP="00F561D9">
      <w:pPr>
        <w:jc w:val="both"/>
        <w:rPr>
          <w:lang w:val="en-GB"/>
        </w:rPr>
      </w:pPr>
      <w:r>
        <w:rPr>
          <w:lang w:val="en-GB"/>
        </w:rPr>
        <w:t xml:space="preserve">Secondly, there is a concern about the direction of macroeconomic policies – especially the trend in foreign exchange and interest rates – and the balance of payments management, in order to avoid constraints that may lead either economic growth or internationalisation supportive measures to be </w:t>
      </w:r>
      <w:r w:rsidRPr="00665B42">
        <w:rPr>
          <w:lang w:val="en-GB"/>
        </w:rPr>
        <w:t xml:space="preserve">aborted. Foreign exchange and interest rates are key macroeconomic prices that together with sector specific competitiveness conditions influence businessmen decisions to invest, so that policies addressing their level and stability are central to encourage them to take such a long-term decision.  Under the developments of the international crisis, however, the management of these policies has proved </w:t>
      </w:r>
      <w:r>
        <w:rPr>
          <w:lang w:val="en-GB"/>
        </w:rPr>
        <w:t xml:space="preserve">to be </w:t>
      </w:r>
      <w:r w:rsidRPr="00665B42">
        <w:rPr>
          <w:lang w:val="en-GB"/>
        </w:rPr>
        <w:t>more difficult and a rising lack of confidence of businessmen has been observed, therefore resulting in lower economic dynamism.</w:t>
      </w:r>
    </w:p>
    <w:p w14:paraId="509877F4" w14:textId="77777777" w:rsidR="00F561D9" w:rsidRDefault="00F561D9" w:rsidP="00F561D9">
      <w:pPr>
        <w:jc w:val="both"/>
        <w:rPr>
          <w:lang w:val="en-GB"/>
        </w:rPr>
      </w:pPr>
    </w:p>
    <w:p w14:paraId="043E9D2B" w14:textId="77777777" w:rsidR="00F561D9" w:rsidRDefault="00F561D9" w:rsidP="00F561D9">
      <w:pPr>
        <w:jc w:val="both"/>
        <w:rPr>
          <w:lang w:val="en-GB"/>
        </w:rPr>
      </w:pPr>
      <w:r>
        <w:rPr>
          <w:lang w:val="en-GB"/>
        </w:rPr>
        <w:t>Thirdly, the nature of the Brazilian outward movement becomes another central issue, once it is characterised as relatively concentrated in near economies and above all low-tech segments</w:t>
      </w:r>
      <w:r w:rsidRPr="00746C17">
        <w:rPr>
          <w:lang w:val="en-GB"/>
        </w:rPr>
        <w:t xml:space="preserve"> </w:t>
      </w:r>
      <w:r>
        <w:rPr>
          <w:lang w:val="en-GB"/>
        </w:rPr>
        <w:t>with low spillovers in the economic structure despite the existence of some sector and market diversification. In the context of the international crisis, some opportunities arise in terms of foreign acquisitions. However, it does not seem to be the general case for most Brazilian companies as they are facing as well fierce competition domestically from imported goods. Additionally, the quick deterioration of external accounts recently has become a grave governmental concern and so has reduced the impetus for internationalisation supportive measures.</w:t>
      </w:r>
    </w:p>
    <w:p w14:paraId="71201FB5" w14:textId="77777777" w:rsidR="00F561D9" w:rsidRDefault="00F561D9" w:rsidP="00F561D9">
      <w:pPr>
        <w:jc w:val="both"/>
        <w:rPr>
          <w:lang w:val="en-GB"/>
        </w:rPr>
      </w:pPr>
    </w:p>
    <w:p w14:paraId="786D5F95" w14:textId="77777777" w:rsidR="00F561D9" w:rsidRPr="00720A84" w:rsidRDefault="00F561D9" w:rsidP="00F561D9">
      <w:pPr>
        <w:jc w:val="both"/>
        <w:rPr>
          <w:lang w:val="en-GB"/>
        </w:rPr>
      </w:pPr>
      <w:r>
        <w:rPr>
          <w:lang w:val="en-GB"/>
        </w:rPr>
        <w:t>In the face of these challenges posed by both inward and outward movements, state intervention is required in order to combine contrasting interests between transnational corporations and the country as well as to restore both economic growth and internationalisation processes necessary to achieve a sustained development pattern at international level. Hence, the way the state handles capital and trade flows, especially whether inserted into a clear and broad national development plan less vulnerable to changes in conjuncture, becomes a crucial determinant of the development trajectory the country can follow given the international economic dynamics.</w:t>
      </w:r>
    </w:p>
    <w:p w14:paraId="16F8C8A6" w14:textId="77777777" w:rsidR="00F561D9" w:rsidRDefault="00F561D9" w:rsidP="00F561D9">
      <w:pPr>
        <w:jc w:val="both"/>
        <w:rPr>
          <w:lang w:val="en-GB"/>
        </w:rPr>
      </w:pPr>
    </w:p>
    <w:p w14:paraId="613642F9" w14:textId="77777777" w:rsidR="00F561D9" w:rsidRPr="00162291" w:rsidRDefault="00F561D9" w:rsidP="00F561D9">
      <w:pPr>
        <w:jc w:val="both"/>
        <w:rPr>
          <w:b/>
        </w:rPr>
      </w:pPr>
      <w:r w:rsidRPr="00162291">
        <w:rPr>
          <w:b/>
        </w:rPr>
        <w:t>References</w:t>
      </w:r>
    </w:p>
    <w:p w14:paraId="79B42CE9" w14:textId="77777777" w:rsidR="00F561D9" w:rsidRDefault="00F561D9" w:rsidP="00F561D9">
      <w:pPr>
        <w:jc w:val="both"/>
      </w:pPr>
    </w:p>
    <w:p w14:paraId="102BDA69" w14:textId="77777777" w:rsidR="00F561D9" w:rsidRPr="0000429C" w:rsidRDefault="00F561D9" w:rsidP="00F561D9">
      <w:pPr>
        <w:jc w:val="both"/>
        <w:rPr>
          <w:lang w:val="en-US"/>
        </w:rPr>
      </w:pPr>
      <w:r w:rsidRPr="0000429C">
        <w:t xml:space="preserve">Arestis, P. (2007). </w:t>
      </w:r>
      <w:r w:rsidRPr="0000429C">
        <w:rPr>
          <w:lang w:val="en-US"/>
        </w:rPr>
        <w:t xml:space="preserve">“What is the New Consensus in Macroeconomics?”, in P. Arestis, ed., </w:t>
      </w:r>
      <w:r w:rsidRPr="0000429C">
        <w:rPr>
          <w:i/>
          <w:iCs/>
          <w:lang w:val="en-US"/>
        </w:rPr>
        <w:t>Is there a New Consensus in Macroeconomics?</w:t>
      </w:r>
      <w:r w:rsidRPr="0000429C">
        <w:rPr>
          <w:lang w:val="en-US"/>
        </w:rPr>
        <w:t xml:space="preserve"> (</w:t>
      </w:r>
      <w:smartTag w:uri="urn:schemas-microsoft-com:office:smarttags" w:element="place">
        <w:r w:rsidRPr="0000429C">
          <w:rPr>
            <w:lang w:val="en-US"/>
          </w:rPr>
          <w:t>Basingstoke</w:t>
        </w:r>
      </w:smartTag>
      <w:r w:rsidRPr="0000429C">
        <w:rPr>
          <w:lang w:val="en-US"/>
        </w:rPr>
        <w:t>: Palgrave Macmillan).</w:t>
      </w:r>
    </w:p>
    <w:p w14:paraId="7D66BA0B" w14:textId="77777777" w:rsidR="00F561D9" w:rsidRPr="0000429C" w:rsidRDefault="00F561D9" w:rsidP="00F561D9">
      <w:pPr>
        <w:jc w:val="both"/>
        <w:rPr>
          <w:lang w:val="en-US"/>
        </w:rPr>
      </w:pPr>
    </w:p>
    <w:p w14:paraId="68FC3845" w14:textId="77777777" w:rsidR="00F561D9" w:rsidRPr="0000429C" w:rsidRDefault="00F561D9" w:rsidP="00F561D9">
      <w:pPr>
        <w:jc w:val="both"/>
      </w:pPr>
      <w:r w:rsidRPr="0000429C">
        <w:t xml:space="preserve">Batista Jr., P. N. (1996). “O Plano Real à luz da experiência mexicana e argentina”, </w:t>
      </w:r>
      <w:r w:rsidRPr="0000429C">
        <w:rPr>
          <w:i/>
        </w:rPr>
        <w:t>Estudos Avançados</w:t>
      </w:r>
      <w:r w:rsidRPr="0000429C">
        <w:t>, São Paulo, Brazil, 10 (28), pp.129-197.</w:t>
      </w:r>
    </w:p>
    <w:p w14:paraId="2F07AE12" w14:textId="77777777" w:rsidR="00F561D9" w:rsidRPr="0000429C" w:rsidRDefault="00F561D9" w:rsidP="00F561D9">
      <w:pPr>
        <w:jc w:val="both"/>
      </w:pPr>
    </w:p>
    <w:p w14:paraId="54ADBDCE" w14:textId="77777777" w:rsidR="00F561D9" w:rsidRPr="0000429C" w:rsidRDefault="00F561D9" w:rsidP="00F561D9">
      <w:pPr>
        <w:jc w:val="both"/>
      </w:pPr>
      <w:r w:rsidRPr="0000429C">
        <w:t xml:space="preserve">Belluzzo, L. G. &amp; Almeida, J. G. de (2002). </w:t>
      </w:r>
      <w:r w:rsidRPr="0000429C">
        <w:rPr>
          <w:i/>
        </w:rPr>
        <w:t>Depois da queda: a economia brasileira da crise da dívida aos impasses do Real</w:t>
      </w:r>
      <w:r w:rsidRPr="0000429C">
        <w:t xml:space="preserve"> (Rio de Janeiro, Brazil: Civilização Brasileira).</w:t>
      </w:r>
    </w:p>
    <w:p w14:paraId="28577CCD" w14:textId="77777777" w:rsidR="00F561D9" w:rsidRPr="0000429C" w:rsidRDefault="00F561D9" w:rsidP="00F561D9">
      <w:pPr>
        <w:jc w:val="both"/>
      </w:pPr>
    </w:p>
    <w:p w14:paraId="3F5B8CB4" w14:textId="77777777" w:rsidR="00F561D9" w:rsidRPr="0000429C" w:rsidRDefault="00F561D9" w:rsidP="00F561D9">
      <w:pPr>
        <w:widowControl w:val="0"/>
        <w:jc w:val="both"/>
        <w:rPr>
          <w:lang w:val="en-US"/>
        </w:rPr>
      </w:pPr>
      <w:r w:rsidRPr="0000429C">
        <w:rPr>
          <w:lang w:val="en-US"/>
        </w:rPr>
        <w:t xml:space="preserve">Canuto, O. (2010). </w:t>
      </w:r>
      <w:r w:rsidRPr="0000429C">
        <w:rPr>
          <w:lang w:val="en-GB"/>
        </w:rPr>
        <w:t>“</w:t>
      </w:r>
      <w:r w:rsidRPr="0000429C">
        <w:rPr>
          <w:lang w:val="en-US"/>
        </w:rPr>
        <w:t xml:space="preserve">Toward a switchover of locomotives in the global economy”, </w:t>
      </w:r>
      <w:r w:rsidRPr="0000429C">
        <w:rPr>
          <w:i/>
          <w:lang w:val="en-US"/>
        </w:rPr>
        <w:t>Economic Premise</w:t>
      </w:r>
      <w:r w:rsidRPr="0000429C">
        <w:rPr>
          <w:lang w:val="en-US"/>
        </w:rPr>
        <w:t xml:space="preserve">, n.33, The World Bank, </w:t>
      </w:r>
      <w:smartTag w:uri="urn:schemas-microsoft-com:office:smarttags" w:element="place">
        <w:smartTag w:uri="urn:schemas-microsoft-com:office:smarttags" w:element="City">
          <w:r w:rsidRPr="0000429C">
            <w:rPr>
              <w:lang w:val="en-US"/>
            </w:rPr>
            <w:t>Washington</w:t>
          </w:r>
        </w:smartTag>
        <w:r w:rsidRPr="0000429C">
          <w:rPr>
            <w:lang w:val="en-US"/>
          </w:rPr>
          <w:t xml:space="preserve">, </w:t>
        </w:r>
        <w:smartTag w:uri="urn:schemas-microsoft-com:office:smarttags" w:element="State">
          <w:r w:rsidRPr="0000429C">
            <w:rPr>
              <w:lang w:val="en-US"/>
            </w:rPr>
            <w:t>D.C.</w:t>
          </w:r>
        </w:smartTag>
      </w:smartTag>
      <w:r w:rsidRPr="0000429C">
        <w:rPr>
          <w:lang w:val="en-US"/>
        </w:rPr>
        <w:t>, September.</w:t>
      </w:r>
    </w:p>
    <w:p w14:paraId="3631B320" w14:textId="77777777" w:rsidR="00F561D9" w:rsidRPr="0000429C" w:rsidRDefault="00F561D9" w:rsidP="00F561D9">
      <w:pPr>
        <w:widowControl w:val="0"/>
        <w:jc w:val="both"/>
        <w:rPr>
          <w:lang w:val="en-US"/>
        </w:rPr>
      </w:pPr>
    </w:p>
    <w:p w14:paraId="2BB1B562" w14:textId="77777777" w:rsidR="00F561D9" w:rsidRPr="0000429C" w:rsidRDefault="00F561D9" w:rsidP="00F561D9">
      <w:pPr>
        <w:pStyle w:val="Default"/>
        <w:jc w:val="both"/>
        <w:rPr>
          <w:lang w:val="en-US"/>
        </w:rPr>
      </w:pPr>
      <w:r w:rsidRPr="0000429C">
        <w:rPr>
          <w:lang w:val="it-IT"/>
        </w:rPr>
        <w:t xml:space="preserve">Canuto, O. &amp; Giugale, M., eds. </w:t>
      </w:r>
      <w:r w:rsidRPr="0000429C">
        <w:rPr>
          <w:lang w:val="en-US"/>
        </w:rPr>
        <w:t xml:space="preserve">(2010). </w:t>
      </w:r>
      <w:r w:rsidRPr="0000429C">
        <w:rPr>
          <w:bCs/>
          <w:i/>
          <w:lang w:val="en-US"/>
        </w:rPr>
        <w:t>The day after tomorrow</w:t>
      </w:r>
      <w:r w:rsidRPr="0000429C">
        <w:rPr>
          <w:i/>
          <w:lang w:val="en-US"/>
        </w:rPr>
        <w:t>: a handbook on the future of economic policy in the developing world</w:t>
      </w:r>
      <w:r w:rsidRPr="0000429C">
        <w:rPr>
          <w:lang w:val="en-US"/>
        </w:rPr>
        <w:t xml:space="preserve"> (</w:t>
      </w:r>
      <w:smartTag w:uri="urn:schemas-microsoft-com:office:smarttags" w:element="place">
        <w:smartTag w:uri="urn:schemas-microsoft-com:office:smarttags" w:element="City">
          <w:r w:rsidRPr="0000429C">
            <w:rPr>
              <w:lang w:val="en-US"/>
            </w:rPr>
            <w:t>Washington</w:t>
          </w:r>
        </w:smartTag>
        <w:r w:rsidRPr="0000429C">
          <w:rPr>
            <w:lang w:val="en-US"/>
          </w:rPr>
          <w:t xml:space="preserve">, </w:t>
        </w:r>
        <w:smartTag w:uri="urn:schemas-microsoft-com:office:smarttags" w:element="State">
          <w:r w:rsidRPr="0000429C">
            <w:rPr>
              <w:lang w:val="en-US"/>
            </w:rPr>
            <w:t>D.C.</w:t>
          </w:r>
        </w:smartTag>
      </w:smartTag>
      <w:r w:rsidRPr="0000429C">
        <w:rPr>
          <w:lang w:val="en-US"/>
        </w:rPr>
        <w:t>: The World Bank).</w:t>
      </w:r>
    </w:p>
    <w:p w14:paraId="5B883383" w14:textId="77777777" w:rsidR="00F561D9" w:rsidRPr="0000429C" w:rsidRDefault="00F561D9" w:rsidP="00F561D9">
      <w:pPr>
        <w:pStyle w:val="Default"/>
        <w:jc w:val="both"/>
        <w:rPr>
          <w:lang w:val="en-US"/>
        </w:rPr>
      </w:pPr>
    </w:p>
    <w:p w14:paraId="132D0A4D" w14:textId="77777777" w:rsidR="00F561D9" w:rsidRPr="0000429C" w:rsidRDefault="00F561D9" w:rsidP="00F561D9">
      <w:pPr>
        <w:widowControl w:val="0"/>
        <w:jc w:val="both"/>
        <w:rPr>
          <w:lang w:val="en-US"/>
        </w:rPr>
      </w:pPr>
      <w:r w:rsidRPr="0000429C">
        <w:rPr>
          <w:lang w:val="en-US"/>
        </w:rPr>
        <w:t>Canuto, O. &amp; Leipziger, D. M., eds. (2012)</w:t>
      </w:r>
      <w:r>
        <w:rPr>
          <w:lang w:val="en-US"/>
        </w:rPr>
        <w:t>.</w:t>
      </w:r>
      <w:r w:rsidRPr="0000429C">
        <w:rPr>
          <w:lang w:val="en-US"/>
        </w:rPr>
        <w:t xml:space="preserve"> </w:t>
      </w:r>
      <w:r w:rsidRPr="0000429C">
        <w:rPr>
          <w:bCs/>
          <w:i/>
          <w:lang w:val="en-US"/>
        </w:rPr>
        <w:t>Ascent after decline</w:t>
      </w:r>
      <w:r w:rsidRPr="0000429C">
        <w:rPr>
          <w:i/>
          <w:lang w:val="en-US"/>
        </w:rPr>
        <w:t>: regrowing global economies after the great recession</w:t>
      </w:r>
      <w:r w:rsidRPr="0000429C">
        <w:rPr>
          <w:lang w:val="en-US"/>
        </w:rPr>
        <w:t xml:space="preserve"> (</w:t>
      </w:r>
      <w:smartTag w:uri="urn:schemas-microsoft-com:office:smarttags" w:element="place">
        <w:smartTag w:uri="urn:schemas-microsoft-com:office:smarttags" w:element="City">
          <w:r w:rsidRPr="0000429C">
            <w:rPr>
              <w:lang w:val="en-US"/>
            </w:rPr>
            <w:t>Washington</w:t>
          </w:r>
        </w:smartTag>
        <w:r w:rsidRPr="0000429C">
          <w:rPr>
            <w:lang w:val="en-US"/>
          </w:rPr>
          <w:t xml:space="preserve">, </w:t>
        </w:r>
        <w:smartTag w:uri="urn:schemas-microsoft-com:office:smarttags" w:element="State">
          <w:r w:rsidRPr="0000429C">
            <w:rPr>
              <w:lang w:val="en-US"/>
            </w:rPr>
            <w:t>D.C.</w:t>
          </w:r>
        </w:smartTag>
      </w:smartTag>
      <w:r w:rsidRPr="0000429C">
        <w:rPr>
          <w:lang w:val="en-US"/>
        </w:rPr>
        <w:t>: The World Bank).</w:t>
      </w:r>
    </w:p>
    <w:p w14:paraId="41F0DA0E" w14:textId="77777777" w:rsidR="00F561D9" w:rsidRPr="0000429C" w:rsidRDefault="00F561D9" w:rsidP="00F561D9">
      <w:pPr>
        <w:widowControl w:val="0"/>
        <w:jc w:val="both"/>
        <w:rPr>
          <w:lang w:val="en-US"/>
        </w:rPr>
      </w:pPr>
    </w:p>
    <w:p w14:paraId="4FEA19C3" w14:textId="77777777" w:rsidR="00F561D9" w:rsidRPr="0000429C" w:rsidRDefault="00F561D9" w:rsidP="00F561D9">
      <w:pPr>
        <w:widowControl w:val="0"/>
        <w:jc w:val="both"/>
        <w:rPr>
          <w:lang w:val="en-GB"/>
        </w:rPr>
      </w:pPr>
      <w:r w:rsidRPr="0000429C">
        <w:rPr>
          <w:lang w:val="en-GB"/>
        </w:rPr>
        <w:t xml:space="preserve">Chang, H.-J. (2003a). </w:t>
      </w:r>
      <w:r w:rsidRPr="0000429C">
        <w:rPr>
          <w:i/>
          <w:lang w:val="en-GB"/>
        </w:rPr>
        <w:t>Kicking away the ladder: development strategy in historical perspective</w:t>
      </w:r>
      <w:r w:rsidRPr="0000429C">
        <w:rPr>
          <w:lang w:val="en-GB"/>
        </w:rPr>
        <w:t xml:space="preserve"> (</w:t>
      </w:r>
      <w:smartTag w:uri="urn:schemas-microsoft-com:office:smarttags" w:element="place">
        <w:smartTag w:uri="urn:schemas-microsoft-com:office:smarttags" w:element="City">
          <w:r w:rsidRPr="0000429C">
            <w:rPr>
              <w:lang w:val="en-GB"/>
            </w:rPr>
            <w:t>London</w:t>
          </w:r>
        </w:smartTag>
      </w:smartTag>
      <w:r w:rsidRPr="0000429C">
        <w:rPr>
          <w:lang w:val="en-GB"/>
        </w:rPr>
        <w:t>: Anthem Press).</w:t>
      </w:r>
    </w:p>
    <w:p w14:paraId="62EB1D0A" w14:textId="77777777" w:rsidR="00F561D9" w:rsidRPr="0000429C" w:rsidRDefault="00F561D9" w:rsidP="00F561D9">
      <w:pPr>
        <w:jc w:val="both"/>
        <w:rPr>
          <w:lang w:val="en-GB"/>
        </w:rPr>
      </w:pPr>
      <w:r w:rsidRPr="0000429C">
        <w:rPr>
          <w:lang w:val="en-GB"/>
        </w:rPr>
        <w:t>Chang, H.-J. (2003b). “Trade and industrial policy issues”, in H.-J.</w:t>
      </w:r>
      <w:r w:rsidRPr="0000429C">
        <w:rPr>
          <w:lang w:val="en-US"/>
        </w:rPr>
        <w:t xml:space="preserve"> Chang, ed., </w:t>
      </w:r>
      <w:r w:rsidRPr="0000429C">
        <w:rPr>
          <w:i/>
          <w:lang w:val="en-US"/>
        </w:rPr>
        <w:t>Rethinking development economics</w:t>
      </w:r>
      <w:r w:rsidRPr="0000429C">
        <w:rPr>
          <w:lang w:val="en-US"/>
        </w:rPr>
        <w:t xml:space="preserve"> (</w:t>
      </w:r>
      <w:smartTag w:uri="urn:schemas-microsoft-com:office:smarttags" w:element="place">
        <w:smartTag w:uri="urn:schemas-microsoft-com:office:smarttags" w:element="City">
          <w:r w:rsidRPr="0000429C">
            <w:rPr>
              <w:lang w:val="en-GB"/>
            </w:rPr>
            <w:t>London</w:t>
          </w:r>
        </w:smartTag>
      </w:smartTag>
      <w:r w:rsidRPr="0000429C">
        <w:rPr>
          <w:lang w:val="en-GB"/>
        </w:rPr>
        <w:t>: Anthem Press), pp.257-276.</w:t>
      </w:r>
    </w:p>
    <w:p w14:paraId="70C5E23F" w14:textId="77777777" w:rsidR="00F561D9" w:rsidRPr="0000429C" w:rsidRDefault="00F561D9" w:rsidP="00F561D9">
      <w:pPr>
        <w:jc w:val="both"/>
        <w:rPr>
          <w:lang w:val="en-US"/>
        </w:rPr>
      </w:pPr>
    </w:p>
    <w:p w14:paraId="72856E04" w14:textId="77777777" w:rsidR="00F561D9" w:rsidRPr="0000429C" w:rsidRDefault="00F561D9" w:rsidP="00F561D9">
      <w:pPr>
        <w:jc w:val="both"/>
        <w:rPr>
          <w:lang w:val="en-GB"/>
        </w:rPr>
      </w:pPr>
      <w:r w:rsidRPr="0000429C">
        <w:rPr>
          <w:lang w:val="en-GB"/>
        </w:rPr>
        <w:t xml:space="preserve">Chang, H.-J. (2003c). </w:t>
      </w:r>
      <w:r w:rsidRPr="0000429C">
        <w:rPr>
          <w:i/>
          <w:lang w:val="en-GB"/>
        </w:rPr>
        <w:t>Globalisation, economic development and the role of the state</w:t>
      </w:r>
      <w:r w:rsidRPr="0000429C">
        <w:rPr>
          <w:lang w:val="en-GB"/>
        </w:rPr>
        <w:t xml:space="preserve"> (</w:t>
      </w:r>
      <w:smartTag w:uri="urn:schemas-microsoft-com:office:smarttags" w:element="City">
        <w:r w:rsidRPr="0000429C">
          <w:rPr>
            <w:lang w:val="en-GB"/>
          </w:rPr>
          <w:t>London</w:t>
        </w:r>
      </w:smartTag>
      <w:r w:rsidRPr="0000429C">
        <w:rPr>
          <w:lang w:val="en-GB"/>
        </w:rPr>
        <w:t xml:space="preserve"> and </w:t>
      </w:r>
      <w:smartTag w:uri="urn:schemas-microsoft-com:office:smarttags" w:element="State">
        <w:r w:rsidRPr="0000429C">
          <w:rPr>
            <w:lang w:val="en-GB"/>
          </w:rPr>
          <w:t>New York</w:t>
        </w:r>
      </w:smartTag>
      <w:r w:rsidRPr="0000429C">
        <w:rPr>
          <w:lang w:val="en-GB"/>
        </w:rPr>
        <w:t xml:space="preserve">: Zed Books; </w:t>
      </w:r>
      <w:smartTag w:uri="urn:schemas-microsoft-com:office:smarttags" w:element="place">
        <w:smartTag w:uri="urn:schemas-microsoft-com:office:smarttags" w:element="City">
          <w:r w:rsidRPr="0000429C">
            <w:rPr>
              <w:lang w:val="en-GB"/>
            </w:rPr>
            <w:t>Penang</w:t>
          </w:r>
        </w:smartTag>
        <w:r w:rsidRPr="0000429C">
          <w:rPr>
            <w:lang w:val="en-GB"/>
          </w:rPr>
          <w:t xml:space="preserve">, </w:t>
        </w:r>
        <w:smartTag w:uri="urn:schemas-microsoft-com:office:smarttags" w:element="country-region">
          <w:r w:rsidRPr="0000429C">
            <w:rPr>
              <w:lang w:val="en-GB"/>
            </w:rPr>
            <w:t>Malaysia</w:t>
          </w:r>
        </w:smartTag>
      </w:smartTag>
      <w:r w:rsidRPr="0000429C">
        <w:rPr>
          <w:lang w:val="en-GB"/>
        </w:rPr>
        <w:t>: Third World Network).</w:t>
      </w:r>
    </w:p>
    <w:p w14:paraId="03DA7549" w14:textId="77777777" w:rsidR="00F561D9" w:rsidRPr="0000429C" w:rsidRDefault="00F561D9" w:rsidP="00F561D9">
      <w:pPr>
        <w:jc w:val="both"/>
        <w:rPr>
          <w:lang w:val="en-GB"/>
        </w:rPr>
      </w:pPr>
    </w:p>
    <w:p w14:paraId="6ED21F4C" w14:textId="77777777" w:rsidR="00F561D9" w:rsidRPr="0000429C" w:rsidRDefault="00F561D9" w:rsidP="00F561D9">
      <w:pPr>
        <w:jc w:val="both"/>
      </w:pPr>
      <w:r w:rsidRPr="0000429C">
        <w:t xml:space="preserve">Coutinho, L. G. (1997). “A especialização regressiva: um balanço do desempenho industrial pós-estabilização”, in J. P. R. Velloso, ed., </w:t>
      </w:r>
      <w:r w:rsidRPr="0000429C">
        <w:rPr>
          <w:i/>
        </w:rPr>
        <w:t>Brasil: desafios de um país em transformação</w:t>
      </w:r>
      <w:r w:rsidRPr="0000429C">
        <w:t xml:space="preserve"> (Rio de Janeiro, Brazil: José Olympio).</w:t>
      </w:r>
    </w:p>
    <w:p w14:paraId="0E07A624" w14:textId="77777777" w:rsidR="00F561D9" w:rsidRPr="0000429C" w:rsidRDefault="00F561D9" w:rsidP="00F561D9">
      <w:pPr>
        <w:jc w:val="both"/>
      </w:pPr>
    </w:p>
    <w:p w14:paraId="567D6C8C" w14:textId="77777777" w:rsidR="00F561D9" w:rsidRPr="0000429C" w:rsidRDefault="00F561D9" w:rsidP="00F561D9">
      <w:pPr>
        <w:jc w:val="both"/>
      </w:pPr>
      <w:r w:rsidRPr="0000429C">
        <w:t xml:space="preserve">Delfim Netto, A. (1998). “O Plano Real e a armadilha do crescimento econômico”, in A. Mercadante, ed., </w:t>
      </w:r>
      <w:r w:rsidRPr="0000429C">
        <w:rPr>
          <w:i/>
        </w:rPr>
        <w:t>O Brasil pós-Real: a política econômica em debate</w:t>
      </w:r>
      <w:r w:rsidRPr="0000429C">
        <w:t xml:space="preserve"> (Campinas, Brazil: IE/Unicamp).</w:t>
      </w:r>
    </w:p>
    <w:p w14:paraId="24BA1CEA" w14:textId="77777777" w:rsidR="00F561D9" w:rsidRPr="0000429C" w:rsidRDefault="00F561D9" w:rsidP="00F561D9">
      <w:pPr>
        <w:jc w:val="both"/>
      </w:pPr>
    </w:p>
    <w:p w14:paraId="12F3FF9F" w14:textId="77777777" w:rsidR="00F561D9" w:rsidRPr="0000429C" w:rsidRDefault="00F561D9" w:rsidP="00F561D9">
      <w:pPr>
        <w:jc w:val="both"/>
        <w:rPr>
          <w:lang w:val="en-US"/>
        </w:rPr>
      </w:pPr>
      <w:r w:rsidRPr="0000429C">
        <w:rPr>
          <w:lang w:val="en-US"/>
        </w:rPr>
        <w:t xml:space="preserve">Di Maio, M. (2009). “Industrial policies in developing countries: history and perspectives”, in M. Cimoli, G. Dosi &amp; J. E. Stiglitz, eds., </w:t>
      </w:r>
      <w:r w:rsidRPr="0000429C">
        <w:rPr>
          <w:i/>
          <w:lang w:val="en-US"/>
        </w:rPr>
        <w:t>Industrial policy and development: the political economy of capabilities accumulation</w:t>
      </w:r>
      <w:r w:rsidRPr="0000429C">
        <w:rPr>
          <w:lang w:val="en-US"/>
        </w:rPr>
        <w:t xml:space="preserve"> (</w:t>
      </w:r>
      <w:smartTag w:uri="urn:schemas-microsoft-com:office:smarttags" w:element="place">
        <w:smartTag w:uri="urn:schemas-microsoft-com:office:smarttags" w:element="City">
          <w:r w:rsidRPr="0000429C">
            <w:rPr>
              <w:lang w:val="en-US"/>
            </w:rPr>
            <w:t>Oxford</w:t>
          </w:r>
        </w:smartTag>
      </w:smartTag>
      <w:r w:rsidRPr="0000429C">
        <w:rPr>
          <w:lang w:val="en-US"/>
        </w:rPr>
        <w:t>: Oxford University Press), pp.107-143.</w:t>
      </w:r>
    </w:p>
    <w:p w14:paraId="35A23C99" w14:textId="77777777" w:rsidR="00F561D9" w:rsidRPr="0000429C" w:rsidRDefault="00F561D9" w:rsidP="00F561D9">
      <w:pPr>
        <w:jc w:val="both"/>
        <w:rPr>
          <w:lang w:val="en-US"/>
        </w:rPr>
      </w:pPr>
    </w:p>
    <w:p w14:paraId="2BFB7826" w14:textId="77777777" w:rsidR="00F561D9" w:rsidRPr="0000429C" w:rsidRDefault="00F561D9" w:rsidP="00F561D9">
      <w:pPr>
        <w:jc w:val="both"/>
        <w:rPr>
          <w:lang w:val="en-US"/>
        </w:rPr>
      </w:pPr>
      <w:r w:rsidRPr="0000429C">
        <w:rPr>
          <w:lang w:val="en-US"/>
        </w:rPr>
        <w:t xml:space="preserve">Dunning, J. H. (1994). “Re-evaluating the benefits of foreign direct investment”, </w:t>
      </w:r>
      <w:r w:rsidRPr="0000429C">
        <w:rPr>
          <w:i/>
          <w:iCs/>
          <w:lang w:val="en-US"/>
        </w:rPr>
        <w:t>Transnational Corporations</w:t>
      </w:r>
      <w:r w:rsidRPr="0000429C">
        <w:rPr>
          <w:lang w:val="en-US"/>
        </w:rPr>
        <w:t>, v.3, n.1 (February).</w:t>
      </w:r>
    </w:p>
    <w:p w14:paraId="693D16FB" w14:textId="77777777" w:rsidR="00F561D9" w:rsidRPr="0000429C" w:rsidRDefault="00F561D9" w:rsidP="00F561D9">
      <w:pPr>
        <w:jc w:val="both"/>
        <w:rPr>
          <w:lang w:val="en-US"/>
        </w:rPr>
      </w:pPr>
    </w:p>
    <w:p w14:paraId="67A77878" w14:textId="77777777" w:rsidR="00F561D9" w:rsidRPr="0000429C" w:rsidRDefault="00F561D9" w:rsidP="00F561D9">
      <w:pPr>
        <w:jc w:val="both"/>
        <w:rPr>
          <w:lang w:val="en-US"/>
        </w:rPr>
      </w:pPr>
      <w:r w:rsidRPr="0000429C">
        <w:rPr>
          <w:lang w:val="en-GB"/>
        </w:rPr>
        <w:t xml:space="preserve">Eclac (2009). </w:t>
      </w:r>
      <w:r w:rsidRPr="0000429C">
        <w:rPr>
          <w:i/>
          <w:lang w:val="en-GB"/>
        </w:rPr>
        <w:t>Foreign Direct Investment in Latin America and the Caribbean</w:t>
      </w:r>
      <w:r w:rsidRPr="0000429C">
        <w:rPr>
          <w:lang w:val="en-GB"/>
        </w:rPr>
        <w:t xml:space="preserve"> (</w:t>
      </w:r>
      <w:smartTag w:uri="urn:schemas-microsoft-com:office:smarttags" w:element="City">
        <w:r w:rsidRPr="0000429C">
          <w:rPr>
            <w:lang w:val="en-US"/>
          </w:rPr>
          <w:t>Santiago</w:t>
        </w:r>
      </w:smartTag>
      <w:r w:rsidRPr="0000429C">
        <w:rPr>
          <w:lang w:val="en-US"/>
        </w:rPr>
        <w:t xml:space="preserve">, </w:t>
      </w:r>
      <w:smartTag w:uri="urn:schemas-microsoft-com:office:smarttags" w:element="country-region">
        <w:r w:rsidRPr="0000429C">
          <w:rPr>
            <w:lang w:val="en-US"/>
          </w:rPr>
          <w:t>Chile</w:t>
        </w:r>
      </w:smartTag>
      <w:r w:rsidRPr="0000429C">
        <w:rPr>
          <w:lang w:val="en-US"/>
        </w:rPr>
        <w:t xml:space="preserve">: Economic Commission for Latin America and the </w:t>
      </w:r>
      <w:smartTag w:uri="urn:schemas-microsoft-com:office:smarttags" w:element="place">
        <w:r w:rsidRPr="0000429C">
          <w:rPr>
            <w:lang w:val="en-US"/>
          </w:rPr>
          <w:t>Caribbean</w:t>
        </w:r>
      </w:smartTag>
      <w:r w:rsidRPr="0000429C">
        <w:rPr>
          <w:lang w:val="en-US"/>
        </w:rPr>
        <w:t xml:space="preserve"> – ECLAC).</w:t>
      </w:r>
    </w:p>
    <w:p w14:paraId="1EC572E8" w14:textId="77777777" w:rsidR="00F561D9" w:rsidRPr="0000429C" w:rsidRDefault="00F561D9" w:rsidP="00F561D9">
      <w:pPr>
        <w:jc w:val="both"/>
        <w:rPr>
          <w:lang w:val="en-US"/>
        </w:rPr>
      </w:pPr>
    </w:p>
    <w:p w14:paraId="17D5E38F" w14:textId="77777777" w:rsidR="00F561D9" w:rsidRPr="0000429C" w:rsidRDefault="00F561D9" w:rsidP="00F561D9">
      <w:pPr>
        <w:jc w:val="both"/>
        <w:rPr>
          <w:lang w:val="en-GB"/>
        </w:rPr>
      </w:pPr>
      <w:r w:rsidRPr="0000429C">
        <w:rPr>
          <w:lang w:val="it-IT"/>
        </w:rPr>
        <w:t xml:space="preserve">Fishlow, A. (1972). </w:t>
      </w:r>
      <w:r w:rsidRPr="0000429C">
        <w:rPr>
          <w:lang w:val="en-GB"/>
        </w:rPr>
        <w:t xml:space="preserve">“Origins and consequences of import substitution in </w:t>
      </w:r>
      <w:smartTag w:uri="urn:schemas-microsoft-com:office:smarttags" w:element="country-region">
        <w:r w:rsidRPr="0000429C">
          <w:rPr>
            <w:lang w:val="en-GB"/>
          </w:rPr>
          <w:t>Brazil</w:t>
        </w:r>
      </w:smartTag>
      <w:r w:rsidRPr="0000429C">
        <w:rPr>
          <w:lang w:val="en-GB"/>
        </w:rPr>
        <w:t xml:space="preserve">”, in L. E. Di Marco, ed., </w:t>
      </w:r>
      <w:r w:rsidRPr="0000429C">
        <w:rPr>
          <w:i/>
          <w:lang w:val="en-GB"/>
        </w:rPr>
        <w:t>International economics and development</w:t>
      </w:r>
      <w:r w:rsidRPr="0000429C">
        <w:rPr>
          <w:lang w:val="en-GB"/>
        </w:rPr>
        <w:t xml:space="preserve"> (</w:t>
      </w:r>
      <w:smartTag w:uri="urn:schemas-microsoft-com:office:smarttags" w:element="State">
        <w:r w:rsidRPr="0000429C">
          <w:rPr>
            <w:lang w:val="en-GB"/>
          </w:rPr>
          <w:t>New York</w:t>
        </w:r>
      </w:smartTag>
      <w:r w:rsidRPr="0000429C">
        <w:rPr>
          <w:lang w:val="en-GB"/>
        </w:rPr>
        <w:t xml:space="preserve"> and </w:t>
      </w:r>
      <w:smartTag w:uri="urn:schemas-microsoft-com:office:smarttags" w:element="place">
        <w:smartTag w:uri="urn:schemas-microsoft-com:office:smarttags" w:element="City">
          <w:r w:rsidRPr="0000429C">
            <w:rPr>
              <w:lang w:val="en-GB"/>
            </w:rPr>
            <w:t>London</w:t>
          </w:r>
        </w:smartTag>
      </w:smartTag>
      <w:r w:rsidRPr="0000429C">
        <w:rPr>
          <w:lang w:val="en-GB"/>
        </w:rPr>
        <w:t>: Academic Press), pp.311-365.</w:t>
      </w:r>
    </w:p>
    <w:p w14:paraId="03879E0C" w14:textId="77777777" w:rsidR="00F561D9" w:rsidRPr="0000429C" w:rsidRDefault="00F561D9" w:rsidP="00F561D9">
      <w:pPr>
        <w:jc w:val="both"/>
        <w:rPr>
          <w:lang w:val="en-GB"/>
        </w:rPr>
      </w:pPr>
    </w:p>
    <w:p w14:paraId="04C6F593" w14:textId="77777777" w:rsidR="00F561D9" w:rsidRPr="0000429C" w:rsidRDefault="00F561D9" w:rsidP="00F561D9">
      <w:pPr>
        <w:jc w:val="both"/>
        <w:rPr>
          <w:lang w:val="en-US"/>
        </w:rPr>
      </w:pPr>
      <w:r w:rsidRPr="0000429C">
        <w:rPr>
          <w:lang w:val="en-US"/>
        </w:rPr>
        <w:t xml:space="preserve">Fleury, A. &amp; Fleury, M. T. L. (2009). “Brazilian multinationals: surfing the waves of </w:t>
      </w:r>
      <w:r w:rsidRPr="0000429C">
        <w:rPr>
          <w:lang w:val="en-GB"/>
        </w:rPr>
        <w:t>internationalisation</w:t>
      </w:r>
      <w:r w:rsidRPr="0000429C">
        <w:rPr>
          <w:lang w:val="en-US"/>
        </w:rPr>
        <w:t xml:space="preserve">”, in R. Ramamurti &amp; J. V. Singh, eds., </w:t>
      </w:r>
      <w:r w:rsidRPr="0000429C">
        <w:rPr>
          <w:i/>
          <w:lang w:val="en-US"/>
        </w:rPr>
        <w:t>Emerging multinationals in emerging markets</w:t>
      </w:r>
      <w:r w:rsidRPr="0000429C">
        <w:rPr>
          <w:lang w:val="en-US"/>
        </w:rPr>
        <w:t xml:space="preserve"> (</w:t>
      </w:r>
      <w:smartTag w:uri="urn:schemas-microsoft-com:office:smarttags" w:element="place">
        <w:smartTag w:uri="urn:schemas-microsoft-com:office:smarttags" w:element="City">
          <w:r w:rsidRPr="0000429C">
            <w:rPr>
              <w:lang w:val="en-US"/>
            </w:rPr>
            <w:t>Cambridge</w:t>
          </w:r>
        </w:smartTag>
        <w:r w:rsidRPr="0000429C">
          <w:rPr>
            <w:lang w:val="en-US"/>
          </w:rPr>
          <w:t xml:space="preserve">, </w:t>
        </w:r>
        <w:smartTag w:uri="urn:schemas-microsoft-com:office:smarttags" w:element="country-region">
          <w:r w:rsidRPr="0000429C">
            <w:rPr>
              <w:lang w:val="en-US"/>
            </w:rPr>
            <w:t>UK</w:t>
          </w:r>
        </w:smartTag>
      </w:smartTag>
      <w:r w:rsidRPr="0000429C">
        <w:rPr>
          <w:lang w:val="en-US"/>
        </w:rPr>
        <w:t>: Cambridge University Press), pp.200-243.</w:t>
      </w:r>
    </w:p>
    <w:p w14:paraId="5FC7B941" w14:textId="77777777" w:rsidR="00F561D9" w:rsidRPr="0000429C" w:rsidRDefault="00F561D9" w:rsidP="00F561D9">
      <w:pPr>
        <w:jc w:val="both"/>
        <w:rPr>
          <w:lang w:val="en-US"/>
        </w:rPr>
      </w:pPr>
    </w:p>
    <w:p w14:paraId="0C1ADCF1" w14:textId="77777777" w:rsidR="00F561D9" w:rsidRPr="0000429C" w:rsidRDefault="00F561D9" w:rsidP="00F561D9">
      <w:pPr>
        <w:jc w:val="both"/>
        <w:rPr>
          <w:lang w:val="en-US"/>
        </w:rPr>
      </w:pPr>
      <w:r w:rsidRPr="0000429C">
        <w:rPr>
          <w:lang w:val="en-US"/>
        </w:rPr>
        <w:t xml:space="preserve">Goldman Sachs (2007). “BRICs and beyond”, </w:t>
      </w:r>
      <w:r w:rsidRPr="0000429C">
        <w:rPr>
          <w:i/>
          <w:lang w:val="en-US"/>
        </w:rPr>
        <w:t>Goldman Sachs Global Economics Group</w:t>
      </w:r>
      <w:r w:rsidRPr="0000429C">
        <w:rPr>
          <w:lang w:val="en-US"/>
        </w:rPr>
        <w:t>.</w:t>
      </w:r>
    </w:p>
    <w:p w14:paraId="7D9AB35B" w14:textId="77777777" w:rsidR="00F561D9" w:rsidRPr="0000429C" w:rsidRDefault="00F561D9" w:rsidP="00F561D9">
      <w:pPr>
        <w:jc w:val="both"/>
        <w:rPr>
          <w:lang w:val="en-US"/>
        </w:rPr>
      </w:pPr>
    </w:p>
    <w:p w14:paraId="32DFB7E6" w14:textId="77777777" w:rsidR="00F561D9" w:rsidRPr="0000429C" w:rsidRDefault="00F561D9" w:rsidP="00F561D9">
      <w:pPr>
        <w:jc w:val="both"/>
        <w:rPr>
          <w:lang w:val="en-US"/>
        </w:rPr>
      </w:pPr>
      <w:r w:rsidRPr="0000429C">
        <w:rPr>
          <w:lang w:val="en-GB"/>
        </w:rPr>
        <w:t>Hausmann, R. &amp; Rodrik, D. (2006). “</w:t>
      </w:r>
      <w:r w:rsidRPr="0000429C">
        <w:rPr>
          <w:iCs/>
          <w:lang w:val="en-US"/>
        </w:rPr>
        <w:t xml:space="preserve">Doomed to choose: industrial policy as predicament”, </w:t>
      </w:r>
      <w:r w:rsidRPr="0000429C">
        <w:rPr>
          <w:i/>
          <w:lang w:val="en-US"/>
        </w:rPr>
        <w:t>CID Working Paper</w:t>
      </w:r>
      <w:r w:rsidRPr="0000429C">
        <w:rPr>
          <w:lang w:val="en-US"/>
        </w:rPr>
        <w:t xml:space="preserve">, Center for International Development at </w:t>
      </w:r>
      <w:smartTag w:uri="urn:schemas-microsoft-com:office:smarttags" w:element="place">
        <w:smartTag w:uri="urn:schemas-microsoft-com:office:smarttags" w:element="PlaceName">
          <w:r w:rsidRPr="0000429C">
            <w:rPr>
              <w:lang w:val="en-US"/>
            </w:rPr>
            <w:t>Harvard</w:t>
          </w:r>
        </w:smartTag>
        <w:r w:rsidRPr="0000429C">
          <w:rPr>
            <w:lang w:val="en-US"/>
          </w:rPr>
          <w:t xml:space="preserve"> </w:t>
        </w:r>
        <w:smartTag w:uri="urn:schemas-microsoft-com:office:smarttags" w:element="PlaceType">
          <w:r w:rsidRPr="0000429C">
            <w:rPr>
              <w:lang w:val="en-US"/>
            </w:rPr>
            <w:t>University</w:t>
          </w:r>
        </w:smartTag>
      </w:smartTag>
      <w:r w:rsidRPr="0000429C">
        <w:rPr>
          <w:lang w:val="en-US"/>
        </w:rPr>
        <w:t>, September 9.</w:t>
      </w:r>
    </w:p>
    <w:p w14:paraId="4B9EC68D" w14:textId="77777777" w:rsidR="00F561D9" w:rsidRPr="0000429C" w:rsidRDefault="00F561D9" w:rsidP="00F561D9">
      <w:pPr>
        <w:jc w:val="both"/>
        <w:rPr>
          <w:lang w:val="en-US"/>
        </w:rPr>
      </w:pPr>
    </w:p>
    <w:p w14:paraId="2533DA74" w14:textId="77777777" w:rsidR="00F561D9" w:rsidRPr="0000429C" w:rsidRDefault="00F561D9" w:rsidP="00F561D9">
      <w:pPr>
        <w:jc w:val="both"/>
        <w:rPr>
          <w:lang w:val="en-US"/>
        </w:rPr>
      </w:pPr>
      <w:r w:rsidRPr="0000429C">
        <w:rPr>
          <w:lang w:val="en-US"/>
        </w:rPr>
        <w:t xml:space="preserve">IMF (2011). </w:t>
      </w:r>
      <w:r w:rsidRPr="0000429C">
        <w:rPr>
          <w:bCs/>
          <w:i/>
          <w:lang w:val="en-US"/>
        </w:rPr>
        <w:t>World Economic Outlook</w:t>
      </w:r>
      <w:r w:rsidRPr="0000429C">
        <w:rPr>
          <w:i/>
          <w:lang w:val="en-US"/>
        </w:rPr>
        <w:t>: Slowing growth, rising risks</w:t>
      </w:r>
      <w:r w:rsidRPr="0000429C">
        <w:rPr>
          <w:lang w:val="en-US"/>
        </w:rPr>
        <w:t xml:space="preserve"> (</w:t>
      </w:r>
      <w:smartTag w:uri="urn:schemas-microsoft-com:office:smarttags" w:element="place">
        <w:smartTag w:uri="urn:schemas-microsoft-com:office:smarttags" w:element="City">
          <w:r w:rsidRPr="0000429C">
            <w:rPr>
              <w:lang w:val="en-US"/>
            </w:rPr>
            <w:t>Washington</w:t>
          </w:r>
        </w:smartTag>
        <w:r w:rsidRPr="0000429C">
          <w:rPr>
            <w:lang w:val="en-US"/>
          </w:rPr>
          <w:t xml:space="preserve">, </w:t>
        </w:r>
        <w:smartTag w:uri="urn:schemas-microsoft-com:office:smarttags" w:element="State">
          <w:r w:rsidRPr="0000429C">
            <w:rPr>
              <w:lang w:val="en-US"/>
            </w:rPr>
            <w:t>D.C.</w:t>
          </w:r>
        </w:smartTag>
      </w:smartTag>
      <w:r w:rsidRPr="0000429C">
        <w:rPr>
          <w:lang w:val="en-US"/>
        </w:rPr>
        <w:t>: The International Monetary Fund), September.</w:t>
      </w:r>
    </w:p>
    <w:p w14:paraId="515055B4" w14:textId="77777777" w:rsidR="00F561D9" w:rsidRPr="0000429C" w:rsidRDefault="00F561D9" w:rsidP="00F561D9">
      <w:pPr>
        <w:jc w:val="both"/>
        <w:rPr>
          <w:highlight w:val="yellow"/>
          <w:lang w:val="en-US"/>
        </w:rPr>
      </w:pPr>
    </w:p>
    <w:p w14:paraId="11F4B1C3" w14:textId="77777777" w:rsidR="00F561D9" w:rsidRPr="0000429C" w:rsidRDefault="00F561D9" w:rsidP="00F561D9">
      <w:pPr>
        <w:jc w:val="both"/>
        <w:rPr>
          <w:lang w:val="en-US"/>
        </w:rPr>
      </w:pPr>
      <w:r w:rsidRPr="0000429C">
        <w:rPr>
          <w:lang w:val="en-US"/>
        </w:rPr>
        <w:t xml:space="preserve">Keynes, J. M. (1936). </w:t>
      </w:r>
      <w:r w:rsidRPr="0000429C">
        <w:rPr>
          <w:i/>
          <w:lang w:val="en-US"/>
        </w:rPr>
        <w:t>The general theory of employment, interest and money</w:t>
      </w:r>
      <w:r w:rsidRPr="0000429C">
        <w:rPr>
          <w:lang w:val="en-US"/>
        </w:rPr>
        <w:t xml:space="preserve"> (</w:t>
      </w:r>
      <w:smartTag w:uri="urn:schemas-microsoft-com:office:smarttags" w:element="place">
        <w:smartTag w:uri="urn:schemas-microsoft-com:office:smarttags" w:element="State">
          <w:r w:rsidRPr="0000429C">
            <w:rPr>
              <w:lang w:val="en-US"/>
            </w:rPr>
            <w:t>New York</w:t>
          </w:r>
        </w:smartTag>
      </w:smartTag>
      <w:r w:rsidRPr="0000429C">
        <w:rPr>
          <w:lang w:val="en-US"/>
        </w:rPr>
        <w:t>: Classic Books America, 2009).</w:t>
      </w:r>
    </w:p>
    <w:p w14:paraId="7354315F" w14:textId="77777777" w:rsidR="00F561D9" w:rsidRPr="0000429C" w:rsidRDefault="00F561D9" w:rsidP="00F561D9">
      <w:pPr>
        <w:jc w:val="both"/>
        <w:rPr>
          <w:lang w:val="en-US"/>
        </w:rPr>
      </w:pPr>
    </w:p>
    <w:p w14:paraId="7FF6F7CD" w14:textId="77777777" w:rsidR="00F561D9" w:rsidRPr="0000429C" w:rsidRDefault="00F561D9" w:rsidP="00F561D9">
      <w:pPr>
        <w:jc w:val="both"/>
        <w:rPr>
          <w:lang w:val="en-US"/>
        </w:rPr>
      </w:pPr>
      <w:r w:rsidRPr="0000429C">
        <w:rPr>
          <w:lang w:val="en-US"/>
        </w:rPr>
        <w:t xml:space="preserve">Keynes, J. M. (1937). “The general theory of employment”, </w:t>
      </w:r>
      <w:r w:rsidRPr="0000429C">
        <w:rPr>
          <w:bCs/>
          <w:i/>
          <w:lang w:val="en-US"/>
        </w:rPr>
        <w:t>The Quarterly Journal of Economics</w:t>
      </w:r>
      <w:r w:rsidRPr="0000429C">
        <w:rPr>
          <w:lang w:val="en-US"/>
        </w:rPr>
        <w:t>, v.51, n.2 (February), pp.209-223.</w:t>
      </w:r>
    </w:p>
    <w:p w14:paraId="408D8210" w14:textId="77777777" w:rsidR="00F561D9" w:rsidRPr="0000429C" w:rsidRDefault="00F561D9" w:rsidP="00F561D9">
      <w:pPr>
        <w:jc w:val="both"/>
        <w:rPr>
          <w:lang w:val="en-US"/>
        </w:rPr>
      </w:pPr>
    </w:p>
    <w:p w14:paraId="0FC36CC4" w14:textId="77777777" w:rsidR="00F561D9" w:rsidRPr="0000429C" w:rsidRDefault="00F561D9" w:rsidP="00F561D9">
      <w:pPr>
        <w:jc w:val="both"/>
        <w:rPr>
          <w:lang w:val="en-US"/>
        </w:rPr>
      </w:pPr>
      <w:r w:rsidRPr="0000429C">
        <w:rPr>
          <w:lang w:val="en-US"/>
        </w:rPr>
        <w:t xml:space="preserve">Kuczynski, P.-P. &amp; Williamson, J., eds. (2003). </w:t>
      </w:r>
      <w:r w:rsidRPr="0000429C">
        <w:rPr>
          <w:i/>
          <w:lang w:val="en-US"/>
        </w:rPr>
        <w:t xml:space="preserve">After the </w:t>
      </w:r>
      <w:smartTag w:uri="urn:schemas-microsoft-com:office:smarttags" w:element="State">
        <w:r w:rsidRPr="0000429C">
          <w:rPr>
            <w:i/>
            <w:lang w:val="en-US"/>
          </w:rPr>
          <w:t>Washington</w:t>
        </w:r>
      </w:smartTag>
      <w:r w:rsidRPr="0000429C">
        <w:rPr>
          <w:i/>
          <w:lang w:val="en-US"/>
        </w:rPr>
        <w:t xml:space="preserve"> Consensus: restarting growth and reform in Latin America</w:t>
      </w:r>
      <w:r w:rsidRPr="0000429C">
        <w:rPr>
          <w:lang w:val="en-US"/>
        </w:rPr>
        <w:t xml:space="preserve"> (</w:t>
      </w:r>
      <w:smartTag w:uri="urn:schemas-microsoft-com:office:smarttags" w:element="place">
        <w:smartTag w:uri="urn:schemas-microsoft-com:office:smarttags" w:element="State">
          <w:r w:rsidRPr="0000429C">
            <w:rPr>
              <w:lang w:val="en-US"/>
            </w:rPr>
            <w:t>Washington</w:t>
          </w:r>
        </w:smartTag>
      </w:smartTag>
      <w:r w:rsidRPr="0000429C">
        <w:rPr>
          <w:lang w:val="en-US"/>
        </w:rPr>
        <w:t>: Institute for International Economics).</w:t>
      </w:r>
    </w:p>
    <w:p w14:paraId="57306395" w14:textId="77777777" w:rsidR="00F561D9" w:rsidRPr="0000429C" w:rsidRDefault="00F561D9" w:rsidP="00F561D9">
      <w:pPr>
        <w:jc w:val="both"/>
        <w:rPr>
          <w:lang w:val="en-US"/>
        </w:rPr>
      </w:pPr>
    </w:p>
    <w:p w14:paraId="766936CC" w14:textId="77777777" w:rsidR="00F561D9" w:rsidRPr="0000429C" w:rsidRDefault="00F561D9" w:rsidP="00F561D9">
      <w:pPr>
        <w:jc w:val="both"/>
      </w:pPr>
      <w:r w:rsidRPr="0000429C">
        <w:t xml:space="preserve">Miranda, J. C. &amp; Tavares, M. da C. (2000). “Brasil: estratégias da conglomeração”, in J. L. Fiori, ed., </w:t>
      </w:r>
      <w:r w:rsidRPr="0000429C">
        <w:rPr>
          <w:i/>
        </w:rPr>
        <w:t>Estados e moedas no desenvolvimento das nações</w:t>
      </w:r>
      <w:r w:rsidRPr="0000429C">
        <w:t xml:space="preserve"> (Petrópolis, Brazil: Vozes), pp.327-350.</w:t>
      </w:r>
    </w:p>
    <w:p w14:paraId="3D6830FD" w14:textId="77777777" w:rsidR="00F561D9" w:rsidRPr="0000429C" w:rsidRDefault="00F561D9" w:rsidP="00F561D9">
      <w:pPr>
        <w:jc w:val="both"/>
      </w:pPr>
    </w:p>
    <w:p w14:paraId="612C1D92" w14:textId="77777777" w:rsidR="00F561D9" w:rsidRPr="0000429C" w:rsidRDefault="00F561D9" w:rsidP="00F561D9">
      <w:pPr>
        <w:jc w:val="both"/>
        <w:rPr>
          <w:lang w:val="en-US"/>
        </w:rPr>
      </w:pPr>
      <w:r w:rsidRPr="0000429C">
        <w:rPr>
          <w:lang w:val="en-US"/>
        </w:rPr>
        <w:t xml:space="preserve">O’Neill, J. (2001). “Building better global economic BRICs”, </w:t>
      </w:r>
      <w:r w:rsidRPr="0000429C">
        <w:rPr>
          <w:bCs/>
          <w:i/>
          <w:lang w:val="en-US"/>
        </w:rPr>
        <w:t>Global Economics Paper</w:t>
      </w:r>
      <w:r w:rsidRPr="0000429C">
        <w:rPr>
          <w:lang w:val="en-US"/>
        </w:rPr>
        <w:t>, n.66, Goldman Sachs, November.</w:t>
      </w:r>
    </w:p>
    <w:p w14:paraId="747744B3" w14:textId="77777777" w:rsidR="00F561D9" w:rsidRPr="0000429C" w:rsidRDefault="00F561D9" w:rsidP="00F561D9">
      <w:pPr>
        <w:jc w:val="both"/>
        <w:rPr>
          <w:lang w:val="en-US"/>
        </w:rPr>
      </w:pPr>
    </w:p>
    <w:p w14:paraId="1E937EFD" w14:textId="77777777" w:rsidR="00F561D9" w:rsidRPr="0000429C" w:rsidRDefault="00F561D9" w:rsidP="00F561D9">
      <w:pPr>
        <w:jc w:val="both"/>
        <w:rPr>
          <w:lang w:val="en-US"/>
        </w:rPr>
      </w:pPr>
      <w:smartTag w:uri="urn:schemas-microsoft-com:office:smarttags" w:element="place">
        <w:smartTag w:uri="urn:schemas-microsoft-com:office:smarttags" w:element="City">
          <w:r w:rsidRPr="0000429C">
            <w:rPr>
              <w:lang w:val="en-US"/>
            </w:rPr>
            <w:lastRenderedPageBreak/>
            <w:t>Palma</w:t>
          </w:r>
        </w:smartTag>
      </w:smartTag>
      <w:r w:rsidRPr="0000429C">
        <w:rPr>
          <w:lang w:val="en-US"/>
        </w:rPr>
        <w:t xml:space="preserve">, J. G. (2009). “Flying geese and waddling ducks: the different capabilities of East Asia and Latin America to ‘demand-adapt’ and ‘supply-upgrade’ their export productive capacity”, in M. Cimoli, G. Dosi &amp; J. E. Stiglitz, eds., </w:t>
      </w:r>
      <w:r w:rsidRPr="0000429C">
        <w:rPr>
          <w:i/>
          <w:lang w:val="en-US"/>
        </w:rPr>
        <w:t>Industrial policy and development: the political economy of capabilities accumulation</w:t>
      </w:r>
      <w:r w:rsidRPr="0000429C">
        <w:rPr>
          <w:lang w:val="en-US"/>
        </w:rPr>
        <w:t xml:space="preserve"> (</w:t>
      </w:r>
      <w:smartTag w:uri="urn:schemas-microsoft-com:office:smarttags" w:element="place">
        <w:smartTag w:uri="urn:schemas-microsoft-com:office:smarttags" w:element="City">
          <w:r w:rsidRPr="0000429C">
            <w:rPr>
              <w:lang w:val="en-US"/>
            </w:rPr>
            <w:t>Oxford</w:t>
          </w:r>
        </w:smartTag>
      </w:smartTag>
      <w:r w:rsidRPr="0000429C">
        <w:rPr>
          <w:lang w:val="en-US"/>
        </w:rPr>
        <w:t>: Oxford University Press), pp.203-238.</w:t>
      </w:r>
    </w:p>
    <w:p w14:paraId="1B7B8269" w14:textId="77777777" w:rsidR="00F561D9" w:rsidRPr="0000429C" w:rsidRDefault="00F561D9" w:rsidP="00F561D9">
      <w:pPr>
        <w:jc w:val="both"/>
        <w:rPr>
          <w:lang w:val="en-US"/>
        </w:rPr>
      </w:pPr>
    </w:p>
    <w:p w14:paraId="6C46A918" w14:textId="77777777" w:rsidR="00F561D9" w:rsidRPr="0000429C" w:rsidRDefault="00F561D9" w:rsidP="00F561D9">
      <w:pPr>
        <w:jc w:val="both"/>
        <w:rPr>
          <w:lang w:val="en-US"/>
        </w:rPr>
      </w:pPr>
      <w:r w:rsidRPr="0000429C">
        <w:t xml:space="preserve">Palma, J. G. (2013). </w:t>
      </w:r>
      <w:r w:rsidRPr="0000429C">
        <w:rPr>
          <w:lang w:val="en-US"/>
        </w:rPr>
        <w:t xml:space="preserve">“Was </w:t>
      </w:r>
      <w:smartTag w:uri="urn:schemas-microsoft-com:office:smarttags" w:element="country-region">
        <w:r w:rsidRPr="0000429C">
          <w:rPr>
            <w:lang w:val="en-US"/>
          </w:rPr>
          <w:t>Brazil</w:t>
        </w:r>
      </w:smartTag>
      <w:r w:rsidRPr="0000429C">
        <w:rPr>
          <w:lang w:val="en-US"/>
        </w:rPr>
        <w:t xml:space="preserve">’s recent growth acceleration the world’s most overrated boom?”, </w:t>
      </w:r>
      <w:smartTag w:uri="urn:schemas-microsoft-com:office:smarttags" w:element="City">
        <w:r w:rsidRPr="0000429C">
          <w:rPr>
            <w:i/>
            <w:lang w:val="en-US"/>
          </w:rPr>
          <w:t>Cambridge</w:t>
        </w:r>
      </w:smartTag>
      <w:r w:rsidRPr="0000429C">
        <w:rPr>
          <w:i/>
          <w:lang w:val="en-US"/>
        </w:rPr>
        <w:t xml:space="preserve"> Working Papers in Economics</w:t>
      </w:r>
      <w:r w:rsidRPr="0000429C">
        <w:rPr>
          <w:lang w:val="en-US"/>
        </w:rPr>
        <w:t xml:space="preserve"> (CWPE), n.1248, </w:t>
      </w:r>
      <w:smartTag w:uri="urn:schemas-microsoft-com:office:smarttags" w:element="place">
        <w:smartTag w:uri="urn:schemas-microsoft-com:office:smarttags" w:element="City">
          <w:r w:rsidRPr="0000429C">
            <w:rPr>
              <w:lang w:val="en-US"/>
            </w:rPr>
            <w:t>University of Cambridge</w:t>
          </w:r>
        </w:smartTag>
        <w:r w:rsidRPr="0000429C">
          <w:rPr>
            <w:lang w:val="en-US"/>
          </w:rPr>
          <w:t xml:space="preserve">, </w:t>
        </w:r>
        <w:smartTag w:uri="urn:schemas-microsoft-com:office:smarttags" w:element="country-region">
          <w:r w:rsidRPr="0000429C">
            <w:rPr>
              <w:lang w:val="en-US"/>
            </w:rPr>
            <w:t>UK</w:t>
          </w:r>
        </w:smartTag>
      </w:smartTag>
      <w:r w:rsidRPr="0000429C">
        <w:rPr>
          <w:lang w:val="en-US"/>
        </w:rPr>
        <w:t>.</w:t>
      </w:r>
    </w:p>
    <w:p w14:paraId="6DD1EB56" w14:textId="77777777" w:rsidR="00F561D9" w:rsidRPr="0000429C" w:rsidRDefault="00F561D9" w:rsidP="00F561D9">
      <w:pPr>
        <w:jc w:val="both"/>
        <w:rPr>
          <w:lang w:val="en-US"/>
        </w:rPr>
      </w:pPr>
    </w:p>
    <w:p w14:paraId="293E388E" w14:textId="77777777" w:rsidR="00F561D9" w:rsidRPr="0000429C" w:rsidRDefault="00F561D9" w:rsidP="00F561D9">
      <w:pPr>
        <w:jc w:val="both"/>
        <w:rPr>
          <w:lang w:val="en-US"/>
        </w:rPr>
      </w:pPr>
      <w:r w:rsidRPr="0000429C">
        <w:t xml:space="preserve">Rocha, I. L. (2011). </w:t>
      </w:r>
      <w:r w:rsidRPr="0000429C">
        <w:rPr>
          <w:i/>
        </w:rPr>
        <w:t>Reestruturação industrial no Brasil: uma análise da dinâmica comercial e produtiva da economia</w:t>
      </w:r>
      <w:r w:rsidRPr="0000429C">
        <w:t xml:space="preserve">. </w:t>
      </w:r>
      <w:r w:rsidRPr="0000429C">
        <w:rPr>
          <w:lang w:val="en-US"/>
        </w:rPr>
        <w:t xml:space="preserve">MA </w:t>
      </w:r>
      <w:r w:rsidRPr="0000429C">
        <w:rPr>
          <w:lang w:val="en-GB"/>
        </w:rPr>
        <w:t>thesis in Economics</w:t>
      </w:r>
      <w:r w:rsidRPr="0000429C">
        <w:rPr>
          <w:lang w:val="en-US"/>
        </w:rPr>
        <w:t xml:space="preserve"> (</w:t>
      </w:r>
      <w:smartTag w:uri="urn:schemas-microsoft-com:office:smarttags" w:element="place">
        <w:smartTag w:uri="urn:schemas-microsoft-com:office:smarttags" w:element="City">
          <w:r w:rsidRPr="0000429C">
            <w:rPr>
              <w:lang w:val="en-US"/>
            </w:rPr>
            <w:t>Campinas</w:t>
          </w:r>
        </w:smartTag>
        <w:r w:rsidRPr="0000429C">
          <w:rPr>
            <w:lang w:val="en-US"/>
          </w:rPr>
          <w:t xml:space="preserve">, </w:t>
        </w:r>
        <w:smartTag w:uri="urn:schemas-microsoft-com:office:smarttags" w:element="country-region">
          <w:r w:rsidRPr="0000429C">
            <w:rPr>
              <w:lang w:val="en-US"/>
            </w:rPr>
            <w:t>Brazil</w:t>
          </w:r>
        </w:smartTag>
      </w:smartTag>
      <w:r w:rsidRPr="0000429C">
        <w:rPr>
          <w:lang w:val="en-US"/>
        </w:rPr>
        <w:t>: IE/Unicamp).</w:t>
      </w:r>
    </w:p>
    <w:p w14:paraId="530C723B" w14:textId="77777777" w:rsidR="00F561D9" w:rsidRPr="0000429C" w:rsidRDefault="00F561D9" w:rsidP="00F561D9">
      <w:pPr>
        <w:jc w:val="both"/>
        <w:rPr>
          <w:lang w:val="en-US"/>
        </w:rPr>
      </w:pPr>
    </w:p>
    <w:p w14:paraId="1F8728B0" w14:textId="77777777" w:rsidR="00F561D9" w:rsidRPr="0000429C" w:rsidRDefault="00F561D9" w:rsidP="00F561D9">
      <w:pPr>
        <w:jc w:val="both"/>
        <w:rPr>
          <w:lang w:val="en-US"/>
        </w:rPr>
      </w:pPr>
      <w:r w:rsidRPr="0000429C">
        <w:rPr>
          <w:lang w:val="en-GB"/>
        </w:rPr>
        <w:t>Rodrik, D. (2007a). “</w:t>
      </w:r>
      <w:r w:rsidRPr="0000429C">
        <w:rPr>
          <w:iCs/>
          <w:lang w:val="en-US"/>
        </w:rPr>
        <w:t>Industrial development</w:t>
      </w:r>
      <w:r w:rsidRPr="0000429C">
        <w:rPr>
          <w:lang w:val="en-US"/>
        </w:rPr>
        <w:t xml:space="preserve">: some stylized facts and policy directions”, in United Nations, </w:t>
      </w:r>
      <w:r w:rsidRPr="0000429C">
        <w:rPr>
          <w:i/>
          <w:lang w:val="en-US"/>
        </w:rPr>
        <w:t>Industrial development for the 21</w:t>
      </w:r>
      <w:r w:rsidRPr="0000429C">
        <w:rPr>
          <w:i/>
          <w:vertAlign w:val="superscript"/>
          <w:lang w:val="en-US"/>
        </w:rPr>
        <w:t>st</w:t>
      </w:r>
      <w:r w:rsidRPr="0000429C">
        <w:rPr>
          <w:i/>
          <w:lang w:val="en-US"/>
        </w:rPr>
        <w:t xml:space="preserve"> century: sustainable development perspectives</w:t>
      </w:r>
      <w:r w:rsidRPr="0000429C">
        <w:rPr>
          <w:lang w:val="en-US"/>
        </w:rPr>
        <w:t xml:space="preserve"> (</w:t>
      </w:r>
      <w:smartTag w:uri="urn:schemas-microsoft-com:office:smarttags" w:element="place">
        <w:smartTag w:uri="urn:schemas-microsoft-com:office:smarttags" w:element="State">
          <w:r w:rsidRPr="0000429C">
            <w:rPr>
              <w:lang w:val="en-US"/>
            </w:rPr>
            <w:t>New York</w:t>
          </w:r>
        </w:smartTag>
      </w:smartTag>
      <w:r w:rsidRPr="0000429C">
        <w:rPr>
          <w:lang w:val="en-US"/>
        </w:rPr>
        <w:t>: United Nations), pp.7-28.</w:t>
      </w:r>
    </w:p>
    <w:p w14:paraId="1F30A6F4" w14:textId="77777777" w:rsidR="00F561D9" w:rsidRPr="0000429C" w:rsidRDefault="00F561D9" w:rsidP="00F561D9">
      <w:pPr>
        <w:jc w:val="both"/>
        <w:rPr>
          <w:lang w:val="en-GB"/>
        </w:rPr>
      </w:pPr>
    </w:p>
    <w:p w14:paraId="2881AF44" w14:textId="77777777" w:rsidR="00F561D9" w:rsidRPr="0000429C" w:rsidRDefault="00F561D9" w:rsidP="00F561D9">
      <w:pPr>
        <w:jc w:val="both"/>
        <w:rPr>
          <w:lang w:val="en-GB"/>
        </w:rPr>
      </w:pPr>
      <w:r w:rsidRPr="0000429C">
        <w:rPr>
          <w:lang w:val="en-GB"/>
        </w:rPr>
        <w:t xml:space="preserve">Rodrik, D. (2007b). </w:t>
      </w:r>
      <w:r w:rsidRPr="0000429C">
        <w:rPr>
          <w:i/>
          <w:lang w:val="en-GB"/>
        </w:rPr>
        <w:t>One economics, many recipes: globalisation, institutions, and economic growth</w:t>
      </w:r>
      <w:r w:rsidRPr="0000429C">
        <w:rPr>
          <w:lang w:val="en-GB"/>
        </w:rPr>
        <w:t xml:space="preserve"> (</w:t>
      </w:r>
      <w:smartTag w:uri="urn:schemas-microsoft-com:office:smarttags" w:element="place">
        <w:r w:rsidRPr="0000429C">
          <w:rPr>
            <w:lang w:val="en-GB"/>
          </w:rPr>
          <w:t>Princeton</w:t>
        </w:r>
      </w:smartTag>
      <w:r w:rsidRPr="0000429C">
        <w:rPr>
          <w:lang w:val="en-GB"/>
        </w:rPr>
        <w:t>: Princeton University Press).</w:t>
      </w:r>
    </w:p>
    <w:p w14:paraId="122D8844" w14:textId="77777777" w:rsidR="00F561D9" w:rsidRPr="0000429C" w:rsidRDefault="00F561D9" w:rsidP="00F561D9">
      <w:pPr>
        <w:jc w:val="both"/>
        <w:rPr>
          <w:lang w:val="en-GB"/>
        </w:rPr>
      </w:pPr>
    </w:p>
    <w:p w14:paraId="77D153E5" w14:textId="77777777" w:rsidR="00F561D9" w:rsidRPr="0000429C" w:rsidRDefault="00F561D9" w:rsidP="00F561D9">
      <w:pPr>
        <w:jc w:val="both"/>
        <w:rPr>
          <w:lang w:val="en-GB"/>
        </w:rPr>
      </w:pPr>
      <w:r w:rsidRPr="0000429C">
        <w:rPr>
          <w:lang w:val="en-GB"/>
        </w:rPr>
        <w:t xml:space="preserve">Sauvant, K. P. (2005). “New sources of FDI: the BRICs – Outward FDI from </w:t>
      </w:r>
      <w:smartTag w:uri="urn:schemas-microsoft-com:office:smarttags" w:element="country-region">
        <w:r w:rsidRPr="0000429C">
          <w:rPr>
            <w:lang w:val="en-GB"/>
          </w:rPr>
          <w:t>Brazil</w:t>
        </w:r>
      </w:smartTag>
      <w:r w:rsidRPr="0000429C">
        <w:rPr>
          <w:lang w:val="en-GB"/>
        </w:rPr>
        <w:t xml:space="preserve">, </w:t>
      </w:r>
      <w:smartTag w:uri="urn:schemas-microsoft-com:office:smarttags" w:element="country-region">
        <w:r w:rsidRPr="0000429C">
          <w:rPr>
            <w:lang w:val="en-GB"/>
          </w:rPr>
          <w:t>Russia</w:t>
        </w:r>
      </w:smartTag>
      <w:r w:rsidRPr="0000429C">
        <w:rPr>
          <w:lang w:val="en-GB"/>
        </w:rPr>
        <w:t xml:space="preserve">, </w:t>
      </w:r>
      <w:smartTag w:uri="urn:schemas-microsoft-com:office:smarttags" w:element="country-region">
        <w:r w:rsidRPr="0000429C">
          <w:rPr>
            <w:lang w:val="en-GB"/>
          </w:rPr>
          <w:t>India</w:t>
        </w:r>
      </w:smartTag>
      <w:r w:rsidRPr="0000429C">
        <w:rPr>
          <w:lang w:val="en-GB"/>
        </w:rPr>
        <w:t xml:space="preserve"> and </w:t>
      </w:r>
      <w:smartTag w:uri="urn:schemas-microsoft-com:office:smarttags" w:element="country-region">
        <w:smartTag w:uri="urn:schemas-microsoft-com:office:smarttags" w:element="place">
          <w:r w:rsidRPr="0000429C">
            <w:rPr>
              <w:lang w:val="en-GB"/>
            </w:rPr>
            <w:t>China</w:t>
          </w:r>
        </w:smartTag>
      </w:smartTag>
      <w:r w:rsidRPr="0000429C">
        <w:rPr>
          <w:lang w:val="en-GB"/>
        </w:rPr>
        <w:t xml:space="preserve">”, </w:t>
      </w:r>
      <w:r w:rsidRPr="0000429C">
        <w:rPr>
          <w:i/>
          <w:lang w:val="en-GB"/>
        </w:rPr>
        <w:t>Journal of World Investment &amp; Trade</w:t>
      </w:r>
      <w:r w:rsidRPr="0000429C">
        <w:rPr>
          <w:lang w:val="en-GB"/>
        </w:rPr>
        <w:t>, v.6, n.5 (October), pp.639-709.</w:t>
      </w:r>
    </w:p>
    <w:p w14:paraId="348C6510" w14:textId="77777777" w:rsidR="00F561D9" w:rsidRPr="0000429C" w:rsidRDefault="00F561D9" w:rsidP="00F561D9">
      <w:pPr>
        <w:jc w:val="both"/>
        <w:rPr>
          <w:lang w:val="en-GB"/>
        </w:rPr>
      </w:pPr>
    </w:p>
    <w:p w14:paraId="090DEDCF" w14:textId="77777777" w:rsidR="00F561D9" w:rsidRPr="0000429C" w:rsidRDefault="00F561D9" w:rsidP="00F561D9">
      <w:pPr>
        <w:jc w:val="both"/>
        <w:rPr>
          <w:lang w:val="en-US"/>
        </w:rPr>
      </w:pPr>
      <w:r w:rsidRPr="0000429C">
        <w:rPr>
          <w:lang w:val="en-US"/>
        </w:rPr>
        <w:t xml:space="preserve">Schumpeter, J. A. (1912). </w:t>
      </w:r>
      <w:r w:rsidRPr="0000429C">
        <w:rPr>
          <w:i/>
          <w:lang w:val="en-US"/>
        </w:rPr>
        <w:t>The theory of economic development: an enquiry into profits, capital, credit, interest, and the business cycle</w:t>
      </w:r>
      <w:r w:rsidRPr="0000429C">
        <w:rPr>
          <w:lang w:val="en-US"/>
        </w:rPr>
        <w:t xml:space="preserve"> (</w:t>
      </w:r>
      <w:smartTag w:uri="urn:schemas-microsoft-com:office:smarttags" w:element="place">
        <w:smartTag w:uri="urn:schemas-microsoft-com:office:smarttags" w:element="City">
          <w:r w:rsidRPr="0000429C">
            <w:rPr>
              <w:lang w:val="en-US"/>
            </w:rPr>
            <w:t>New Brunswick</w:t>
          </w:r>
        </w:smartTag>
        <w:r w:rsidRPr="0000429C">
          <w:rPr>
            <w:lang w:val="en-US"/>
          </w:rPr>
          <w:t xml:space="preserve">, </w:t>
        </w:r>
        <w:smartTag w:uri="urn:schemas-microsoft-com:office:smarttags" w:element="State">
          <w:r w:rsidRPr="0000429C">
            <w:rPr>
              <w:lang w:val="en-US"/>
            </w:rPr>
            <w:t>NJ</w:t>
          </w:r>
        </w:smartTag>
      </w:smartTag>
      <w:r w:rsidRPr="0000429C">
        <w:rPr>
          <w:lang w:val="en-US"/>
        </w:rPr>
        <w:t>: Transaction Publishers, 2004).</w:t>
      </w:r>
    </w:p>
    <w:p w14:paraId="7668CD40" w14:textId="77777777" w:rsidR="00F561D9" w:rsidRPr="0000429C" w:rsidRDefault="00F561D9" w:rsidP="00F561D9">
      <w:pPr>
        <w:jc w:val="both"/>
        <w:rPr>
          <w:lang w:val="en-US"/>
        </w:rPr>
      </w:pPr>
    </w:p>
    <w:p w14:paraId="2D971327" w14:textId="77777777" w:rsidR="00F561D9" w:rsidRPr="0000429C" w:rsidRDefault="00F561D9" w:rsidP="00F561D9">
      <w:pPr>
        <w:jc w:val="both"/>
      </w:pPr>
      <w:r w:rsidRPr="0000429C">
        <w:t xml:space="preserve">Tavares, M. da C. (1998). “A economia política do Real”, in A. Mercadante, ed., </w:t>
      </w:r>
      <w:r w:rsidRPr="0000429C">
        <w:rPr>
          <w:i/>
        </w:rPr>
        <w:t>O Brasil pós-Real: a política econômica em debate</w:t>
      </w:r>
      <w:r w:rsidRPr="0000429C">
        <w:t xml:space="preserve"> (Campinas, Brazil: IE/Unicamp).</w:t>
      </w:r>
    </w:p>
    <w:p w14:paraId="17C67F3C" w14:textId="77777777" w:rsidR="00F561D9" w:rsidRPr="0000429C" w:rsidRDefault="00F561D9" w:rsidP="00F561D9">
      <w:pPr>
        <w:jc w:val="both"/>
      </w:pPr>
    </w:p>
    <w:p w14:paraId="350BDFE3" w14:textId="77777777" w:rsidR="00F561D9" w:rsidRPr="0000429C" w:rsidRDefault="00F561D9" w:rsidP="00F561D9">
      <w:pPr>
        <w:jc w:val="both"/>
        <w:rPr>
          <w:lang w:val="en-US"/>
        </w:rPr>
      </w:pPr>
      <w:r w:rsidRPr="0000429C">
        <w:rPr>
          <w:lang w:val="en-US"/>
        </w:rPr>
        <w:t xml:space="preserve">Unctad (2009). </w:t>
      </w:r>
      <w:r w:rsidRPr="0000429C">
        <w:rPr>
          <w:i/>
          <w:lang w:val="en-US"/>
        </w:rPr>
        <w:t>World Investment Report 2009: Transnational corporations, agricultural production and development</w:t>
      </w:r>
      <w:r w:rsidRPr="0000429C">
        <w:rPr>
          <w:lang w:val="en-US"/>
        </w:rPr>
        <w:t xml:space="preserve"> (</w:t>
      </w:r>
      <w:smartTag w:uri="urn:schemas-microsoft-com:office:smarttags" w:element="State">
        <w:r w:rsidRPr="0000429C">
          <w:rPr>
            <w:lang w:val="en-US"/>
          </w:rPr>
          <w:t>New York</w:t>
        </w:r>
      </w:smartTag>
      <w:r w:rsidRPr="0000429C">
        <w:rPr>
          <w:lang w:val="en-US"/>
        </w:rPr>
        <w:t xml:space="preserve"> and </w:t>
      </w:r>
      <w:smartTag w:uri="urn:schemas-microsoft-com:office:smarttags" w:element="place">
        <w:smartTag w:uri="urn:schemas-microsoft-com:office:smarttags" w:element="City">
          <w:r w:rsidRPr="0000429C">
            <w:rPr>
              <w:lang w:val="en-US"/>
            </w:rPr>
            <w:t>Geneva</w:t>
          </w:r>
        </w:smartTag>
      </w:smartTag>
      <w:r w:rsidRPr="0000429C">
        <w:rPr>
          <w:lang w:val="en-US"/>
        </w:rPr>
        <w:t>: United Nations).</w:t>
      </w:r>
    </w:p>
    <w:p w14:paraId="2398DF0F" w14:textId="77777777" w:rsidR="00F561D9" w:rsidRPr="0000429C" w:rsidRDefault="00F561D9" w:rsidP="00F561D9">
      <w:pPr>
        <w:jc w:val="both"/>
        <w:rPr>
          <w:highlight w:val="blue"/>
          <w:lang w:val="en-US"/>
        </w:rPr>
      </w:pPr>
    </w:p>
    <w:p w14:paraId="3AB202E3" w14:textId="77777777" w:rsidR="00F561D9" w:rsidRPr="0000429C" w:rsidRDefault="00F561D9" w:rsidP="00F561D9">
      <w:pPr>
        <w:jc w:val="both"/>
      </w:pPr>
      <w:r w:rsidRPr="0000429C">
        <w:t xml:space="preserve">Valor Econômico (2010). </w:t>
      </w:r>
      <w:r w:rsidRPr="0000429C">
        <w:rPr>
          <w:i/>
        </w:rPr>
        <w:t>Multinacionais brasileiras</w:t>
      </w:r>
      <w:r w:rsidRPr="0000429C">
        <w:t>, São Paulo, Brazil, September.</w:t>
      </w:r>
    </w:p>
    <w:p w14:paraId="5A25A065" w14:textId="77777777" w:rsidR="00F561D9" w:rsidRPr="0000429C" w:rsidRDefault="00F561D9" w:rsidP="00F561D9">
      <w:pPr>
        <w:jc w:val="both"/>
      </w:pPr>
    </w:p>
    <w:p w14:paraId="70872C0A" w14:textId="77777777" w:rsidR="00F561D9" w:rsidRPr="0000429C" w:rsidRDefault="00F561D9" w:rsidP="00F561D9">
      <w:pPr>
        <w:jc w:val="both"/>
      </w:pPr>
      <w:r w:rsidRPr="0000429C">
        <w:t xml:space="preserve">Valor Econômico (2011). </w:t>
      </w:r>
      <w:r w:rsidRPr="0000429C">
        <w:rPr>
          <w:i/>
        </w:rPr>
        <w:t>Multinacionais brasileiras</w:t>
      </w:r>
      <w:r w:rsidRPr="0000429C">
        <w:t>, São Paulo, Brazil, September.</w:t>
      </w:r>
    </w:p>
    <w:p w14:paraId="0CB16450" w14:textId="77777777" w:rsidR="00F561D9" w:rsidRPr="0000429C" w:rsidRDefault="00F561D9" w:rsidP="00F561D9">
      <w:pPr>
        <w:jc w:val="both"/>
      </w:pPr>
    </w:p>
    <w:p w14:paraId="0C61FB1A" w14:textId="77777777" w:rsidR="00F561D9" w:rsidRPr="0000429C" w:rsidRDefault="00F561D9" w:rsidP="00F561D9">
      <w:pPr>
        <w:widowControl w:val="0"/>
        <w:jc w:val="both"/>
        <w:rPr>
          <w:lang w:val="en-US"/>
        </w:rPr>
      </w:pPr>
      <w:r w:rsidRPr="0000429C">
        <w:rPr>
          <w:lang w:val="en-US"/>
        </w:rPr>
        <w:t xml:space="preserve">Wade, R. (1990). </w:t>
      </w:r>
      <w:r w:rsidRPr="0000429C">
        <w:rPr>
          <w:i/>
          <w:lang w:val="en-US"/>
        </w:rPr>
        <w:t>Governing the market: economic theory and the role of government in East Asian industrialization</w:t>
      </w:r>
      <w:r w:rsidRPr="0000429C">
        <w:rPr>
          <w:lang w:val="en-US"/>
        </w:rPr>
        <w:t xml:space="preserve"> (</w:t>
      </w:r>
      <w:smartTag w:uri="urn:schemas-microsoft-com:office:smarttags" w:element="place">
        <w:r w:rsidRPr="0000429C">
          <w:rPr>
            <w:lang w:val="en-US"/>
          </w:rPr>
          <w:t>Princeton</w:t>
        </w:r>
      </w:smartTag>
      <w:r w:rsidRPr="0000429C">
        <w:rPr>
          <w:lang w:val="en-US"/>
        </w:rPr>
        <w:t>: Princeton University Press).</w:t>
      </w:r>
    </w:p>
    <w:p w14:paraId="25EAC41A" w14:textId="77777777" w:rsidR="00F561D9" w:rsidRPr="0000429C" w:rsidRDefault="00F561D9" w:rsidP="00F561D9">
      <w:pPr>
        <w:widowControl w:val="0"/>
        <w:jc w:val="both"/>
        <w:rPr>
          <w:lang w:val="en-US"/>
        </w:rPr>
      </w:pPr>
    </w:p>
    <w:p w14:paraId="3A71E101" w14:textId="77777777" w:rsidR="00F561D9" w:rsidRPr="0000429C" w:rsidRDefault="00F561D9" w:rsidP="00F561D9">
      <w:pPr>
        <w:jc w:val="both"/>
        <w:rPr>
          <w:lang w:val="en-US"/>
        </w:rPr>
      </w:pPr>
      <w:r w:rsidRPr="0000429C">
        <w:rPr>
          <w:lang w:val="en-US"/>
        </w:rPr>
        <w:t xml:space="preserve">Williamson, J. (1989). “What </w:t>
      </w:r>
      <w:smartTag w:uri="urn:schemas-microsoft-com:office:smarttags" w:element="place">
        <w:smartTag w:uri="urn:schemas-microsoft-com:office:smarttags" w:element="State">
          <w:r w:rsidRPr="0000429C">
            <w:rPr>
              <w:lang w:val="en-US"/>
            </w:rPr>
            <w:t>Washington</w:t>
          </w:r>
        </w:smartTag>
      </w:smartTag>
      <w:r w:rsidRPr="0000429C">
        <w:rPr>
          <w:lang w:val="en-US"/>
        </w:rPr>
        <w:t xml:space="preserve"> means by policy reform”, </w:t>
      </w:r>
      <w:r w:rsidRPr="0000429C">
        <w:rPr>
          <w:i/>
          <w:lang w:val="en-US"/>
        </w:rPr>
        <w:t>Conference held by the Institute for International Economics</w:t>
      </w:r>
      <w:r w:rsidRPr="0000429C">
        <w:rPr>
          <w:lang w:val="en-US"/>
        </w:rPr>
        <w:t xml:space="preserve"> (November).</w:t>
      </w:r>
    </w:p>
    <w:p w14:paraId="3DD1A8BF" w14:textId="77777777" w:rsidR="00F561D9" w:rsidRPr="0000429C" w:rsidRDefault="00F561D9" w:rsidP="00F561D9">
      <w:pPr>
        <w:jc w:val="both"/>
        <w:rPr>
          <w:lang w:val="en-US"/>
        </w:rPr>
      </w:pPr>
    </w:p>
    <w:p w14:paraId="2F4388DF" w14:textId="77777777" w:rsidR="00F561D9" w:rsidRPr="0000429C" w:rsidRDefault="00F561D9" w:rsidP="00F561D9">
      <w:pPr>
        <w:widowControl w:val="0"/>
        <w:jc w:val="both"/>
        <w:rPr>
          <w:lang w:val="en-US"/>
        </w:rPr>
      </w:pPr>
      <w:r w:rsidRPr="0000429C">
        <w:rPr>
          <w:lang w:val="en-US"/>
        </w:rPr>
        <w:t xml:space="preserve">World Bank (2011). </w:t>
      </w:r>
      <w:r w:rsidRPr="0000429C">
        <w:rPr>
          <w:i/>
          <w:lang w:val="en-US"/>
        </w:rPr>
        <w:t>Global Development Horizons</w:t>
      </w:r>
      <w:r w:rsidRPr="0000429C">
        <w:rPr>
          <w:bCs/>
          <w:i/>
          <w:lang w:val="en-US"/>
        </w:rPr>
        <w:t xml:space="preserve"> 2011: Multipolarity –</w:t>
      </w:r>
      <w:r w:rsidRPr="0000429C">
        <w:rPr>
          <w:i/>
          <w:lang w:val="en-US"/>
        </w:rPr>
        <w:t xml:space="preserve"> the new global economy</w:t>
      </w:r>
      <w:r w:rsidRPr="0000429C">
        <w:rPr>
          <w:lang w:val="en-US"/>
        </w:rPr>
        <w:t xml:space="preserve"> (</w:t>
      </w:r>
      <w:smartTag w:uri="urn:schemas-microsoft-com:office:smarttags" w:element="place">
        <w:smartTag w:uri="urn:schemas-microsoft-com:office:smarttags" w:element="City">
          <w:r w:rsidRPr="0000429C">
            <w:rPr>
              <w:lang w:val="en-US"/>
            </w:rPr>
            <w:t>Washington</w:t>
          </w:r>
        </w:smartTag>
        <w:r w:rsidRPr="0000429C">
          <w:rPr>
            <w:lang w:val="en-US"/>
          </w:rPr>
          <w:t xml:space="preserve">, </w:t>
        </w:r>
        <w:smartTag w:uri="urn:schemas-microsoft-com:office:smarttags" w:element="State">
          <w:r w:rsidRPr="0000429C">
            <w:rPr>
              <w:lang w:val="en-US"/>
            </w:rPr>
            <w:t>D.C.</w:t>
          </w:r>
        </w:smartTag>
      </w:smartTag>
      <w:r w:rsidRPr="0000429C">
        <w:rPr>
          <w:lang w:val="en-US"/>
        </w:rPr>
        <w:t>: The World Bank).</w:t>
      </w:r>
    </w:p>
    <w:p w14:paraId="4CE6928D" w14:textId="77777777" w:rsidR="00F561D9" w:rsidRDefault="00F561D9" w:rsidP="00F561D9">
      <w:pPr>
        <w:jc w:val="both"/>
        <w:rPr>
          <w:lang w:val="en-US"/>
        </w:rPr>
      </w:pPr>
    </w:p>
    <w:p w14:paraId="44910643" w14:textId="77777777" w:rsidR="00F561D9" w:rsidRPr="00162291" w:rsidRDefault="00F561D9" w:rsidP="00F561D9">
      <w:pPr>
        <w:jc w:val="both"/>
        <w:rPr>
          <w:lang w:val="en-US"/>
        </w:rPr>
      </w:pPr>
    </w:p>
    <w:p w14:paraId="0AAA066B" w14:textId="77777777" w:rsidR="00F561D9" w:rsidRDefault="00F561D9" w:rsidP="00F561D9">
      <w:pPr>
        <w:jc w:val="both"/>
        <w:rPr>
          <w:lang w:val="en-GB"/>
        </w:rPr>
      </w:pPr>
    </w:p>
    <w:p w14:paraId="37C4F4B0" w14:textId="77777777" w:rsidR="00F561D9" w:rsidRDefault="00F561D9" w:rsidP="00F561D9">
      <w:pPr>
        <w:jc w:val="both"/>
        <w:rPr>
          <w:lang w:val="en-GB"/>
        </w:rPr>
      </w:pPr>
    </w:p>
    <w:p w14:paraId="19EBD829" w14:textId="77777777" w:rsidR="00F561D9" w:rsidRDefault="00F561D9" w:rsidP="00F561D9">
      <w:pPr>
        <w:jc w:val="both"/>
        <w:rPr>
          <w:lang w:val="en-GB"/>
        </w:rPr>
      </w:pPr>
    </w:p>
    <w:p w14:paraId="07D056AB" w14:textId="77777777" w:rsidR="00F561D9" w:rsidRDefault="00F561D9" w:rsidP="00F561D9">
      <w:pPr>
        <w:jc w:val="both"/>
        <w:rPr>
          <w:lang w:val="en-GB"/>
        </w:rPr>
      </w:pPr>
    </w:p>
    <w:p w14:paraId="5E999352" w14:textId="77777777" w:rsidR="00F561D9" w:rsidRPr="00162291" w:rsidRDefault="00F561D9" w:rsidP="00F561D9">
      <w:pPr>
        <w:pageBreakBefore/>
        <w:jc w:val="center"/>
        <w:rPr>
          <w:b/>
          <w:lang w:val="en-US"/>
        </w:rPr>
      </w:pPr>
      <w:r w:rsidRPr="009C4B98">
        <w:rPr>
          <w:b/>
          <w:lang w:val="en-GB"/>
        </w:rPr>
        <w:lastRenderedPageBreak/>
        <w:t>Appendix</w:t>
      </w:r>
      <w:r w:rsidRPr="00162291">
        <w:rPr>
          <w:b/>
          <w:lang w:val="en-US"/>
        </w:rPr>
        <w:t xml:space="preserve"> </w:t>
      </w:r>
      <w:r w:rsidRPr="009C4B98">
        <w:rPr>
          <w:b/>
          <w:lang w:val="en-GB"/>
        </w:rPr>
        <w:t>table</w:t>
      </w:r>
      <w:r w:rsidRPr="00162291">
        <w:rPr>
          <w:b/>
          <w:lang w:val="en-US"/>
        </w:rPr>
        <w:t>. Brazil: Companies operating abroad</w:t>
      </w:r>
      <w:r>
        <w:rPr>
          <w:b/>
          <w:lang w:val="en-US"/>
        </w:rPr>
        <w:t xml:space="preserve"> before the crisis, </w:t>
      </w:r>
      <w:r w:rsidRPr="00162291">
        <w:rPr>
          <w:b/>
          <w:lang w:val="en-US"/>
        </w:rPr>
        <w:t>2007</w:t>
      </w:r>
    </w:p>
    <w:tbl>
      <w:tblPr>
        <w:tblW w:w="10723" w:type="dxa"/>
        <w:jc w:val="center"/>
        <w:tblCellMar>
          <w:left w:w="70" w:type="dxa"/>
          <w:right w:w="70" w:type="dxa"/>
        </w:tblCellMar>
        <w:tblLook w:val="0000" w:firstRow="0" w:lastRow="0" w:firstColumn="0" w:lastColumn="0" w:noHBand="0" w:noVBand="0"/>
      </w:tblPr>
      <w:tblGrid>
        <w:gridCol w:w="1560"/>
        <w:gridCol w:w="2104"/>
        <w:gridCol w:w="1148"/>
        <w:gridCol w:w="748"/>
        <w:gridCol w:w="994"/>
        <w:gridCol w:w="792"/>
        <w:gridCol w:w="2116"/>
        <w:gridCol w:w="1261"/>
      </w:tblGrid>
      <w:tr w:rsidR="00F561D9" w:rsidRPr="00720A84" w14:paraId="4B9FA351" w14:textId="77777777" w:rsidTr="006B40CA">
        <w:trPr>
          <w:trHeight w:val="256"/>
          <w:jc w:val="center"/>
        </w:trPr>
        <w:tc>
          <w:tcPr>
            <w:tcW w:w="1541" w:type="dxa"/>
            <w:tcBorders>
              <w:top w:val="single" w:sz="12" w:space="0" w:color="auto"/>
              <w:left w:val="nil"/>
              <w:bottom w:val="single" w:sz="4" w:space="0" w:color="auto"/>
              <w:right w:val="nil"/>
            </w:tcBorders>
            <w:shd w:val="clear" w:color="auto" w:fill="auto"/>
            <w:noWrap/>
            <w:vAlign w:val="center"/>
          </w:tcPr>
          <w:p w14:paraId="44B58948" w14:textId="77777777" w:rsidR="00F561D9" w:rsidRPr="00720A84" w:rsidRDefault="00F561D9" w:rsidP="006B40CA">
            <w:pPr>
              <w:jc w:val="center"/>
              <w:rPr>
                <w:b/>
                <w:bCs/>
                <w:sz w:val="16"/>
                <w:szCs w:val="16"/>
              </w:rPr>
            </w:pPr>
            <w:r w:rsidRPr="00720A84">
              <w:rPr>
                <w:b/>
                <w:bCs/>
                <w:sz w:val="16"/>
                <w:szCs w:val="16"/>
              </w:rPr>
              <w:t>Company</w:t>
            </w:r>
          </w:p>
        </w:tc>
        <w:tc>
          <w:tcPr>
            <w:tcW w:w="2079" w:type="dxa"/>
            <w:tcBorders>
              <w:top w:val="single" w:sz="12" w:space="0" w:color="auto"/>
              <w:left w:val="nil"/>
              <w:bottom w:val="single" w:sz="4" w:space="0" w:color="auto"/>
              <w:right w:val="nil"/>
            </w:tcBorders>
            <w:shd w:val="clear" w:color="auto" w:fill="auto"/>
            <w:noWrap/>
            <w:vAlign w:val="center"/>
          </w:tcPr>
          <w:p w14:paraId="0360567E" w14:textId="77777777" w:rsidR="00F561D9" w:rsidRPr="00720A84" w:rsidRDefault="00F561D9" w:rsidP="006B40CA">
            <w:pPr>
              <w:jc w:val="center"/>
              <w:rPr>
                <w:b/>
                <w:bCs/>
                <w:sz w:val="16"/>
                <w:szCs w:val="16"/>
              </w:rPr>
            </w:pPr>
            <w:r w:rsidRPr="00720A84">
              <w:rPr>
                <w:b/>
                <w:bCs/>
                <w:sz w:val="16"/>
                <w:szCs w:val="16"/>
              </w:rPr>
              <w:t>Sector</w:t>
            </w:r>
          </w:p>
        </w:tc>
        <w:tc>
          <w:tcPr>
            <w:tcW w:w="1134" w:type="dxa"/>
            <w:tcBorders>
              <w:top w:val="single" w:sz="12" w:space="0" w:color="auto"/>
              <w:left w:val="nil"/>
              <w:bottom w:val="single" w:sz="4" w:space="0" w:color="auto"/>
              <w:right w:val="nil"/>
            </w:tcBorders>
            <w:shd w:val="clear" w:color="auto" w:fill="auto"/>
            <w:noWrap/>
            <w:vAlign w:val="center"/>
          </w:tcPr>
          <w:p w14:paraId="21E2D041" w14:textId="77777777" w:rsidR="00F561D9" w:rsidRPr="00720A84" w:rsidRDefault="00F561D9" w:rsidP="006B40CA">
            <w:pPr>
              <w:jc w:val="center"/>
              <w:rPr>
                <w:b/>
                <w:bCs/>
                <w:sz w:val="16"/>
                <w:szCs w:val="16"/>
                <w:lang w:val="en-US"/>
              </w:rPr>
            </w:pPr>
            <w:r w:rsidRPr="00162291">
              <w:rPr>
                <w:b/>
                <w:bCs/>
                <w:sz w:val="16"/>
                <w:szCs w:val="16"/>
                <w:lang w:val="en-US"/>
              </w:rPr>
              <w:t>Size (sales in U</w:t>
            </w:r>
            <w:r w:rsidRPr="00720A84">
              <w:rPr>
                <w:b/>
                <w:bCs/>
                <w:sz w:val="16"/>
                <w:szCs w:val="16"/>
                <w:lang w:val="en-US"/>
              </w:rPr>
              <w:t>S$ million)</w:t>
            </w:r>
          </w:p>
        </w:tc>
        <w:tc>
          <w:tcPr>
            <w:tcW w:w="739" w:type="dxa"/>
            <w:tcBorders>
              <w:top w:val="single" w:sz="12" w:space="0" w:color="auto"/>
              <w:left w:val="nil"/>
              <w:bottom w:val="single" w:sz="4" w:space="0" w:color="auto"/>
              <w:right w:val="nil"/>
            </w:tcBorders>
            <w:shd w:val="clear" w:color="auto" w:fill="auto"/>
            <w:noWrap/>
            <w:vAlign w:val="center"/>
          </w:tcPr>
          <w:p w14:paraId="155C1519" w14:textId="77777777" w:rsidR="00F561D9" w:rsidRPr="00720A84" w:rsidRDefault="00F561D9" w:rsidP="006B40CA">
            <w:pPr>
              <w:jc w:val="center"/>
              <w:rPr>
                <w:b/>
                <w:bCs/>
                <w:sz w:val="16"/>
                <w:szCs w:val="16"/>
              </w:rPr>
            </w:pPr>
            <w:r w:rsidRPr="00720A84">
              <w:rPr>
                <w:b/>
                <w:bCs/>
                <w:sz w:val="16"/>
                <w:szCs w:val="16"/>
              </w:rPr>
              <w:t>First export</w:t>
            </w:r>
          </w:p>
        </w:tc>
        <w:tc>
          <w:tcPr>
            <w:tcW w:w="982" w:type="dxa"/>
            <w:tcBorders>
              <w:top w:val="single" w:sz="12" w:space="0" w:color="auto"/>
              <w:left w:val="nil"/>
              <w:bottom w:val="single" w:sz="4" w:space="0" w:color="auto"/>
              <w:right w:val="nil"/>
            </w:tcBorders>
            <w:shd w:val="clear" w:color="auto" w:fill="auto"/>
            <w:noWrap/>
            <w:vAlign w:val="center"/>
          </w:tcPr>
          <w:p w14:paraId="08A21E80" w14:textId="77777777" w:rsidR="00F561D9" w:rsidRPr="00720A84" w:rsidRDefault="00F561D9" w:rsidP="006B40CA">
            <w:pPr>
              <w:jc w:val="center"/>
              <w:rPr>
                <w:b/>
                <w:bCs/>
                <w:sz w:val="16"/>
                <w:szCs w:val="16"/>
              </w:rPr>
            </w:pPr>
            <w:r w:rsidRPr="00720A84">
              <w:rPr>
                <w:b/>
                <w:bCs/>
                <w:sz w:val="16"/>
                <w:szCs w:val="16"/>
              </w:rPr>
              <w:t>First plant abroad</w:t>
            </w:r>
          </w:p>
        </w:tc>
        <w:tc>
          <w:tcPr>
            <w:tcW w:w="783" w:type="dxa"/>
            <w:tcBorders>
              <w:top w:val="single" w:sz="12" w:space="0" w:color="auto"/>
              <w:left w:val="nil"/>
              <w:bottom w:val="single" w:sz="4" w:space="0" w:color="auto"/>
              <w:right w:val="nil"/>
            </w:tcBorders>
            <w:shd w:val="clear" w:color="auto" w:fill="auto"/>
            <w:noWrap/>
            <w:vAlign w:val="center"/>
          </w:tcPr>
          <w:p w14:paraId="4E78D3BD" w14:textId="77777777" w:rsidR="00F561D9" w:rsidRPr="00720A84" w:rsidRDefault="00F561D9" w:rsidP="006B40CA">
            <w:pPr>
              <w:jc w:val="center"/>
              <w:rPr>
                <w:b/>
                <w:bCs/>
                <w:sz w:val="16"/>
                <w:szCs w:val="16"/>
              </w:rPr>
            </w:pPr>
            <w:r w:rsidRPr="00720A84">
              <w:rPr>
                <w:b/>
                <w:bCs/>
                <w:sz w:val="16"/>
                <w:szCs w:val="16"/>
              </w:rPr>
              <w:t>Units abroad</w:t>
            </w:r>
          </w:p>
        </w:tc>
        <w:tc>
          <w:tcPr>
            <w:tcW w:w="2091" w:type="dxa"/>
            <w:tcBorders>
              <w:top w:val="single" w:sz="12" w:space="0" w:color="auto"/>
              <w:left w:val="nil"/>
              <w:bottom w:val="single" w:sz="4" w:space="0" w:color="auto"/>
              <w:right w:val="nil"/>
            </w:tcBorders>
            <w:shd w:val="clear" w:color="auto" w:fill="auto"/>
            <w:noWrap/>
            <w:vAlign w:val="center"/>
          </w:tcPr>
          <w:p w14:paraId="0C5FDF31" w14:textId="77777777" w:rsidR="00F561D9" w:rsidRPr="00720A84" w:rsidRDefault="00F561D9" w:rsidP="006B40CA">
            <w:pPr>
              <w:jc w:val="center"/>
              <w:rPr>
                <w:b/>
                <w:bCs/>
                <w:sz w:val="16"/>
                <w:szCs w:val="16"/>
              </w:rPr>
            </w:pPr>
            <w:r w:rsidRPr="00720A84">
              <w:rPr>
                <w:b/>
                <w:bCs/>
                <w:sz w:val="16"/>
                <w:szCs w:val="16"/>
              </w:rPr>
              <w:t>Countries (sequence)</w:t>
            </w:r>
          </w:p>
        </w:tc>
        <w:tc>
          <w:tcPr>
            <w:tcW w:w="1246" w:type="dxa"/>
            <w:tcBorders>
              <w:top w:val="single" w:sz="12" w:space="0" w:color="auto"/>
              <w:left w:val="nil"/>
              <w:bottom w:val="single" w:sz="4" w:space="0" w:color="auto"/>
              <w:right w:val="nil"/>
            </w:tcBorders>
            <w:shd w:val="clear" w:color="auto" w:fill="auto"/>
            <w:noWrap/>
            <w:vAlign w:val="center"/>
          </w:tcPr>
          <w:p w14:paraId="550212FF" w14:textId="77777777" w:rsidR="00F561D9" w:rsidRPr="00720A84" w:rsidRDefault="00F561D9" w:rsidP="006B40CA">
            <w:pPr>
              <w:jc w:val="center"/>
              <w:rPr>
                <w:b/>
                <w:bCs/>
                <w:sz w:val="16"/>
                <w:szCs w:val="16"/>
              </w:rPr>
            </w:pPr>
            <w:r w:rsidRPr="00720A84">
              <w:rPr>
                <w:b/>
                <w:bCs/>
                <w:sz w:val="16"/>
                <w:szCs w:val="16"/>
              </w:rPr>
              <w:t>Mode of entry (sequence)</w:t>
            </w:r>
          </w:p>
        </w:tc>
      </w:tr>
      <w:tr w:rsidR="00F561D9" w:rsidRPr="00720A84" w14:paraId="5E456C5A"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46493CBB" w14:textId="77777777" w:rsidR="00F561D9" w:rsidRPr="00720A84" w:rsidRDefault="00F561D9" w:rsidP="006B40CA">
            <w:pPr>
              <w:rPr>
                <w:i/>
                <w:iCs/>
                <w:sz w:val="16"/>
                <w:szCs w:val="16"/>
              </w:rPr>
            </w:pPr>
            <w:r w:rsidRPr="00720A84">
              <w:rPr>
                <w:i/>
                <w:iCs/>
                <w:sz w:val="16"/>
                <w:szCs w:val="16"/>
              </w:rPr>
              <w:t>Manufactured goods</w:t>
            </w:r>
          </w:p>
        </w:tc>
        <w:tc>
          <w:tcPr>
            <w:tcW w:w="2079" w:type="dxa"/>
            <w:tcBorders>
              <w:top w:val="nil"/>
              <w:left w:val="nil"/>
              <w:bottom w:val="nil"/>
              <w:right w:val="nil"/>
            </w:tcBorders>
            <w:shd w:val="clear" w:color="auto" w:fill="auto"/>
            <w:noWrap/>
            <w:vAlign w:val="center"/>
          </w:tcPr>
          <w:p w14:paraId="02ABB7C4" w14:textId="77777777" w:rsidR="00F561D9" w:rsidRPr="00720A84" w:rsidRDefault="00F561D9" w:rsidP="006B40CA">
            <w:pPr>
              <w:rPr>
                <w:sz w:val="16"/>
                <w:szCs w:val="16"/>
              </w:rPr>
            </w:pPr>
          </w:p>
        </w:tc>
        <w:tc>
          <w:tcPr>
            <w:tcW w:w="1134" w:type="dxa"/>
            <w:tcBorders>
              <w:top w:val="nil"/>
              <w:left w:val="nil"/>
              <w:bottom w:val="nil"/>
              <w:right w:val="nil"/>
            </w:tcBorders>
            <w:shd w:val="clear" w:color="auto" w:fill="auto"/>
            <w:noWrap/>
            <w:vAlign w:val="center"/>
          </w:tcPr>
          <w:p w14:paraId="10B587EA" w14:textId="77777777" w:rsidR="00F561D9" w:rsidRPr="00720A84" w:rsidRDefault="00F561D9" w:rsidP="006B40CA">
            <w:pPr>
              <w:jc w:val="right"/>
              <w:rPr>
                <w:sz w:val="16"/>
                <w:szCs w:val="16"/>
              </w:rPr>
            </w:pPr>
          </w:p>
        </w:tc>
        <w:tc>
          <w:tcPr>
            <w:tcW w:w="739" w:type="dxa"/>
            <w:tcBorders>
              <w:top w:val="nil"/>
              <w:left w:val="nil"/>
              <w:bottom w:val="nil"/>
              <w:right w:val="nil"/>
            </w:tcBorders>
            <w:shd w:val="clear" w:color="auto" w:fill="auto"/>
            <w:noWrap/>
            <w:vAlign w:val="center"/>
          </w:tcPr>
          <w:p w14:paraId="1F2BC7D8" w14:textId="77777777" w:rsidR="00F561D9" w:rsidRPr="00720A84" w:rsidRDefault="00F561D9" w:rsidP="006B40CA">
            <w:pPr>
              <w:jc w:val="right"/>
              <w:rPr>
                <w:sz w:val="16"/>
                <w:szCs w:val="16"/>
              </w:rPr>
            </w:pPr>
          </w:p>
        </w:tc>
        <w:tc>
          <w:tcPr>
            <w:tcW w:w="982" w:type="dxa"/>
            <w:tcBorders>
              <w:top w:val="nil"/>
              <w:left w:val="nil"/>
              <w:bottom w:val="nil"/>
              <w:right w:val="nil"/>
            </w:tcBorders>
            <w:shd w:val="clear" w:color="auto" w:fill="auto"/>
            <w:noWrap/>
            <w:vAlign w:val="center"/>
          </w:tcPr>
          <w:p w14:paraId="6D9E7DE9" w14:textId="77777777" w:rsidR="00F561D9" w:rsidRPr="00720A84" w:rsidRDefault="00F561D9" w:rsidP="006B40CA">
            <w:pPr>
              <w:jc w:val="right"/>
              <w:rPr>
                <w:sz w:val="16"/>
                <w:szCs w:val="16"/>
              </w:rPr>
            </w:pPr>
          </w:p>
        </w:tc>
        <w:tc>
          <w:tcPr>
            <w:tcW w:w="783" w:type="dxa"/>
            <w:tcBorders>
              <w:top w:val="nil"/>
              <w:left w:val="nil"/>
              <w:bottom w:val="nil"/>
              <w:right w:val="nil"/>
            </w:tcBorders>
            <w:shd w:val="clear" w:color="auto" w:fill="auto"/>
            <w:noWrap/>
            <w:vAlign w:val="center"/>
          </w:tcPr>
          <w:p w14:paraId="745148AE" w14:textId="77777777" w:rsidR="00F561D9" w:rsidRPr="00720A84" w:rsidRDefault="00F561D9" w:rsidP="006B40CA">
            <w:pPr>
              <w:jc w:val="right"/>
              <w:rPr>
                <w:sz w:val="16"/>
                <w:szCs w:val="16"/>
              </w:rPr>
            </w:pPr>
          </w:p>
        </w:tc>
        <w:tc>
          <w:tcPr>
            <w:tcW w:w="2091" w:type="dxa"/>
            <w:tcBorders>
              <w:top w:val="nil"/>
              <w:left w:val="nil"/>
              <w:bottom w:val="nil"/>
              <w:right w:val="nil"/>
            </w:tcBorders>
            <w:shd w:val="clear" w:color="auto" w:fill="auto"/>
            <w:noWrap/>
            <w:vAlign w:val="center"/>
          </w:tcPr>
          <w:p w14:paraId="6D5E30EC" w14:textId="77777777" w:rsidR="00F561D9" w:rsidRPr="00720A84" w:rsidRDefault="00F561D9" w:rsidP="006B40CA">
            <w:pPr>
              <w:jc w:val="right"/>
              <w:rPr>
                <w:sz w:val="16"/>
                <w:szCs w:val="16"/>
              </w:rPr>
            </w:pPr>
          </w:p>
        </w:tc>
        <w:tc>
          <w:tcPr>
            <w:tcW w:w="1246" w:type="dxa"/>
            <w:tcBorders>
              <w:top w:val="nil"/>
              <w:left w:val="nil"/>
              <w:bottom w:val="nil"/>
              <w:right w:val="nil"/>
            </w:tcBorders>
            <w:shd w:val="clear" w:color="auto" w:fill="auto"/>
            <w:noWrap/>
            <w:vAlign w:val="center"/>
          </w:tcPr>
          <w:p w14:paraId="5187B55C" w14:textId="77777777" w:rsidR="00F561D9" w:rsidRPr="00720A84" w:rsidRDefault="00F561D9" w:rsidP="006B40CA">
            <w:pPr>
              <w:jc w:val="right"/>
              <w:rPr>
                <w:sz w:val="16"/>
                <w:szCs w:val="16"/>
              </w:rPr>
            </w:pPr>
          </w:p>
        </w:tc>
      </w:tr>
      <w:tr w:rsidR="00F561D9" w:rsidRPr="00720A84" w14:paraId="766354BB"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285AA20C" w14:textId="77777777" w:rsidR="00F561D9" w:rsidRPr="00720A84" w:rsidRDefault="00F561D9" w:rsidP="006B40CA">
            <w:pPr>
              <w:rPr>
                <w:sz w:val="16"/>
                <w:szCs w:val="16"/>
              </w:rPr>
            </w:pPr>
            <w:r w:rsidRPr="00720A84">
              <w:rPr>
                <w:sz w:val="16"/>
                <w:szCs w:val="16"/>
              </w:rPr>
              <w:t>Ambev</w:t>
            </w:r>
          </w:p>
        </w:tc>
        <w:tc>
          <w:tcPr>
            <w:tcW w:w="2079" w:type="dxa"/>
            <w:tcBorders>
              <w:top w:val="nil"/>
              <w:left w:val="nil"/>
              <w:bottom w:val="nil"/>
              <w:right w:val="nil"/>
            </w:tcBorders>
            <w:shd w:val="clear" w:color="auto" w:fill="auto"/>
            <w:noWrap/>
            <w:vAlign w:val="center"/>
          </w:tcPr>
          <w:p w14:paraId="380768AC" w14:textId="77777777" w:rsidR="00F561D9" w:rsidRPr="00720A84" w:rsidRDefault="00F561D9" w:rsidP="006B40CA">
            <w:pPr>
              <w:rPr>
                <w:sz w:val="16"/>
                <w:szCs w:val="16"/>
              </w:rPr>
            </w:pPr>
            <w:r w:rsidRPr="00720A84">
              <w:rPr>
                <w:sz w:val="16"/>
                <w:szCs w:val="16"/>
              </w:rPr>
              <w:t>Beverage</w:t>
            </w:r>
          </w:p>
        </w:tc>
        <w:tc>
          <w:tcPr>
            <w:tcW w:w="1134" w:type="dxa"/>
            <w:tcBorders>
              <w:top w:val="nil"/>
              <w:left w:val="nil"/>
              <w:bottom w:val="nil"/>
              <w:right w:val="nil"/>
            </w:tcBorders>
            <w:shd w:val="clear" w:color="auto" w:fill="auto"/>
            <w:noWrap/>
            <w:vAlign w:val="center"/>
          </w:tcPr>
          <w:p w14:paraId="0F475ED0" w14:textId="77777777" w:rsidR="00F561D9" w:rsidRPr="00720A84" w:rsidRDefault="00F561D9" w:rsidP="006B40CA">
            <w:pPr>
              <w:jc w:val="right"/>
              <w:rPr>
                <w:sz w:val="16"/>
                <w:szCs w:val="16"/>
              </w:rPr>
            </w:pPr>
            <w:r w:rsidRPr="00720A84">
              <w:rPr>
                <w:sz w:val="16"/>
                <w:szCs w:val="16"/>
              </w:rPr>
              <w:t>14,400</w:t>
            </w:r>
          </w:p>
        </w:tc>
        <w:tc>
          <w:tcPr>
            <w:tcW w:w="739" w:type="dxa"/>
            <w:tcBorders>
              <w:top w:val="nil"/>
              <w:left w:val="nil"/>
              <w:bottom w:val="nil"/>
              <w:right w:val="nil"/>
            </w:tcBorders>
            <w:shd w:val="clear" w:color="auto" w:fill="auto"/>
            <w:noWrap/>
            <w:vAlign w:val="center"/>
          </w:tcPr>
          <w:p w14:paraId="400CFA40" w14:textId="77777777" w:rsidR="00F561D9" w:rsidRPr="00720A84" w:rsidRDefault="00F561D9" w:rsidP="006B40CA">
            <w:pPr>
              <w:jc w:val="right"/>
              <w:rPr>
                <w:sz w:val="16"/>
                <w:szCs w:val="16"/>
              </w:rPr>
            </w:pPr>
            <w:r w:rsidRPr="00720A84">
              <w:rPr>
                <w:sz w:val="16"/>
                <w:szCs w:val="16"/>
              </w:rPr>
              <w:t>1979</w:t>
            </w:r>
          </w:p>
        </w:tc>
        <w:tc>
          <w:tcPr>
            <w:tcW w:w="982" w:type="dxa"/>
            <w:tcBorders>
              <w:top w:val="nil"/>
              <w:left w:val="nil"/>
              <w:bottom w:val="nil"/>
              <w:right w:val="nil"/>
            </w:tcBorders>
            <w:shd w:val="clear" w:color="auto" w:fill="auto"/>
            <w:noWrap/>
            <w:vAlign w:val="center"/>
          </w:tcPr>
          <w:p w14:paraId="4CE934ED" w14:textId="77777777" w:rsidR="00F561D9" w:rsidRPr="00720A84" w:rsidRDefault="00F561D9" w:rsidP="006B40CA">
            <w:pPr>
              <w:jc w:val="right"/>
              <w:rPr>
                <w:sz w:val="16"/>
                <w:szCs w:val="16"/>
              </w:rPr>
            </w:pPr>
            <w:r w:rsidRPr="00720A84">
              <w:rPr>
                <w:sz w:val="16"/>
                <w:szCs w:val="16"/>
              </w:rPr>
              <w:t>1993</w:t>
            </w:r>
          </w:p>
        </w:tc>
        <w:tc>
          <w:tcPr>
            <w:tcW w:w="783" w:type="dxa"/>
            <w:tcBorders>
              <w:top w:val="nil"/>
              <w:left w:val="nil"/>
              <w:bottom w:val="nil"/>
              <w:right w:val="nil"/>
            </w:tcBorders>
            <w:shd w:val="clear" w:color="auto" w:fill="auto"/>
            <w:noWrap/>
            <w:vAlign w:val="center"/>
          </w:tcPr>
          <w:p w14:paraId="29A05379" w14:textId="77777777" w:rsidR="00F561D9" w:rsidRPr="00720A84" w:rsidRDefault="00F561D9" w:rsidP="006B40CA">
            <w:pPr>
              <w:jc w:val="right"/>
              <w:rPr>
                <w:sz w:val="16"/>
                <w:szCs w:val="16"/>
              </w:rPr>
            </w:pPr>
            <w:r w:rsidRPr="00720A84">
              <w:rPr>
                <w:sz w:val="16"/>
                <w:szCs w:val="16"/>
              </w:rPr>
              <w:t>35</w:t>
            </w:r>
          </w:p>
        </w:tc>
        <w:tc>
          <w:tcPr>
            <w:tcW w:w="2091" w:type="dxa"/>
            <w:tcBorders>
              <w:top w:val="nil"/>
              <w:left w:val="nil"/>
              <w:bottom w:val="nil"/>
              <w:right w:val="nil"/>
            </w:tcBorders>
            <w:shd w:val="clear" w:color="auto" w:fill="auto"/>
            <w:noWrap/>
            <w:vAlign w:val="center"/>
          </w:tcPr>
          <w:p w14:paraId="06AF079A" w14:textId="77777777" w:rsidR="00F561D9" w:rsidRPr="00720A84" w:rsidRDefault="00F561D9" w:rsidP="006B40CA">
            <w:pPr>
              <w:jc w:val="right"/>
              <w:rPr>
                <w:sz w:val="16"/>
                <w:szCs w:val="16"/>
              </w:rPr>
            </w:pPr>
            <w:r w:rsidRPr="00720A84">
              <w:rPr>
                <w:sz w:val="16"/>
                <w:szCs w:val="16"/>
              </w:rPr>
              <w:t>LA, USA, EU</w:t>
            </w:r>
          </w:p>
        </w:tc>
        <w:tc>
          <w:tcPr>
            <w:tcW w:w="1246" w:type="dxa"/>
            <w:tcBorders>
              <w:top w:val="nil"/>
              <w:left w:val="nil"/>
              <w:bottom w:val="nil"/>
              <w:right w:val="nil"/>
            </w:tcBorders>
            <w:shd w:val="clear" w:color="auto" w:fill="auto"/>
            <w:noWrap/>
            <w:vAlign w:val="center"/>
          </w:tcPr>
          <w:p w14:paraId="03C34CBB" w14:textId="77777777" w:rsidR="00F561D9" w:rsidRPr="00720A84" w:rsidRDefault="00F561D9" w:rsidP="006B40CA">
            <w:pPr>
              <w:jc w:val="right"/>
              <w:rPr>
                <w:sz w:val="16"/>
                <w:szCs w:val="16"/>
              </w:rPr>
            </w:pPr>
            <w:r w:rsidRPr="00720A84">
              <w:rPr>
                <w:sz w:val="16"/>
                <w:szCs w:val="16"/>
              </w:rPr>
              <w:t>Acq, JV</w:t>
            </w:r>
          </w:p>
        </w:tc>
      </w:tr>
      <w:tr w:rsidR="00F561D9" w:rsidRPr="00720A84" w14:paraId="218EB4F6"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BB68FFB" w14:textId="77777777" w:rsidR="00F561D9" w:rsidRPr="00720A84" w:rsidRDefault="00F561D9" w:rsidP="006B40CA">
            <w:pPr>
              <w:rPr>
                <w:sz w:val="16"/>
                <w:szCs w:val="16"/>
              </w:rPr>
            </w:pPr>
            <w:r w:rsidRPr="00720A84">
              <w:rPr>
                <w:sz w:val="16"/>
                <w:szCs w:val="16"/>
              </w:rPr>
              <w:t>Artecola</w:t>
            </w:r>
          </w:p>
        </w:tc>
        <w:tc>
          <w:tcPr>
            <w:tcW w:w="2079" w:type="dxa"/>
            <w:tcBorders>
              <w:top w:val="nil"/>
              <w:left w:val="nil"/>
              <w:bottom w:val="nil"/>
              <w:right w:val="nil"/>
            </w:tcBorders>
            <w:shd w:val="clear" w:color="auto" w:fill="auto"/>
            <w:noWrap/>
            <w:vAlign w:val="center"/>
          </w:tcPr>
          <w:p w14:paraId="05BE6861" w14:textId="77777777" w:rsidR="00F561D9" w:rsidRPr="00720A84" w:rsidRDefault="00F561D9" w:rsidP="006B40CA">
            <w:pPr>
              <w:rPr>
                <w:sz w:val="16"/>
                <w:szCs w:val="16"/>
              </w:rPr>
            </w:pPr>
            <w:r w:rsidRPr="00720A84">
              <w:rPr>
                <w:sz w:val="16"/>
                <w:szCs w:val="16"/>
              </w:rPr>
              <w:t>Auto parts, shoes</w:t>
            </w:r>
          </w:p>
        </w:tc>
        <w:tc>
          <w:tcPr>
            <w:tcW w:w="1134" w:type="dxa"/>
            <w:tcBorders>
              <w:top w:val="nil"/>
              <w:left w:val="nil"/>
              <w:bottom w:val="nil"/>
              <w:right w:val="nil"/>
            </w:tcBorders>
            <w:shd w:val="clear" w:color="auto" w:fill="auto"/>
            <w:noWrap/>
            <w:vAlign w:val="center"/>
          </w:tcPr>
          <w:p w14:paraId="74B6FCB2" w14:textId="77777777" w:rsidR="00F561D9" w:rsidRPr="00720A84" w:rsidRDefault="00F561D9" w:rsidP="006B40CA">
            <w:pPr>
              <w:jc w:val="right"/>
              <w:rPr>
                <w:sz w:val="16"/>
                <w:szCs w:val="16"/>
              </w:rPr>
            </w:pPr>
            <w:r w:rsidRPr="00720A84">
              <w:rPr>
                <w:sz w:val="16"/>
                <w:szCs w:val="16"/>
              </w:rPr>
              <w:t>120</w:t>
            </w:r>
          </w:p>
        </w:tc>
        <w:tc>
          <w:tcPr>
            <w:tcW w:w="739" w:type="dxa"/>
            <w:tcBorders>
              <w:top w:val="nil"/>
              <w:left w:val="nil"/>
              <w:bottom w:val="nil"/>
              <w:right w:val="nil"/>
            </w:tcBorders>
            <w:shd w:val="clear" w:color="auto" w:fill="auto"/>
            <w:noWrap/>
            <w:vAlign w:val="center"/>
          </w:tcPr>
          <w:p w14:paraId="2B091FFE"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181D1956" w14:textId="77777777" w:rsidR="00F561D9" w:rsidRPr="00720A84" w:rsidRDefault="00F561D9" w:rsidP="006B40CA">
            <w:pPr>
              <w:jc w:val="right"/>
              <w:rPr>
                <w:sz w:val="16"/>
                <w:szCs w:val="16"/>
              </w:rPr>
            </w:pPr>
            <w:r w:rsidRPr="00720A84">
              <w:rPr>
                <w:sz w:val="16"/>
                <w:szCs w:val="16"/>
              </w:rPr>
              <w:t>2000</w:t>
            </w:r>
          </w:p>
        </w:tc>
        <w:tc>
          <w:tcPr>
            <w:tcW w:w="783" w:type="dxa"/>
            <w:tcBorders>
              <w:top w:val="nil"/>
              <w:left w:val="nil"/>
              <w:bottom w:val="nil"/>
              <w:right w:val="nil"/>
            </w:tcBorders>
            <w:shd w:val="clear" w:color="auto" w:fill="auto"/>
            <w:noWrap/>
            <w:vAlign w:val="center"/>
          </w:tcPr>
          <w:p w14:paraId="2F61A55A" w14:textId="77777777" w:rsidR="00F561D9" w:rsidRPr="00720A84" w:rsidRDefault="00F561D9" w:rsidP="006B40CA">
            <w:pPr>
              <w:jc w:val="right"/>
              <w:rPr>
                <w:sz w:val="16"/>
                <w:szCs w:val="16"/>
              </w:rPr>
            </w:pPr>
            <w:r w:rsidRPr="00720A84">
              <w:rPr>
                <w:sz w:val="16"/>
                <w:szCs w:val="16"/>
              </w:rPr>
              <w:t>5</w:t>
            </w:r>
          </w:p>
        </w:tc>
        <w:tc>
          <w:tcPr>
            <w:tcW w:w="2091" w:type="dxa"/>
            <w:tcBorders>
              <w:top w:val="nil"/>
              <w:left w:val="nil"/>
              <w:bottom w:val="nil"/>
              <w:right w:val="nil"/>
            </w:tcBorders>
            <w:shd w:val="clear" w:color="auto" w:fill="auto"/>
            <w:noWrap/>
            <w:vAlign w:val="center"/>
          </w:tcPr>
          <w:p w14:paraId="50112E82" w14:textId="77777777" w:rsidR="00F561D9" w:rsidRPr="00720A84" w:rsidRDefault="00F561D9" w:rsidP="006B40CA">
            <w:pPr>
              <w:jc w:val="right"/>
              <w:rPr>
                <w:sz w:val="16"/>
                <w:szCs w:val="16"/>
              </w:rPr>
            </w:pPr>
            <w:r w:rsidRPr="00720A84">
              <w:rPr>
                <w:sz w:val="16"/>
                <w:szCs w:val="16"/>
              </w:rPr>
              <w:t>LA, USA, EU</w:t>
            </w:r>
          </w:p>
        </w:tc>
        <w:tc>
          <w:tcPr>
            <w:tcW w:w="1246" w:type="dxa"/>
            <w:tcBorders>
              <w:top w:val="nil"/>
              <w:left w:val="nil"/>
              <w:bottom w:val="nil"/>
              <w:right w:val="nil"/>
            </w:tcBorders>
            <w:shd w:val="clear" w:color="auto" w:fill="auto"/>
            <w:noWrap/>
            <w:vAlign w:val="center"/>
          </w:tcPr>
          <w:p w14:paraId="3E320FA3" w14:textId="77777777" w:rsidR="00F561D9" w:rsidRPr="00720A84" w:rsidRDefault="00F561D9" w:rsidP="006B40CA">
            <w:pPr>
              <w:jc w:val="right"/>
              <w:rPr>
                <w:sz w:val="16"/>
                <w:szCs w:val="16"/>
              </w:rPr>
            </w:pPr>
            <w:r w:rsidRPr="00720A84">
              <w:rPr>
                <w:sz w:val="16"/>
                <w:szCs w:val="16"/>
              </w:rPr>
              <w:t>JV, Acq</w:t>
            </w:r>
          </w:p>
        </w:tc>
      </w:tr>
      <w:tr w:rsidR="00F561D9" w:rsidRPr="00720A84" w14:paraId="47A0C11F"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7AC1058C" w14:textId="77777777" w:rsidR="00F561D9" w:rsidRPr="00720A84" w:rsidRDefault="00F561D9" w:rsidP="006B40CA">
            <w:pPr>
              <w:rPr>
                <w:sz w:val="16"/>
                <w:szCs w:val="16"/>
              </w:rPr>
            </w:pPr>
            <w:r w:rsidRPr="00720A84">
              <w:rPr>
                <w:sz w:val="16"/>
                <w:szCs w:val="16"/>
              </w:rPr>
              <w:t>Busscar</w:t>
            </w:r>
          </w:p>
        </w:tc>
        <w:tc>
          <w:tcPr>
            <w:tcW w:w="2079" w:type="dxa"/>
            <w:tcBorders>
              <w:top w:val="nil"/>
              <w:left w:val="nil"/>
              <w:bottom w:val="nil"/>
              <w:right w:val="nil"/>
            </w:tcBorders>
            <w:shd w:val="clear" w:color="auto" w:fill="auto"/>
            <w:noWrap/>
            <w:vAlign w:val="center"/>
          </w:tcPr>
          <w:p w14:paraId="59FED74D" w14:textId="77777777" w:rsidR="00F561D9" w:rsidRPr="00720A84" w:rsidRDefault="00F561D9" w:rsidP="006B40CA">
            <w:pPr>
              <w:rPr>
                <w:sz w:val="16"/>
                <w:szCs w:val="16"/>
              </w:rPr>
            </w:pPr>
            <w:r w:rsidRPr="00720A84">
              <w:rPr>
                <w:sz w:val="16"/>
                <w:szCs w:val="16"/>
              </w:rPr>
              <w:t>Bus assembly</w:t>
            </w:r>
          </w:p>
        </w:tc>
        <w:tc>
          <w:tcPr>
            <w:tcW w:w="1134" w:type="dxa"/>
            <w:tcBorders>
              <w:top w:val="nil"/>
              <w:left w:val="nil"/>
              <w:bottom w:val="nil"/>
              <w:right w:val="nil"/>
            </w:tcBorders>
            <w:shd w:val="clear" w:color="auto" w:fill="auto"/>
            <w:noWrap/>
            <w:vAlign w:val="center"/>
          </w:tcPr>
          <w:p w14:paraId="2096802A" w14:textId="77777777" w:rsidR="00F561D9" w:rsidRPr="00720A84" w:rsidRDefault="00F561D9" w:rsidP="006B40CA">
            <w:pPr>
              <w:jc w:val="right"/>
              <w:rPr>
                <w:sz w:val="16"/>
                <w:szCs w:val="16"/>
              </w:rPr>
            </w:pPr>
            <w:r w:rsidRPr="00720A84">
              <w:rPr>
                <w:sz w:val="16"/>
                <w:szCs w:val="16"/>
              </w:rPr>
              <w:t>260</w:t>
            </w:r>
          </w:p>
        </w:tc>
        <w:tc>
          <w:tcPr>
            <w:tcW w:w="739" w:type="dxa"/>
            <w:tcBorders>
              <w:top w:val="nil"/>
              <w:left w:val="nil"/>
              <w:bottom w:val="nil"/>
              <w:right w:val="nil"/>
            </w:tcBorders>
            <w:shd w:val="clear" w:color="auto" w:fill="auto"/>
            <w:noWrap/>
            <w:vAlign w:val="center"/>
          </w:tcPr>
          <w:p w14:paraId="48BF80E8"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75C12037" w14:textId="77777777" w:rsidR="00F561D9" w:rsidRPr="00720A84" w:rsidRDefault="00F561D9" w:rsidP="006B40CA">
            <w:pPr>
              <w:jc w:val="right"/>
              <w:rPr>
                <w:sz w:val="16"/>
                <w:szCs w:val="16"/>
              </w:rPr>
            </w:pPr>
            <w:r w:rsidRPr="00720A84">
              <w:rPr>
                <w:sz w:val="16"/>
                <w:szCs w:val="16"/>
              </w:rPr>
              <w:t>1999</w:t>
            </w:r>
          </w:p>
        </w:tc>
        <w:tc>
          <w:tcPr>
            <w:tcW w:w="783" w:type="dxa"/>
            <w:tcBorders>
              <w:top w:val="nil"/>
              <w:left w:val="nil"/>
              <w:bottom w:val="nil"/>
              <w:right w:val="nil"/>
            </w:tcBorders>
            <w:shd w:val="clear" w:color="auto" w:fill="auto"/>
            <w:noWrap/>
            <w:vAlign w:val="center"/>
          </w:tcPr>
          <w:p w14:paraId="0CFDD951" w14:textId="77777777" w:rsidR="00F561D9" w:rsidRPr="00720A84" w:rsidRDefault="00F561D9" w:rsidP="006B40CA">
            <w:pPr>
              <w:jc w:val="right"/>
              <w:rPr>
                <w:sz w:val="16"/>
                <w:szCs w:val="16"/>
              </w:rPr>
            </w:pPr>
            <w:r w:rsidRPr="00720A84">
              <w:rPr>
                <w:sz w:val="16"/>
                <w:szCs w:val="16"/>
              </w:rPr>
              <w:t>9</w:t>
            </w:r>
          </w:p>
        </w:tc>
        <w:tc>
          <w:tcPr>
            <w:tcW w:w="2091" w:type="dxa"/>
            <w:tcBorders>
              <w:top w:val="nil"/>
              <w:left w:val="nil"/>
              <w:bottom w:val="nil"/>
              <w:right w:val="nil"/>
            </w:tcBorders>
            <w:shd w:val="clear" w:color="auto" w:fill="auto"/>
            <w:noWrap/>
            <w:vAlign w:val="center"/>
          </w:tcPr>
          <w:p w14:paraId="0186AB4E"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26668FA0" w14:textId="77777777" w:rsidR="00F561D9" w:rsidRPr="00720A84" w:rsidRDefault="00F561D9" w:rsidP="006B40CA">
            <w:pPr>
              <w:jc w:val="right"/>
              <w:rPr>
                <w:sz w:val="16"/>
                <w:szCs w:val="16"/>
              </w:rPr>
            </w:pPr>
            <w:r w:rsidRPr="00720A84">
              <w:rPr>
                <w:sz w:val="16"/>
                <w:szCs w:val="16"/>
              </w:rPr>
              <w:t>Acq, JV</w:t>
            </w:r>
          </w:p>
        </w:tc>
      </w:tr>
      <w:tr w:rsidR="00F561D9" w:rsidRPr="00720A84" w14:paraId="6A628CEB"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7D1D98FD" w14:textId="77777777" w:rsidR="00F561D9" w:rsidRPr="00720A84" w:rsidRDefault="00F561D9" w:rsidP="006B40CA">
            <w:pPr>
              <w:rPr>
                <w:sz w:val="16"/>
                <w:szCs w:val="16"/>
              </w:rPr>
            </w:pPr>
            <w:r w:rsidRPr="00720A84">
              <w:rPr>
                <w:sz w:val="16"/>
                <w:szCs w:val="16"/>
              </w:rPr>
              <w:t>Braskem</w:t>
            </w:r>
          </w:p>
        </w:tc>
        <w:tc>
          <w:tcPr>
            <w:tcW w:w="2079" w:type="dxa"/>
            <w:tcBorders>
              <w:top w:val="nil"/>
              <w:left w:val="nil"/>
              <w:bottom w:val="nil"/>
              <w:right w:val="nil"/>
            </w:tcBorders>
            <w:shd w:val="clear" w:color="auto" w:fill="auto"/>
            <w:noWrap/>
            <w:vAlign w:val="center"/>
          </w:tcPr>
          <w:p w14:paraId="73831872" w14:textId="77777777" w:rsidR="00F561D9" w:rsidRPr="00720A84" w:rsidRDefault="00F561D9" w:rsidP="006B40CA">
            <w:pPr>
              <w:rPr>
                <w:sz w:val="16"/>
                <w:szCs w:val="16"/>
              </w:rPr>
            </w:pPr>
            <w:r w:rsidRPr="00720A84">
              <w:rPr>
                <w:sz w:val="16"/>
                <w:szCs w:val="16"/>
              </w:rPr>
              <w:t>Chemicals</w:t>
            </w:r>
          </w:p>
        </w:tc>
        <w:tc>
          <w:tcPr>
            <w:tcW w:w="1134" w:type="dxa"/>
            <w:tcBorders>
              <w:top w:val="nil"/>
              <w:left w:val="nil"/>
              <w:bottom w:val="nil"/>
              <w:right w:val="nil"/>
            </w:tcBorders>
            <w:shd w:val="clear" w:color="auto" w:fill="auto"/>
            <w:noWrap/>
            <w:vAlign w:val="center"/>
          </w:tcPr>
          <w:p w14:paraId="074DB50B" w14:textId="77777777" w:rsidR="00F561D9" w:rsidRPr="00720A84" w:rsidRDefault="00F561D9" w:rsidP="006B40CA">
            <w:pPr>
              <w:jc w:val="right"/>
              <w:rPr>
                <w:sz w:val="16"/>
                <w:szCs w:val="16"/>
              </w:rPr>
            </w:pPr>
            <w:r w:rsidRPr="00720A84">
              <w:rPr>
                <w:sz w:val="16"/>
                <w:szCs w:val="16"/>
              </w:rPr>
              <w:t>-</w:t>
            </w:r>
          </w:p>
        </w:tc>
        <w:tc>
          <w:tcPr>
            <w:tcW w:w="739" w:type="dxa"/>
            <w:tcBorders>
              <w:top w:val="nil"/>
              <w:left w:val="nil"/>
              <w:bottom w:val="nil"/>
              <w:right w:val="nil"/>
            </w:tcBorders>
            <w:shd w:val="clear" w:color="auto" w:fill="auto"/>
            <w:noWrap/>
            <w:vAlign w:val="center"/>
          </w:tcPr>
          <w:p w14:paraId="4B272290"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3765D7AA" w14:textId="77777777" w:rsidR="00F561D9" w:rsidRPr="00720A84" w:rsidRDefault="00F561D9" w:rsidP="006B40CA">
            <w:pPr>
              <w:jc w:val="right"/>
              <w:rPr>
                <w:sz w:val="16"/>
                <w:szCs w:val="16"/>
              </w:rPr>
            </w:pPr>
            <w:r w:rsidRPr="00720A84">
              <w:rPr>
                <w:sz w:val="16"/>
                <w:szCs w:val="16"/>
              </w:rPr>
              <w:t>2006</w:t>
            </w:r>
          </w:p>
        </w:tc>
        <w:tc>
          <w:tcPr>
            <w:tcW w:w="783" w:type="dxa"/>
            <w:tcBorders>
              <w:top w:val="nil"/>
              <w:left w:val="nil"/>
              <w:bottom w:val="nil"/>
              <w:right w:val="nil"/>
            </w:tcBorders>
            <w:shd w:val="clear" w:color="auto" w:fill="auto"/>
            <w:noWrap/>
            <w:vAlign w:val="center"/>
          </w:tcPr>
          <w:p w14:paraId="590F5711" w14:textId="77777777" w:rsidR="00F561D9" w:rsidRPr="00720A84" w:rsidRDefault="00F561D9" w:rsidP="006B40CA">
            <w:pPr>
              <w:jc w:val="right"/>
              <w:rPr>
                <w:sz w:val="16"/>
                <w:szCs w:val="16"/>
              </w:rPr>
            </w:pPr>
            <w:r w:rsidRPr="00720A84">
              <w:rPr>
                <w:sz w:val="16"/>
                <w:szCs w:val="16"/>
              </w:rPr>
              <w:t>2</w:t>
            </w:r>
          </w:p>
        </w:tc>
        <w:tc>
          <w:tcPr>
            <w:tcW w:w="2091" w:type="dxa"/>
            <w:tcBorders>
              <w:top w:val="nil"/>
              <w:left w:val="nil"/>
              <w:bottom w:val="nil"/>
              <w:right w:val="nil"/>
            </w:tcBorders>
            <w:shd w:val="clear" w:color="auto" w:fill="auto"/>
            <w:noWrap/>
            <w:vAlign w:val="center"/>
          </w:tcPr>
          <w:p w14:paraId="3C8C1DDD"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66627655" w14:textId="77777777" w:rsidR="00F561D9" w:rsidRPr="00720A84" w:rsidRDefault="00F561D9" w:rsidP="006B40CA">
            <w:pPr>
              <w:jc w:val="right"/>
              <w:rPr>
                <w:sz w:val="16"/>
                <w:szCs w:val="16"/>
              </w:rPr>
            </w:pPr>
            <w:r w:rsidRPr="00720A84">
              <w:rPr>
                <w:sz w:val="16"/>
                <w:szCs w:val="16"/>
              </w:rPr>
              <w:t>JV</w:t>
            </w:r>
          </w:p>
        </w:tc>
      </w:tr>
      <w:tr w:rsidR="00F561D9" w:rsidRPr="00720A84" w14:paraId="59B9903A"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1C4FEBE" w14:textId="77777777" w:rsidR="00F561D9" w:rsidRPr="00720A84" w:rsidRDefault="00F561D9" w:rsidP="006B40CA">
            <w:pPr>
              <w:rPr>
                <w:sz w:val="16"/>
                <w:szCs w:val="16"/>
              </w:rPr>
            </w:pPr>
            <w:r w:rsidRPr="00720A84">
              <w:rPr>
                <w:sz w:val="16"/>
                <w:szCs w:val="16"/>
              </w:rPr>
              <w:t>Camargo Correa</w:t>
            </w:r>
          </w:p>
        </w:tc>
        <w:tc>
          <w:tcPr>
            <w:tcW w:w="2079" w:type="dxa"/>
            <w:tcBorders>
              <w:top w:val="nil"/>
              <w:left w:val="nil"/>
              <w:bottom w:val="nil"/>
              <w:right w:val="nil"/>
            </w:tcBorders>
            <w:shd w:val="clear" w:color="auto" w:fill="auto"/>
            <w:noWrap/>
            <w:vAlign w:val="center"/>
          </w:tcPr>
          <w:p w14:paraId="5D6DA406" w14:textId="77777777" w:rsidR="00F561D9" w:rsidRPr="00720A84" w:rsidRDefault="00F561D9" w:rsidP="006B40CA">
            <w:pPr>
              <w:rPr>
                <w:sz w:val="16"/>
                <w:szCs w:val="16"/>
              </w:rPr>
            </w:pPr>
            <w:r w:rsidRPr="00720A84">
              <w:rPr>
                <w:sz w:val="16"/>
                <w:szCs w:val="16"/>
              </w:rPr>
              <w:t>Cement and engineering</w:t>
            </w:r>
          </w:p>
        </w:tc>
        <w:tc>
          <w:tcPr>
            <w:tcW w:w="1134" w:type="dxa"/>
            <w:tcBorders>
              <w:top w:val="nil"/>
              <w:left w:val="nil"/>
              <w:bottom w:val="nil"/>
              <w:right w:val="nil"/>
            </w:tcBorders>
            <w:shd w:val="clear" w:color="auto" w:fill="auto"/>
            <w:noWrap/>
            <w:vAlign w:val="center"/>
          </w:tcPr>
          <w:p w14:paraId="523A74B0" w14:textId="77777777" w:rsidR="00F561D9" w:rsidRPr="00720A84" w:rsidRDefault="00F561D9" w:rsidP="006B40CA">
            <w:pPr>
              <w:jc w:val="right"/>
              <w:rPr>
                <w:sz w:val="16"/>
                <w:szCs w:val="16"/>
              </w:rPr>
            </w:pPr>
            <w:r w:rsidRPr="00720A84">
              <w:rPr>
                <w:sz w:val="16"/>
                <w:szCs w:val="16"/>
              </w:rPr>
              <w:t>4,000</w:t>
            </w:r>
          </w:p>
        </w:tc>
        <w:tc>
          <w:tcPr>
            <w:tcW w:w="739" w:type="dxa"/>
            <w:tcBorders>
              <w:top w:val="nil"/>
              <w:left w:val="nil"/>
              <w:bottom w:val="nil"/>
              <w:right w:val="nil"/>
            </w:tcBorders>
            <w:shd w:val="clear" w:color="auto" w:fill="auto"/>
            <w:noWrap/>
            <w:vAlign w:val="center"/>
          </w:tcPr>
          <w:p w14:paraId="279B5D1B"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0E4F8E22" w14:textId="77777777" w:rsidR="00F561D9" w:rsidRPr="00720A84" w:rsidRDefault="00F561D9" w:rsidP="006B40CA">
            <w:pPr>
              <w:jc w:val="right"/>
              <w:rPr>
                <w:sz w:val="16"/>
                <w:szCs w:val="16"/>
              </w:rPr>
            </w:pPr>
            <w:r w:rsidRPr="00720A84">
              <w:rPr>
                <w:sz w:val="16"/>
                <w:szCs w:val="16"/>
              </w:rPr>
              <w:t>2003</w:t>
            </w:r>
          </w:p>
        </w:tc>
        <w:tc>
          <w:tcPr>
            <w:tcW w:w="783" w:type="dxa"/>
            <w:tcBorders>
              <w:top w:val="nil"/>
              <w:left w:val="nil"/>
              <w:bottom w:val="nil"/>
              <w:right w:val="nil"/>
            </w:tcBorders>
            <w:shd w:val="clear" w:color="auto" w:fill="auto"/>
            <w:noWrap/>
            <w:vAlign w:val="center"/>
          </w:tcPr>
          <w:p w14:paraId="1D0C601B" w14:textId="77777777" w:rsidR="00F561D9" w:rsidRPr="00720A84" w:rsidRDefault="00F561D9" w:rsidP="006B40CA">
            <w:pPr>
              <w:jc w:val="right"/>
              <w:rPr>
                <w:sz w:val="16"/>
                <w:szCs w:val="16"/>
              </w:rPr>
            </w:pPr>
            <w:r w:rsidRPr="00720A84">
              <w:rPr>
                <w:sz w:val="16"/>
                <w:szCs w:val="16"/>
              </w:rPr>
              <w:t>-</w:t>
            </w:r>
          </w:p>
        </w:tc>
        <w:tc>
          <w:tcPr>
            <w:tcW w:w="2091" w:type="dxa"/>
            <w:tcBorders>
              <w:top w:val="nil"/>
              <w:left w:val="nil"/>
              <w:bottom w:val="nil"/>
              <w:right w:val="nil"/>
            </w:tcBorders>
            <w:shd w:val="clear" w:color="auto" w:fill="auto"/>
            <w:noWrap/>
            <w:vAlign w:val="center"/>
          </w:tcPr>
          <w:p w14:paraId="7ECFB6A9"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019F5CD9" w14:textId="77777777" w:rsidR="00F561D9" w:rsidRPr="00720A84" w:rsidRDefault="00F561D9" w:rsidP="006B40CA">
            <w:pPr>
              <w:jc w:val="right"/>
              <w:rPr>
                <w:sz w:val="16"/>
                <w:szCs w:val="16"/>
              </w:rPr>
            </w:pPr>
            <w:r w:rsidRPr="00720A84">
              <w:rPr>
                <w:sz w:val="16"/>
                <w:szCs w:val="16"/>
              </w:rPr>
              <w:t>Acq</w:t>
            </w:r>
          </w:p>
        </w:tc>
      </w:tr>
      <w:tr w:rsidR="00F561D9" w:rsidRPr="00720A84" w14:paraId="6B3BC113"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EDEDF08" w14:textId="77777777" w:rsidR="00F561D9" w:rsidRPr="00720A84" w:rsidRDefault="00F561D9" w:rsidP="006B40CA">
            <w:pPr>
              <w:rPr>
                <w:sz w:val="16"/>
                <w:szCs w:val="16"/>
              </w:rPr>
            </w:pPr>
            <w:r w:rsidRPr="00720A84">
              <w:rPr>
                <w:sz w:val="16"/>
                <w:szCs w:val="16"/>
              </w:rPr>
              <w:t>Cinex</w:t>
            </w:r>
          </w:p>
        </w:tc>
        <w:tc>
          <w:tcPr>
            <w:tcW w:w="2079" w:type="dxa"/>
            <w:tcBorders>
              <w:top w:val="nil"/>
              <w:left w:val="nil"/>
              <w:bottom w:val="nil"/>
              <w:right w:val="nil"/>
            </w:tcBorders>
            <w:shd w:val="clear" w:color="auto" w:fill="auto"/>
            <w:noWrap/>
            <w:vAlign w:val="center"/>
          </w:tcPr>
          <w:p w14:paraId="071F12AC" w14:textId="77777777" w:rsidR="00F561D9" w:rsidRPr="00720A84" w:rsidRDefault="00F561D9" w:rsidP="006B40CA">
            <w:pPr>
              <w:rPr>
                <w:sz w:val="16"/>
                <w:szCs w:val="16"/>
              </w:rPr>
            </w:pPr>
            <w:r w:rsidRPr="00720A84">
              <w:rPr>
                <w:sz w:val="16"/>
                <w:szCs w:val="16"/>
              </w:rPr>
              <w:t>Furniture</w:t>
            </w:r>
          </w:p>
        </w:tc>
        <w:tc>
          <w:tcPr>
            <w:tcW w:w="1134" w:type="dxa"/>
            <w:tcBorders>
              <w:top w:val="nil"/>
              <w:left w:val="nil"/>
              <w:bottom w:val="nil"/>
              <w:right w:val="nil"/>
            </w:tcBorders>
            <w:shd w:val="clear" w:color="auto" w:fill="auto"/>
            <w:noWrap/>
            <w:vAlign w:val="center"/>
          </w:tcPr>
          <w:p w14:paraId="4E1BFF04" w14:textId="77777777" w:rsidR="00F561D9" w:rsidRPr="00720A84" w:rsidRDefault="00F561D9" w:rsidP="006B40CA">
            <w:pPr>
              <w:jc w:val="right"/>
              <w:rPr>
                <w:sz w:val="16"/>
                <w:szCs w:val="16"/>
              </w:rPr>
            </w:pPr>
            <w:r w:rsidRPr="00720A84">
              <w:rPr>
                <w:sz w:val="16"/>
                <w:szCs w:val="16"/>
              </w:rPr>
              <w:t>15</w:t>
            </w:r>
          </w:p>
        </w:tc>
        <w:tc>
          <w:tcPr>
            <w:tcW w:w="739" w:type="dxa"/>
            <w:tcBorders>
              <w:top w:val="nil"/>
              <w:left w:val="nil"/>
              <w:bottom w:val="nil"/>
              <w:right w:val="nil"/>
            </w:tcBorders>
            <w:shd w:val="clear" w:color="auto" w:fill="auto"/>
            <w:noWrap/>
            <w:vAlign w:val="center"/>
          </w:tcPr>
          <w:p w14:paraId="23130E94"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2D22FA3D" w14:textId="77777777" w:rsidR="00F561D9" w:rsidRPr="00720A84" w:rsidRDefault="00F561D9" w:rsidP="006B40CA">
            <w:pPr>
              <w:jc w:val="right"/>
              <w:rPr>
                <w:sz w:val="16"/>
                <w:szCs w:val="16"/>
              </w:rPr>
            </w:pPr>
            <w:r w:rsidRPr="00720A84">
              <w:rPr>
                <w:sz w:val="16"/>
                <w:szCs w:val="16"/>
              </w:rPr>
              <w:t>2002</w:t>
            </w:r>
          </w:p>
        </w:tc>
        <w:tc>
          <w:tcPr>
            <w:tcW w:w="783" w:type="dxa"/>
            <w:tcBorders>
              <w:top w:val="nil"/>
              <w:left w:val="nil"/>
              <w:bottom w:val="nil"/>
              <w:right w:val="nil"/>
            </w:tcBorders>
            <w:shd w:val="clear" w:color="auto" w:fill="auto"/>
            <w:noWrap/>
            <w:vAlign w:val="center"/>
          </w:tcPr>
          <w:p w14:paraId="31E6D206" w14:textId="77777777" w:rsidR="00F561D9" w:rsidRPr="00720A84" w:rsidRDefault="00F561D9" w:rsidP="006B40CA">
            <w:pPr>
              <w:jc w:val="right"/>
              <w:rPr>
                <w:sz w:val="16"/>
                <w:szCs w:val="16"/>
              </w:rPr>
            </w:pPr>
            <w:r w:rsidRPr="00720A84">
              <w:rPr>
                <w:sz w:val="16"/>
                <w:szCs w:val="16"/>
              </w:rPr>
              <w:t>2</w:t>
            </w:r>
          </w:p>
        </w:tc>
        <w:tc>
          <w:tcPr>
            <w:tcW w:w="2091" w:type="dxa"/>
            <w:tcBorders>
              <w:top w:val="nil"/>
              <w:left w:val="nil"/>
              <w:bottom w:val="nil"/>
              <w:right w:val="nil"/>
            </w:tcBorders>
            <w:shd w:val="clear" w:color="auto" w:fill="auto"/>
            <w:noWrap/>
            <w:vAlign w:val="center"/>
          </w:tcPr>
          <w:p w14:paraId="7F13FE2D"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3D0B07EC" w14:textId="77777777" w:rsidR="00F561D9" w:rsidRPr="00720A84" w:rsidRDefault="00F561D9" w:rsidP="006B40CA">
            <w:pPr>
              <w:jc w:val="right"/>
              <w:rPr>
                <w:sz w:val="16"/>
                <w:szCs w:val="16"/>
              </w:rPr>
            </w:pPr>
            <w:r w:rsidRPr="00720A84">
              <w:rPr>
                <w:sz w:val="16"/>
                <w:szCs w:val="16"/>
              </w:rPr>
              <w:t>GF</w:t>
            </w:r>
          </w:p>
        </w:tc>
      </w:tr>
      <w:tr w:rsidR="00F561D9" w:rsidRPr="00720A84" w14:paraId="52B90F26"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E6AD5A9" w14:textId="77777777" w:rsidR="00F561D9" w:rsidRPr="00720A84" w:rsidRDefault="00F561D9" w:rsidP="006B40CA">
            <w:pPr>
              <w:rPr>
                <w:sz w:val="16"/>
                <w:szCs w:val="16"/>
              </w:rPr>
            </w:pPr>
            <w:r w:rsidRPr="00720A84">
              <w:rPr>
                <w:sz w:val="16"/>
                <w:szCs w:val="16"/>
              </w:rPr>
              <w:t>Citrosuco</w:t>
            </w:r>
          </w:p>
        </w:tc>
        <w:tc>
          <w:tcPr>
            <w:tcW w:w="2079" w:type="dxa"/>
            <w:tcBorders>
              <w:top w:val="nil"/>
              <w:left w:val="nil"/>
              <w:bottom w:val="nil"/>
              <w:right w:val="nil"/>
            </w:tcBorders>
            <w:shd w:val="clear" w:color="auto" w:fill="auto"/>
            <w:noWrap/>
            <w:vAlign w:val="center"/>
          </w:tcPr>
          <w:p w14:paraId="139393A2" w14:textId="77777777" w:rsidR="00F561D9" w:rsidRPr="00720A84" w:rsidRDefault="00F561D9" w:rsidP="006B40CA">
            <w:pPr>
              <w:rPr>
                <w:sz w:val="16"/>
                <w:szCs w:val="16"/>
              </w:rPr>
            </w:pPr>
            <w:r w:rsidRPr="00720A84">
              <w:rPr>
                <w:sz w:val="16"/>
                <w:szCs w:val="16"/>
              </w:rPr>
              <w:t>Beverage</w:t>
            </w:r>
          </w:p>
        </w:tc>
        <w:tc>
          <w:tcPr>
            <w:tcW w:w="1134" w:type="dxa"/>
            <w:tcBorders>
              <w:top w:val="nil"/>
              <w:left w:val="nil"/>
              <w:bottom w:val="nil"/>
              <w:right w:val="nil"/>
            </w:tcBorders>
            <w:shd w:val="clear" w:color="auto" w:fill="auto"/>
            <w:noWrap/>
            <w:vAlign w:val="center"/>
          </w:tcPr>
          <w:p w14:paraId="1F935C3C" w14:textId="77777777" w:rsidR="00F561D9" w:rsidRPr="00720A84" w:rsidRDefault="00F561D9" w:rsidP="006B40CA">
            <w:pPr>
              <w:jc w:val="right"/>
              <w:rPr>
                <w:sz w:val="16"/>
                <w:szCs w:val="16"/>
              </w:rPr>
            </w:pPr>
            <w:r w:rsidRPr="00720A84">
              <w:rPr>
                <w:sz w:val="16"/>
                <w:szCs w:val="16"/>
              </w:rPr>
              <w:t>312</w:t>
            </w:r>
          </w:p>
        </w:tc>
        <w:tc>
          <w:tcPr>
            <w:tcW w:w="739" w:type="dxa"/>
            <w:tcBorders>
              <w:top w:val="nil"/>
              <w:left w:val="nil"/>
              <w:bottom w:val="nil"/>
              <w:right w:val="nil"/>
            </w:tcBorders>
            <w:shd w:val="clear" w:color="auto" w:fill="auto"/>
            <w:noWrap/>
            <w:vAlign w:val="center"/>
          </w:tcPr>
          <w:p w14:paraId="73462DFB"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665EDB43" w14:textId="77777777" w:rsidR="00F561D9" w:rsidRPr="00720A84" w:rsidRDefault="00F561D9" w:rsidP="006B40CA">
            <w:pPr>
              <w:jc w:val="right"/>
              <w:rPr>
                <w:sz w:val="16"/>
                <w:szCs w:val="16"/>
              </w:rPr>
            </w:pPr>
            <w:r w:rsidRPr="00720A84">
              <w:rPr>
                <w:sz w:val="16"/>
                <w:szCs w:val="16"/>
              </w:rPr>
              <w:t>1997</w:t>
            </w:r>
          </w:p>
        </w:tc>
        <w:tc>
          <w:tcPr>
            <w:tcW w:w="783" w:type="dxa"/>
            <w:tcBorders>
              <w:top w:val="nil"/>
              <w:left w:val="nil"/>
              <w:bottom w:val="nil"/>
              <w:right w:val="nil"/>
            </w:tcBorders>
            <w:shd w:val="clear" w:color="auto" w:fill="auto"/>
            <w:noWrap/>
            <w:vAlign w:val="center"/>
          </w:tcPr>
          <w:p w14:paraId="600E7487"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25993B0F" w14:textId="77777777" w:rsidR="00F561D9" w:rsidRPr="00720A84" w:rsidRDefault="00F561D9" w:rsidP="006B40CA">
            <w:pPr>
              <w:jc w:val="right"/>
              <w:rPr>
                <w:sz w:val="16"/>
                <w:szCs w:val="16"/>
              </w:rPr>
            </w:pPr>
            <w:r w:rsidRPr="00720A84">
              <w:rPr>
                <w:sz w:val="16"/>
                <w:szCs w:val="16"/>
              </w:rPr>
              <w:t>USA</w:t>
            </w:r>
          </w:p>
        </w:tc>
        <w:tc>
          <w:tcPr>
            <w:tcW w:w="1246" w:type="dxa"/>
            <w:tcBorders>
              <w:top w:val="nil"/>
              <w:left w:val="nil"/>
              <w:bottom w:val="nil"/>
              <w:right w:val="nil"/>
            </w:tcBorders>
            <w:shd w:val="clear" w:color="auto" w:fill="auto"/>
            <w:noWrap/>
            <w:vAlign w:val="center"/>
          </w:tcPr>
          <w:p w14:paraId="027B6407" w14:textId="77777777" w:rsidR="00F561D9" w:rsidRPr="00720A84" w:rsidRDefault="00F561D9" w:rsidP="006B40CA">
            <w:pPr>
              <w:jc w:val="right"/>
              <w:rPr>
                <w:sz w:val="16"/>
                <w:szCs w:val="16"/>
              </w:rPr>
            </w:pPr>
            <w:r w:rsidRPr="00720A84">
              <w:rPr>
                <w:sz w:val="16"/>
                <w:szCs w:val="16"/>
              </w:rPr>
              <w:t>Acq</w:t>
            </w:r>
          </w:p>
        </w:tc>
      </w:tr>
      <w:tr w:rsidR="00F561D9" w:rsidRPr="00720A84" w14:paraId="73C1E4CA"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2086FDE6" w14:textId="77777777" w:rsidR="00F561D9" w:rsidRPr="00720A84" w:rsidRDefault="00F561D9" w:rsidP="006B40CA">
            <w:pPr>
              <w:rPr>
                <w:sz w:val="16"/>
                <w:szCs w:val="16"/>
              </w:rPr>
            </w:pPr>
            <w:r w:rsidRPr="00720A84">
              <w:rPr>
                <w:sz w:val="16"/>
                <w:szCs w:val="16"/>
              </w:rPr>
              <w:t>Coopinhal</w:t>
            </w:r>
          </w:p>
        </w:tc>
        <w:tc>
          <w:tcPr>
            <w:tcW w:w="2079" w:type="dxa"/>
            <w:tcBorders>
              <w:top w:val="nil"/>
              <w:left w:val="nil"/>
              <w:bottom w:val="nil"/>
              <w:right w:val="nil"/>
            </w:tcBorders>
            <w:shd w:val="clear" w:color="auto" w:fill="auto"/>
            <w:noWrap/>
            <w:vAlign w:val="center"/>
          </w:tcPr>
          <w:p w14:paraId="75C729E8" w14:textId="77777777" w:rsidR="00F561D9" w:rsidRPr="00720A84" w:rsidRDefault="00F561D9" w:rsidP="006B40CA">
            <w:pPr>
              <w:rPr>
                <w:sz w:val="16"/>
                <w:szCs w:val="16"/>
              </w:rPr>
            </w:pPr>
            <w:r w:rsidRPr="00720A84">
              <w:rPr>
                <w:sz w:val="16"/>
                <w:szCs w:val="16"/>
              </w:rPr>
              <w:t>Coffee</w:t>
            </w:r>
          </w:p>
        </w:tc>
        <w:tc>
          <w:tcPr>
            <w:tcW w:w="1134" w:type="dxa"/>
            <w:tcBorders>
              <w:top w:val="nil"/>
              <w:left w:val="nil"/>
              <w:bottom w:val="nil"/>
              <w:right w:val="nil"/>
            </w:tcBorders>
            <w:shd w:val="clear" w:color="auto" w:fill="auto"/>
            <w:noWrap/>
            <w:vAlign w:val="center"/>
          </w:tcPr>
          <w:p w14:paraId="749FA2D0" w14:textId="77777777" w:rsidR="00F561D9" w:rsidRPr="00720A84" w:rsidRDefault="00F561D9" w:rsidP="006B40CA">
            <w:pPr>
              <w:jc w:val="right"/>
              <w:rPr>
                <w:sz w:val="16"/>
                <w:szCs w:val="16"/>
              </w:rPr>
            </w:pPr>
            <w:r w:rsidRPr="00720A84">
              <w:rPr>
                <w:sz w:val="16"/>
                <w:szCs w:val="16"/>
              </w:rPr>
              <w:t>-</w:t>
            </w:r>
          </w:p>
        </w:tc>
        <w:tc>
          <w:tcPr>
            <w:tcW w:w="739" w:type="dxa"/>
            <w:tcBorders>
              <w:top w:val="nil"/>
              <w:left w:val="nil"/>
              <w:bottom w:val="nil"/>
              <w:right w:val="nil"/>
            </w:tcBorders>
            <w:shd w:val="clear" w:color="auto" w:fill="auto"/>
            <w:noWrap/>
            <w:vAlign w:val="center"/>
          </w:tcPr>
          <w:p w14:paraId="2B35F761"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50601AC8" w14:textId="77777777" w:rsidR="00F561D9" w:rsidRPr="00720A84" w:rsidRDefault="00F561D9" w:rsidP="006B40CA">
            <w:pPr>
              <w:jc w:val="right"/>
              <w:rPr>
                <w:sz w:val="16"/>
                <w:szCs w:val="16"/>
              </w:rPr>
            </w:pPr>
            <w:r w:rsidRPr="00720A84">
              <w:rPr>
                <w:sz w:val="16"/>
                <w:szCs w:val="16"/>
              </w:rPr>
              <w:t>2006</w:t>
            </w:r>
          </w:p>
        </w:tc>
        <w:tc>
          <w:tcPr>
            <w:tcW w:w="783" w:type="dxa"/>
            <w:tcBorders>
              <w:top w:val="nil"/>
              <w:left w:val="nil"/>
              <w:bottom w:val="nil"/>
              <w:right w:val="nil"/>
            </w:tcBorders>
            <w:shd w:val="clear" w:color="auto" w:fill="auto"/>
            <w:noWrap/>
            <w:vAlign w:val="center"/>
          </w:tcPr>
          <w:p w14:paraId="11F03CA2"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4852BB63" w14:textId="77777777" w:rsidR="00F561D9" w:rsidRPr="00720A84" w:rsidRDefault="00F561D9" w:rsidP="006B40CA">
            <w:pPr>
              <w:jc w:val="right"/>
              <w:rPr>
                <w:sz w:val="16"/>
                <w:szCs w:val="16"/>
              </w:rPr>
            </w:pPr>
            <w:r w:rsidRPr="00720A84">
              <w:rPr>
                <w:sz w:val="16"/>
                <w:szCs w:val="16"/>
              </w:rPr>
              <w:t>Russia</w:t>
            </w:r>
          </w:p>
        </w:tc>
        <w:tc>
          <w:tcPr>
            <w:tcW w:w="1246" w:type="dxa"/>
            <w:tcBorders>
              <w:top w:val="nil"/>
              <w:left w:val="nil"/>
              <w:bottom w:val="nil"/>
              <w:right w:val="nil"/>
            </w:tcBorders>
            <w:shd w:val="clear" w:color="auto" w:fill="auto"/>
            <w:noWrap/>
            <w:vAlign w:val="center"/>
          </w:tcPr>
          <w:p w14:paraId="28EBA912" w14:textId="77777777" w:rsidR="00F561D9" w:rsidRPr="00720A84" w:rsidRDefault="00F561D9" w:rsidP="006B40CA">
            <w:pPr>
              <w:jc w:val="right"/>
              <w:rPr>
                <w:sz w:val="16"/>
                <w:szCs w:val="16"/>
              </w:rPr>
            </w:pPr>
            <w:r w:rsidRPr="00720A84">
              <w:rPr>
                <w:sz w:val="16"/>
                <w:szCs w:val="16"/>
              </w:rPr>
              <w:t>JV</w:t>
            </w:r>
          </w:p>
        </w:tc>
      </w:tr>
      <w:tr w:rsidR="00F561D9" w:rsidRPr="00720A84" w14:paraId="724561E8"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7072FDA2" w14:textId="77777777" w:rsidR="00F561D9" w:rsidRPr="00720A84" w:rsidRDefault="00F561D9" w:rsidP="006B40CA">
            <w:pPr>
              <w:rPr>
                <w:sz w:val="16"/>
                <w:szCs w:val="16"/>
              </w:rPr>
            </w:pPr>
            <w:r w:rsidRPr="00720A84">
              <w:rPr>
                <w:sz w:val="16"/>
                <w:szCs w:val="16"/>
              </w:rPr>
              <w:t>Coteminas</w:t>
            </w:r>
          </w:p>
        </w:tc>
        <w:tc>
          <w:tcPr>
            <w:tcW w:w="2079" w:type="dxa"/>
            <w:tcBorders>
              <w:top w:val="nil"/>
              <w:left w:val="nil"/>
              <w:bottom w:val="nil"/>
              <w:right w:val="nil"/>
            </w:tcBorders>
            <w:shd w:val="clear" w:color="auto" w:fill="auto"/>
            <w:noWrap/>
            <w:vAlign w:val="center"/>
          </w:tcPr>
          <w:p w14:paraId="0679318E" w14:textId="77777777" w:rsidR="00F561D9" w:rsidRPr="00720A84" w:rsidRDefault="00F561D9" w:rsidP="006B40CA">
            <w:pPr>
              <w:rPr>
                <w:sz w:val="16"/>
                <w:szCs w:val="16"/>
              </w:rPr>
            </w:pPr>
            <w:r w:rsidRPr="00720A84">
              <w:rPr>
                <w:sz w:val="16"/>
                <w:szCs w:val="16"/>
              </w:rPr>
              <w:t>Textile</w:t>
            </w:r>
          </w:p>
        </w:tc>
        <w:tc>
          <w:tcPr>
            <w:tcW w:w="1134" w:type="dxa"/>
            <w:tcBorders>
              <w:top w:val="nil"/>
              <w:left w:val="nil"/>
              <w:bottom w:val="nil"/>
              <w:right w:val="nil"/>
            </w:tcBorders>
            <w:shd w:val="clear" w:color="auto" w:fill="auto"/>
            <w:noWrap/>
            <w:vAlign w:val="center"/>
          </w:tcPr>
          <w:p w14:paraId="726ED83E" w14:textId="77777777" w:rsidR="00F561D9" w:rsidRPr="00720A84" w:rsidRDefault="00F561D9" w:rsidP="006B40CA">
            <w:pPr>
              <w:jc w:val="right"/>
              <w:rPr>
                <w:sz w:val="16"/>
                <w:szCs w:val="16"/>
              </w:rPr>
            </w:pPr>
            <w:r w:rsidRPr="00720A84">
              <w:rPr>
                <w:sz w:val="16"/>
                <w:szCs w:val="16"/>
              </w:rPr>
              <w:t>550</w:t>
            </w:r>
          </w:p>
        </w:tc>
        <w:tc>
          <w:tcPr>
            <w:tcW w:w="739" w:type="dxa"/>
            <w:tcBorders>
              <w:top w:val="nil"/>
              <w:left w:val="nil"/>
              <w:bottom w:val="nil"/>
              <w:right w:val="nil"/>
            </w:tcBorders>
            <w:shd w:val="clear" w:color="auto" w:fill="auto"/>
            <w:noWrap/>
            <w:vAlign w:val="center"/>
          </w:tcPr>
          <w:p w14:paraId="216AC38D" w14:textId="77777777" w:rsidR="00F561D9" w:rsidRPr="00720A84" w:rsidRDefault="00F561D9" w:rsidP="006B40CA">
            <w:pPr>
              <w:jc w:val="right"/>
              <w:rPr>
                <w:sz w:val="16"/>
                <w:szCs w:val="16"/>
              </w:rPr>
            </w:pPr>
            <w:r w:rsidRPr="00720A84">
              <w:rPr>
                <w:sz w:val="16"/>
                <w:szCs w:val="16"/>
              </w:rPr>
              <w:t>1997</w:t>
            </w:r>
          </w:p>
        </w:tc>
        <w:tc>
          <w:tcPr>
            <w:tcW w:w="982" w:type="dxa"/>
            <w:tcBorders>
              <w:top w:val="nil"/>
              <w:left w:val="nil"/>
              <w:bottom w:val="nil"/>
              <w:right w:val="nil"/>
            </w:tcBorders>
            <w:shd w:val="clear" w:color="auto" w:fill="auto"/>
            <w:noWrap/>
            <w:vAlign w:val="center"/>
          </w:tcPr>
          <w:p w14:paraId="17DCC9F9" w14:textId="77777777" w:rsidR="00F561D9" w:rsidRPr="00720A84" w:rsidRDefault="00F561D9" w:rsidP="006B40CA">
            <w:pPr>
              <w:jc w:val="right"/>
              <w:rPr>
                <w:sz w:val="16"/>
                <w:szCs w:val="16"/>
              </w:rPr>
            </w:pPr>
            <w:r w:rsidRPr="00720A84">
              <w:rPr>
                <w:sz w:val="16"/>
                <w:szCs w:val="16"/>
              </w:rPr>
              <w:t>1997</w:t>
            </w:r>
          </w:p>
        </w:tc>
        <w:tc>
          <w:tcPr>
            <w:tcW w:w="783" w:type="dxa"/>
            <w:tcBorders>
              <w:top w:val="nil"/>
              <w:left w:val="nil"/>
              <w:bottom w:val="nil"/>
              <w:right w:val="nil"/>
            </w:tcBorders>
            <w:shd w:val="clear" w:color="auto" w:fill="auto"/>
            <w:noWrap/>
            <w:vAlign w:val="center"/>
          </w:tcPr>
          <w:p w14:paraId="0C3D0F74" w14:textId="77777777" w:rsidR="00F561D9" w:rsidRPr="00720A84" w:rsidRDefault="00F561D9" w:rsidP="006B40CA">
            <w:pPr>
              <w:jc w:val="right"/>
              <w:rPr>
                <w:sz w:val="16"/>
                <w:szCs w:val="16"/>
              </w:rPr>
            </w:pPr>
            <w:r w:rsidRPr="00720A84">
              <w:rPr>
                <w:sz w:val="16"/>
                <w:szCs w:val="16"/>
              </w:rPr>
              <w:t>11</w:t>
            </w:r>
          </w:p>
        </w:tc>
        <w:tc>
          <w:tcPr>
            <w:tcW w:w="2091" w:type="dxa"/>
            <w:tcBorders>
              <w:top w:val="nil"/>
              <w:left w:val="nil"/>
              <w:bottom w:val="nil"/>
              <w:right w:val="nil"/>
            </w:tcBorders>
            <w:shd w:val="clear" w:color="auto" w:fill="auto"/>
            <w:noWrap/>
            <w:vAlign w:val="center"/>
          </w:tcPr>
          <w:p w14:paraId="1D869F3F" w14:textId="77777777" w:rsidR="00F561D9" w:rsidRPr="00720A84" w:rsidRDefault="00F561D9" w:rsidP="006B40CA">
            <w:pPr>
              <w:jc w:val="right"/>
              <w:rPr>
                <w:sz w:val="16"/>
                <w:szCs w:val="16"/>
              </w:rPr>
            </w:pPr>
            <w:r w:rsidRPr="00720A84">
              <w:rPr>
                <w:sz w:val="16"/>
                <w:szCs w:val="16"/>
              </w:rPr>
              <w:t>USA</w:t>
            </w:r>
          </w:p>
        </w:tc>
        <w:tc>
          <w:tcPr>
            <w:tcW w:w="1246" w:type="dxa"/>
            <w:tcBorders>
              <w:top w:val="nil"/>
              <w:left w:val="nil"/>
              <w:bottom w:val="nil"/>
              <w:right w:val="nil"/>
            </w:tcBorders>
            <w:shd w:val="clear" w:color="auto" w:fill="auto"/>
            <w:noWrap/>
            <w:vAlign w:val="center"/>
          </w:tcPr>
          <w:p w14:paraId="50980003" w14:textId="77777777" w:rsidR="00F561D9" w:rsidRPr="00720A84" w:rsidRDefault="00F561D9" w:rsidP="006B40CA">
            <w:pPr>
              <w:jc w:val="right"/>
              <w:rPr>
                <w:sz w:val="16"/>
                <w:szCs w:val="16"/>
              </w:rPr>
            </w:pPr>
            <w:r w:rsidRPr="00720A84">
              <w:rPr>
                <w:sz w:val="16"/>
                <w:szCs w:val="16"/>
              </w:rPr>
              <w:t>JV, Acq</w:t>
            </w:r>
          </w:p>
        </w:tc>
      </w:tr>
      <w:tr w:rsidR="00F561D9" w:rsidRPr="00720A84" w14:paraId="67FAD3DF"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AC9F3EB" w14:textId="77777777" w:rsidR="00F561D9" w:rsidRPr="00720A84" w:rsidRDefault="00F561D9" w:rsidP="006B40CA">
            <w:pPr>
              <w:rPr>
                <w:sz w:val="16"/>
                <w:szCs w:val="16"/>
              </w:rPr>
            </w:pPr>
            <w:r w:rsidRPr="00720A84">
              <w:rPr>
                <w:sz w:val="16"/>
                <w:szCs w:val="16"/>
              </w:rPr>
              <w:t>CSN</w:t>
            </w:r>
          </w:p>
        </w:tc>
        <w:tc>
          <w:tcPr>
            <w:tcW w:w="2079" w:type="dxa"/>
            <w:tcBorders>
              <w:top w:val="nil"/>
              <w:left w:val="nil"/>
              <w:bottom w:val="nil"/>
              <w:right w:val="nil"/>
            </w:tcBorders>
            <w:shd w:val="clear" w:color="auto" w:fill="auto"/>
            <w:noWrap/>
            <w:vAlign w:val="center"/>
          </w:tcPr>
          <w:p w14:paraId="609F7B46" w14:textId="77777777" w:rsidR="00F561D9" w:rsidRPr="00720A84" w:rsidRDefault="00F561D9" w:rsidP="006B40CA">
            <w:pPr>
              <w:rPr>
                <w:sz w:val="16"/>
                <w:szCs w:val="16"/>
              </w:rPr>
            </w:pPr>
            <w:r w:rsidRPr="00720A84">
              <w:rPr>
                <w:sz w:val="16"/>
                <w:szCs w:val="16"/>
              </w:rPr>
              <w:t>Steel</w:t>
            </w:r>
          </w:p>
        </w:tc>
        <w:tc>
          <w:tcPr>
            <w:tcW w:w="1134" w:type="dxa"/>
            <w:tcBorders>
              <w:top w:val="nil"/>
              <w:left w:val="nil"/>
              <w:bottom w:val="nil"/>
              <w:right w:val="nil"/>
            </w:tcBorders>
            <w:shd w:val="clear" w:color="auto" w:fill="auto"/>
            <w:noWrap/>
            <w:vAlign w:val="center"/>
          </w:tcPr>
          <w:p w14:paraId="614924D6" w14:textId="77777777" w:rsidR="00F561D9" w:rsidRPr="00720A84" w:rsidRDefault="00F561D9" w:rsidP="006B40CA">
            <w:pPr>
              <w:jc w:val="right"/>
              <w:rPr>
                <w:sz w:val="16"/>
                <w:szCs w:val="16"/>
              </w:rPr>
            </w:pPr>
            <w:r w:rsidRPr="00720A84">
              <w:rPr>
                <w:sz w:val="16"/>
                <w:szCs w:val="16"/>
              </w:rPr>
              <w:t>5,500</w:t>
            </w:r>
          </w:p>
        </w:tc>
        <w:tc>
          <w:tcPr>
            <w:tcW w:w="739" w:type="dxa"/>
            <w:tcBorders>
              <w:top w:val="nil"/>
              <w:left w:val="nil"/>
              <w:bottom w:val="nil"/>
              <w:right w:val="nil"/>
            </w:tcBorders>
            <w:shd w:val="clear" w:color="auto" w:fill="auto"/>
            <w:noWrap/>
            <w:vAlign w:val="center"/>
          </w:tcPr>
          <w:p w14:paraId="4E1721F9" w14:textId="77777777" w:rsidR="00F561D9" w:rsidRPr="00720A84" w:rsidRDefault="00F561D9" w:rsidP="006B40CA">
            <w:pPr>
              <w:jc w:val="right"/>
              <w:rPr>
                <w:sz w:val="16"/>
                <w:szCs w:val="16"/>
              </w:rPr>
            </w:pPr>
            <w:r w:rsidRPr="00720A84">
              <w:rPr>
                <w:sz w:val="16"/>
                <w:szCs w:val="16"/>
              </w:rPr>
              <w:t>1977</w:t>
            </w:r>
          </w:p>
        </w:tc>
        <w:tc>
          <w:tcPr>
            <w:tcW w:w="982" w:type="dxa"/>
            <w:tcBorders>
              <w:top w:val="nil"/>
              <w:left w:val="nil"/>
              <w:bottom w:val="nil"/>
              <w:right w:val="nil"/>
            </w:tcBorders>
            <w:shd w:val="clear" w:color="auto" w:fill="auto"/>
            <w:noWrap/>
            <w:vAlign w:val="center"/>
          </w:tcPr>
          <w:p w14:paraId="687F2D70" w14:textId="77777777" w:rsidR="00F561D9" w:rsidRPr="00720A84" w:rsidRDefault="00F561D9" w:rsidP="006B40CA">
            <w:pPr>
              <w:jc w:val="right"/>
              <w:rPr>
                <w:sz w:val="16"/>
                <w:szCs w:val="16"/>
              </w:rPr>
            </w:pPr>
            <w:r w:rsidRPr="00720A84">
              <w:rPr>
                <w:sz w:val="16"/>
                <w:szCs w:val="16"/>
              </w:rPr>
              <w:t>2001</w:t>
            </w:r>
          </w:p>
        </w:tc>
        <w:tc>
          <w:tcPr>
            <w:tcW w:w="783" w:type="dxa"/>
            <w:tcBorders>
              <w:top w:val="nil"/>
              <w:left w:val="nil"/>
              <w:bottom w:val="nil"/>
              <w:right w:val="nil"/>
            </w:tcBorders>
            <w:shd w:val="clear" w:color="auto" w:fill="auto"/>
            <w:noWrap/>
            <w:vAlign w:val="center"/>
          </w:tcPr>
          <w:p w14:paraId="71FF15AC" w14:textId="77777777" w:rsidR="00F561D9" w:rsidRPr="00720A84" w:rsidRDefault="00F561D9" w:rsidP="006B40CA">
            <w:pPr>
              <w:jc w:val="right"/>
              <w:rPr>
                <w:sz w:val="16"/>
                <w:szCs w:val="16"/>
              </w:rPr>
            </w:pPr>
            <w:r w:rsidRPr="00720A84">
              <w:rPr>
                <w:sz w:val="16"/>
                <w:szCs w:val="16"/>
              </w:rPr>
              <w:t>9</w:t>
            </w:r>
          </w:p>
        </w:tc>
        <w:tc>
          <w:tcPr>
            <w:tcW w:w="2091" w:type="dxa"/>
            <w:tcBorders>
              <w:top w:val="nil"/>
              <w:left w:val="nil"/>
              <w:bottom w:val="nil"/>
              <w:right w:val="nil"/>
            </w:tcBorders>
            <w:shd w:val="clear" w:color="auto" w:fill="auto"/>
            <w:noWrap/>
            <w:vAlign w:val="center"/>
          </w:tcPr>
          <w:p w14:paraId="61EF6E94" w14:textId="77777777" w:rsidR="00F561D9" w:rsidRPr="00720A84" w:rsidRDefault="00F561D9" w:rsidP="006B40CA">
            <w:pPr>
              <w:jc w:val="right"/>
              <w:rPr>
                <w:sz w:val="16"/>
                <w:szCs w:val="16"/>
              </w:rPr>
            </w:pPr>
            <w:r w:rsidRPr="00720A84">
              <w:rPr>
                <w:sz w:val="16"/>
                <w:szCs w:val="16"/>
              </w:rPr>
              <w:t>USA, EU</w:t>
            </w:r>
          </w:p>
        </w:tc>
        <w:tc>
          <w:tcPr>
            <w:tcW w:w="1246" w:type="dxa"/>
            <w:tcBorders>
              <w:top w:val="nil"/>
              <w:left w:val="nil"/>
              <w:bottom w:val="nil"/>
              <w:right w:val="nil"/>
            </w:tcBorders>
            <w:shd w:val="clear" w:color="auto" w:fill="auto"/>
            <w:noWrap/>
            <w:vAlign w:val="center"/>
          </w:tcPr>
          <w:p w14:paraId="397210C9" w14:textId="77777777" w:rsidR="00F561D9" w:rsidRPr="00720A84" w:rsidRDefault="00F561D9" w:rsidP="006B40CA">
            <w:pPr>
              <w:jc w:val="right"/>
              <w:rPr>
                <w:sz w:val="16"/>
                <w:szCs w:val="16"/>
              </w:rPr>
            </w:pPr>
            <w:r w:rsidRPr="00720A84">
              <w:rPr>
                <w:sz w:val="16"/>
                <w:szCs w:val="16"/>
              </w:rPr>
              <w:t>Acq</w:t>
            </w:r>
          </w:p>
        </w:tc>
      </w:tr>
      <w:tr w:rsidR="00F561D9" w:rsidRPr="00720A84" w14:paraId="348251DB"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1C9EFE96" w14:textId="77777777" w:rsidR="00F561D9" w:rsidRPr="00720A84" w:rsidRDefault="00F561D9" w:rsidP="006B40CA">
            <w:pPr>
              <w:rPr>
                <w:sz w:val="16"/>
                <w:szCs w:val="16"/>
              </w:rPr>
            </w:pPr>
            <w:r w:rsidRPr="00720A84">
              <w:rPr>
                <w:sz w:val="16"/>
                <w:szCs w:val="16"/>
              </w:rPr>
              <w:t>Cutrale</w:t>
            </w:r>
          </w:p>
        </w:tc>
        <w:tc>
          <w:tcPr>
            <w:tcW w:w="2079" w:type="dxa"/>
            <w:tcBorders>
              <w:top w:val="nil"/>
              <w:left w:val="nil"/>
              <w:bottom w:val="nil"/>
              <w:right w:val="nil"/>
            </w:tcBorders>
            <w:shd w:val="clear" w:color="auto" w:fill="auto"/>
            <w:noWrap/>
            <w:vAlign w:val="center"/>
          </w:tcPr>
          <w:p w14:paraId="1A997B8A" w14:textId="77777777" w:rsidR="00F561D9" w:rsidRPr="00720A84" w:rsidRDefault="00F561D9" w:rsidP="006B40CA">
            <w:pPr>
              <w:rPr>
                <w:sz w:val="16"/>
                <w:szCs w:val="16"/>
              </w:rPr>
            </w:pPr>
            <w:r w:rsidRPr="00720A84">
              <w:rPr>
                <w:sz w:val="16"/>
                <w:szCs w:val="16"/>
              </w:rPr>
              <w:t>Orange juice</w:t>
            </w:r>
          </w:p>
        </w:tc>
        <w:tc>
          <w:tcPr>
            <w:tcW w:w="1134" w:type="dxa"/>
            <w:tcBorders>
              <w:top w:val="nil"/>
              <w:left w:val="nil"/>
              <w:bottom w:val="nil"/>
              <w:right w:val="nil"/>
            </w:tcBorders>
            <w:shd w:val="clear" w:color="auto" w:fill="auto"/>
            <w:noWrap/>
            <w:vAlign w:val="center"/>
          </w:tcPr>
          <w:p w14:paraId="0D2515B5" w14:textId="77777777" w:rsidR="00F561D9" w:rsidRPr="00720A84" w:rsidRDefault="00F561D9" w:rsidP="006B40CA">
            <w:pPr>
              <w:jc w:val="right"/>
              <w:rPr>
                <w:sz w:val="16"/>
                <w:szCs w:val="16"/>
              </w:rPr>
            </w:pPr>
            <w:r w:rsidRPr="00720A84">
              <w:rPr>
                <w:sz w:val="16"/>
                <w:szCs w:val="16"/>
              </w:rPr>
              <w:t>1,000</w:t>
            </w:r>
          </w:p>
        </w:tc>
        <w:tc>
          <w:tcPr>
            <w:tcW w:w="739" w:type="dxa"/>
            <w:tcBorders>
              <w:top w:val="nil"/>
              <w:left w:val="nil"/>
              <w:bottom w:val="nil"/>
              <w:right w:val="nil"/>
            </w:tcBorders>
            <w:shd w:val="clear" w:color="auto" w:fill="auto"/>
            <w:noWrap/>
            <w:vAlign w:val="center"/>
          </w:tcPr>
          <w:p w14:paraId="62BE798C"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4049E3EC" w14:textId="77777777" w:rsidR="00F561D9" w:rsidRPr="00720A84" w:rsidRDefault="00F561D9" w:rsidP="006B40CA">
            <w:pPr>
              <w:jc w:val="right"/>
              <w:rPr>
                <w:sz w:val="16"/>
                <w:szCs w:val="16"/>
              </w:rPr>
            </w:pPr>
            <w:r w:rsidRPr="00720A84">
              <w:rPr>
                <w:sz w:val="16"/>
                <w:szCs w:val="16"/>
              </w:rPr>
              <w:t>1990</w:t>
            </w:r>
          </w:p>
        </w:tc>
        <w:tc>
          <w:tcPr>
            <w:tcW w:w="783" w:type="dxa"/>
            <w:tcBorders>
              <w:top w:val="nil"/>
              <w:left w:val="nil"/>
              <w:bottom w:val="nil"/>
              <w:right w:val="nil"/>
            </w:tcBorders>
            <w:shd w:val="clear" w:color="auto" w:fill="auto"/>
            <w:noWrap/>
            <w:vAlign w:val="center"/>
          </w:tcPr>
          <w:p w14:paraId="6DB9BC6F"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097ED727" w14:textId="77777777" w:rsidR="00F561D9" w:rsidRPr="00720A84" w:rsidRDefault="00F561D9" w:rsidP="006B40CA">
            <w:pPr>
              <w:jc w:val="right"/>
              <w:rPr>
                <w:sz w:val="16"/>
                <w:szCs w:val="16"/>
              </w:rPr>
            </w:pPr>
            <w:r w:rsidRPr="00720A84">
              <w:rPr>
                <w:sz w:val="16"/>
                <w:szCs w:val="16"/>
              </w:rPr>
              <w:t>USA</w:t>
            </w:r>
          </w:p>
        </w:tc>
        <w:tc>
          <w:tcPr>
            <w:tcW w:w="1246" w:type="dxa"/>
            <w:tcBorders>
              <w:top w:val="nil"/>
              <w:left w:val="nil"/>
              <w:bottom w:val="nil"/>
              <w:right w:val="nil"/>
            </w:tcBorders>
            <w:shd w:val="clear" w:color="auto" w:fill="auto"/>
            <w:noWrap/>
            <w:vAlign w:val="center"/>
          </w:tcPr>
          <w:p w14:paraId="6210AB23" w14:textId="77777777" w:rsidR="00F561D9" w:rsidRPr="00720A84" w:rsidRDefault="00F561D9" w:rsidP="006B40CA">
            <w:pPr>
              <w:jc w:val="right"/>
              <w:rPr>
                <w:sz w:val="16"/>
                <w:szCs w:val="16"/>
              </w:rPr>
            </w:pPr>
            <w:r w:rsidRPr="00720A84">
              <w:rPr>
                <w:sz w:val="16"/>
                <w:szCs w:val="16"/>
              </w:rPr>
              <w:t>Acq</w:t>
            </w:r>
          </w:p>
        </w:tc>
      </w:tr>
      <w:tr w:rsidR="00F561D9" w:rsidRPr="00720A84" w14:paraId="37181C5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068B06DE" w14:textId="77777777" w:rsidR="00F561D9" w:rsidRPr="00720A84" w:rsidRDefault="00F561D9" w:rsidP="006B40CA">
            <w:pPr>
              <w:rPr>
                <w:sz w:val="16"/>
                <w:szCs w:val="16"/>
              </w:rPr>
            </w:pPr>
            <w:r w:rsidRPr="00720A84">
              <w:rPr>
                <w:sz w:val="16"/>
                <w:szCs w:val="16"/>
              </w:rPr>
              <w:t>Duas Rodas</w:t>
            </w:r>
          </w:p>
        </w:tc>
        <w:tc>
          <w:tcPr>
            <w:tcW w:w="2079" w:type="dxa"/>
            <w:tcBorders>
              <w:top w:val="nil"/>
              <w:left w:val="nil"/>
              <w:bottom w:val="nil"/>
              <w:right w:val="nil"/>
            </w:tcBorders>
            <w:shd w:val="clear" w:color="auto" w:fill="auto"/>
            <w:noWrap/>
            <w:vAlign w:val="center"/>
          </w:tcPr>
          <w:p w14:paraId="1E9330FE" w14:textId="77777777" w:rsidR="00F561D9" w:rsidRPr="00720A84" w:rsidRDefault="00F561D9" w:rsidP="006B40CA">
            <w:pPr>
              <w:rPr>
                <w:sz w:val="16"/>
                <w:szCs w:val="16"/>
              </w:rPr>
            </w:pPr>
            <w:r w:rsidRPr="00720A84">
              <w:rPr>
                <w:sz w:val="16"/>
                <w:szCs w:val="16"/>
              </w:rPr>
              <w:t>Food</w:t>
            </w:r>
          </w:p>
        </w:tc>
        <w:tc>
          <w:tcPr>
            <w:tcW w:w="1134" w:type="dxa"/>
            <w:tcBorders>
              <w:top w:val="nil"/>
              <w:left w:val="nil"/>
              <w:bottom w:val="nil"/>
              <w:right w:val="nil"/>
            </w:tcBorders>
            <w:shd w:val="clear" w:color="auto" w:fill="auto"/>
            <w:noWrap/>
            <w:vAlign w:val="center"/>
          </w:tcPr>
          <w:p w14:paraId="0FCB388C" w14:textId="77777777" w:rsidR="00F561D9" w:rsidRPr="00720A84" w:rsidRDefault="00F561D9" w:rsidP="006B40CA">
            <w:pPr>
              <w:jc w:val="right"/>
              <w:rPr>
                <w:sz w:val="16"/>
                <w:szCs w:val="16"/>
              </w:rPr>
            </w:pPr>
            <w:r w:rsidRPr="00720A84">
              <w:rPr>
                <w:sz w:val="16"/>
                <w:szCs w:val="16"/>
              </w:rPr>
              <w:t>-</w:t>
            </w:r>
          </w:p>
        </w:tc>
        <w:tc>
          <w:tcPr>
            <w:tcW w:w="739" w:type="dxa"/>
            <w:tcBorders>
              <w:top w:val="nil"/>
              <w:left w:val="nil"/>
              <w:bottom w:val="nil"/>
              <w:right w:val="nil"/>
            </w:tcBorders>
            <w:shd w:val="clear" w:color="auto" w:fill="auto"/>
            <w:noWrap/>
            <w:vAlign w:val="center"/>
          </w:tcPr>
          <w:p w14:paraId="02451626"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2F6F67A1" w14:textId="77777777" w:rsidR="00F561D9" w:rsidRPr="00720A84" w:rsidRDefault="00F561D9" w:rsidP="006B40CA">
            <w:pPr>
              <w:jc w:val="right"/>
              <w:rPr>
                <w:sz w:val="16"/>
                <w:szCs w:val="16"/>
              </w:rPr>
            </w:pPr>
            <w:r w:rsidRPr="00720A84">
              <w:rPr>
                <w:sz w:val="16"/>
                <w:szCs w:val="16"/>
              </w:rPr>
              <w:t>1997</w:t>
            </w:r>
          </w:p>
        </w:tc>
        <w:tc>
          <w:tcPr>
            <w:tcW w:w="783" w:type="dxa"/>
            <w:tcBorders>
              <w:top w:val="nil"/>
              <w:left w:val="nil"/>
              <w:bottom w:val="nil"/>
              <w:right w:val="nil"/>
            </w:tcBorders>
            <w:shd w:val="clear" w:color="auto" w:fill="auto"/>
            <w:noWrap/>
            <w:vAlign w:val="center"/>
          </w:tcPr>
          <w:p w14:paraId="5FE74B54" w14:textId="77777777" w:rsidR="00F561D9" w:rsidRPr="00720A84" w:rsidRDefault="00F561D9" w:rsidP="006B40CA">
            <w:pPr>
              <w:jc w:val="right"/>
              <w:rPr>
                <w:sz w:val="16"/>
                <w:szCs w:val="16"/>
              </w:rPr>
            </w:pPr>
            <w:r w:rsidRPr="00720A84">
              <w:rPr>
                <w:sz w:val="16"/>
                <w:szCs w:val="16"/>
              </w:rPr>
              <w:t>3</w:t>
            </w:r>
          </w:p>
        </w:tc>
        <w:tc>
          <w:tcPr>
            <w:tcW w:w="2091" w:type="dxa"/>
            <w:tcBorders>
              <w:top w:val="nil"/>
              <w:left w:val="nil"/>
              <w:bottom w:val="nil"/>
              <w:right w:val="nil"/>
            </w:tcBorders>
            <w:shd w:val="clear" w:color="auto" w:fill="auto"/>
            <w:noWrap/>
            <w:vAlign w:val="center"/>
          </w:tcPr>
          <w:p w14:paraId="4741BD11"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3FFF1010" w14:textId="77777777" w:rsidR="00F561D9" w:rsidRPr="00720A84" w:rsidRDefault="00F561D9" w:rsidP="006B40CA">
            <w:pPr>
              <w:jc w:val="right"/>
              <w:rPr>
                <w:sz w:val="16"/>
                <w:szCs w:val="16"/>
              </w:rPr>
            </w:pPr>
            <w:r w:rsidRPr="00720A84">
              <w:rPr>
                <w:sz w:val="16"/>
                <w:szCs w:val="16"/>
              </w:rPr>
              <w:t>GF</w:t>
            </w:r>
          </w:p>
        </w:tc>
      </w:tr>
      <w:tr w:rsidR="00F561D9" w:rsidRPr="00720A84" w14:paraId="22B01D9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303157C" w14:textId="77777777" w:rsidR="00F561D9" w:rsidRPr="00720A84" w:rsidRDefault="00F561D9" w:rsidP="006B40CA">
            <w:pPr>
              <w:rPr>
                <w:sz w:val="16"/>
                <w:szCs w:val="16"/>
              </w:rPr>
            </w:pPr>
            <w:r w:rsidRPr="00720A84">
              <w:rPr>
                <w:sz w:val="16"/>
                <w:szCs w:val="16"/>
              </w:rPr>
              <w:t>Duratex</w:t>
            </w:r>
          </w:p>
        </w:tc>
        <w:tc>
          <w:tcPr>
            <w:tcW w:w="2079" w:type="dxa"/>
            <w:tcBorders>
              <w:top w:val="nil"/>
              <w:left w:val="nil"/>
              <w:bottom w:val="nil"/>
              <w:right w:val="nil"/>
            </w:tcBorders>
            <w:shd w:val="clear" w:color="auto" w:fill="auto"/>
            <w:noWrap/>
            <w:vAlign w:val="center"/>
          </w:tcPr>
          <w:p w14:paraId="185C0985" w14:textId="77777777" w:rsidR="00F561D9" w:rsidRPr="00720A84" w:rsidRDefault="00F561D9" w:rsidP="006B40CA">
            <w:pPr>
              <w:rPr>
                <w:sz w:val="16"/>
                <w:szCs w:val="16"/>
              </w:rPr>
            </w:pPr>
            <w:r w:rsidRPr="00720A84">
              <w:rPr>
                <w:sz w:val="16"/>
                <w:szCs w:val="16"/>
              </w:rPr>
              <w:t>Construction materials</w:t>
            </w:r>
          </w:p>
        </w:tc>
        <w:tc>
          <w:tcPr>
            <w:tcW w:w="1134" w:type="dxa"/>
            <w:tcBorders>
              <w:top w:val="nil"/>
              <w:left w:val="nil"/>
              <w:bottom w:val="nil"/>
              <w:right w:val="nil"/>
            </w:tcBorders>
            <w:shd w:val="clear" w:color="auto" w:fill="auto"/>
            <w:noWrap/>
            <w:vAlign w:val="center"/>
          </w:tcPr>
          <w:p w14:paraId="1DE5F422" w14:textId="77777777" w:rsidR="00F561D9" w:rsidRPr="00720A84" w:rsidRDefault="00F561D9" w:rsidP="006B40CA">
            <w:pPr>
              <w:jc w:val="right"/>
              <w:rPr>
                <w:sz w:val="16"/>
                <w:szCs w:val="16"/>
              </w:rPr>
            </w:pPr>
            <w:r w:rsidRPr="00720A84">
              <w:rPr>
                <w:sz w:val="16"/>
                <w:szCs w:val="16"/>
              </w:rPr>
              <w:t>692</w:t>
            </w:r>
          </w:p>
        </w:tc>
        <w:tc>
          <w:tcPr>
            <w:tcW w:w="739" w:type="dxa"/>
            <w:tcBorders>
              <w:top w:val="nil"/>
              <w:left w:val="nil"/>
              <w:bottom w:val="nil"/>
              <w:right w:val="nil"/>
            </w:tcBorders>
            <w:shd w:val="clear" w:color="auto" w:fill="auto"/>
            <w:noWrap/>
            <w:vAlign w:val="center"/>
          </w:tcPr>
          <w:p w14:paraId="19D37467" w14:textId="77777777" w:rsidR="00F561D9" w:rsidRPr="00720A84" w:rsidRDefault="00F561D9" w:rsidP="006B40CA">
            <w:pPr>
              <w:jc w:val="right"/>
              <w:rPr>
                <w:sz w:val="16"/>
                <w:szCs w:val="16"/>
              </w:rPr>
            </w:pPr>
            <w:r w:rsidRPr="00720A84">
              <w:rPr>
                <w:sz w:val="16"/>
                <w:szCs w:val="16"/>
              </w:rPr>
              <w:t>1957</w:t>
            </w:r>
          </w:p>
        </w:tc>
        <w:tc>
          <w:tcPr>
            <w:tcW w:w="982" w:type="dxa"/>
            <w:tcBorders>
              <w:top w:val="nil"/>
              <w:left w:val="nil"/>
              <w:bottom w:val="nil"/>
              <w:right w:val="nil"/>
            </w:tcBorders>
            <w:shd w:val="clear" w:color="auto" w:fill="auto"/>
            <w:noWrap/>
            <w:vAlign w:val="center"/>
          </w:tcPr>
          <w:p w14:paraId="602541CC" w14:textId="77777777" w:rsidR="00F561D9" w:rsidRPr="00720A84" w:rsidRDefault="00F561D9" w:rsidP="006B40CA">
            <w:pPr>
              <w:jc w:val="right"/>
              <w:rPr>
                <w:sz w:val="16"/>
                <w:szCs w:val="16"/>
              </w:rPr>
            </w:pPr>
            <w:r w:rsidRPr="00720A84">
              <w:rPr>
                <w:sz w:val="16"/>
                <w:szCs w:val="16"/>
              </w:rPr>
              <w:t>1995</w:t>
            </w:r>
          </w:p>
        </w:tc>
        <w:tc>
          <w:tcPr>
            <w:tcW w:w="783" w:type="dxa"/>
            <w:tcBorders>
              <w:top w:val="nil"/>
              <w:left w:val="nil"/>
              <w:bottom w:val="nil"/>
              <w:right w:val="nil"/>
            </w:tcBorders>
            <w:shd w:val="clear" w:color="auto" w:fill="auto"/>
            <w:noWrap/>
            <w:vAlign w:val="center"/>
          </w:tcPr>
          <w:p w14:paraId="105A19A9" w14:textId="77777777" w:rsidR="00F561D9" w:rsidRPr="00720A84" w:rsidRDefault="00F561D9" w:rsidP="006B40CA">
            <w:pPr>
              <w:jc w:val="right"/>
              <w:rPr>
                <w:sz w:val="16"/>
                <w:szCs w:val="16"/>
              </w:rPr>
            </w:pPr>
            <w:r w:rsidRPr="00720A84">
              <w:rPr>
                <w:sz w:val="16"/>
                <w:szCs w:val="16"/>
              </w:rPr>
              <w:t>10</w:t>
            </w:r>
          </w:p>
        </w:tc>
        <w:tc>
          <w:tcPr>
            <w:tcW w:w="2091" w:type="dxa"/>
            <w:tcBorders>
              <w:top w:val="nil"/>
              <w:left w:val="nil"/>
              <w:bottom w:val="nil"/>
              <w:right w:val="nil"/>
            </w:tcBorders>
            <w:shd w:val="clear" w:color="auto" w:fill="auto"/>
            <w:noWrap/>
            <w:vAlign w:val="center"/>
          </w:tcPr>
          <w:p w14:paraId="6B97271B" w14:textId="77777777" w:rsidR="00F561D9" w:rsidRPr="00720A84" w:rsidRDefault="00F561D9" w:rsidP="006B40CA">
            <w:pPr>
              <w:jc w:val="right"/>
              <w:rPr>
                <w:sz w:val="16"/>
                <w:szCs w:val="16"/>
              </w:rPr>
            </w:pPr>
            <w:r w:rsidRPr="00720A84">
              <w:rPr>
                <w:sz w:val="16"/>
                <w:szCs w:val="16"/>
              </w:rPr>
              <w:t>LA, EU</w:t>
            </w:r>
          </w:p>
        </w:tc>
        <w:tc>
          <w:tcPr>
            <w:tcW w:w="1246" w:type="dxa"/>
            <w:tcBorders>
              <w:top w:val="nil"/>
              <w:left w:val="nil"/>
              <w:bottom w:val="nil"/>
              <w:right w:val="nil"/>
            </w:tcBorders>
            <w:shd w:val="clear" w:color="auto" w:fill="auto"/>
            <w:noWrap/>
            <w:vAlign w:val="center"/>
          </w:tcPr>
          <w:p w14:paraId="20C43849" w14:textId="77777777" w:rsidR="00F561D9" w:rsidRPr="00720A84" w:rsidRDefault="00F561D9" w:rsidP="006B40CA">
            <w:pPr>
              <w:jc w:val="right"/>
              <w:rPr>
                <w:sz w:val="16"/>
                <w:szCs w:val="16"/>
              </w:rPr>
            </w:pPr>
            <w:r w:rsidRPr="00720A84">
              <w:rPr>
                <w:sz w:val="16"/>
                <w:szCs w:val="16"/>
              </w:rPr>
              <w:t>Acq</w:t>
            </w:r>
          </w:p>
        </w:tc>
      </w:tr>
      <w:tr w:rsidR="00F561D9" w:rsidRPr="00720A84" w14:paraId="59B44852"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96AFD5F" w14:textId="77777777" w:rsidR="00F561D9" w:rsidRPr="00720A84" w:rsidRDefault="00F561D9" w:rsidP="006B40CA">
            <w:pPr>
              <w:rPr>
                <w:sz w:val="16"/>
                <w:szCs w:val="16"/>
              </w:rPr>
            </w:pPr>
            <w:r w:rsidRPr="00720A84">
              <w:rPr>
                <w:sz w:val="16"/>
                <w:szCs w:val="16"/>
              </w:rPr>
              <w:t>Embraco</w:t>
            </w:r>
          </w:p>
        </w:tc>
        <w:tc>
          <w:tcPr>
            <w:tcW w:w="2079" w:type="dxa"/>
            <w:tcBorders>
              <w:top w:val="nil"/>
              <w:left w:val="nil"/>
              <w:bottom w:val="nil"/>
              <w:right w:val="nil"/>
            </w:tcBorders>
            <w:shd w:val="clear" w:color="auto" w:fill="auto"/>
            <w:noWrap/>
            <w:vAlign w:val="center"/>
          </w:tcPr>
          <w:p w14:paraId="7886FA1A" w14:textId="77777777" w:rsidR="00F561D9" w:rsidRPr="00720A84" w:rsidRDefault="00F561D9" w:rsidP="006B40CA">
            <w:pPr>
              <w:rPr>
                <w:sz w:val="16"/>
                <w:szCs w:val="16"/>
              </w:rPr>
            </w:pPr>
            <w:r w:rsidRPr="00720A84">
              <w:rPr>
                <w:sz w:val="16"/>
                <w:szCs w:val="16"/>
              </w:rPr>
              <w:t>Compressors</w:t>
            </w:r>
          </w:p>
        </w:tc>
        <w:tc>
          <w:tcPr>
            <w:tcW w:w="1134" w:type="dxa"/>
            <w:tcBorders>
              <w:top w:val="nil"/>
              <w:left w:val="nil"/>
              <w:bottom w:val="nil"/>
              <w:right w:val="nil"/>
            </w:tcBorders>
            <w:shd w:val="clear" w:color="auto" w:fill="auto"/>
            <w:noWrap/>
            <w:vAlign w:val="center"/>
          </w:tcPr>
          <w:p w14:paraId="6D35BA6B" w14:textId="77777777" w:rsidR="00F561D9" w:rsidRPr="00720A84" w:rsidRDefault="00F561D9" w:rsidP="006B40CA">
            <w:pPr>
              <w:jc w:val="right"/>
              <w:rPr>
                <w:sz w:val="16"/>
                <w:szCs w:val="16"/>
              </w:rPr>
            </w:pPr>
            <w:r w:rsidRPr="00720A84">
              <w:rPr>
                <w:sz w:val="16"/>
                <w:szCs w:val="16"/>
              </w:rPr>
              <w:t>590</w:t>
            </w:r>
          </w:p>
        </w:tc>
        <w:tc>
          <w:tcPr>
            <w:tcW w:w="739" w:type="dxa"/>
            <w:tcBorders>
              <w:top w:val="nil"/>
              <w:left w:val="nil"/>
              <w:bottom w:val="nil"/>
              <w:right w:val="nil"/>
            </w:tcBorders>
            <w:shd w:val="clear" w:color="auto" w:fill="auto"/>
            <w:noWrap/>
            <w:vAlign w:val="center"/>
          </w:tcPr>
          <w:p w14:paraId="413D8831" w14:textId="77777777" w:rsidR="00F561D9" w:rsidRPr="00720A84" w:rsidRDefault="00F561D9" w:rsidP="006B40CA">
            <w:pPr>
              <w:jc w:val="right"/>
              <w:rPr>
                <w:sz w:val="16"/>
                <w:szCs w:val="16"/>
              </w:rPr>
            </w:pPr>
            <w:r w:rsidRPr="00720A84">
              <w:rPr>
                <w:sz w:val="16"/>
                <w:szCs w:val="16"/>
              </w:rPr>
              <w:t>1980s</w:t>
            </w:r>
          </w:p>
        </w:tc>
        <w:tc>
          <w:tcPr>
            <w:tcW w:w="982" w:type="dxa"/>
            <w:tcBorders>
              <w:top w:val="nil"/>
              <w:left w:val="nil"/>
              <w:bottom w:val="nil"/>
              <w:right w:val="nil"/>
            </w:tcBorders>
            <w:shd w:val="clear" w:color="auto" w:fill="auto"/>
            <w:noWrap/>
            <w:vAlign w:val="center"/>
          </w:tcPr>
          <w:p w14:paraId="709E9A3D" w14:textId="77777777" w:rsidR="00F561D9" w:rsidRPr="00720A84" w:rsidRDefault="00F561D9" w:rsidP="006B40CA">
            <w:pPr>
              <w:jc w:val="right"/>
              <w:rPr>
                <w:sz w:val="16"/>
                <w:szCs w:val="16"/>
              </w:rPr>
            </w:pPr>
            <w:r w:rsidRPr="00720A84">
              <w:rPr>
                <w:sz w:val="16"/>
                <w:szCs w:val="16"/>
              </w:rPr>
              <w:t>1994</w:t>
            </w:r>
          </w:p>
        </w:tc>
        <w:tc>
          <w:tcPr>
            <w:tcW w:w="783" w:type="dxa"/>
            <w:tcBorders>
              <w:top w:val="nil"/>
              <w:left w:val="nil"/>
              <w:bottom w:val="nil"/>
              <w:right w:val="nil"/>
            </w:tcBorders>
            <w:shd w:val="clear" w:color="auto" w:fill="auto"/>
            <w:noWrap/>
            <w:vAlign w:val="center"/>
          </w:tcPr>
          <w:p w14:paraId="0F8FF938" w14:textId="77777777" w:rsidR="00F561D9" w:rsidRPr="00720A84" w:rsidRDefault="00F561D9" w:rsidP="006B40CA">
            <w:pPr>
              <w:jc w:val="right"/>
              <w:rPr>
                <w:sz w:val="16"/>
                <w:szCs w:val="16"/>
              </w:rPr>
            </w:pPr>
            <w:r w:rsidRPr="00720A84">
              <w:rPr>
                <w:sz w:val="16"/>
                <w:szCs w:val="16"/>
              </w:rPr>
              <w:t>6</w:t>
            </w:r>
          </w:p>
        </w:tc>
        <w:tc>
          <w:tcPr>
            <w:tcW w:w="2091" w:type="dxa"/>
            <w:tcBorders>
              <w:top w:val="nil"/>
              <w:left w:val="nil"/>
              <w:bottom w:val="nil"/>
              <w:right w:val="nil"/>
            </w:tcBorders>
            <w:shd w:val="clear" w:color="auto" w:fill="auto"/>
            <w:noWrap/>
            <w:vAlign w:val="center"/>
          </w:tcPr>
          <w:p w14:paraId="215891EB" w14:textId="77777777" w:rsidR="00F561D9" w:rsidRPr="00720A84" w:rsidRDefault="00F561D9" w:rsidP="006B40CA">
            <w:pPr>
              <w:jc w:val="right"/>
              <w:rPr>
                <w:sz w:val="16"/>
                <w:szCs w:val="16"/>
              </w:rPr>
            </w:pPr>
            <w:r w:rsidRPr="00720A84">
              <w:rPr>
                <w:sz w:val="16"/>
                <w:szCs w:val="16"/>
              </w:rPr>
              <w:t>EU, Asia</w:t>
            </w:r>
          </w:p>
        </w:tc>
        <w:tc>
          <w:tcPr>
            <w:tcW w:w="1246" w:type="dxa"/>
            <w:tcBorders>
              <w:top w:val="nil"/>
              <w:left w:val="nil"/>
              <w:bottom w:val="nil"/>
              <w:right w:val="nil"/>
            </w:tcBorders>
            <w:shd w:val="clear" w:color="auto" w:fill="auto"/>
            <w:noWrap/>
            <w:vAlign w:val="center"/>
          </w:tcPr>
          <w:p w14:paraId="5DE29D2A" w14:textId="77777777" w:rsidR="00F561D9" w:rsidRPr="00720A84" w:rsidRDefault="00F561D9" w:rsidP="006B40CA">
            <w:pPr>
              <w:jc w:val="right"/>
              <w:rPr>
                <w:sz w:val="16"/>
                <w:szCs w:val="16"/>
              </w:rPr>
            </w:pPr>
            <w:r w:rsidRPr="00720A84">
              <w:rPr>
                <w:sz w:val="16"/>
                <w:szCs w:val="16"/>
              </w:rPr>
              <w:t>Acq</w:t>
            </w:r>
          </w:p>
        </w:tc>
      </w:tr>
      <w:tr w:rsidR="00F561D9" w:rsidRPr="00720A84" w14:paraId="5F474056"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7447597D" w14:textId="77777777" w:rsidR="00F561D9" w:rsidRPr="00720A84" w:rsidRDefault="00F561D9" w:rsidP="006B40CA">
            <w:pPr>
              <w:rPr>
                <w:sz w:val="16"/>
                <w:szCs w:val="16"/>
              </w:rPr>
            </w:pPr>
            <w:r w:rsidRPr="00720A84">
              <w:rPr>
                <w:sz w:val="16"/>
                <w:szCs w:val="16"/>
              </w:rPr>
              <w:t>Embraer</w:t>
            </w:r>
          </w:p>
        </w:tc>
        <w:tc>
          <w:tcPr>
            <w:tcW w:w="2079" w:type="dxa"/>
            <w:tcBorders>
              <w:top w:val="nil"/>
              <w:left w:val="nil"/>
              <w:bottom w:val="nil"/>
              <w:right w:val="nil"/>
            </w:tcBorders>
            <w:shd w:val="clear" w:color="auto" w:fill="auto"/>
            <w:noWrap/>
            <w:vAlign w:val="center"/>
          </w:tcPr>
          <w:p w14:paraId="7040F93B" w14:textId="77777777" w:rsidR="00F561D9" w:rsidRPr="00720A84" w:rsidRDefault="00F561D9" w:rsidP="006B40CA">
            <w:pPr>
              <w:rPr>
                <w:sz w:val="16"/>
                <w:szCs w:val="16"/>
              </w:rPr>
            </w:pPr>
            <w:r w:rsidRPr="00720A84">
              <w:rPr>
                <w:sz w:val="16"/>
                <w:szCs w:val="16"/>
              </w:rPr>
              <w:t>Aircraft</w:t>
            </w:r>
          </w:p>
        </w:tc>
        <w:tc>
          <w:tcPr>
            <w:tcW w:w="1134" w:type="dxa"/>
            <w:tcBorders>
              <w:top w:val="nil"/>
              <w:left w:val="nil"/>
              <w:bottom w:val="nil"/>
              <w:right w:val="nil"/>
            </w:tcBorders>
            <w:shd w:val="clear" w:color="auto" w:fill="auto"/>
            <w:noWrap/>
            <w:vAlign w:val="center"/>
          </w:tcPr>
          <w:p w14:paraId="07A65123" w14:textId="77777777" w:rsidR="00F561D9" w:rsidRPr="00720A84" w:rsidRDefault="00F561D9" w:rsidP="006B40CA">
            <w:pPr>
              <w:jc w:val="right"/>
              <w:rPr>
                <w:sz w:val="16"/>
                <w:szCs w:val="16"/>
              </w:rPr>
            </w:pPr>
            <w:r w:rsidRPr="00720A84">
              <w:rPr>
                <w:sz w:val="16"/>
                <w:szCs w:val="16"/>
              </w:rPr>
              <w:t>3,906</w:t>
            </w:r>
          </w:p>
        </w:tc>
        <w:tc>
          <w:tcPr>
            <w:tcW w:w="739" w:type="dxa"/>
            <w:tcBorders>
              <w:top w:val="nil"/>
              <w:left w:val="nil"/>
              <w:bottom w:val="nil"/>
              <w:right w:val="nil"/>
            </w:tcBorders>
            <w:shd w:val="clear" w:color="auto" w:fill="auto"/>
            <w:noWrap/>
            <w:vAlign w:val="center"/>
          </w:tcPr>
          <w:p w14:paraId="12835335" w14:textId="77777777" w:rsidR="00F561D9" w:rsidRPr="00720A84" w:rsidRDefault="00F561D9" w:rsidP="006B40CA">
            <w:pPr>
              <w:jc w:val="right"/>
              <w:rPr>
                <w:sz w:val="16"/>
                <w:szCs w:val="16"/>
              </w:rPr>
            </w:pPr>
            <w:r w:rsidRPr="00720A84">
              <w:rPr>
                <w:sz w:val="16"/>
                <w:szCs w:val="16"/>
              </w:rPr>
              <w:t>1975</w:t>
            </w:r>
          </w:p>
        </w:tc>
        <w:tc>
          <w:tcPr>
            <w:tcW w:w="982" w:type="dxa"/>
            <w:tcBorders>
              <w:top w:val="nil"/>
              <w:left w:val="nil"/>
              <w:bottom w:val="nil"/>
              <w:right w:val="nil"/>
            </w:tcBorders>
            <w:shd w:val="clear" w:color="auto" w:fill="auto"/>
            <w:noWrap/>
            <w:vAlign w:val="center"/>
          </w:tcPr>
          <w:p w14:paraId="531BC12A" w14:textId="77777777" w:rsidR="00F561D9" w:rsidRPr="00720A84" w:rsidRDefault="00F561D9" w:rsidP="006B40CA">
            <w:pPr>
              <w:jc w:val="right"/>
              <w:rPr>
                <w:sz w:val="16"/>
                <w:szCs w:val="16"/>
              </w:rPr>
            </w:pPr>
            <w:r w:rsidRPr="00720A84">
              <w:rPr>
                <w:sz w:val="16"/>
                <w:szCs w:val="16"/>
              </w:rPr>
              <w:t>1979</w:t>
            </w:r>
          </w:p>
        </w:tc>
        <w:tc>
          <w:tcPr>
            <w:tcW w:w="783" w:type="dxa"/>
            <w:tcBorders>
              <w:top w:val="nil"/>
              <w:left w:val="nil"/>
              <w:bottom w:val="nil"/>
              <w:right w:val="nil"/>
            </w:tcBorders>
            <w:shd w:val="clear" w:color="auto" w:fill="auto"/>
            <w:noWrap/>
            <w:vAlign w:val="center"/>
          </w:tcPr>
          <w:p w14:paraId="6ACE48D7" w14:textId="77777777" w:rsidR="00F561D9" w:rsidRPr="00720A84" w:rsidRDefault="00F561D9" w:rsidP="006B40CA">
            <w:pPr>
              <w:jc w:val="right"/>
              <w:rPr>
                <w:sz w:val="16"/>
                <w:szCs w:val="16"/>
              </w:rPr>
            </w:pPr>
            <w:r w:rsidRPr="00720A84">
              <w:rPr>
                <w:sz w:val="16"/>
                <w:szCs w:val="16"/>
              </w:rPr>
              <w:t>3</w:t>
            </w:r>
          </w:p>
        </w:tc>
        <w:tc>
          <w:tcPr>
            <w:tcW w:w="2091" w:type="dxa"/>
            <w:tcBorders>
              <w:top w:val="nil"/>
              <w:left w:val="nil"/>
              <w:bottom w:val="nil"/>
              <w:right w:val="nil"/>
            </w:tcBorders>
            <w:shd w:val="clear" w:color="auto" w:fill="auto"/>
            <w:noWrap/>
            <w:vAlign w:val="center"/>
          </w:tcPr>
          <w:p w14:paraId="06CD3F1E" w14:textId="77777777" w:rsidR="00F561D9" w:rsidRPr="00720A84" w:rsidRDefault="00F561D9" w:rsidP="006B40CA">
            <w:pPr>
              <w:jc w:val="right"/>
              <w:rPr>
                <w:sz w:val="16"/>
                <w:szCs w:val="16"/>
              </w:rPr>
            </w:pPr>
            <w:r w:rsidRPr="00720A84">
              <w:rPr>
                <w:sz w:val="16"/>
                <w:szCs w:val="16"/>
              </w:rPr>
              <w:t>China, EU</w:t>
            </w:r>
          </w:p>
        </w:tc>
        <w:tc>
          <w:tcPr>
            <w:tcW w:w="1246" w:type="dxa"/>
            <w:tcBorders>
              <w:top w:val="nil"/>
              <w:left w:val="nil"/>
              <w:bottom w:val="nil"/>
              <w:right w:val="nil"/>
            </w:tcBorders>
            <w:shd w:val="clear" w:color="auto" w:fill="auto"/>
            <w:noWrap/>
            <w:vAlign w:val="center"/>
          </w:tcPr>
          <w:p w14:paraId="0AFB21AA" w14:textId="77777777" w:rsidR="00F561D9" w:rsidRPr="00720A84" w:rsidRDefault="00F561D9" w:rsidP="006B40CA">
            <w:pPr>
              <w:jc w:val="right"/>
              <w:rPr>
                <w:sz w:val="16"/>
                <w:szCs w:val="16"/>
              </w:rPr>
            </w:pPr>
            <w:r w:rsidRPr="00720A84">
              <w:rPr>
                <w:sz w:val="16"/>
                <w:szCs w:val="16"/>
              </w:rPr>
              <w:t>JV, Acq, GF</w:t>
            </w:r>
          </w:p>
        </w:tc>
      </w:tr>
      <w:tr w:rsidR="00F561D9" w:rsidRPr="00720A84" w14:paraId="6934771F"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4B7C0B51" w14:textId="77777777" w:rsidR="00F561D9" w:rsidRPr="00720A84" w:rsidRDefault="00F561D9" w:rsidP="006B40CA">
            <w:pPr>
              <w:rPr>
                <w:sz w:val="16"/>
                <w:szCs w:val="16"/>
              </w:rPr>
            </w:pPr>
            <w:r w:rsidRPr="00720A84">
              <w:rPr>
                <w:sz w:val="16"/>
                <w:szCs w:val="16"/>
              </w:rPr>
              <w:t>Friboi</w:t>
            </w:r>
          </w:p>
        </w:tc>
        <w:tc>
          <w:tcPr>
            <w:tcW w:w="2079" w:type="dxa"/>
            <w:tcBorders>
              <w:top w:val="nil"/>
              <w:left w:val="nil"/>
              <w:bottom w:val="nil"/>
              <w:right w:val="nil"/>
            </w:tcBorders>
            <w:shd w:val="clear" w:color="auto" w:fill="auto"/>
            <w:noWrap/>
            <w:vAlign w:val="center"/>
          </w:tcPr>
          <w:p w14:paraId="70CB07BA" w14:textId="77777777" w:rsidR="00F561D9" w:rsidRPr="00720A84" w:rsidRDefault="00F561D9" w:rsidP="006B40CA">
            <w:pPr>
              <w:rPr>
                <w:sz w:val="16"/>
                <w:szCs w:val="16"/>
              </w:rPr>
            </w:pPr>
            <w:r w:rsidRPr="00720A84">
              <w:rPr>
                <w:sz w:val="16"/>
                <w:szCs w:val="16"/>
              </w:rPr>
              <w:t>Food</w:t>
            </w:r>
          </w:p>
        </w:tc>
        <w:tc>
          <w:tcPr>
            <w:tcW w:w="1134" w:type="dxa"/>
            <w:tcBorders>
              <w:top w:val="nil"/>
              <w:left w:val="nil"/>
              <w:bottom w:val="nil"/>
              <w:right w:val="nil"/>
            </w:tcBorders>
            <w:shd w:val="clear" w:color="auto" w:fill="auto"/>
            <w:noWrap/>
            <w:vAlign w:val="center"/>
          </w:tcPr>
          <w:p w14:paraId="37F45A97" w14:textId="77777777" w:rsidR="00F561D9" w:rsidRPr="00720A84" w:rsidRDefault="00F561D9" w:rsidP="006B40CA">
            <w:pPr>
              <w:jc w:val="right"/>
              <w:rPr>
                <w:sz w:val="16"/>
                <w:szCs w:val="16"/>
              </w:rPr>
            </w:pPr>
            <w:r w:rsidRPr="00720A84">
              <w:rPr>
                <w:sz w:val="16"/>
                <w:szCs w:val="16"/>
              </w:rPr>
              <w:t>11,500</w:t>
            </w:r>
          </w:p>
        </w:tc>
        <w:tc>
          <w:tcPr>
            <w:tcW w:w="739" w:type="dxa"/>
            <w:tcBorders>
              <w:top w:val="nil"/>
              <w:left w:val="nil"/>
              <w:bottom w:val="nil"/>
              <w:right w:val="nil"/>
            </w:tcBorders>
            <w:shd w:val="clear" w:color="auto" w:fill="auto"/>
            <w:noWrap/>
            <w:vAlign w:val="center"/>
          </w:tcPr>
          <w:p w14:paraId="34441B9D" w14:textId="77777777" w:rsidR="00F561D9" w:rsidRPr="00720A84" w:rsidRDefault="00F561D9" w:rsidP="006B40CA">
            <w:pPr>
              <w:jc w:val="right"/>
              <w:rPr>
                <w:sz w:val="16"/>
                <w:szCs w:val="16"/>
              </w:rPr>
            </w:pPr>
            <w:r w:rsidRPr="00720A84">
              <w:rPr>
                <w:sz w:val="16"/>
                <w:szCs w:val="16"/>
              </w:rPr>
              <w:t>1997</w:t>
            </w:r>
          </w:p>
        </w:tc>
        <w:tc>
          <w:tcPr>
            <w:tcW w:w="982" w:type="dxa"/>
            <w:tcBorders>
              <w:top w:val="nil"/>
              <w:left w:val="nil"/>
              <w:bottom w:val="nil"/>
              <w:right w:val="nil"/>
            </w:tcBorders>
            <w:shd w:val="clear" w:color="auto" w:fill="auto"/>
            <w:noWrap/>
            <w:vAlign w:val="center"/>
          </w:tcPr>
          <w:p w14:paraId="33E417D3" w14:textId="77777777" w:rsidR="00F561D9" w:rsidRPr="00720A84" w:rsidRDefault="00F561D9" w:rsidP="006B40CA">
            <w:pPr>
              <w:jc w:val="right"/>
              <w:rPr>
                <w:sz w:val="16"/>
                <w:szCs w:val="16"/>
              </w:rPr>
            </w:pPr>
            <w:r w:rsidRPr="00720A84">
              <w:rPr>
                <w:sz w:val="16"/>
                <w:szCs w:val="16"/>
              </w:rPr>
              <w:t>2005</w:t>
            </w:r>
          </w:p>
        </w:tc>
        <w:tc>
          <w:tcPr>
            <w:tcW w:w="783" w:type="dxa"/>
            <w:tcBorders>
              <w:top w:val="nil"/>
              <w:left w:val="nil"/>
              <w:bottom w:val="nil"/>
              <w:right w:val="nil"/>
            </w:tcBorders>
            <w:shd w:val="clear" w:color="auto" w:fill="auto"/>
            <w:noWrap/>
            <w:vAlign w:val="center"/>
          </w:tcPr>
          <w:p w14:paraId="5072BF8F" w14:textId="77777777" w:rsidR="00F561D9" w:rsidRPr="00720A84" w:rsidRDefault="00F561D9" w:rsidP="006B40CA">
            <w:pPr>
              <w:jc w:val="right"/>
              <w:rPr>
                <w:sz w:val="16"/>
                <w:szCs w:val="16"/>
              </w:rPr>
            </w:pPr>
            <w:r w:rsidRPr="00720A84">
              <w:rPr>
                <w:sz w:val="16"/>
                <w:szCs w:val="16"/>
              </w:rPr>
              <w:t>6</w:t>
            </w:r>
          </w:p>
        </w:tc>
        <w:tc>
          <w:tcPr>
            <w:tcW w:w="2091" w:type="dxa"/>
            <w:tcBorders>
              <w:top w:val="nil"/>
              <w:left w:val="nil"/>
              <w:bottom w:val="nil"/>
              <w:right w:val="nil"/>
            </w:tcBorders>
            <w:shd w:val="clear" w:color="auto" w:fill="auto"/>
            <w:noWrap/>
            <w:vAlign w:val="center"/>
          </w:tcPr>
          <w:p w14:paraId="5D2BBCD8" w14:textId="77777777" w:rsidR="00F561D9" w:rsidRPr="00720A84" w:rsidRDefault="00F561D9" w:rsidP="006B40CA">
            <w:pPr>
              <w:jc w:val="right"/>
              <w:rPr>
                <w:sz w:val="16"/>
                <w:szCs w:val="16"/>
              </w:rPr>
            </w:pPr>
            <w:r w:rsidRPr="00720A84">
              <w:rPr>
                <w:sz w:val="16"/>
                <w:szCs w:val="16"/>
              </w:rPr>
              <w:t>USA, LA, EU, ME</w:t>
            </w:r>
          </w:p>
        </w:tc>
        <w:tc>
          <w:tcPr>
            <w:tcW w:w="1246" w:type="dxa"/>
            <w:tcBorders>
              <w:top w:val="nil"/>
              <w:left w:val="nil"/>
              <w:bottom w:val="nil"/>
              <w:right w:val="nil"/>
            </w:tcBorders>
            <w:shd w:val="clear" w:color="auto" w:fill="auto"/>
            <w:noWrap/>
            <w:vAlign w:val="center"/>
          </w:tcPr>
          <w:p w14:paraId="71F899E2" w14:textId="77777777" w:rsidR="00F561D9" w:rsidRPr="00720A84" w:rsidRDefault="00F561D9" w:rsidP="006B40CA">
            <w:pPr>
              <w:jc w:val="right"/>
              <w:rPr>
                <w:sz w:val="16"/>
                <w:szCs w:val="16"/>
              </w:rPr>
            </w:pPr>
            <w:r w:rsidRPr="00720A84">
              <w:rPr>
                <w:sz w:val="16"/>
                <w:szCs w:val="16"/>
              </w:rPr>
              <w:t>Acq</w:t>
            </w:r>
          </w:p>
        </w:tc>
      </w:tr>
      <w:tr w:rsidR="00F561D9" w:rsidRPr="00720A84" w14:paraId="301B4D63"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1CCAE291" w14:textId="77777777" w:rsidR="00F561D9" w:rsidRPr="00720A84" w:rsidRDefault="00F561D9" w:rsidP="006B40CA">
            <w:pPr>
              <w:rPr>
                <w:sz w:val="16"/>
                <w:szCs w:val="16"/>
              </w:rPr>
            </w:pPr>
            <w:r w:rsidRPr="00720A84">
              <w:rPr>
                <w:sz w:val="16"/>
                <w:szCs w:val="16"/>
              </w:rPr>
              <w:t>Gerdau</w:t>
            </w:r>
          </w:p>
        </w:tc>
        <w:tc>
          <w:tcPr>
            <w:tcW w:w="2079" w:type="dxa"/>
            <w:tcBorders>
              <w:top w:val="nil"/>
              <w:left w:val="nil"/>
              <w:bottom w:val="nil"/>
              <w:right w:val="nil"/>
            </w:tcBorders>
            <w:shd w:val="clear" w:color="auto" w:fill="auto"/>
            <w:noWrap/>
            <w:vAlign w:val="center"/>
          </w:tcPr>
          <w:p w14:paraId="2E628348" w14:textId="77777777" w:rsidR="00F561D9" w:rsidRPr="00720A84" w:rsidRDefault="00F561D9" w:rsidP="006B40CA">
            <w:pPr>
              <w:rPr>
                <w:sz w:val="16"/>
                <w:szCs w:val="16"/>
              </w:rPr>
            </w:pPr>
            <w:r w:rsidRPr="00720A84">
              <w:rPr>
                <w:sz w:val="16"/>
                <w:szCs w:val="16"/>
              </w:rPr>
              <w:t>Steel</w:t>
            </w:r>
          </w:p>
        </w:tc>
        <w:tc>
          <w:tcPr>
            <w:tcW w:w="1134" w:type="dxa"/>
            <w:tcBorders>
              <w:top w:val="nil"/>
              <w:left w:val="nil"/>
              <w:bottom w:val="nil"/>
              <w:right w:val="nil"/>
            </w:tcBorders>
            <w:shd w:val="clear" w:color="auto" w:fill="auto"/>
            <w:noWrap/>
            <w:vAlign w:val="center"/>
          </w:tcPr>
          <w:p w14:paraId="14533A40" w14:textId="77777777" w:rsidR="00F561D9" w:rsidRPr="00720A84" w:rsidRDefault="00F561D9" w:rsidP="006B40CA">
            <w:pPr>
              <w:jc w:val="right"/>
              <w:rPr>
                <w:sz w:val="16"/>
                <w:szCs w:val="16"/>
              </w:rPr>
            </w:pPr>
            <w:r w:rsidRPr="00720A84">
              <w:rPr>
                <w:sz w:val="16"/>
                <w:szCs w:val="16"/>
              </w:rPr>
              <w:t>14,000</w:t>
            </w:r>
          </w:p>
        </w:tc>
        <w:tc>
          <w:tcPr>
            <w:tcW w:w="739" w:type="dxa"/>
            <w:tcBorders>
              <w:top w:val="nil"/>
              <w:left w:val="nil"/>
              <w:bottom w:val="nil"/>
              <w:right w:val="nil"/>
            </w:tcBorders>
            <w:shd w:val="clear" w:color="auto" w:fill="auto"/>
            <w:noWrap/>
            <w:vAlign w:val="center"/>
          </w:tcPr>
          <w:p w14:paraId="57EE5B9A" w14:textId="77777777" w:rsidR="00F561D9" w:rsidRPr="00720A84" w:rsidRDefault="00F561D9" w:rsidP="006B40CA">
            <w:pPr>
              <w:jc w:val="right"/>
              <w:rPr>
                <w:sz w:val="16"/>
                <w:szCs w:val="16"/>
              </w:rPr>
            </w:pPr>
            <w:r w:rsidRPr="00720A84">
              <w:rPr>
                <w:sz w:val="16"/>
                <w:szCs w:val="16"/>
              </w:rPr>
              <w:t>1980</w:t>
            </w:r>
          </w:p>
        </w:tc>
        <w:tc>
          <w:tcPr>
            <w:tcW w:w="982" w:type="dxa"/>
            <w:tcBorders>
              <w:top w:val="nil"/>
              <w:left w:val="nil"/>
              <w:bottom w:val="nil"/>
              <w:right w:val="nil"/>
            </w:tcBorders>
            <w:shd w:val="clear" w:color="auto" w:fill="auto"/>
            <w:noWrap/>
            <w:vAlign w:val="center"/>
          </w:tcPr>
          <w:p w14:paraId="6E3CFF2E" w14:textId="77777777" w:rsidR="00F561D9" w:rsidRPr="00720A84" w:rsidRDefault="00F561D9" w:rsidP="006B40CA">
            <w:pPr>
              <w:jc w:val="right"/>
              <w:rPr>
                <w:sz w:val="16"/>
                <w:szCs w:val="16"/>
              </w:rPr>
            </w:pPr>
            <w:r w:rsidRPr="00720A84">
              <w:rPr>
                <w:sz w:val="16"/>
                <w:szCs w:val="16"/>
              </w:rPr>
              <w:t>1980</w:t>
            </w:r>
          </w:p>
        </w:tc>
        <w:tc>
          <w:tcPr>
            <w:tcW w:w="783" w:type="dxa"/>
            <w:tcBorders>
              <w:top w:val="nil"/>
              <w:left w:val="nil"/>
              <w:bottom w:val="nil"/>
              <w:right w:val="nil"/>
            </w:tcBorders>
            <w:shd w:val="clear" w:color="auto" w:fill="auto"/>
            <w:noWrap/>
            <w:vAlign w:val="center"/>
          </w:tcPr>
          <w:p w14:paraId="3516788E" w14:textId="77777777" w:rsidR="00F561D9" w:rsidRPr="00720A84" w:rsidRDefault="00F561D9" w:rsidP="006B40CA">
            <w:pPr>
              <w:jc w:val="right"/>
              <w:rPr>
                <w:sz w:val="16"/>
                <w:szCs w:val="16"/>
              </w:rPr>
            </w:pPr>
            <w:r w:rsidRPr="00720A84">
              <w:rPr>
                <w:sz w:val="16"/>
                <w:szCs w:val="16"/>
              </w:rPr>
              <w:t>63</w:t>
            </w:r>
          </w:p>
        </w:tc>
        <w:tc>
          <w:tcPr>
            <w:tcW w:w="2091" w:type="dxa"/>
            <w:tcBorders>
              <w:top w:val="nil"/>
              <w:left w:val="nil"/>
              <w:bottom w:val="nil"/>
              <w:right w:val="nil"/>
            </w:tcBorders>
            <w:shd w:val="clear" w:color="auto" w:fill="auto"/>
            <w:noWrap/>
            <w:vAlign w:val="center"/>
          </w:tcPr>
          <w:p w14:paraId="3A1BA858" w14:textId="77777777" w:rsidR="00F561D9" w:rsidRPr="00720A84" w:rsidRDefault="00F561D9" w:rsidP="006B40CA">
            <w:pPr>
              <w:jc w:val="right"/>
              <w:rPr>
                <w:sz w:val="16"/>
                <w:szCs w:val="16"/>
              </w:rPr>
            </w:pPr>
            <w:r w:rsidRPr="00720A84">
              <w:rPr>
                <w:sz w:val="16"/>
                <w:szCs w:val="16"/>
              </w:rPr>
              <w:t>LA, USA, EU, India</w:t>
            </w:r>
          </w:p>
        </w:tc>
        <w:tc>
          <w:tcPr>
            <w:tcW w:w="1246" w:type="dxa"/>
            <w:tcBorders>
              <w:top w:val="nil"/>
              <w:left w:val="nil"/>
              <w:bottom w:val="nil"/>
              <w:right w:val="nil"/>
            </w:tcBorders>
            <w:shd w:val="clear" w:color="auto" w:fill="auto"/>
            <w:noWrap/>
            <w:vAlign w:val="center"/>
          </w:tcPr>
          <w:p w14:paraId="5215F9C1" w14:textId="77777777" w:rsidR="00F561D9" w:rsidRPr="00720A84" w:rsidRDefault="00F561D9" w:rsidP="006B40CA">
            <w:pPr>
              <w:jc w:val="right"/>
              <w:rPr>
                <w:sz w:val="16"/>
                <w:szCs w:val="16"/>
              </w:rPr>
            </w:pPr>
            <w:r w:rsidRPr="00720A84">
              <w:rPr>
                <w:sz w:val="16"/>
                <w:szCs w:val="16"/>
              </w:rPr>
              <w:t>Acq, GF</w:t>
            </w:r>
          </w:p>
        </w:tc>
      </w:tr>
      <w:tr w:rsidR="00F561D9" w:rsidRPr="00720A84" w14:paraId="64C90AE0"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22749480" w14:textId="77777777" w:rsidR="00F561D9" w:rsidRPr="00720A84" w:rsidRDefault="00F561D9" w:rsidP="006B40CA">
            <w:pPr>
              <w:rPr>
                <w:sz w:val="16"/>
                <w:szCs w:val="16"/>
              </w:rPr>
            </w:pPr>
            <w:r w:rsidRPr="00720A84">
              <w:rPr>
                <w:sz w:val="16"/>
                <w:szCs w:val="16"/>
              </w:rPr>
              <w:t>Guerra</w:t>
            </w:r>
          </w:p>
        </w:tc>
        <w:tc>
          <w:tcPr>
            <w:tcW w:w="2079" w:type="dxa"/>
            <w:tcBorders>
              <w:top w:val="nil"/>
              <w:left w:val="nil"/>
              <w:bottom w:val="nil"/>
              <w:right w:val="nil"/>
            </w:tcBorders>
            <w:shd w:val="clear" w:color="auto" w:fill="auto"/>
            <w:noWrap/>
            <w:vAlign w:val="center"/>
          </w:tcPr>
          <w:p w14:paraId="6D71BB8D" w14:textId="77777777" w:rsidR="00F561D9" w:rsidRPr="00720A84" w:rsidRDefault="00F561D9" w:rsidP="006B40CA">
            <w:pPr>
              <w:rPr>
                <w:sz w:val="16"/>
                <w:szCs w:val="16"/>
              </w:rPr>
            </w:pPr>
            <w:r w:rsidRPr="00720A84">
              <w:rPr>
                <w:sz w:val="16"/>
                <w:szCs w:val="16"/>
              </w:rPr>
              <w:t>Trucks</w:t>
            </w:r>
          </w:p>
        </w:tc>
        <w:tc>
          <w:tcPr>
            <w:tcW w:w="1134" w:type="dxa"/>
            <w:tcBorders>
              <w:top w:val="nil"/>
              <w:left w:val="nil"/>
              <w:bottom w:val="nil"/>
              <w:right w:val="nil"/>
            </w:tcBorders>
            <w:shd w:val="clear" w:color="auto" w:fill="auto"/>
            <w:noWrap/>
            <w:vAlign w:val="center"/>
          </w:tcPr>
          <w:p w14:paraId="3F35143F" w14:textId="77777777" w:rsidR="00F561D9" w:rsidRPr="00720A84" w:rsidRDefault="00F561D9" w:rsidP="006B40CA">
            <w:pPr>
              <w:jc w:val="right"/>
              <w:rPr>
                <w:sz w:val="16"/>
                <w:szCs w:val="16"/>
              </w:rPr>
            </w:pPr>
            <w:r w:rsidRPr="00720A84">
              <w:rPr>
                <w:sz w:val="16"/>
                <w:szCs w:val="16"/>
              </w:rPr>
              <w:t>80</w:t>
            </w:r>
          </w:p>
        </w:tc>
        <w:tc>
          <w:tcPr>
            <w:tcW w:w="739" w:type="dxa"/>
            <w:tcBorders>
              <w:top w:val="nil"/>
              <w:left w:val="nil"/>
              <w:bottom w:val="nil"/>
              <w:right w:val="nil"/>
            </w:tcBorders>
            <w:shd w:val="clear" w:color="auto" w:fill="auto"/>
            <w:noWrap/>
            <w:vAlign w:val="center"/>
          </w:tcPr>
          <w:p w14:paraId="725690D2" w14:textId="77777777" w:rsidR="00F561D9" w:rsidRPr="00720A84" w:rsidRDefault="00F561D9" w:rsidP="006B40CA">
            <w:pPr>
              <w:jc w:val="right"/>
              <w:rPr>
                <w:sz w:val="16"/>
                <w:szCs w:val="16"/>
              </w:rPr>
            </w:pPr>
            <w:r w:rsidRPr="00720A84">
              <w:rPr>
                <w:sz w:val="16"/>
                <w:szCs w:val="16"/>
              </w:rPr>
              <w:t>1993</w:t>
            </w:r>
          </w:p>
        </w:tc>
        <w:tc>
          <w:tcPr>
            <w:tcW w:w="982" w:type="dxa"/>
            <w:tcBorders>
              <w:top w:val="nil"/>
              <w:left w:val="nil"/>
              <w:bottom w:val="nil"/>
              <w:right w:val="nil"/>
            </w:tcBorders>
            <w:shd w:val="clear" w:color="auto" w:fill="auto"/>
            <w:noWrap/>
            <w:vAlign w:val="center"/>
          </w:tcPr>
          <w:p w14:paraId="7DFEC39E" w14:textId="77777777" w:rsidR="00F561D9" w:rsidRPr="00720A84" w:rsidRDefault="00F561D9" w:rsidP="006B40CA">
            <w:pPr>
              <w:jc w:val="right"/>
              <w:rPr>
                <w:sz w:val="16"/>
                <w:szCs w:val="16"/>
              </w:rPr>
            </w:pPr>
            <w:r w:rsidRPr="00720A84">
              <w:rPr>
                <w:sz w:val="16"/>
                <w:szCs w:val="16"/>
              </w:rPr>
              <w:t>2005</w:t>
            </w:r>
          </w:p>
        </w:tc>
        <w:tc>
          <w:tcPr>
            <w:tcW w:w="783" w:type="dxa"/>
            <w:tcBorders>
              <w:top w:val="nil"/>
              <w:left w:val="nil"/>
              <w:bottom w:val="nil"/>
              <w:right w:val="nil"/>
            </w:tcBorders>
            <w:shd w:val="clear" w:color="auto" w:fill="auto"/>
            <w:noWrap/>
            <w:vAlign w:val="center"/>
          </w:tcPr>
          <w:p w14:paraId="31A38401"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690BDAB9"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06D2EC89" w14:textId="77777777" w:rsidR="00F561D9" w:rsidRPr="00720A84" w:rsidRDefault="00F561D9" w:rsidP="006B40CA">
            <w:pPr>
              <w:jc w:val="right"/>
              <w:rPr>
                <w:sz w:val="16"/>
                <w:szCs w:val="16"/>
              </w:rPr>
            </w:pPr>
            <w:r w:rsidRPr="00720A84">
              <w:rPr>
                <w:sz w:val="16"/>
                <w:szCs w:val="16"/>
              </w:rPr>
              <w:t>GF</w:t>
            </w:r>
          </w:p>
        </w:tc>
      </w:tr>
      <w:tr w:rsidR="00F561D9" w:rsidRPr="00720A84" w14:paraId="09E1E292"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0FB31BAE" w14:textId="77777777" w:rsidR="00F561D9" w:rsidRPr="00720A84" w:rsidRDefault="00F561D9" w:rsidP="006B40CA">
            <w:pPr>
              <w:rPr>
                <w:sz w:val="16"/>
                <w:szCs w:val="16"/>
              </w:rPr>
            </w:pPr>
            <w:r w:rsidRPr="00720A84">
              <w:rPr>
                <w:sz w:val="16"/>
                <w:szCs w:val="16"/>
              </w:rPr>
              <w:t>H. Stern</w:t>
            </w:r>
          </w:p>
        </w:tc>
        <w:tc>
          <w:tcPr>
            <w:tcW w:w="2079" w:type="dxa"/>
            <w:tcBorders>
              <w:top w:val="nil"/>
              <w:left w:val="nil"/>
              <w:bottom w:val="nil"/>
              <w:right w:val="nil"/>
            </w:tcBorders>
            <w:shd w:val="clear" w:color="auto" w:fill="auto"/>
            <w:noWrap/>
            <w:vAlign w:val="center"/>
          </w:tcPr>
          <w:p w14:paraId="65398FB1" w14:textId="77777777" w:rsidR="00F561D9" w:rsidRPr="00720A84" w:rsidRDefault="00F561D9" w:rsidP="006B40CA">
            <w:pPr>
              <w:rPr>
                <w:sz w:val="16"/>
                <w:szCs w:val="16"/>
              </w:rPr>
            </w:pPr>
            <w:r w:rsidRPr="00720A84">
              <w:rPr>
                <w:sz w:val="16"/>
                <w:szCs w:val="16"/>
              </w:rPr>
              <w:t>Jewelry</w:t>
            </w:r>
          </w:p>
        </w:tc>
        <w:tc>
          <w:tcPr>
            <w:tcW w:w="1134" w:type="dxa"/>
            <w:tcBorders>
              <w:top w:val="nil"/>
              <w:left w:val="nil"/>
              <w:bottom w:val="nil"/>
              <w:right w:val="nil"/>
            </w:tcBorders>
            <w:shd w:val="clear" w:color="auto" w:fill="auto"/>
            <w:noWrap/>
            <w:vAlign w:val="center"/>
          </w:tcPr>
          <w:p w14:paraId="6C4A5CF4" w14:textId="77777777" w:rsidR="00F561D9" w:rsidRPr="00720A84" w:rsidRDefault="00F561D9" w:rsidP="006B40CA">
            <w:pPr>
              <w:jc w:val="right"/>
              <w:rPr>
                <w:sz w:val="16"/>
                <w:szCs w:val="16"/>
              </w:rPr>
            </w:pPr>
            <w:r w:rsidRPr="00720A84">
              <w:rPr>
                <w:sz w:val="16"/>
                <w:szCs w:val="16"/>
              </w:rPr>
              <w:t>200</w:t>
            </w:r>
          </w:p>
        </w:tc>
        <w:tc>
          <w:tcPr>
            <w:tcW w:w="739" w:type="dxa"/>
            <w:tcBorders>
              <w:top w:val="nil"/>
              <w:left w:val="nil"/>
              <w:bottom w:val="nil"/>
              <w:right w:val="nil"/>
            </w:tcBorders>
            <w:shd w:val="clear" w:color="auto" w:fill="auto"/>
            <w:noWrap/>
            <w:vAlign w:val="center"/>
          </w:tcPr>
          <w:p w14:paraId="7BDCECCE"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657597E4" w14:textId="77777777" w:rsidR="00F561D9" w:rsidRPr="00720A84" w:rsidRDefault="00F561D9" w:rsidP="006B40CA">
            <w:pPr>
              <w:jc w:val="right"/>
              <w:rPr>
                <w:sz w:val="16"/>
                <w:szCs w:val="16"/>
              </w:rPr>
            </w:pPr>
            <w:r w:rsidRPr="00720A84">
              <w:rPr>
                <w:sz w:val="16"/>
                <w:szCs w:val="16"/>
              </w:rPr>
              <w:t>1955</w:t>
            </w:r>
          </w:p>
        </w:tc>
        <w:tc>
          <w:tcPr>
            <w:tcW w:w="783" w:type="dxa"/>
            <w:tcBorders>
              <w:top w:val="nil"/>
              <w:left w:val="nil"/>
              <w:bottom w:val="nil"/>
              <w:right w:val="nil"/>
            </w:tcBorders>
            <w:shd w:val="clear" w:color="auto" w:fill="auto"/>
            <w:noWrap/>
            <w:vAlign w:val="center"/>
          </w:tcPr>
          <w:p w14:paraId="6B50E5CF" w14:textId="77777777" w:rsidR="00F561D9" w:rsidRPr="00720A84" w:rsidRDefault="00F561D9" w:rsidP="006B40CA">
            <w:pPr>
              <w:jc w:val="right"/>
              <w:rPr>
                <w:sz w:val="16"/>
                <w:szCs w:val="16"/>
              </w:rPr>
            </w:pPr>
            <w:r w:rsidRPr="00720A84">
              <w:rPr>
                <w:sz w:val="16"/>
                <w:szCs w:val="16"/>
              </w:rPr>
              <w:t>80</w:t>
            </w:r>
          </w:p>
        </w:tc>
        <w:tc>
          <w:tcPr>
            <w:tcW w:w="2091" w:type="dxa"/>
            <w:tcBorders>
              <w:top w:val="nil"/>
              <w:left w:val="nil"/>
              <w:bottom w:val="nil"/>
              <w:right w:val="nil"/>
            </w:tcBorders>
            <w:shd w:val="clear" w:color="auto" w:fill="auto"/>
            <w:noWrap/>
            <w:vAlign w:val="center"/>
          </w:tcPr>
          <w:p w14:paraId="198D2A31" w14:textId="77777777" w:rsidR="00F561D9" w:rsidRPr="00720A84" w:rsidRDefault="00F561D9" w:rsidP="006B40CA">
            <w:pPr>
              <w:jc w:val="right"/>
              <w:rPr>
                <w:sz w:val="16"/>
                <w:szCs w:val="16"/>
              </w:rPr>
            </w:pPr>
            <w:r w:rsidRPr="00720A84">
              <w:rPr>
                <w:sz w:val="16"/>
                <w:szCs w:val="16"/>
              </w:rPr>
              <w:t>LA, EU, ME</w:t>
            </w:r>
          </w:p>
        </w:tc>
        <w:tc>
          <w:tcPr>
            <w:tcW w:w="1246" w:type="dxa"/>
            <w:tcBorders>
              <w:top w:val="nil"/>
              <w:left w:val="nil"/>
              <w:bottom w:val="nil"/>
              <w:right w:val="nil"/>
            </w:tcBorders>
            <w:shd w:val="clear" w:color="auto" w:fill="auto"/>
            <w:noWrap/>
            <w:vAlign w:val="center"/>
          </w:tcPr>
          <w:p w14:paraId="5798542B" w14:textId="77777777" w:rsidR="00F561D9" w:rsidRPr="00720A84" w:rsidRDefault="00F561D9" w:rsidP="006B40CA">
            <w:pPr>
              <w:jc w:val="right"/>
              <w:rPr>
                <w:sz w:val="16"/>
                <w:szCs w:val="16"/>
              </w:rPr>
            </w:pPr>
            <w:r w:rsidRPr="00720A84">
              <w:rPr>
                <w:sz w:val="16"/>
                <w:szCs w:val="16"/>
              </w:rPr>
              <w:t>GF, JV</w:t>
            </w:r>
          </w:p>
        </w:tc>
      </w:tr>
      <w:tr w:rsidR="00F561D9" w:rsidRPr="00720A84" w14:paraId="15115E87"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9BDB290" w14:textId="77777777" w:rsidR="00F561D9" w:rsidRPr="00720A84" w:rsidRDefault="00F561D9" w:rsidP="006B40CA">
            <w:pPr>
              <w:rPr>
                <w:sz w:val="16"/>
                <w:szCs w:val="16"/>
              </w:rPr>
            </w:pPr>
            <w:r w:rsidRPr="00720A84">
              <w:rPr>
                <w:sz w:val="16"/>
                <w:szCs w:val="16"/>
              </w:rPr>
              <w:t>Ipiranga</w:t>
            </w:r>
          </w:p>
        </w:tc>
        <w:tc>
          <w:tcPr>
            <w:tcW w:w="2079" w:type="dxa"/>
            <w:tcBorders>
              <w:top w:val="nil"/>
              <w:left w:val="nil"/>
              <w:bottom w:val="nil"/>
              <w:right w:val="nil"/>
            </w:tcBorders>
            <w:shd w:val="clear" w:color="auto" w:fill="auto"/>
            <w:noWrap/>
            <w:vAlign w:val="center"/>
          </w:tcPr>
          <w:p w14:paraId="3D7808A4" w14:textId="77777777" w:rsidR="00F561D9" w:rsidRPr="00720A84" w:rsidRDefault="00F561D9" w:rsidP="006B40CA">
            <w:pPr>
              <w:rPr>
                <w:sz w:val="16"/>
                <w:szCs w:val="16"/>
              </w:rPr>
            </w:pPr>
            <w:r w:rsidRPr="00720A84">
              <w:rPr>
                <w:sz w:val="16"/>
                <w:szCs w:val="16"/>
              </w:rPr>
              <w:t>Oil and gas</w:t>
            </w:r>
          </w:p>
        </w:tc>
        <w:tc>
          <w:tcPr>
            <w:tcW w:w="1134" w:type="dxa"/>
            <w:tcBorders>
              <w:top w:val="nil"/>
              <w:left w:val="nil"/>
              <w:bottom w:val="nil"/>
              <w:right w:val="nil"/>
            </w:tcBorders>
            <w:shd w:val="clear" w:color="auto" w:fill="auto"/>
            <w:noWrap/>
            <w:vAlign w:val="center"/>
          </w:tcPr>
          <w:p w14:paraId="40F05C9C" w14:textId="77777777" w:rsidR="00F561D9" w:rsidRPr="00720A84" w:rsidRDefault="00F561D9" w:rsidP="006B40CA">
            <w:pPr>
              <w:jc w:val="right"/>
              <w:rPr>
                <w:sz w:val="16"/>
                <w:szCs w:val="16"/>
              </w:rPr>
            </w:pPr>
            <w:r w:rsidRPr="00720A84">
              <w:rPr>
                <w:sz w:val="16"/>
                <w:szCs w:val="16"/>
              </w:rPr>
              <w:t>10,000</w:t>
            </w:r>
          </w:p>
        </w:tc>
        <w:tc>
          <w:tcPr>
            <w:tcW w:w="739" w:type="dxa"/>
            <w:tcBorders>
              <w:top w:val="nil"/>
              <w:left w:val="nil"/>
              <w:bottom w:val="nil"/>
              <w:right w:val="nil"/>
            </w:tcBorders>
            <w:shd w:val="clear" w:color="auto" w:fill="auto"/>
            <w:noWrap/>
            <w:vAlign w:val="center"/>
          </w:tcPr>
          <w:p w14:paraId="601DAF20"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6DD45263" w14:textId="77777777" w:rsidR="00F561D9" w:rsidRPr="00720A84" w:rsidRDefault="00F561D9" w:rsidP="006B40CA">
            <w:pPr>
              <w:jc w:val="right"/>
              <w:rPr>
                <w:sz w:val="16"/>
                <w:szCs w:val="16"/>
              </w:rPr>
            </w:pPr>
            <w:r w:rsidRPr="00720A84">
              <w:rPr>
                <w:sz w:val="16"/>
                <w:szCs w:val="16"/>
              </w:rPr>
              <w:t>1995</w:t>
            </w:r>
          </w:p>
        </w:tc>
        <w:tc>
          <w:tcPr>
            <w:tcW w:w="783" w:type="dxa"/>
            <w:tcBorders>
              <w:top w:val="nil"/>
              <w:left w:val="nil"/>
              <w:bottom w:val="nil"/>
              <w:right w:val="nil"/>
            </w:tcBorders>
            <w:shd w:val="clear" w:color="auto" w:fill="auto"/>
            <w:noWrap/>
            <w:vAlign w:val="center"/>
          </w:tcPr>
          <w:p w14:paraId="05699229" w14:textId="77777777" w:rsidR="00F561D9" w:rsidRPr="00720A84" w:rsidRDefault="00F561D9" w:rsidP="006B40CA">
            <w:pPr>
              <w:jc w:val="right"/>
              <w:rPr>
                <w:sz w:val="16"/>
                <w:szCs w:val="16"/>
              </w:rPr>
            </w:pPr>
            <w:r w:rsidRPr="00720A84">
              <w:rPr>
                <w:sz w:val="16"/>
                <w:szCs w:val="16"/>
              </w:rPr>
              <w:t>4</w:t>
            </w:r>
          </w:p>
        </w:tc>
        <w:tc>
          <w:tcPr>
            <w:tcW w:w="2091" w:type="dxa"/>
            <w:tcBorders>
              <w:top w:val="nil"/>
              <w:left w:val="nil"/>
              <w:bottom w:val="nil"/>
              <w:right w:val="nil"/>
            </w:tcBorders>
            <w:shd w:val="clear" w:color="auto" w:fill="auto"/>
            <w:noWrap/>
            <w:vAlign w:val="center"/>
          </w:tcPr>
          <w:p w14:paraId="3E18DB7A"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5AA8B415" w14:textId="77777777" w:rsidR="00F561D9" w:rsidRPr="00720A84" w:rsidRDefault="00F561D9" w:rsidP="006B40CA">
            <w:pPr>
              <w:jc w:val="right"/>
              <w:rPr>
                <w:sz w:val="16"/>
                <w:szCs w:val="16"/>
              </w:rPr>
            </w:pPr>
            <w:r w:rsidRPr="00720A84">
              <w:rPr>
                <w:sz w:val="16"/>
                <w:szCs w:val="16"/>
              </w:rPr>
              <w:t>JV, GF</w:t>
            </w:r>
          </w:p>
        </w:tc>
      </w:tr>
      <w:tr w:rsidR="00F561D9" w:rsidRPr="00720A84" w14:paraId="242E2EA3"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6640CCD" w14:textId="77777777" w:rsidR="00F561D9" w:rsidRPr="00720A84" w:rsidRDefault="00F561D9" w:rsidP="006B40CA">
            <w:pPr>
              <w:rPr>
                <w:sz w:val="16"/>
                <w:szCs w:val="16"/>
              </w:rPr>
            </w:pPr>
            <w:r w:rsidRPr="00720A84">
              <w:rPr>
                <w:sz w:val="16"/>
                <w:szCs w:val="16"/>
              </w:rPr>
              <w:t>Klabin</w:t>
            </w:r>
          </w:p>
        </w:tc>
        <w:tc>
          <w:tcPr>
            <w:tcW w:w="2079" w:type="dxa"/>
            <w:tcBorders>
              <w:top w:val="nil"/>
              <w:left w:val="nil"/>
              <w:bottom w:val="nil"/>
              <w:right w:val="nil"/>
            </w:tcBorders>
            <w:shd w:val="clear" w:color="auto" w:fill="auto"/>
            <w:noWrap/>
            <w:vAlign w:val="center"/>
          </w:tcPr>
          <w:p w14:paraId="574BF14F" w14:textId="77777777" w:rsidR="00F561D9" w:rsidRPr="00720A84" w:rsidRDefault="00F561D9" w:rsidP="006B40CA">
            <w:pPr>
              <w:rPr>
                <w:sz w:val="16"/>
                <w:szCs w:val="16"/>
              </w:rPr>
            </w:pPr>
            <w:r w:rsidRPr="00720A84">
              <w:rPr>
                <w:sz w:val="16"/>
                <w:szCs w:val="16"/>
              </w:rPr>
              <w:t>Paper</w:t>
            </w:r>
          </w:p>
        </w:tc>
        <w:tc>
          <w:tcPr>
            <w:tcW w:w="1134" w:type="dxa"/>
            <w:tcBorders>
              <w:top w:val="nil"/>
              <w:left w:val="nil"/>
              <w:bottom w:val="nil"/>
              <w:right w:val="nil"/>
            </w:tcBorders>
            <w:shd w:val="clear" w:color="auto" w:fill="auto"/>
            <w:noWrap/>
            <w:vAlign w:val="center"/>
          </w:tcPr>
          <w:p w14:paraId="17753F90" w14:textId="77777777" w:rsidR="00F561D9" w:rsidRPr="00720A84" w:rsidRDefault="00F561D9" w:rsidP="006B40CA">
            <w:pPr>
              <w:jc w:val="right"/>
              <w:rPr>
                <w:sz w:val="16"/>
                <w:szCs w:val="16"/>
              </w:rPr>
            </w:pPr>
            <w:r w:rsidRPr="00720A84">
              <w:rPr>
                <w:sz w:val="16"/>
                <w:szCs w:val="16"/>
              </w:rPr>
              <w:t>1,500</w:t>
            </w:r>
          </w:p>
        </w:tc>
        <w:tc>
          <w:tcPr>
            <w:tcW w:w="739" w:type="dxa"/>
            <w:tcBorders>
              <w:top w:val="nil"/>
              <w:left w:val="nil"/>
              <w:bottom w:val="nil"/>
              <w:right w:val="nil"/>
            </w:tcBorders>
            <w:shd w:val="clear" w:color="auto" w:fill="auto"/>
            <w:noWrap/>
            <w:vAlign w:val="center"/>
          </w:tcPr>
          <w:p w14:paraId="08144551" w14:textId="77777777" w:rsidR="00F561D9" w:rsidRPr="00720A84" w:rsidRDefault="00F561D9" w:rsidP="006B40CA">
            <w:pPr>
              <w:jc w:val="right"/>
              <w:rPr>
                <w:sz w:val="16"/>
                <w:szCs w:val="16"/>
              </w:rPr>
            </w:pPr>
            <w:r w:rsidRPr="00720A84">
              <w:rPr>
                <w:sz w:val="16"/>
                <w:szCs w:val="16"/>
              </w:rPr>
              <w:t>1970s</w:t>
            </w:r>
          </w:p>
        </w:tc>
        <w:tc>
          <w:tcPr>
            <w:tcW w:w="982" w:type="dxa"/>
            <w:tcBorders>
              <w:top w:val="nil"/>
              <w:left w:val="nil"/>
              <w:bottom w:val="nil"/>
              <w:right w:val="nil"/>
            </w:tcBorders>
            <w:shd w:val="clear" w:color="auto" w:fill="auto"/>
            <w:noWrap/>
            <w:vAlign w:val="center"/>
          </w:tcPr>
          <w:p w14:paraId="0CB3EB47" w14:textId="77777777" w:rsidR="00F561D9" w:rsidRPr="00720A84" w:rsidRDefault="00F561D9" w:rsidP="006B40CA">
            <w:pPr>
              <w:jc w:val="right"/>
              <w:rPr>
                <w:sz w:val="16"/>
                <w:szCs w:val="16"/>
              </w:rPr>
            </w:pPr>
            <w:r w:rsidRPr="00720A84">
              <w:rPr>
                <w:sz w:val="16"/>
                <w:szCs w:val="16"/>
              </w:rPr>
              <w:t>1996</w:t>
            </w:r>
          </w:p>
        </w:tc>
        <w:tc>
          <w:tcPr>
            <w:tcW w:w="783" w:type="dxa"/>
            <w:tcBorders>
              <w:top w:val="nil"/>
              <w:left w:val="nil"/>
              <w:bottom w:val="nil"/>
              <w:right w:val="nil"/>
            </w:tcBorders>
            <w:shd w:val="clear" w:color="auto" w:fill="auto"/>
            <w:noWrap/>
            <w:vAlign w:val="center"/>
          </w:tcPr>
          <w:p w14:paraId="6D55B4C5"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0C04C954"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2EAC5463" w14:textId="77777777" w:rsidR="00F561D9" w:rsidRPr="00720A84" w:rsidRDefault="00F561D9" w:rsidP="006B40CA">
            <w:pPr>
              <w:jc w:val="right"/>
              <w:rPr>
                <w:sz w:val="16"/>
                <w:szCs w:val="16"/>
              </w:rPr>
            </w:pPr>
            <w:r w:rsidRPr="00720A84">
              <w:rPr>
                <w:sz w:val="16"/>
                <w:szCs w:val="16"/>
              </w:rPr>
              <w:t>GF</w:t>
            </w:r>
          </w:p>
        </w:tc>
      </w:tr>
      <w:tr w:rsidR="00F561D9" w:rsidRPr="00720A84" w14:paraId="0F8BD376"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1ABFE06F" w14:textId="77777777" w:rsidR="00F561D9" w:rsidRPr="00720A84" w:rsidRDefault="00F561D9" w:rsidP="006B40CA">
            <w:pPr>
              <w:rPr>
                <w:sz w:val="16"/>
                <w:szCs w:val="16"/>
              </w:rPr>
            </w:pPr>
            <w:r w:rsidRPr="00720A84">
              <w:rPr>
                <w:sz w:val="16"/>
                <w:szCs w:val="16"/>
              </w:rPr>
              <w:t>Marcopolo</w:t>
            </w:r>
          </w:p>
        </w:tc>
        <w:tc>
          <w:tcPr>
            <w:tcW w:w="2079" w:type="dxa"/>
            <w:tcBorders>
              <w:top w:val="nil"/>
              <w:left w:val="nil"/>
              <w:bottom w:val="nil"/>
              <w:right w:val="nil"/>
            </w:tcBorders>
            <w:shd w:val="clear" w:color="auto" w:fill="auto"/>
            <w:noWrap/>
            <w:vAlign w:val="center"/>
          </w:tcPr>
          <w:p w14:paraId="4E11C529" w14:textId="77777777" w:rsidR="00F561D9" w:rsidRPr="00720A84" w:rsidRDefault="00F561D9" w:rsidP="006B40CA">
            <w:pPr>
              <w:rPr>
                <w:sz w:val="16"/>
                <w:szCs w:val="16"/>
              </w:rPr>
            </w:pPr>
            <w:r w:rsidRPr="00720A84">
              <w:rPr>
                <w:sz w:val="16"/>
                <w:szCs w:val="16"/>
              </w:rPr>
              <w:t>Bus assembly</w:t>
            </w:r>
          </w:p>
        </w:tc>
        <w:tc>
          <w:tcPr>
            <w:tcW w:w="1134" w:type="dxa"/>
            <w:tcBorders>
              <w:top w:val="nil"/>
              <w:left w:val="nil"/>
              <w:bottom w:val="nil"/>
              <w:right w:val="nil"/>
            </w:tcBorders>
            <w:shd w:val="clear" w:color="auto" w:fill="auto"/>
            <w:noWrap/>
            <w:vAlign w:val="center"/>
          </w:tcPr>
          <w:p w14:paraId="1AC590A3" w14:textId="77777777" w:rsidR="00F561D9" w:rsidRPr="00720A84" w:rsidRDefault="00F561D9" w:rsidP="006B40CA">
            <w:pPr>
              <w:jc w:val="right"/>
              <w:rPr>
                <w:sz w:val="16"/>
                <w:szCs w:val="16"/>
              </w:rPr>
            </w:pPr>
            <w:r w:rsidRPr="00720A84">
              <w:rPr>
                <w:sz w:val="16"/>
                <w:szCs w:val="16"/>
              </w:rPr>
              <w:t>843</w:t>
            </w:r>
          </w:p>
        </w:tc>
        <w:tc>
          <w:tcPr>
            <w:tcW w:w="739" w:type="dxa"/>
            <w:tcBorders>
              <w:top w:val="nil"/>
              <w:left w:val="nil"/>
              <w:bottom w:val="nil"/>
              <w:right w:val="nil"/>
            </w:tcBorders>
            <w:shd w:val="clear" w:color="auto" w:fill="auto"/>
            <w:noWrap/>
            <w:vAlign w:val="center"/>
          </w:tcPr>
          <w:p w14:paraId="284A6F6B" w14:textId="77777777" w:rsidR="00F561D9" w:rsidRPr="00720A84" w:rsidRDefault="00F561D9" w:rsidP="006B40CA">
            <w:pPr>
              <w:jc w:val="right"/>
              <w:rPr>
                <w:sz w:val="16"/>
                <w:szCs w:val="16"/>
              </w:rPr>
            </w:pPr>
            <w:r w:rsidRPr="00720A84">
              <w:rPr>
                <w:sz w:val="16"/>
                <w:szCs w:val="16"/>
              </w:rPr>
              <w:t>1961</w:t>
            </w:r>
          </w:p>
        </w:tc>
        <w:tc>
          <w:tcPr>
            <w:tcW w:w="982" w:type="dxa"/>
            <w:tcBorders>
              <w:top w:val="nil"/>
              <w:left w:val="nil"/>
              <w:bottom w:val="nil"/>
              <w:right w:val="nil"/>
            </w:tcBorders>
            <w:shd w:val="clear" w:color="auto" w:fill="auto"/>
            <w:noWrap/>
            <w:vAlign w:val="center"/>
          </w:tcPr>
          <w:p w14:paraId="4AA12A2C" w14:textId="77777777" w:rsidR="00F561D9" w:rsidRPr="00720A84" w:rsidRDefault="00F561D9" w:rsidP="006B40CA">
            <w:pPr>
              <w:jc w:val="right"/>
              <w:rPr>
                <w:sz w:val="16"/>
                <w:szCs w:val="16"/>
              </w:rPr>
            </w:pPr>
            <w:r w:rsidRPr="00720A84">
              <w:rPr>
                <w:sz w:val="16"/>
                <w:szCs w:val="16"/>
              </w:rPr>
              <w:t>1991</w:t>
            </w:r>
          </w:p>
        </w:tc>
        <w:tc>
          <w:tcPr>
            <w:tcW w:w="783" w:type="dxa"/>
            <w:tcBorders>
              <w:top w:val="nil"/>
              <w:left w:val="nil"/>
              <w:bottom w:val="nil"/>
              <w:right w:val="nil"/>
            </w:tcBorders>
            <w:shd w:val="clear" w:color="auto" w:fill="auto"/>
            <w:noWrap/>
            <w:vAlign w:val="center"/>
          </w:tcPr>
          <w:p w14:paraId="23DBACB5" w14:textId="77777777" w:rsidR="00F561D9" w:rsidRPr="00720A84" w:rsidRDefault="00F561D9" w:rsidP="006B40CA">
            <w:pPr>
              <w:jc w:val="right"/>
              <w:rPr>
                <w:sz w:val="16"/>
                <w:szCs w:val="16"/>
              </w:rPr>
            </w:pPr>
            <w:r w:rsidRPr="00720A84">
              <w:rPr>
                <w:sz w:val="16"/>
                <w:szCs w:val="16"/>
              </w:rPr>
              <w:t>9</w:t>
            </w:r>
          </w:p>
        </w:tc>
        <w:tc>
          <w:tcPr>
            <w:tcW w:w="2091" w:type="dxa"/>
            <w:tcBorders>
              <w:top w:val="nil"/>
              <w:left w:val="nil"/>
              <w:bottom w:val="nil"/>
              <w:right w:val="nil"/>
            </w:tcBorders>
            <w:shd w:val="clear" w:color="auto" w:fill="auto"/>
            <w:noWrap/>
            <w:vAlign w:val="center"/>
          </w:tcPr>
          <w:p w14:paraId="3D7D639C" w14:textId="77777777" w:rsidR="00F561D9" w:rsidRPr="00720A84" w:rsidRDefault="00F561D9" w:rsidP="006B40CA">
            <w:pPr>
              <w:jc w:val="right"/>
              <w:rPr>
                <w:sz w:val="16"/>
                <w:szCs w:val="16"/>
              </w:rPr>
            </w:pPr>
            <w:r w:rsidRPr="00720A84">
              <w:rPr>
                <w:sz w:val="16"/>
                <w:szCs w:val="16"/>
              </w:rPr>
              <w:t>South Africa, LA, EU, China</w:t>
            </w:r>
          </w:p>
        </w:tc>
        <w:tc>
          <w:tcPr>
            <w:tcW w:w="1246" w:type="dxa"/>
            <w:tcBorders>
              <w:top w:val="nil"/>
              <w:left w:val="nil"/>
              <w:bottom w:val="nil"/>
              <w:right w:val="nil"/>
            </w:tcBorders>
            <w:shd w:val="clear" w:color="auto" w:fill="auto"/>
            <w:noWrap/>
            <w:vAlign w:val="center"/>
          </w:tcPr>
          <w:p w14:paraId="0E6338EF" w14:textId="77777777" w:rsidR="00F561D9" w:rsidRPr="00720A84" w:rsidRDefault="00F561D9" w:rsidP="006B40CA">
            <w:pPr>
              <w:jc w:val="right"/>
              <w:rPr>
                <w:sz w:val="16"/>
                <w:szCs w:val="16"/>
              </w:rPr>
            </w:pPr>
            <w:r w:rsidRPr="00720A84">
              <w:rPr>
                <w:sz w:val="16"/>
                <w:szCs w:val="16"/>
              </w:rPr>
              <w:t>JV, GF, Acq</w:t>
            </w:r>
          </w:p>
        </w:tc>
      </w:tr>
      <w:tr w:rsidR="00F561D9" w:rsidRPr="00720A84" w14:paraId="74E3EAA7"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023C16E9" w14:textId="77777777" w:rsidR="00F561D9" w:rsidRPr="00720A84" w:rsidRDefault="00F561D9" w:rsidP="006B40CA">
            <w:pPr>
              <w:rPr>
                <w:sz w:val="16"/>
                <w:szCs w:val="16"/>
              </w:rPr>
            </w:pPr>
            <w:r w:rsidRPr="00720A84">
              <w:rPr>
                <w:sz w:val="16"/>
                <w:szCs w:val="16"/>
              </w:rPr>
              <w:t>Metagal</w:t>
            </w:r>
          </w:p>
        </w:tc>
        <w:tc>
          <w:tcPr>
            <w:tcW w:w="2079" w:type="dxa"/>
            <w:tcBorders>
              <w:top w:val="nil"/>
              <w:left w:val="nil"/>
              <w:bottom w:val="nil"/>
              <w:right w:val="nil"/>
            </w:tcBorders>
            <w:shd w:val="clear" w:color="auto" w:fill="auto"/>
            <w:noWrap/>
            <w:vAlign w:val="center"/>
          </w:tcPr>
          <w:p w14:paraId="56478F3B" w14:textId="77777777" w:rsidR="00F561D9" w:rsidRPr="00720A84" w:rsidRDefault="00F561D9" w:rsidP="006B40CA">
            <w:pPr>
              <w:rPr>
                <w:sz w:val="16"/>
                <w:szCs w:val="16"/>
              </w:rPr>
            </w:pPr>
            <w:r w:rsidRPr="00720A84">
              <w:rPr>
                <w:sz w:val="16"/>
                <w:szCs w:val="16"/>
              </w:rPr>
              <w:t>Auto parts</w:t>
            </w:r>
          </w:p>
        </w:tc>
        <w:tc>
          <w:tcPr>
            <w:tcW w:w="1134" w:type="dxa"/>
            <w:tcBorders>
              <w:top w:val="nil"/>
              <w:left w:val="nil"/>
              <w:bottom w:val="nil"/>
              <w:right w:val="nil"/>
            </w:tcBorders>
            <w:shd w:val="clear" w:color="auto" w:fill="auto"/>
            <w:noWrap/>
            <w:vAlign w:val="center"/>
          </w:tcPr>
          <w:p w14:paraId="124EB92F" w14:textId="77777777" w:rsidR="00F561D9" w:rsidRPr="00720A84" w:rsidRDefault="00F561D9" w:rsidP="006B40CA">
            <w:pPr>
              <w:jc w:val="right"/>
              <w:rPr>
                <w:sz w:val="16"/>
                <w:szCs w:val="16"/>
              </w:rPr>
            </w:pPr>
            <w:r w:rsidRPr="00720A84">
              <w:rPr>
                <w:sz w:val="16"/>
                <w:szCs w:val="16"/>
              </w:rPr>
              <w:t>-</w:t>
            </w:r>
          </w:p>
        </w:tc>
        <w:tc>
          <w:tcPr>
            <w:tcW w:w="739" w:type="dxa"/>
            <w:tcBorders>
              <w:top w:val="nil"/>
              <w:left w:val="nil"/>
              <w:bottom w:val="nil"/>
              <w:right w:val="nil"/>
            </w:tcBorders>
            <w:shd w:val="clear" w:color="auto" w:fill="auto"/>
            <w:noWrap/>
            <w:vAlign w:val="center"/>
          </w:tcPr>
          <w:p w14:paraId="7122F605"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654515A0" w14:textId="77777777" w:rsidR="00F561D9" w:rsidRPr="00720A84" w:rsidRDefault="00F561D9" w:rsidP="006B40CA">
            <w:pPr>
              <w:jc w:val="right"/>
              <w:rPr>
                <w:sz w:val="16"/>
                <w:szCs w:val="16"/>
              </w:rPr>
            </w:pPr>
            <w:r w:rsidRPr="00720A84">
              <w:rPr>
                <w:sz w:val="16"/>
                <w:szCs w:val="16"/>
              </w:rPr>
              <w:t>1996</w:t>
            </w:r>
          </w:p>
        </w:tc>
        <w:tc>
          <w:tcPr>
            <w:tcW w:w="783" w:type="dxa"/>
            <w:tcBorders>
              <w:top w:val="nil"/>
              <w:left w:val="nil"/>
              <w:bottom w:val="nil"/>
              <w:right w:val="nil"/>
            </w:tcBorders>
            <w:shd w:val="clear" w:color="auto" w:fill="auto"/>
            <w:noWrap/>
            <w:vAlign w:val="center"/>
          </w:tcPr>
          <w:p w14:paraId="265B860D"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20325BEB"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46FD0CE1" w14:textId="77777777" w:rsidR="00F561D9" w:rsidRPr="00720A84" w:rsidRDefault="00F561D9" w:rsidP="006B40CA">
            <w:pPr>
              <w:jc w:val="right"/>
              <w:rPr>
                <w:sz w:val="16"/>
                <w:szCs w:val="16"/>
              </w:rPr>
            </w:pPr>
            <w:r w:rsidRPr="00720A84">
              <w:rPr>
                <w:sz w:val="16"/>
                <w:szCs w:val="16"/>
              </w:rPr>
              <w:t>-</w:t>
            </w:r>
          </w:p>
        </w:tc>
      </w:tr>
      <w:tr w:rsidR="00F561D9" w:rsidRPr="00720A84" w14:paraId="4BC71FA6"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6ADFD7B" w14:textId="77777777" w:rsidR="00F561D9" w:rsidRPr="00720A84" w:rsidRDefault="00F561D9" w:rsidP="006B40CA">
            <w:pPr>
              <w:rPr>
                <w:sz w:val="16"/>
                <w:szCs w:val="16"/>
              </w:rPr>
            </w:pPr>
            <w:r w:rsidRPr="00720A84">
              <w:rPr>
                <w:sz w:val="16"/>
                <w:szCs w:val="16"/>
              </w:rPr>
              <w:t>Metalcorte</w:t>
            </w:r>
          </w:p>
        </w:tc>
        <w:tc>
          <w:tcPr>
            <w:tcW w:w="2079" w:type="dxa"/>
            <w:tcBorders>
              <w:top w:val="nil"/>
              <w:left w:val="nil"/>
              <w:bottom w:val="nil"/>
              <w:right w:val="nil"/>
            </w:tcBorders>
            <w:shd w:val="clear" w:color="auto" w:fill="auto"/>
            <w:noWrap/>
            <w:vAlign w:val="center"/>
          </w:tcPr>
          <w:p w14:paraId="3BE2386B" w14:textId="77777777" w:rsidR="00F561D9" w:rsidRPr="00720A84" w:rsidRDefault="00F561D9" w:rsidP="006B40CA">
            <w:pPr>
              <w:rPr>
                <w:sz w:val="16"/>
                <w:szCs w:val="16"/>
              </w:rPr>
            </w:pPr>
            <w:r w:rsidRPr="00720A84">
              <w:rPr>
                <w:sz w:val="16"/>
                <w:szCs w:val="16"/>
              </w:rPr>
              <w:t>Electric engines</w:t>
            </w:r>
          </w:p>
        </w:tc>
        <w:tc>
          <w:tcPr>
            <w:tcW w:w="1134" w:type="dxa"/>
            <w:tcBorders>
              <w:top w:val="nil"/>
              <w:left w:val="nil"/>
              <w:bottom w:val="nil"/>
              <w:right w:val="nil"/>
            </w:tcBorders>
            <w:shd w:val="clear" w:color="auto" w:fill="auto"/>
            <w:noWrap/>
            <w:vAlign w:val="center"/>
          </w:tcPr>
          <w:p w14:paraId="709B2773" w14:textId="77777777" w:rsidR="00F561D9" w:rsidRPr="00720A84" w:rsidRDefault="00F561D9" w:rsidP="006B40CA">
            <w:pPr>
              <w:jc w:val="right"/>
              <w:rPr>
                <w:sz w:val="16"/>
                <w:szCs w:val="16"/>
              </w:rPr>
            </w:pPr>
            <w:r w:rsidRPr="00720A84">
              <w:rPr>
                <w:sz w:val="16"/>
                <w:szCs w:val="16"/>
              </w:rPr>
              <w:t>180</w:t>
            </w:r>
          </w:p>
        </w:tc>
        <w:tc>
          <w:tcPr>
            <w:tcW w:w="739" w:type="dxa"/>
            <w:tcBorders>
              <w:top w:val="nil"/>
              <w:left w:val="nil"/>
              <w:bottom w:val="nil"/>
              <w:right w:val="nil"/>
            </w:tcBorders>
            <w:shd w:val="clear" w:color="auto" w:fill="auto"/>
            <w:noWrap/>
            <w:vAlign w:val="center"/>
          </w:tcPr>
          <w:p w14:paraId="0B456B08"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0127B5F3" w14:textId="77777777" w:rsidR="00F561D9" w:rsidRPr="00720A84" w:rsidRDefault="00F561D9" w:rsidP="006B40CA">
            <w:pPr>
              <w:jc w:val="right"/>
              <w:rPr>
                <w:sz w:val="16"/>
                <w:szCs w:val="16"/>
              </w:rPr>
            </w:pPr>
            <w:r w:rsidRPr="00720A84">
              <w:rPr>
                <w:sz w:val="16"/>
                <w:szCs w:val="16"/>
              </w:rPr>
              <w:t>2005</w:t>
            </w:r>
          </w:p>
        </w:tc>
        <w:tc>
          <w:tcPr>
            <w:tcW w:w="783" w:type="dxa"/>
            <w:tcBorders>
              <w:top w:val="nil"/>
              <w:left w:val="nil"/>
              <w:bottom w:val="nil"/>
              <w:right w:val="nil"/>
            </w:tcBorders>
            <w:shd w:val="clear" w:color="auto" w:fill="auto"/>
            <w:noWrap/>
            <w:vAlign w:val="center"/>
          </w:tcPr>
          <w:p w14:paraId="6B7BECEA"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0C3CAB59"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0E86285D" w14:textId="77777777" w:rsidR="00F561D9" w:rsidRPr="00720A84" w:rsidRDefault="00F561D9" w:rsidP="006B40CA">
            <w:pPr>
              <w:jc w:val="right"/>
              <w:rPr>
                <w:sz w:val="16"/>
                <w:szCs w:val="16"/>
              </w:rPr>
            </w:pPr>
            <w:r w:rsidRPr="00720A84">
              <w:rPr>
                <w:sz w:val="16"/>
                <w:szCs w:val="16"/>
              </w:rPr>
              <w:t>Acq</w:t>
            </w:r>
          </w:p>
        </w:tc>
      </w:tr>
      <w:tr w:rsidR="00F561D9" w:rsidRPr="00720A84" w14:paraId="7666BEFA"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115EF0F" w14:textId="77777777" w:rsidR="00F561D9" w:rsidRPr="00720A84" w:rsidRDefault="00F561D9" w:rsidP="006B40CA">
            <w:pPr>
              <w:rPr>
                <w:sz w:val="16"/>
                <w:szCs w:val="16"/>
              </w:rPr>
            </w:pPr>
            <w:r w:rsidRPr="00720A84">
              <w:rPr>
                <w:sz w:val="16"/>
                <w:szCs w:val="16"/>
              </w:rPr>
              <w:t>Metalfrio</w:t>
            </w:r>
          </w:p>
        </w:tc>
        <w:tc>
          <w:tcPr>
            <w:tcW w:w="2079" w:type="dxa"/>
            <w:tcBorders>
              <w:top w:val="nil"/>
              <w:left w:val="nil"/>
              <w:bottom w:val="nil"/>
              <w:right w:val="nil"/>
            </w:tcBorders>
            <w:shd w:val="clear" w:color="auto" w:fill="auto"/>
            <w:noWrap/>
            <w:vAlign w:val="center"/>
          </w:tcPr>
          <w:p w14:paraId="3180DE6D" w14:textId="77777777" w:rsidR="00F561D9" w:rsidRPr="00720A84" w:rsidRDefault="00F561D9" w:rsidP="006B40CA">
            <w:pPr>
              <w:rPr>
                <w:sz w:val="16"/>
                <w:szCs w:val="16"/>
              </w:rPr>
            </w:pPr>
            <w:r w:rsidRPr="00720A84">
              <w:rPr>
                <w:sz w:val="16"/>
                <w:szCs w:val="16"/>
              </w:rPr>
              <w:t>Refrigeration</w:t>
            </w:r>
          </w:p>
        </w:tc>
        <w:tc>
          <w:tcPr>
            <w:tcW w:w="1134" w:type="dxa"/>
            <w:tcBorders>
              <w:top w:val="nil"/>
              <w:left w:val="nil"/>
              <w:bottom w:val="nil"/>
              <w:right w:val="nil"/>
            </w:tcBorders>
            <w:shd w:val="clear" w:color="auto" w:fill="auto"/>
            <w:noWrap/>
            <w:vAlign w:val="center"/>
          </w:tcPr>
          <w:p w14:paraId="37E1DC7B" w14:textId="77777777" w:rsidR="00F561D9" w:rsidRPr="00720A84" w:rsidRDefault="00F561D9" w:rsidP="006B40CA">
            <w:pPr>
              <w:jc w:val="right"/>
              <w:rPr>
                <w:sz w:val="16"/>
                <w:szCs w:val="16"/>
              </w:rPr>
            </w:pPr>
            <w:r w:rsidRPr="00720A84">
              <w:rPr>
                <w:sz w:val="16"/>
                <w:szCs w:val="16"/>
              </w:rPr>
              <w:t>300</w:t>
            </w:r>
          </w:p>
        </w:tc>
        <w:tc>
          <w:tcPr>
            <w:tcW w:w="739" w:type="dxa"/>
            <w:tcBorders>
              <w:top w:val="nil"/>
              <w:left w:val="nil"/>
              <w:bottom w:val="nil"/>
              <w:right w:val="nil"/>
            </w:tcBorders>
            <w:shd w:val="clear" w:color="auto" w:fill="auto"/>
            <w:noWrap/>
            <w:vAlign w:val="center"/>
          </w:tcPr>
          <w:p w14:paraId="6ED42F33"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5D23B388" w14:textId="77777777" w:rsidR="00F561D9" w:rsidRPr="00720A84" w:rsidRDefault="00F561D9" w:rsidP="006B40CA">
            <w:pPr>
              <w:jc w:val="right"/>
              <w:rPr>
                <w:sz w:val="16"/>
                <w:szCs w:val="16"/>
              </w:rPr>
            </w:pPr>
            <w:r w:rsidRPr="00720A84">
              <w:rPr>
                <w:sz w:val="16"/>
                <w:szCs w:val="16"/>
              </w:rPr>
              <w:t>2005</w:t>
            </w:r>
          </w:p>
        </w:tc>
        <w:tc>
          <w:tcPr>
            <w:tcW w:w="783" w:type="dxa"/>
            <w:tcBorders>
              <w:top w:val="nil"/>
              <w:left w:val="nil"/>
              <w:bottom w:val="nil"/>
              <w:right w:val="nil"/>
            </w:tcBorders>
            <w:shd w:val="clear" w:color="auto" w:fill="auto"/>
            <w:noWrap/>
            <w:vAlign w:val="center"/>
          </w:tcPr>
          <w:p w14:paraId="3DAB59EC" w14:textId="77777777" w:rsidR="00F561D9" w:rsidRPr="00720A84" w:rsidRDefault="00F561D9" w:rsidP="006B40CA">
            <w:pPr>
              <w:jc w:val="right"/>
              <w:rPr>
                <w:sz w:val="16"/>
                <w:szCs w:val="16"/>
              </w:rPr>
            </w:pPr>
            <w:r w:rsidRPr="00720A84">
              <w:rPr>
                <w:sz w:val="16"/>
                <w:szCs w:val="16"/>
              </w:rPr>
              <w:t>4</w:t>
            </w:r>
          </w:p>
        </w:tc>
        <w:tc>
          <w:tcPr>
            <w:tcW w:w="2091" w:type="dxa"/>
            <w:tcBorders>
              <w:top w:val="nil"/>
              <w:left w:val="nil"/>
              <w:bottom w:val="nil"/>
              <w:right w:val="nil"/>
            </w:tcBorders>
            <w:shd w:val="clear" w:color="auto" w:fill="auto"/>
            <w:noWrap/>
            <w:vAlign w:val="center"/>
          </w:tcPr>
          <w:p w14:paraId="71A593B0" w14:textId="77777777" w:rsidR="00F561D9" w:rsidRPr="00720A84" w:rsidRDefault="00F561D9" w:rsidP="006B40CA">
            <w:pPr>
              <w:jc w:val="right"/>
              <w:rPr>
                <w:sz w:val="16"/>
                <w:szCs w:val="16"/>
              </w:rPr>
            </w:pPr>
            <w:r w:rsidRPr="00720A84">
              <w:rPr>
                <w:sz w:val="16"/>
                <w:szCs w:val="16"/>
              </w:rPr>
              <w:t>EU, USA</w:t>
            </w:r>
          </w:p>
        </w:tc>
        <w:tc>
          <w:tcPr>
            <w:tcW w:w="1246" w:type="dxa"/>
            <w:tcBorders>
              <w:top w:val="nil"/>
              <w:left w:val="nil"/>
              <w:bottom w:val="nil"/>
              <w:right w:val="nil"/>
            </w:tcBorders>
            <w:shd w:val="clear" w:color="auto" w:fill="auto"/>
            <w:noWrap/>
            <w:vAlign w:val="center"/>
          </w:tcPr>
          <w:p w14:paraId="781FC8C9" w14:textId="77777777" w:rsidR="00F561D9" w:rsidRPr="00720A84" w:rsidRDefault="00F561D9" w:rsidP="006B40CA">
            <w:pPr>
              <w:jc w:val="right"/>
              <w:rPr>
                <w:sz w:val="16"/>
                <w:szCs w:val="16"/>
              </w:rPr>
            </w:pPr>
            <w:r w:rsidRPr="00720A84">
              <w:rPr>
                <w:sz w:val="16"/>
                <w:szCs w:val="16"/>
              </w:rPr>
              <w:t>Acq</w:t>
            </w:r>
          </w:p>
        </w:tc>
      </w:tr>
      <w:tr w:rsidR="00F561D9" w:rsidRPr="00720A84" w14:paraId="2AC529EF"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EB975AE" w14:textId="77777777" w:rsidR="00F561D9" w:rsidRPr="00720A84" w:rsidRDefault="00F561D9" w:rsidP="006B40CA">
            <w:pPr>
              <w:rPr>
                <w:sz w:val="16"/>
                <w:szCs w:val="16"/>
              </w:rPr>
            </w:pPr>
            <w:r w:rsidRPr="00720A84">
              <w:rPr>
                <w:sz w:val="16"/>
                <w:szCs w:val="16"/>
              </w:rPr>
              <w:t>Natura</w:t>
            </w:r>
          </w:p>
        </w:tc>
        <w:tc>
          <w:tcPr>
            <w:tcW w:w="2079" w:type="dxa"/>
            <w:tcBorders>
              <w:top w:val="nil"/>
              <w:left w:val="nil"/>
              <w:bottom w:val="nil"/>
              <w:right w:val="nil"/>
            </w:tcBorders>
            <w:shd w:val="clear" w:color="auto" w:fill="auto"/>
            <w:noWrap/>
            <w:vAlign w:val="center"/>
          </w:tcPr>
          <w:p w14:paraId="0BE46D9B" w14:textId="77777777" w:rsidR="00F561D9" w:rsidRPr="00720A84" w:rsidRDefault="00F561D9" w:rsidP="006B40CA">
            <w:pPr>
              <w:rPr>
                <w:sz w:val="16"/>
                <w:szCs w:val="16"/>
              </w:rPr>
            </w:pPr>
            <w:r w:rsidRPr="00720A84">
              <w:rPr>
                <w:sz w:val="16"/>
                <w:szCs w:val="16"/>
              </w:rPr>
              <w:t>Cosmetics</w:t>
            </w:r>
          </w:p>
        </w:tc>
        <w:tc>
          <w:tcPr>
            <w:tcW w:w="1134" w:type="dxa"/>
            <w:tcBorders>
              <w:top w:val="nil"/>
              <w:left w:val="nil"/>
              <w:bottom w:val="nil"/>
              <w:right w:val="nil"/>
            </w:tcBorders>
            <w:shd w:val="clear" w:color="auto" w:fill="auto"/>
            <w:noWrap/>
            <w:vAlign w:val="center"/>
          </w:tcPr>
          <w:p w14:paraId="554D7B2B" w14:textId="77777777" w:rsidR="00F561D9" w:rsidRPr="00720A84" w:rsidRDefault="00F561D9" w:rsidP="006B40CA">
            <w:pPr>
              <w:jc w:val="right"/>
              <w:rPr>
                <w:sz w:val="16"/>
                <w:szCs w:val="16"/>
              </w:rPr>
            </w:pPr>
            <w:r w:rsidRPr="00720A84">
              <w:rPr>
                <w:sz w:val="16"/>
                <w:szCs w:val="16"/>
              </w:rPr>
              <w:t>1,600</w:t>
            </w:r>
          </w:p>
        </w:tc>
        <w:tc>
          <w:tcPr>
            <w:tcW w:w="739" w:type="dxa"/>
            <w:tcBorders>
              <w:top w:val="nil"/>
              <w:left w:val="nil"/>
              <w:bottom w:val="nil"/>
              <w:right w:val="nil"/>
            </w:tcBorders>
            <w:shd w:val="clear" w:color="auto" w:fill="auto"/>
            <w:noWrap/>
            <w:vAlign w:val="center"/>
          </w:tcPr>
          <w:p w14:paraId="187B12BD"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448AA8A3" w14:textId="77777777" w:rsidR="00F561D9" w:rsidRPr="00720A84" w:rsidRDefault="00F561D9" w:rsidP="006B40CA">
            <w:pPr>
              <w:jc w:val="right"/>
              <w:rPr>
                <w:sz w:val="16"/>
                <w:szCs w:val="16"/>
              </w:rPr>
            </w:pPr>
            <w:r w:rsidRPr="00720A84">
              <w:rPr>
                <w:sz w:val="16"/>
                <w:szCs w:val="16"/>
              </w:rPr>
              <w:t>1981</w:t>
            </w:r>
          </w:p>
        </w:tc>
        <w:tc>
          <w:tcPr>
            <w:tcW w:w="783" w:type="dxa"/>
            <w:tcBorders>
              <w:top w:val="nil"/>
              <w:left w:val="nil"/>
              <w:bottom w:val="nil"/>
              <w:right w:val="nil"/>
            </w:tcBorders>
            <w:shd w:val="clear" w:color="auto" w:fill="auto"/>
            <w:noWrap/>
            <w:vAlign w:val="center"/>
          </w:tcPr>
          <w:p w14:paraId="1674561A" w14:textId="77777777" w:rsidR="00F561D9" w:rsidRPr="00720A84" w:rsidRDefault="00F561D9" w:rsidP="006B40CA">
            <w:pPr>
              <w:jc w:val="right"/>
              <w:rPr>
                <w:sz w:val="16"/>
                <w:szCs w:val="16"/>
              </w:rPr>
            </w:pPr>
            <w:r w:rsidRPr="00720A84">
              <w:rPr>
                <w:sz w:val="16"/>
                <w:szCs w:val="16"/>
              </w:rPr>
              <w:t>6</w:t>
            </w:r>
          </w:p>
        </w:tc>
        <w:tc>
          <w:tcPr>
            <w:tcW w:w="2091" w:type="dxa"/>
            <w:tcBorders>
              <w:top w:val="nil"/>
              <w:left w:val="nil"/>
              <w:bottom w:val="nil"/>
              <w:right w:val="nil"/>
            </w:tcBorders>
            <w:shd w:val="clear" w:color="auto" w:fill="auto"/>
            <w:noWrap/>
            <w:vAlign w:val="center"/>
          </w:tcPr>
          <w:p w14:paraId="0817D19B" w14:textId="77777777" w:rsidR="00F561D9" w:rsidRPr="00720A84" w:rsidRDefault="00F561D9" w:rsidP="006B40CA">
            <w:pPr>
              <w:jc w:val="right"/>
              <w:rPr>
                <w:sz w:val="16"/>
                <w:szCs w:val="16"/>
              </w:rPr>
            </w:pPr>
            <w:r w:rsidRPr="00720A84">
              <w:rPr>
                <w:sz w:val="16"/>
                <w:szCs w:val="16"/>
              </w:rPr>
              <w:t>LA, EU</w:t>
            </w:r>
          </w:p>
        </w:tc>
        <w:tc>
          <w:tcPr>
            <w:tcW w:w="1246" w:type="dxa"/>
            <w:tcBorders>
              <w:top w:val="nil"/>
              <w:left w:val="nil"/>
              <w:bottom w:val="nil"/>
              <w:right w:val="nil"/>
            </w:tcBorders>
            <w:shd w:val="clear" w:color="auto" w:fill="auto"/>
            <w:noWrap/>
            <w:vAlign w:val="center"/>
          </w:tcPr>
          <w:p w14:paraId="14D0D697" w14:textId="77777777" w:rsidR="00F561D9" w:rsidRPr="00720A84" w:rsidRDefault="00F561D9" w:rsidP="006B40CA">
            <w:pPr>
              <w:jc w:val="right"/>
              <w:rPr>
                <w:sz w:val="16"/>
                <w:szCs w:val="16"/>
              </w:rPr>
            </w:pPr>
            <w:r w:rsidRPr="00720A84">
              <w:rPr>
                <w:sz w:val="16"/>
                <w:szCs w:val="16"/>
              </w:rPr>
              <w:t>GF</w:t>
            </w:r>
          </w:p>
        </w:tc>
      </w:tr>
      <w:tr w:rsidR="00F561D9" w:rsidRPr="00720A84" w14:paraId="717C9CD6"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8E68FD0" w14:textId="77777777" w:rsidR="00F561D9" w:rsidRPr="00720A84" w:rsidRDefault="00F561D9" w:rsidP="006B40CA">
            <w:pPr>
              <w:rPr>
                <w:sz w:val="16"/>
                <w:szCs w:val="16"/>
              </w:rPr>
            </w:pPr>
            <w:r w:rsidRPr="00720A84">
              <w:rPr>
                <w:sz w:val="16"/>
                <w:szCs w:val="16"/>
              </w:rPr>
              <w:t>Oxiteno</w:t>
            </w:r>
          </w:p>
        </w:tc>
        <w:tc>
          <w:tcPr>
            <w:tcW w:w="2079" w:type="dxa"/>
            <w:tcBorders>
              <w:top w:val="nil"/>
              <w:left w:val="nil"/>
              <w:bottom w:val="nil"/>
              <w:right w:val="nil"/>
            </w:tcBorders>
            <w:shd w:val="clear" w:color="auto" w:fill="auto"/>
            <w:noWrap/>
            <w:vAlign w:val="center"/>
          </w:tcPr>
          <w:p w14:paraId="7027FE2B" w14:textId="77777777" w:rsidR="00F561D9" w:rsidRPr="00720A84" w:rsidRDefault="00F561D9" w:rsidP="006B40CA">
            <w:pPr>
              <w:rPr>
                <w:sz w:val="16"/>
                <w:szCs w:val="16"/>
              </w:rPr>
            </w:pPr>
            <w:r w:rsidRPr="00720A84">
              <w:rPr>
                <w:sz w:val="16"/>
                <w:szCs w:val="16"/>
              </w:rPr>
              <w:t>Chemicals</w:t>
            </w:r>
          </w:p>
        </w:tc>
        <w:tc>
          <w:tcPr>
            <w:tcW w:w="1134" w:type="dxa"/>
            <w:tcBorders>
              <w:top w:val="nil"/>
              <w:left w:val="nil"/>
              <w:bottom w:val="nil"/>
              <w:right w:val="nil"/>
            </w:tcBorders>
            <w:shd w:val="clear" w:color="auto" w:fill="auto"/>
            <w:noWrap/>
            <w:vAlign w:val="center"/>
          </w:tcPr>
          <w:p w14:paraId="494EAF22" w14:textId="77777777" w:rsidR="00F561D9" w:rsidRPr="00720A84" w:rsidRDefault="00F561D9" w:rsidP="006B40CA">
            <w:pPr>
              <w:jc w:val="right"/>
              <w:rPr>
                <w:sz w:val="16"/>
                <w:szCs w:val="16"/>
              </w:rPr>
            </w:pPr>
            <w:r w:rsidRPr="00720A84">
              <w:rPr>
                <w:sz w:val="16"/>
                <w:szCs w:val="16"/>
              </w:rPr>
              <w:t>2,205</w:t>
            </w:r>
          </w:p>
        </w:tc>
        <w:tc>
          <w:tcPr>
            <w:tcW w:w="739" w:type="dxa"/>
            <w:tcBorders>
              <w:top w:val="nil"/>
              <w:left w:val="nil"/>
              <w:bottom w:val="nil"/>
              <w:right w:val="nil"/>
            </w:tcBorders>
            <w:shd w:val="clear" w:color="auto" w:fill="auto"/>
            <w:noWrap/>
            <w:vAlign w:val="center"/>
          </w:tcPr>
          <w:p w14:paraId="6AA17A66" w14:textId="77777777" w:rsidR="00F561D9" w:rsidRPr="00720A84" w:rsidRDefault="00F561D9" w:rsidP="006B40CA">
            <w:pPr>
              <w:jc w:val="right"/>
              <w:rPr>
                <w:sz w:val="16"/>
                <w:szCs w:val="16"/>
              </w:rPr>
            </w:pPr>
            <w:r w:rsidRPr="00720A84">
              <w:rPr>
                <w:sz w:val="16"/>
                <w:szCs w:val="16"/>
              </w:rPr>
              <w:t>1990s</w:t>
            </w:r>
          </w:p>
        </w:tc>
        <w:tc>
          <w:tcPr>
            <w:tcW w:w="982" w:type="dxa"/>
            <w:tcBorders>
              <w:top w:val="nil"/>
              <w:left w:val="nil"/>
              <w:bottom w:val="nil"/>
              <w:right w:val="nil"/>
            </w:tcBorders>
            <w:shd w:val="clear" w:color="auto" w:fill="auto"/>
            <w:noWrap/>
            <w:vAlign w:val="center"/>
          </w:tcPr>
          <w:p w14:paraId="4FE18D18" w14:textId="77777777" w:rsidR="00F561D9" w:rsidRPr="00720A84" w:rsidRDefault="00F561D9" w:rsidP="006B40CA">
            <w:pPr>
              <w:jc w:val="right"/>
              <w:rPr>
                <w:sz w:val="16"/>
                <w:szCs w:val="16"/>
              </w:rPr>
            </w:pPr>
            <w:r w:rsidRPr="00720A84">
              <w:rPr>
                <w:sz w:val="16"/>
                <w:szCs w:val="16"/>
              </w:rPr>
              <w:t>2003</w:t>
            </w:r>
          </w:p>
        </w:tc>
        <w:tc>
          <w:tcPr>
            <w:tcW w:w="783" w:type="dxa"/>
            <w:tcBorders>
              <w:top w:val="nil"/>
              <w:left w:val="nil"/>
              <w:bottom w:val="nil"/>
              <w:right w:val="nil"/>
            </w:tcBorders>
            <w:shd w:val="clear" w:color="auto" w:fill="auto"/>
            <w:noWrap/>
            <w:vAlign w:val="center"/>
          </w:tcPr>
          <w:p w14:paraId="1AEEBD18" w14:textId="77777777" w:rsidR="00F561D9" w:rsidRPr="00720A84" w:rsidRDefault="00F561D9" w:rsidP="006B40CA">
            <w:pPr>
              <w:jc w:val="right"/>
              <w:rPr>
                <w:sz w:val="16"/>
                <w:szCs w:val="16"/>
              </w:rPr>
            </w:pPr>
            <w:r w:rsidRPr="00720A84">
              <w:rPr>
                <w:sz w:val="16"/>
                <w:szCs w:val="16"/>
              </w:rPr>
              <w:t>6</w:t>
            </w:r>
          </w:p>
        </w:tc>
        <w:tc>
          <w:tcPr>
            <w:tcW w:w="2091" w:type="dxa"/>
            <w:tcBorders>
              <w:top w:val="nil"/>
              <w:left w:val="nil"/>
              <w:bottom w:val="nil"/>
              <w:right w:val="nil"/>
            </w:tcBorders>
            <w:shd w:val="clear" w:color="auto" w:fill="auto"/>
            <w:noWrap/>
            <w:vAlign w:val="center"/>
          </w:tcPr>
          <w:p w14:paraId="53D9005C"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46EF9D91" w14:textId="77777777" w:rsidR="00F561D9" w:rsidRPr="00720A84" w:rsidRDefault="00F561D9" w:rsidP="006B40CA">
            <w:pPr>
              <w:jc w:val="right"/>
              <w:rPr>
                <w:sz w:val="16"/>
                <w:szCs w:val="16"/>
              </w:rPr>
            </w:pPr>
            <w:r w:rsidRPr="00720A84">
              <w:rPr>
                <w:sz w:val="16"/>
                <w:szCs w:val="16"/>
              </w:rPr>
              <w:t>Acq</w:t>
            </w:r>
          </w:p>
        </w:tc>
      </w:tr>
      <w:tr w:rsidR="00F561D9" w:rsidRPr="00720A84" w14:paraId="5E5E251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499C3CA" w14:textId="77777777" w:rsidR="00F561D9" w:rsidRPr="00720A84" w:rsidRDefault="00F561D9" w:rsidP="006B40CA">
            <w:pPr>
              <w:rPr>
                <w:sz w:val="16"/>
                <w:szCs w:val="16"/>
              </w:rPr>
            </w:pPr>
            <w:r w:rsidRPr="00720A84">
              <w:rPr>
                <w:sz w:val="16"/>
                <w:szCs w:val="16"/>
              </w:rPr>
              <w:t>Perdigão</w:t>
            </w:r>
          </w:p>
        </w:tc>
        <w:tc>
          <w:tcPr>
            <w:tcW w:w="2079" w:type="dxa"/>
            <w:tcBorders>
              <w:top w:val="nil"/>
              <w:left w:val="nil"/>
              <w:bottom w:val="nil"/>
              <w:right w:val="nil"/>
            </w:tcBorders>
            <w:shd w:val="clear" w:color="auto" w:fill="auto"/>
            <w:noWrap/>
            <w:vAlign w:val="center"/>
          </w:tcPr>
          <w:p w14:paraId="29F8F493" w14:textId="77777777" w:rsidR="00F561D9" w:rsidRPr="00720A84" w:rsidRDefault="00F561D9" w:rsidP="006B40CA">
            <w:pPr>
              <w:rPr>
                <w:sz w:val="16"/>
                <w:szCs w:val="16"/>
              </w:rPr>
            </w:pPr>
            <w:r w:rsidRPr="00720A84">
              <w:rPr>
                <w:sz w:val="16"/>
                <w:szCs w:val="16"/>
              </w:rPr>
              <w:t>Food</w:t>
            </w:r>
          </w:p>
        </w:tc>
        <w:tc>
          <w:tcPr>
            <w:tcW w:w="1134" w:type="dxa"/>
            <w:tcBorders>
              <w:top w:val="nil"/>
              <w:left w:val="nil"/>
              <w:bottom w:val="nil"/>
              <w:right w:val="nil"/>
            </w:tcBorders>
            <w:shd w:val="clear" w:color="auto" w:fill="auto"/>
            <w:noWrap/>
            <w:vAlign w:val="center"/>
          </w:tcPr>
          <w:p w14:paraId="4ECB7D39" w14:textId="77777777" w:rsidR="00F561D9" w:rsidRPr="00720A84" w:rsidRDefault="00F561D9" w:rsidP="006B40CA">
            <w:pPr>
              <w:jc w:val="right"/>
              <w:rPr>
                <w:sz w:val="16"/>
                <w:szCs w:val="16"/>
              </w:rPr>
            </w:pPr>
            <w:r w:rsidRPr="00720A84">
              <w:rPr>
                <w:sz w:val="16"/>
                <w:szCs w:val="16"/>
              </w:rPr>
              <w:t>3,000</w:t>
            </w:r>
          </w:p>
        </w:tc>
        <w:tc>
          <w:tcPr>
            <w:tcW w:w="739" w:type="dxa"/>
            <w:tcBorders>
              <w:top w:val="nil"/>
              <w:left w:val="nil"/>
              <w:bottom w:val="nil"/>
              <w:right w:val="nil"/>
            </w:tcBorders>
            <w:shd w:val="clear" w:color="auto" w:fill="auto"/>
            <w:noWrap/>
            <w:vAlign w:val="center"/>
          </w:tcPr>
          <w:p w14:paraId="6F8FDB08" w14:textId="77777777" w:rsidR="00F561D9" w:rsidRPr="00720A84" w:rsidRDefault="00F561D9" w:rsidP="006B40CA">
            <w:pPr>
              <w:jc w:val="right"/>
              <w:rPr>
                <w:sz w:val="16"/>
                <w:szCs w:val="16"/>
              </w:rPr>
            </w:pPr>
            <w:r w:rsidRPr="00720A84">
              <w:rPr>
                <w:sz w:val="16"/>
                <w:szCs w:val="16"/>
              </w:rPr>
              <w:t>1976</w:t>
            </w:r>
          </w:p>
        </w:tc>
        <w:tc>
          <w:tcPr>
            <w:tcW w:w="982" w:type="dxa"/>
            <w:tcBorders>
              <w:top w:val="nil"/>
              <w:left w:val="nil"/>
              <w:bottom w:val="nil"/>
              <w:right w:val="nil"/>
            </w:tcBorders>
            <w:shd w:val="clear" w:color="auto" w:fill="auto"/>
            <w:noWrap/>
            <w:vAlign w:val="center"/>
          </w:tcPr>
          <w:p w14:paraId="7CD2AE40" w14:textId="77777777" w:rsidR="00F561D9" w:rsidRPr="00720A84" w:rsidRDefault="00F561D9" w:rsidP="006B40CA">
            <w:pPr>
              <w:jc w:val="right"/>
              <w:rPr>
                <w:sz w:val="16"/>
                <w:szCs w:val="16"/>
              </w:rPr>
            </w:pPr>
            <w:r w:rsidRPr="00720A84">
              <w:rPr>
                <w:sz w:val="16"/>
                <w:szCs w:val="16"/>
              </w:rPr>
              <w:t>1990</w:t>
            </w:r>
          </w:p>
        </w:tc>
        <w:tc>
          <w:tcPr>
            <w:tcW w:w="783" w:type="dxa"/>
            <w:tcBorders>
              <w:top w:val="nil"/>
              <w:left w:val="nil"/>
              <w:bottom w:val="nil"/>
              <w:right w:val="nil"/>
            </w:tcBorders>
            <w:shd w:val="clear" w:color="auto" w:fill="auto"/>
            <w:noWrap/>
            <w:vAlign w:val="center"/>
          </w:tcPr>
          <w:p w14:paraId="3973C044" w14:textId="77777777" w:rsidR="00F561D9" w:rsidRPr="00720A84" w:rsidRDefault="00F561D9" w:rsidP="006B40CA">
            <w:pPr>
              <w:jc w:val="right"/>
              <w:rPr>
                <w:sz w:val="16"/>
                <w:szCs w:val="16"/>
              </w:rPr>
            </w:pPr>
            <w:r w:rsidRPr="00720A84">
              <w:rPr>
                <w:sz w:val="16"/>
                <w:szCs w:val="16"/>
              </w:rPr>
              <w:t>4</w:t>
            </w:r>
          </w:p>
        </w:tc>
        <w:tc>
          <w:tcPr>
            <w:tcW w:w="2091" w:type="dxa"/>
            <w:tcBorders>
              <w:top w:val="nil"/>
              <w:left w:val="nil"/>
              <w:bottom w:val="nil"/>
              <w:right w:val="nil"/>
            </w:tcBorders>
            <w:shd w:val="clear" w:color="auto" w:fill="auto"/>
            <w:noWrap/>
            <w:vAlign w:val="center"/>
          </w:tcPr>
          <w:p w14:paraId="28A3C3A7" w14:textId="77777777" w:rsidR="00F561D9" w:rsidRPr="00720A84" w:rsidRDefault="00F561D9" w:rsidP="006B40CA">
            <w:pPr>
              <w:jc w:val="right"/>
              <w:rPr>
                <w:sz w:val="16"/>
                <w:szCs w:val="16"/>
              </w:rPr>
            </w:pPr>
            <w:r w:rsidRPr="00720A84">
              <w:rPr>
                <w:sz w:val="16"/>
                <w:szCs w:val="16"/>
              </w:rPr>
              <w:t>ME, EU, LA</w:t>
            </w:r>
          </w:p>
        </w:tc>
        <w:tc>
          <w:tcPr>
            <w:tcW w:w="1246" w:type="dxa"/>
            <w:tcBorders>
              <w:top w:val="nil"/>
              <w:left w:val="nil"/>
              <w:bottom w:val="nil"/>
              <w:right w:val="nil"/>
            </w:tcBorders>
            <w:shd w:val="clear" w:color="auto" w:fill="auto"/>
            <w:noWrap/>
            <w:vAlign w:val="center"/>
          </w:tcPr>
          <w:p w14:paraId="2D959411" w14:textId="77777777" w:rsidR="00F561D9" w:rsidRPr="00720A84" w:rsidRDefault="00F561D9" w:rsidP="006B40CA">
            <w:pPr>
              <w:jc w:val="right"/>
              <w:rPr>
                <w:sz w:val="16"/>
                <w:szCs w:val="16"/>
              </w:rPr>
            </w:pPr>
            <w:r w:rsidRPr="00720A84">
              <w:rPr>
                <w:sz w:val="16"/>
                <w:szCs w:val="16"/>
              </w:rPr>
              <w:t>JV, GF</w:t>
            </w:r>
          </w:p>
        </w:tc>
      </w:tr>
      <w:tr w:rsidR="00F561D9" w:rsidRPr="00720A84" w14:paraId="38F1A78C"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CC0F5A9" w14:textId="77777777" w:rsidR="00F561D9" w:rsidRPr="00720A84" w:rsidRDefault="00F561D9" w:rsidP="006B40CA">
            <w:pPr>
              <w:rPr>
                <w:sz w:val="16"/>
                <w:szCs w:val="16"/>
              </w:rPr>
            </w:pPr>
            <w:r w:rsidRPr="00720A84">
              <w:rPr>
                <w:sz w:val="16"/>
                <w:szCs w:val="16"/>
              </w:rPr>
              <w:t>Petrobrás</w:t>
            </w:r>
          </w:p>
        </w:tc>
        <w:tc>
          <w:tcPr>
            <w:tcW w:w="2079" w:type="dxa"/>
            <w:tcBorders>
              <w:top w:val="nil"/>
              <w:left w:val="nil"/>
              <w:bottom w:val="nil"/>
              <w:right w:val="nil"/>
            </w:tcBorders>
            <w:shd w:val="clear" w:color="auto" w:fill="auto"/>
            <w:noWrap/>
            <w:vAlign w:val="center"/>
          </w:tcPr>
          <w:p w14:paraId="719D313A" w14:textId="77777777" w:rsidR="00F561D9" w:rsidRPr="00720A84" w:rsidRDefault="00F561D9" w:rsidP="006B40CA">
            <w:pPr>
              <w:rPr>
                <w:sz w:val="16"/>
                <w:szCs w:val="16"/>
              </w:rPr>
            </w:pPr>
            <w:r w:rsidRPr="00720A84">
              <w:rPr>
                <w:sz w:val="16"/>
                <w:szCs w:val="16"/>
              </w:rPr>
              <w:t>Oil</w:t>
            </w:r>
          </w:p>
        </w:tc>
        <w:tc>
          <w:tcPr>
            <w:tcW w:w="1134" w:type="dxa"/>
            <w:tcBorders>
              <w:top w:val="nil"/>
              <w:left w:val="nil"/>
              <w:bottom w:val="nil"/>
              <w:right w:val="nil"/>
            </w:tcBorders>
            <w:shd w:val="clear" w:color="auto" w:fill="auto"/>
            <w:noWrap/>
            <w:vAlign w:val="center"/>
          </w:tcPr>
          <w:p w14:paraId="3676804C" w14:textId="77777777" w:rsidR="00F561D9" w:rsidRPr="00720A84" w:rsidRDefault="00F561D9" w:rsidP="006B40CA">
            <w:pPr>
              <w:jc w:val="right"/>
              <w:rPr>
                <w:sz w:val="16"/>
                <w:szCs w:val="16"/>
              </w:rPr>
            </w:pPr>
            <w:r w:rsidRPr="00720A84">
              <w:rPr>
                <w:sz w:val="16"/>
                <w:szCs w:val="16"/>
              </w:rPr>
              <w:t>79,120</w:t>
            </w:r>
          </w:p>
        </w:tc>
        <w:tc>
          <w:tcPr>
            <w:tcW w:w="739" w:type="dxa"/>
            <w:tcBorders>
              <w:top w:val="nil"/>
              <w:left w:val="nil"/>
              <w:bottom w:val="nil"/>
              <w:right w:val="nil"/>
            </w:tcBorders>
            <w:shd w:val="clear" w:color="auto" w:fill="auto"/>
            <w:noWrap/>
            <w:vAlign w:val="center"/>
          </w:tcPr>
          <w:p w14:paraId="7B24B1C2"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49C44AA0" w14:textId="77777777" w:rsidR="00F561D9" w:rsidRPr="00720A84" w:rsidRDefault="00F561D9" w:rsidP="006B40CA">
            <w:pPr>
              <w:jc w:val="right"/>
              <w:rPr>
                <w:sz w:val="16"/>
                <w:szCs w:val="16"/>
              </w:rPr>
            </w:pPr>
            <w:r w:rsidRPr="00720A84">
              <w:rPr>
                <w:sz w:val="16"/>
                <w:szCs w:val="16"/>
              </w:rPr>
              <w:t>1972</w:t>
            </w:r>
          </w:p>
        </w:tc>
        <w:tc>
          <w:tcPr>
            <w:tcW w:w="783" w:type="dxa"/>
            <w:tcBorders>
              <w:top w:val="nil"/>
              <w:left w:val="nil"/>
              <w:bottom w:val="nil"/>
              <w:right w:val="nil"/>
            </w:tcBorders>
            <w:shd w:val="clear" w:color="auto" w:fill="auto"/>
            <w:noWrap/>
            <w:vAlign w:val="center"/>
          </w:tcPr>
          <w:p w14:paraId="0A6FAC60" w14:textId="77777777" w:rsidR="00F561D9" w:rsidRPr="00720A84" w:rsidRDefault="00F561D9" w:rsidP="006B40CA">
            <w:pPr>
              <w:jc w:val="right"/>
              <w:rPr>
                <w:sz w:val="16"/>
                <w:szCs w:val="16"/>
              </w:rPr>
            </w:pPr>
            <w:r w:rsidRPr="00720A84">
              <w:rPr>
                <w:sz w:val="16"/>
                <w:szCs w:val="16"/>
              </w:rPr>
              <w:t>100</w:t>
            </w:r>
          </w:p>
        </w:tc>
        <w:tc>
          <w:tcPr>
            <w:tcW w:w="2091" w:type="dxa"/>
            <w:tcBorders>
              <w:top w:val="nil"/>
              <w:left w:val="nil"/>
              <w:bottom w:val="nil"/>
              <w:right w:val="nil"/>
            </w:tcBorders>
            <w:shd w:val="clear" w:color="auto" w:fill="auto"/>
            <w:noWrap/>
            <w:vAlign w:val="center"/>
          </w:tcPr>
          <w:p w14:paraId="7934A6F4" w14:textId="77777777" w:rsidR="00F561D9" w:rsidRPr="00720A84" w:rsidRDefault="00F561D9" w:rsidP="006B40CA">
            <w:pPr>
              <w:jc w:val="right"/>
              <w:rPr>
                <w:sz w:val="16"/>
                <w:szCs w:val="16"/>
              </w:rPr>
            </w:pPr>
            <w:r w:rsidRPr="00720A84">
              <w:rPr>
                <w:sz w:val="16"/>
                <w:szCs w:val="16"/>
              </w:rPr>
              <w:t>LA, Africa, USA</w:t>
            </w:r>
          </w:p>
        </w:tc>
        <w:tc>
          <w:tcPr>
            <w:tcW w:w="1246" w:type="dxa"/>
            <w:tcBorders>
              <w:top w:val="nil"/>
              <w:left w:val="nil"/>
              <w:bottom w:val="nil"/>
              <w:right w:val="nil"/>
            </w:tcBorders>
            <w:shd w:val="clear" w:color="auto" w:fill="auto"/>
            <w:noWrap/>
            <w:vAlign w:val="center"/>
          </w:tcPr>
          <w:p w14:paraId="73F5D4CD" w14:textId="77777777" w:rsidR="00F561D9" w:rsidRPr="00720A84" w:rsidRDefault="00F561D9" w:rsidP="006B40CA">
            <w:pPr>
              <w:jc w:val="right"/>
              <w:rPr>
                <w:sz w:val="16"/>
                <w:szCs w:val="16"/>
              </w:rPr>
            </w:pPr>
            <w:r w:rsidRPr="00720A84">
              <w:rPr>
                <w:sz w:val="16"/>
                <w:szCs w:val="16"/>
              </w:rPr>
              <w:t>Acq</w:t>
            </w:r>
          </w:p>
        </w:tc>
      </w:tr>
      <w:tr w:rsidR="00F561D9" w:rsidRPr="00720A84" w14:paraId="3E9AD508"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29B56F11" w14:textId="77777777" w:rsidR="00F561D9" w:rsidRPr="00720A84" w:rsidRDefault="00F561D9" w:rsidP="006B40CA">
            <w:pPr>
              <w:rPr>
                <w:sz w:val="16"/>
                <w:szCs w:val="16"/>
              </w:rPr>
            </w:pPr>
            <w:r w:rsidRPr="00720A84">
              <w:rPr>
                <w:sz w:val="16"/>
                <w:szCs w:val="16"/>
              </w:rPr>
              <w:t>Random</w:t>
            </w:r>
          </w:p>
        </w:tc>
        <w:tc>
          <w:tcPr>
            <w:tcW w:w="2079" w:type="dxa"/>
            <w:tcBorders>
              <w:top w:val="nil"/>
              <w:left w:val="nil"/>
              <w:bottom w:val="nil"/>
              <w:right w:val="nil"/>
            </w:tcBorders>
            <w:shd w:val="clear" w:color="auto" w:fill="auto"/>
            <w:noWrap/>
            <w:vAlign w:val="center"/>
          </w:tcPr>
          <w:p w14:paraId="3072A469" w14:textId="77777777" w:rsidR="00F561D9" w:rsidRPr="00720A84" w:rsidRDefault="00F561D9" w:rsidP="006B40CA">
            <w:pPr>
              <w:rPr>
                <w:sz w:val="16"/>
                <w:szCs w:val="16"/>
              </w:rPr>
            </w:pPr>
            <w:r w:rsidRPr="00720A84">
              <w:rPr>
                <w:sz w:val="16"/>
                <w:szCs w:val="16"/>
              </w:rPr>
              <w:t>Trucks</w:t>
            </w:r>
          </w:p>
        </w:tc>
        <w:tc>
          <w:tcPr>
            <w:tcW w:w="1134" w:type="dxa"/>
            <w:tcBorders>
              <w:top w:val="nil"/>
              <w:left w:val="nil"/>
              <w:bottom w:val="nil"/>
              <w:right w:val="nil"/>
            </w:tcBorders>
            <w:shd w:val="clear" w:color="auto" w:fill="auto"/>
            <w:noWrap/>
            <w:vAlign w:val="center"/>
          </w:tcPr>
          <w:p w14:paraId="391A23B1" w14:textId="77777777" w:rsidR="00F561D9" w:rsidRPr="00720A84" w:rsidRDefault="00F561D9" w:rsidP="006B40CA">
            <w:pPr>
              <w:jc w:val="right"/>
              <w:rPr>
                <w:sz w:val="16"/>
                <w:szCs w:val="16"/>
              </w:rPr>
            </w:pPr>
            <w:r w:rsidRPr="00720A84">
              <w:rPr>
                <w:sz w:val="16"/>
                <w:szCs w:val="16"/>
              </w:rPr>
              <w:t>1,900</w:t>
            </w:r>
          </w:p>
        </w:tc>
        <w:tc>
          <w:tcPr>
            <w:tcW w:w="739" w:type="dxa"/>
            <w:tcBorders>
              <w:top w:val="nil"/>
              <w:left w:val="nil"/>
              <w:bottom w:val="nil"/>
              <w:right w:val="nil"/>
            </w:tcBorders>
            <w:shd w:val="clear" w:color="auto" w:fill="auto"/>
            <w:noWrap/>
            <w:vAlign w:val="center"/>
          </w:tcPr>
          <w:p w14:paraId="3AD80515" w14:textId="77777777" w:rsidR="00F561D9" w:rsidRPr="00720A84" w:rsidRDefault="00F561D9" w:rsidP="006B40CA">
            <w:pPr>
              <w:jc w:val="right"/>
              <w:rPr>
                <w:sz w:val="16"/>
                <w:szCs w:val="16"/>
              </w:rPr>
            </w:pPr>
            <w:r w:rsidRPr="00720A84">
              <w:rPr>
                <w:sz w:val="16"/>
                <w:szCs w:val="16"/>
              </w:rPr>
              <w:t>1973</w:t>
            </w:r>
          </w:p>
        </w:tc>
        <w:tc>
          <w:tcPr>
            <w:tcW w:w="982" w:type="dxa"/>
            <w:tcBorders>
              <w:top w:val="nil"/>
              <w:left w:val="nil"/>
              <w:bottom w:val="nil"/>
              <w:right w:val="nil"/>
            </w:tcBorders>
            <w:shd w:val="clear" w:color="auto" w:fill="auto"/>
            <w:noWrap/>
            <w:vAlign w:val="center"/>
          </w:tcPr>
          <w:p w14:paraId="0C47D0EC" w14:textId="77777777" w:rsidR="00F561D9" w:rsidRPr="00720A84" w:rsidRDefault="00F561D9" w:rsidP="006B40CA">
            <w:pPr>
              <w:jc w:val="right"/>
              <w:rPr>
                <w:sz w:val="16"/>
                <w:szCs w:val="16"/>
              </w:rPr>
            </w:pPr>
            <w:r w:rsidRPr="00720A84">
              <w:rPr>
                <w:sz w:val="16"/>
                <w:szCs w:val="16"/>
              </w:rPr>
              <w:t>1994</w:t>
            </w:r>
          </w:p>
        </w:tc>
        <w:tc>
          <w:tcPr>
            <w:tcW w:w="783" w:type="dxa"/>
            <w:tcBorders>
              <w:top w:val="nil"/>
              <w:left w:val="nil"/>
              <w:bottom w:val="nil"/>
              <w:right w:val="nil"/>
            </w:tcBorders>
            <w:shd w:val="clear" w:color="auto" w:fill="auto"/>
            <w:noWrap/>
            <w:vAlign w:val="center"/>
          </w:tcPr>
          <w:p w14:paraId="3A269C7E" w14:textId="77777777" w:rsidR="00F561D9" w:rsidRPr="00720A84" w:rsidRDefault="00F561D9" w:rsidP="006B40CA">
            <w:pPr>
              <w:jc w:val="right"/>
              <w:rPr>
                <w:sz w:val="16"/>
                <w:szCs w:val="16"/>
              </w:rPr>
            </w:pPr>
            <w:r w:rsidRPr="00720A84">
              <w:rPr>
                <w:sz w:val="16"/>
                <w:szCs w:val="16"/>
              </w:rPr>
              <w:t>7</w:t>
            </w:r>
          </w:p>
        </w:tc>
        <w:tc>
          <w:tcPr>
            <w:tcW w:w="2091" w:type="dxa"/>
            <w:tcBorders>
              <w:top w:val="nil"/>
              <w:left w:val="nil"/>
              <w:bottom w:val="nil"/>
              <w:right w:val="nil"/>
            </w:tcBorders>
            <w:shd w:val="clear" w:color="auto" w:fill="auto"/>
            <w:noWrap/>
            <w:vAlign w:val="center"/>
          </w:tcPr>
          <w:p w14:paraId="764E4E6F"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3523EF29" w14:textId="77777777" w:rsidR="00F561D9" w:rsidRPr="00720A84" w:rsidRDefault="00F561D9" w:rsidP="006B40CA">
            <w:pPr>
              <w:jc w:val="right"/>
              <w:rPr>
                <w:sz w:val="16"/>
                <w:szCs w:val="16"/>
              </w:rPr>
            </w:pPr>
            <w:r w:rsidRPr="00720A84">
              <w:rPr>
                <w:sz w:val="16"/>
                <w:szCs w:val="16"/>
              </w:rPr>
              <w:t>GF</w:t>
            </w:r>
          </w:p>
        </w:tc>
      </w:tr>
      <w:tr w:rsidR="00F561D9" w:rsidRPr="00720A84" w14:paraId="02198DE5"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4EB6547" w14:textId="77777777" w:rsidR="00F561D9" w:rsidRPr="00720A84" w:rsidRDefault="00F561D9" w:rsidP="006B40CA">
            <w:pPr>
              <w:rPr>
                <w:sz w:val="16"/>
                <w:szCs w:val="16"/>
              </w:rPr>
            </w:pPr>
            <w:r w:rsidRPr="00720A84">
              <w:rPr>
                <w:sz w:val="16"/>
                <w:szCs w:val="16"/>
              </w:rPr>
              <w:t>Sabó</w:t>
            </w:r>
          </w:p>
        </w:tc>
        <w:tc>
          <w:tcPr>
            <w:tcW w:w="2079" w:type="dxa"/>
            <w:tcBorders>
              <w:top w:val="nil"/>
              <w:left w:val="nil"/>
              <w:bottom w:val="nil"/>
              <w:right w:val="nil"/>
            </w:tcBorders>
            <w:shd w:val="clear" w:color="auto" w:fill="auto"/>
            <w:noWrap/>
            <w:vAlign w:val="center"/>
          </w:tcPr>
          <w:p w14:paraId="659938AC" w14:textId="77777777" w:rsidR="00F561D9" w:rsidRPr="00720A84" w:rsidRDefault="00F561D9" w:rsidP="006B40CA">
            <w:pPr>
              <w:rPr>
                <w:sz w:val="16"/>
                <w:szCs w:val="16"/>
              </w:rPr>
            </w:pPr>
            <w:r w:rsidRPr="00720A84">
              <w:rPr>
                <w:sz w:val="16"/>
                <w:szCs w:val="16"/>
              </w:rPr>
              <w:t>Auto parts</w:t>
            </w:r>
          </w:p>
        </w:tc>
        <w:tc>
          <w:tcPr>
            <w:tcW w:w="1134" w:type="dxa"/>
            <w:tcBorders>
              <w:top w:val="nil"/>
              <w:left w:val="nil"/>
              <w:bottom w:val="nil"/>
              <w:right w:val="nil"/>
            </w:tcBorders>
            <w:shd w:val="clear" w:color="auto" w:fill="auto"/>
            <w:noWrap/>
            <w:vAlign w:val="center"/>
          </w:tcPr>
          <w:p w14:paraId="421FFD32" w14:textId="77777777" w:rsidR="00F561D9" w:rsidRPr="00720A84" w:rsidRDefault="00F561D9" w:rsidP="006B40CA">
            <w:pPr>
              <w:jc w:val="right"/>
              <w:rPr>
                <w:sz w:val="16"/>
                <w:szCs w:val="16"/>
              </w:rPr>
            </w:pPr>
            <w:r w:rsidRPr="00720A84">
              <w:rPr>
                <w:sz w:val="16"/>
                <w:szCs w:val="16"/>
              </w:rPr>
              <w:t>170</w:t>
            </w:r>
          </w:p>
        </w:tc>
        <w:tc>
          <w:tcPr>
            <w:tcW w:w="739" w:type="dxa"/>
            <w:tcBorders>
              <w:top w:val="nil"/>
              <w:left w:val="nil"/>
              <w:bottom w:val="nil"/>
              <w:right w:val="nil"/>
            </w:tcBorders>
            <w:shd w:val="clear" w:color="auto" w:fill="auto"/>
            <w:noWrap/>
            <w:vAlign w:val="center"/>
          </w:tcPr>
          <w:p w14:paraId="6041316B" w14:textId="77777777" w:rsidR="00F561D9" w:rsidRPr="00720A84" w:rsidRDefault="00F561D9" w:rsidP="006B40CA">
            <w:pPr>
              <w:jc w:val="right"/>
              <w:rPr>
                <w:sz w:val="16"/>
                <w:szCs w:val="16"/>
              </w:rPr>
            </w:pPr>
            <w:r w:rsidRPr="00720A84">
              <w:rPr>
                <w:sz w:val="16"/>
                <w:szCs w:val="16"/>
              </w:rPr>
              <w:t>1975</w:t>
            </w:r>
          </w:p>
        </w:tc>
        <w:tc>
          <w:tcPr>
            <w:tcW w:w="982" w:type="dxa"/>
            <w:tcBorders>
              <w:top w:val="nil"/>
              <w:left w:val="nil"/>
              <w:bottom w:val="nil"/>
              <w:right w:val="nil"/>
            </w:tcBorders>
            <w:shd w:val="clear" w:color="auto" w:fill="auto"/>
            <w:noWrap/>
            <w:vAlign w:val="center"/>
          </w:tcPr>
          <w:p w14:paraId="4011AFEF" w14:textId="77777777" w:rsidR="00F561D9" w:rsidRPr="00720A84" w:rsidRDefault="00F561D9" w:rsidP="006B40CA">
            <w:pPr>
              <w:jc w:val="right"/>
              <w:rPr>
                <w:sz w:val="16"/>
                <w:szCs w:val="16"/>
              </w:rPr>
            </w:pPr>
            <w:r w:rsidRPr="00720A84">
              <w:rPr>
                <w:sz w:val="16"/>
                <w:szCs w:val="16"/>
              </w:rPr>
              <w:t>1992</w:t>
            </w:r>
          </w:p>
        </w:tc>
        <w:tc>
          <w:tcPr>
            <w:tcW w:w="783" w:type="dxa"/>
            <w:tcBorders>
              <w:top w:val="nil"/>
              <w:left w:val="nil"/>
              <w:bottom w:val="nil"/>
              <w:right w:val="nil"/>
            </w:tcBorders>
            <w:shd w:val="clear" w:color="auto" w:fill="auto"/>
            <w:noWrap/>
            <w:vAlign w:val="center"/>
          </w:tcPr>
          <w:p w14:paraId="01974A68" w14:textId="77777777" w:rsidR="00F561D9" w:rsidRPr="00720A84" w:rsidRDefault="00F561D9" w:rsidP="006B40CA">
            <w:pPr>
              <w:jc w:val="right"/>
              <w:rPr>
                <w:sz w:val="16"/>
                <w:szCs w:val="16"/>
              </w:rPr>
            </w:pPr>
            <w:r w:rsidRPr="00720A84">
              <w:rPr>
                <w:sz w:val="16"/>
                <w:szCs w:val="16"/>
              </w:rPr>
              <w:t>9</w:t>
            </w:r>
          </w:p>
        </w:tc>
        <w:tc>
          <w:tcPr>
            <w:tcW w:w="2091" w:type="dxa"/>
            <w:tcBorders>
              <w:top w:val="nil"/>
              <w:left w:val="nil"/>
              <w:bottom w:val="nil"/>
              <w:right w:val="nil"/>
            </w:tcBorders>
            <w:shd w:val="clear" w:color="auto" w:fill="auto"/>
            <w:noWrap/>
            <w:vAlign w:val="center"/>
          </w:tcPr>
          <w:p w14:paraId="240E1E72" w14:textId="77777777" w:rsidR="00F561D9" w:rsidRPr="00720A84" w:rsidRDefault="00F561D9" w:rsidP="006B40CA">
            <w:pPr>
              <w:jc w:val="right"/>
              <w:rPr>
                <w:sz w:val="16"/>
                <w:szCs w:val="16"/>
              </w:rPr>
            </w:pPr>
            <w:r w:rsidRPr="00720A84">
              <w:rPr>
                <w:sz w:val="16"/>
                <w:szCs w:val="16"/>
              </w:rPr>
              <w:t>LA, EU, USA</w:t>
            </w:r>
          </w:p>
        </w:tc>
        <w:tc>
          <w:tcPr>
            <w:tcW w:w="1246" w:type="dxa"/>
            <w:tcBorders>
              <w:top w:val="nil"/>
              <w:left w:val="nil"/>
              <w:bottom w:val="nil"/>
              <w:right w:val="nil"/>
            </w:tcBorders>
            <w:shd w:val="clear" w:color="auto" w:fill="auto"/>
            <w:noWrap/>
            <w:vAlign w:val="center"/>
          </w:tcPr>
          <w:p w14:paraId="4CB2CAC4" w14:textId="77777777" w:rsidR="00F561D9" w:rsidRPr="00720A84" w:rsidRDefault="00F561D9" w:rsidP="006B40CA">
            <w:pPr>
              <w:jc w:val="right"/>
              <w:rPr>
                <w:sz w:val="16"/>
                <w:szCs w:val="16"/>
              </w:rPr>
            </w:pPr>
            <w:r w:rsidRPr="00720A84">
              <w:rPr>
                <w:sz w:val="16"/>
                <w:szCs w:val="16"/>
              </w:rPr>
              <w:t>Acq, GF</w:t>
            </w:r>
          </w:p>
        </w:tc>
      </w:tr>
      <w:tr w:rsidR="00F561D9" w:rsidRPr="00720A84" w14:paraId="05EEC002"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29654D54" w14:textId="77777777" w:rsidR="00F561D9" w:rsidRPr="00720A84" w:rsidRDefault="00F561D9" w:rsidP="006B40CA">
            <w:pPr>
              <w:rPr>
                <w:sz w:val="16"/>
                <w:szCs w:val="16"/>
              </w:rPr>
            </w:pPr>
            <w:r w:rsidRPr="00720A84">
              <w:rPr>
                <w:sz w:val="16"/>
                <w:szCs w:val="16"/>
              </w:rPr>
              <w:t>Sadia</w:t>
            </w:r>
          </w:p>
        </w:tc>
        <w:tc>
          <w:tcPr>
            <w:tcW w:w="2079" w:type="dxa"/>
            <w:tcBorders>
              <w:top w:val="nil"/>
              <w:left w:val="nil"/>
              <w:bottom w:val="nil"/>
              <w:right w:val="nil"/>
            </w:tcBorders>
            <w:shd w:val="clear" w:color="auto" w:fill="auto"/>
            <w:noWrap/>
            <w:vAlign w:val="center"/>
          </w:tcPr>
          <w:p w14:paraId="2E545FC4" w14:textId="77777777" w:rsidR="00F561D9" w:rsidRPr="00720A84" w:rsidRDefault="00F561D9" w:rsidP="006B40CA">
            <w:pPr>
              <w:rPr>
                <w:sz w:val="16"/>
                <w:szCs w:val="16"/>
              </w:rPr>
            </w:pPr>
            <w:r w:rsidRPr="00720A84">
              <w:rPr>
                <w:sz w:val="16"/>
                <w:szCs w:val="16"/>
              </w:rPr>
              <w:t>Food</w:t>
            </w:r>
          </w:p>
        </w:tc>
        <w:tc>
          <w:tcPr>
            <w:tcW w:w="1134" w:type="dxa"/>
            <w:tcBorders>
              <w:top w:val="nil"/>
              <w:left w:val="nil"/>
              <w:bottom w:val="nil"/>
              <w:right w:val="nil"/>
            </w:tcBorders>
            <w:shd w:val="clear" w:color="auto" w:fill="auto"/>
            <w:noWrap/>
            <w:vAlign w:val="center"/>
          </w:tcPr>
          <w:p w14:paraId="75EAC149" w14:textId="77777777" w:rsidR="00F561D9" w:rsidRPr="00720A84" w:rsidRDefault="00F561D9" w:rsidP="006B40CA">
            <w:pPr>
              <w:jc w:val="right"/>
              <w:rPr>
                <w:sz w:val="16"/>
                <w:szCs w:val="16"/>
              </w:rPr>
            </w:pPr>
            <w:r w:rsidRPr="00720A84">
              <w:rPr>
                <w:sz w:val="16"/>
                <w:szCs w:val="16"/>
              </w:rPr>
              <w:t>4,100</w:t>
            </w:r>
          </w:p>
        </w:tc>
        <w:tc>
          <w:tcPr>
            <w:tcW w:w="739" w:type="dxa"/>
            <w:tcBorders>
              <w:top w:val="nil"/>
              <w:left w:val="nil"/>
              <w:bottom w:val="nil"/>
              <w:right w:val="nil"/>
            </w:tcBorders>
            <w:shd w:val="clear" w:color="auto" w:fill="auto"/>
            <w:noWrap/>
            <w:vAlign w:val="center"/>
          </w:tcPr>
          <w:p w14:paraId="4A05FA9D" w14:textId="77777777" w:rsidR="00F561D9" w:rsidRPr="00720A84" w:rsidRDefault="00F561D9" w:rsidP="006B40CA">
            <w:pPr>
              <w:jc w:val="right"/>
              <w:rPr>
                <w:sz w:val="16"/>
                <w:szCs w:val="16"/>
              </w:rPr>
            </w:pPr>
            <w:r w:rsidRPr="00720A84">
              <w:rPr>
                <w:sz w:val="16"/>
                <w:szCs w:val="16"/>
              </w:rPr>
              <w:t>1967</w:t>
            </w:r>
          </w:p>
        </w:tc>
        <w:tc>
          <w:tcPr>
            <w:tcW w:w="982" w:type="dxa"/>
            <w:tcBorders>
              <w:top w:val="nil"/>
              <w:left w:val="nil"/>
              <w:bottom w:val="nil"/>
              <w:right w:val="nil"/>
            </w:tcBorders>
            <w:shd w:val="clear" w:color="auto" w:fill="auto"/>
            <w:noWrap/>
            <w:vAlign w:val="center"/>
          </w:tcPr>
          <w:p w14:paraId="626C44DB" w14:textId="77777777" w:rsidR="00F561D9" w:rsidRPr="00720A84" w:rsidRDefault="00F561D9" w:rsidP="006B40CA">
            <w:pPr>
              <w:jc w:val="right"/>
              <w:rPr>
                <w:sz w:val="16"/>
                <w:szCs w:val="16"/>
              </w:rPr>
            </w:pPr>
            <w:r w:rsidRPr="00720A84">
              <w:rPr>
                <w:sz w:val="16"/>
                <w:szCs w:val="16"/>
              </w:rPr>
              <w:t>1991</w:t>
            </w:r>
          </w:p>
        </w:tc>
        <w:tc>
          <w:tcPr>
            <w:tcW w:w="783" w:type="dxa"/>
            <w:tcBorders>
              <w:top w:val="nil"/>
              <w:left w:val="nil"/>
              <w:bottom w:val="nil"/>
              <w:right w:val="nil"/>
            </w:tcBorders>
            <w:shd w:val="clear" w:color="auto" w:fill="auto"/>
            <w:noWrap/>
            <w:vAlign w:val="center"/>
          </w:tcPr>
          <w:p w14:paraId="6E9A6E02" w14:textId="77777777" w:rsidR="00F561D9" w:rsidRPr="00720A84" w:rsidRDefault="00F561D9" w:rsidP="006B40CA">
            <w:pPr>
              <w:jc w:val="right"/>
              <w:rPr>
                <w:sz w:val="16"/>
                <w:szCs w:val="16"/>
              </w:rPr>
            </w:pPr>
            <w:r w:rsidRPr="00720A84">
              <w:rPr>
                <w:sz w:val="16"/>
                <w:szCs w:val="16"/>
              </w:rPr>
              <w:t>10</w:t>
            </w:r>
          </w:p>
        </w:tc>
        <w:tc>
          <w:tcPr>
            <w:tcW w:w="2091" w:type="dxa"/>
            <w:tcBorders>
              <w:top w:val="nil"/>
              <w:left w:val="nil"/>
              <w:bottom w:val="nil"/>
              <w:right w:val="nil"/>
            </w:tcBorders>
            <w:shd w:val="clear" w:color="auto" w:fill="auto"/>
            <w:noWrap/>
            <w:vAlign w:val="center"/>
          </w:tcPr>
          <w:p w14:paraId="357B2482" w14:textId="77777777" w:rsidR="00F561D9" w:rsidRPr="00720A84" w:rsidRDefault="00F561D9" w:rsidP="006B40CA">
            <w:pPr>
              <w:jc w:val="right"/>
              <w:rPr>
                <w:sz w:val="16"/>
                <w:szCs w:val="16"/>
              </w:rPr>
            </w:pPr>
            <w:r w:rsidRPr="00720A84">
              <w:rPr>
                <w:sz w:val="16"/>
                <w:szCs w:val="16"/>
              </w:rPr>
              <w:t>EU, LA, ME, Japan</w:t>
            </w:r>
          </w:p>
        </w:tc>
        <w:tc>
          <w:tcPr>
            <w:tcW w:w="1246" w:type="dxa"/>
            <w:tcBorders>
              <w:top w:val="nil"/>
              <w:left w:val="nil"/>
              <w:bottom w:val="nil"/>
              <w:right w:val="nil"/>
            </w:tcBorders>
            <w:shd w:val="clear" w:color="auto" w:fill="auto"/>
            <w:noWrap/>
            <w:vAlign w:val="center"/>
          </w:tcPr>
          <w:p w14:paraId="50346AB7" w14:textId="77777777" w:rsidR="00F561D9" w:rsidRPr="00720A84" w:rsidRDefault="00F561D9" w:rsidP="006B40CA">
            <w:pPr>
              <w:jc w:val="right"/>
              <w:rPr>
                <w:sz w:val="16"/>
                <w:szCs w:val="16"/>
              </w:rPr>
            </w:pPr>
            <w:r w:rsidRPr="00720A84">
              <w:rPr>
                <w:sz w:val="16"/>
                <w:szCs w:val="16"/>
              </w:rPr>
              <w:t>JV, Acq</w:t>
            </w:r>
          </w:p>
        </w:tc>
      </w:tr>
      <w:tr w:rsidR="00F561D9" w:rsidRPr="00720A84" w14:paraId="695F2BF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348B1D1" w14:textId="77777777" w:rsidR="00F561D9" w:rsidRPr="00720A84" w:rsidRDefault="00F561D9" w:rsidP="006B40CA">
            <w:pPr>
              <w:rPr>
                <w:sz w:val="16"/>
                <w:szCs w:val="16"/>
              </w:rPr>
            </w:pPr>
            <w:r w:rsidRPr="00720A84">
              <w:rPr>
                <w:sz w:val="16"/>
                <w:szCs w:val="16"/>
              </w:rPr>
              <w:t>Santista</w:t>
            </w:r>
          </w:p>
        </w:tc>
        <w:tc>
          <w:tcPr>
            <w:tcW w:w="2079" w:type="dxa"/>
            <w:tcBorders>
              <w:top w:val="nil"/>
              <w:left w:val="nil"/>
              <w:bottom w:val="nil"/>
              <w:right w:val="nil"/>
            </w:tcBorders>
            <w:shd w:val="clear" w:color="auto" w:fill="auto"/>
            <w:noWrap/>
            <w:vAlign w:val="center"/>
          </w:tcPr>
          <w:p w14:paraId="06DA7566" w14:textId="77777777" w:rsidR="00F561D9" w:rsidRPr="00720A84" w:rsidRDefault="00F561D9" w:rsidP="006B40CA">
            <w:pPr>
              <w:rPr>
                <w:sz w:val="16"/>
                <w:szCs w:val="16"/>
              </w:rPr>
            </w:pPr>
            <w:r w:rsidRPr="00720A84">
              <w:rPr>
                <w:sz w:val="16"/>
                <w:szCs w:val="16"/>
              </w:rPr>
              <w:t>Textile</w:t>
            </w:r>
          </w:p>
        </w:tc>
        <w:tc>
          <w:tcPr>
            <w:tcW w:w="1134" w:type="dxa"/>
            <w:tcBorders>
              <w:top w:val="nil"/>
              <w:left w:val="nil"/>
              <w:bottom w:val="nil"/>
              <w:right w:val="nil"/>
            </w:tcBorders>
            <w:shd w:val="clear" w:color="auto" w:fill="auto"/>
            <w:noWrap/>
            <w:vAlign w:val="center"/>
          </w:tcPr>
          <w:p w14:paraId="05D66EB3" w14:textId="77777777" w:rsidR="00F561D9" w:rsidRPr="00720A84" w:rsidRDefault="00F561D9" w:rsidP="006B40CA">
            <w:pPr>
              <w:jc w:val="right"/>
              <w:rPr>
                <w:sz w:val="16"/>
                <w:szCs w:val="16"/>
              </w:rPr>
            </w:pPr>
            <w:r w:rsidRPr="00720A84">
              <w:rPr>
                <w:sz w:val="16"/>
                <w:szCs w:val="16"/>
              </w:rPr>
              <w:t>365</w:t>
            </w:r>
          </w:p>
        </w:tc>
        <w:tc>
          <w:tcPr>
            <w:tcW w:w="739" w:type="dxa"/>
            <w:tcBorders>
              <w:top w:val="nil"/>
              <w:left w:val="nil"/>
              <w:bottom w:val="nil"/>
              <w:right w:val="nil"/>
            </w:tcBorders>
            <w:shd w:val="clear" w:color="auto" w:fill="auto"/>
            <w:noWrap/>
            <w:vAlign w:val="center"/>
          </w:tcPr>
          <w:p w14:paraId="0E6175B0" w14:textId="77777777" w:rsidR="00F561D9" w:rsidRPr="00720A84" w:rsidRDefault="00F561D9" w:rsidP="006B40CA">
            <w:pPr>
              <w:jc w:val="right"/>
              <w:rPr>
                <w:sz w:val="16"/>
                <w:szCs w:val="16"/>
              </w:rPr>
            </w:pPr>
            <w:r w:rsidRPr="00720A84">
              <w:rPr>
                <w:sz w:val="16"/>
                <w:szCs w:val="16"/>
              </w:rPr>
              <w:t>1994</w:t>
            </w:r>
          </w:p>
        </w:tc>
        <w:tc>
          <w:tcPr>
            <w:tcW w:w="982" w:type="dxa"/>
            <w:tcBorders>
              <w:top w:val="nil"/>
              <w:left w:val="nil"/>
              <w:bottom w:val="nil"/>
              <w:right w:val="nil"/>
            </w:tcBorders>
            <w:shd w:val="clear" w:color="auto" w:fill="auto"/>
            <w:noWrap/>
            <w:vAlign w:val="center"/>
          </w:tcPr>
          <w:p w14:paraId="4BEC9E4E" w14:textId="77777777" w:rsidR="00F561D9" w:rsidRPr="00720A84" w:rsidRDefault="00F561D9" w:rsidP="006B40CA">
            <w:pPr>
              <w:jc w:val="right"/>
              <w:rPr>
                <w:sz w:val="16"/>
                <w:szCs w:val="16"/>
              </w:rPr>
            </w:pPr>
            <w:r w:rsidRPr="00720A84">
              <w:rPr>
                <w:sz w:val="16"/>
                <w:szCs w:val="16"/>
              </w:rPr>
              <w:t>1995</w:t>
            </w:r>
          </w:p>
        </w:tc>
        <w:tc>
          <w:tcPr>
            <w:tcW w:w="783" w:type="dxa"/>
            <w:tcBorders>
              <w:top w:val="nil"/>
              <w:left w:val="nil"/>
              <w:bottom w:val="nil"/>
              <w:right w:val="nil"/>
            </w:tcBorders>
            <w:shd w:val="clear" w:color="auto" w:fill="auto"/>
            <w:noWrap/>
            <w:vAlign w:val="center"/>
          </w:tcPr>
          <w:p w14:paraId="4F81E71C" w14:textId="77777777" w:rsidR="00F561D9" w:rsidRPr="00720A84" w:rsidRDefault="00F561D9" w:rsidP="006B40CA">
            <w:pPr>
              <w:jc w:val="right"/>
              <w:rPr>
                <w:sz w:val="16"/>
                <w:szCs w:val="16"/>
              </w:rPr>
            </w:pPr>
            <w:r w:rsidRPr="00720A84">
              <w:rPr>
                <w:sz w:val="16"/>
                <w:szCs w:val="16"/>
              </w:rPr>
              <w:t>8</w:t>
            </w:r>
          </w:p>
        </w:tc>
        <w:tc>
          <w:tcPr>
            <w:tcW w:w="2091" w:type="dxa"/>
            <w:tcBorders>
              <w:top w:val="nil"/>
              <w:left w:val="nil"/>
              <w:bottom w:val="nil"/>
              <w:right w:val="nil"/>
            </w:tcBorders>
            <w:shd w:val="clear" w:color="auto" w:fill="auto"/>
            <w:noWrap/>
            <w:vAlign w:val="center"/>
          </w:tcPr>
          <w:p w14:paraId="458BEFAB" w14:textId="77777777" w:rsidR="00F561D9" w:rsidRPr="00720A84" w:rsidRDefault="00F561D9" w:rsidP="006B40CA">
            <w:pPr>
              <w:jc w:val="right"/>
              <w:rPr>
                <w:sz w:val="16"/>
                <w:szCs w:val="16"/>
              </w:rPr>
            </w:pPr>
            <w:r w:rsidRPr="00720A84">
              <w:rPr>
                <w:sz w:val="16"/>
                <w:szCs w:val="16"/>
              </w:rPr>
              <w:t>LA, EU</w:t>
            </w:r>
          </w:p>
        </w:tc>
        <w:tc>
          <w:tcPr>
            <w:tcW w:w="1246" w:type="dxa"/>
            <w:tcBorders>
              <w:top w:val="nil"/>
              <w:left w:val="nil"/>
              <w:bottom w:val="nil"/>
              <w:right w:val="nil"/>
            </w:tcBorders>
            <w:shd w:val="clear" w:color="auto" w:fill="auto"/>
            <w:noWrap/>
            <w:vAlign w:val="center"/>
          </w:tcPr>
          <w:p w14:paraId="24764C70" w14:textId="77777777" w:rsidR="00F561D9" w:rsidRPr="00720A84" w:rsidRDefault="00F561D9" w:rsidP="006B40CA">
            <w:pPr>
              <w:jc w:val="right"/>
              <w:rPr>
                <w:sz w:val="16"/>
                <w:szCs w:val="16"/>
              </w:rPr>
            </w:pPr>
            <w:r w:rsidRPr="00720A84">
              <w:rPr>
                <w:sz w:val="16"/>
                <w:szCs w:val="16"/>
              </w:rPr>
              <w:t>Acq, JV</w:t>
            </w:r>
          </w:p>
        </w:tc>
      </w:tr>
      <w:tr w:rsidR="00F561D9" w:rsidRPr="00720A84" w14:paraId="75C5B993"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0325B2CB" w14:textId="77777777" w:rsidR="00F561D9" w:rsidRPr="00720A84" w:rsidRDefault="00F561D9" w:rsidP="006B40CA">
            <w:pPr>
              <w:rPr>
                <w:sz w:val="16"/>
                <w:szCs w:val="16"/>
              </w:rPr>
            </w:pPr>
            <w:r w:rsidRPr="00720A84">
              <w:rPr>
                <w:sz w:val="16"/>
                <w:szCs w:val="16"/>
              </w:rPr>
              <w:t>Smar</w:t>
            </w:r>
          </w:p>
        </w:tc>
        <w:tc>
          <w:tcPr>
            <w:tcW w:w="2079" w:type="dxa"/>
            <w:tcBorders>
              <w:top w:val="nil"/>
              <w:left w:val="nil"/>
              <w:bottom w:val="nil"/>
              <w:right w:val="nil"/>
            </w:tcBorders>
            <w:shd w:val="clear" w:color="auto" w:fill="auto"/>
            <w:noWrap/>
            <w:vAlign w:val="center"/>
          </w:tcPr>
          <w:p w14:paraId="5848BAFC" w14:textId="77777777" w:rsidR="00F561D9" w:rsidRPr="00720A84" w:rsidRDefault="00F561D9" w:rsidP="006B40CA">
            <w:pPr>
              <w:rPr>
                <w:sz w:val="16"/>
                <w:szCs w:val="16"/>
              </w:rPr>
            </w:pPr>
            <w:r w:rsidRPr="00720A84">
              <w:rPr>
                <w:sz w:val="16"/>
                <w:szCs w:val="16"/>
              </w:rPr>
              <w:t>Industries solutions</w:t>
            </w:r>
          </w:p>
        </w:tc>
        <w:tc>
          <w:tcPr>
            <w:tcW w:w="1134" w:type="dxa"/>
            <w:tcBorders>
              <w:top w:val="nil"/>
              <w:left w:val="nil"/>
              <w:bottom w:val="nil"/>
              <w:right w:val="nil"/>
            </w:tcBorders>
            <w:shd w:val="clear" w:color="auto" w:fill="auto"/>
            <w:noWrap/>
            <w:vAlign w:val="center"/>
          </w:tcPr>
          <w:p w14:paraId="793A39F3" w14:textId="77777777" w:rsidR="00F561D9" w:rsidRPr="00720A84" w:rsidRDefault="00F561D9" w:rsidP="006B40CA">
            <w:pPr>
              <w:jc w:val="right"/>
              <w:rPr>
                <w:sz w:val="16"/>
                <w:szCs w:val="16"/>
              </w:rPr>
            </w:pPr>
            <w:r w:rsidRPr="00720A84">
              <w:rPr>
                <w:sz w:val="16"/>
                <w:szCs w:val="16"/>
              </w:rPr>
              <w:t>80</w:t>
            </w:r>
          </w:p>
        </w:tc>
        <w:tc>
          <w:tcPr>
            <w:tcW w:w="739" w:type="dxa"/>
            <w:tcBorders>
              <w:top w:val="nil"/>
              <w:left w:val="nil"/>
              <w:bottom w:val="nil"/>
              <w:right w:val="nil"/>
            </w:tcBorders>
            <w:shd w:val="clear" w:color="auto" w:fill="auto"/>
            <w:noWrap/>
            <w:vAlign w:val="center"/>
          </w:tcPr>
          <w:p w14:paraId="49CE1F68" w14:textId="77777777" w:rsidR="00F561D9" w:rsidRPr="00720A84" w:rsidRDefault="00F561D9" w:rsidP="006B40CA">
            <w:pPr>
              <w:jc w:val="right"/>
              <w:rPr>
                <w:sz w:val="16"/>
                <w:szCs w:val="16"/>
              </w:rPr>
            </w:pPr>
            <w:r w:rsidRPr="00720A84">
              <w:rPr>
                <w:sz w:val="16"/>
                <w:szCs w:val="16"/>
              </w:rPr>
              <w:t>1989</w:t>
            </w:r>
          </w:p>
        </w:tc>
        <w:tc>
          <w:tcPr>
            <w:tcW w:w="982" w:type="dxa"/>
            <w:tcBorders>
              <w:top w:val="nil"/>
              <w:left w:val="nil"/>
              <w:bottom w:val="nil"/>
              <w:right w:val="nil"/>
            </w:tcBorders>
            <w:shd w:val="clear" w:color="auto" w:fill="auto"/>
            <w:noWrap/>
            <w:vAlign w:val="center"/>
          </w:tcPr>
          <w:p w14:paraId="0397A3A3" w14:textId="77777777" w:rsidR="00F561D9" w:rsidRPr="00720A84" w:rsidRDefault="00F561D9" w:rsidP="006B40CA">
            <w:pPr>
              <w:jc w:val="right"/>
              <w:rPr>
                <w:sz w:val="16"/>
                <w:szCs w:val="16"/>
              </w:rPr>
            </w:pPr>
            <w:r w:rsidRPr="00720A84">
              <w:rPr>
                <w:sz w:val="16"/>
                <w:szCs w:val="16"/>
              </w:rPr>
              <w:t>1988</w:t>
            </w:r>
          </w:p>
        </w:tc>
        <w:tc>
          <w:tcPr>
            <w:tcW w:w="783" w:type="dxa"/>
            <w:tcBorders>
              <w:top w:val="nil"/>
              <w:left w:val="nil"/>
              <w:bottom w:val="nil"/>
              <w:right w:val="nil"/>
            </w:tcBorders>
            <w:shd w:val="clear" w:color="auto" w:fill="auto"/>
            <w:noWrap/>
            <w:vAlign w:val="center"/>
          </w:tcPr>
          <w:p w14:paraId="6B6D694C" w14:textId="77777777" w:rsidR="00F561D9" w:rsidRPr="00720A84" w:rsidRDefault="00F561D9" w:rsidP="006B40CA">
            <w:pPr>
              <w:jc w:val="right"/>
              <w:rPr>
                <w:sz w:val="16"/>
                <w:szCs w:val="16"/>
              </w:rPr>
            </w:pPr>
            <w:r w:rsidRPr="00720A84">
              <w:rPr>
                <w:sz w:val="16"/>
                <w:szCs w:val="16"/>
              </w:rPr>
              <w:t>7</w:t>
            </w:r>
          </w:p>
        </w:tc>
        <w:tc>
          <w:tcPr>
            <w:tcW w:w="2091" w:type="dxa"/>
            <w:tcBorders>
              <w:top w:val="nil"/>
              <w:left w:val="nil"/>
              <w:bottom w:val="nil"/>
              <w:right w:val="nil"/>
            </w:tcBorders>
            <w:shd w:val="clear" w:color="auto" w:fill="auto"/>
            <w:noWrap/>
            <w:vAlign w:val="center"/>
          </w:tcPr>
          <w:p w14:paraId="5F6D7494" w14:textId="77777777" w:rsidR="00F561D9" w:rsidRPr="00720A84" w:rsidRDefault="00F561D9" w:rsidP="006B40CA">
            <w:pPr>
              <w:jc w:val="right"/>
              <w:rPr>
                <w:sz w:val="16"/>
                <w:szCs w:val="16"/>
              </w:rPr>
            </w:pPr>
            <w:r w:rsidRPr="00720A84">
              <w:rPr>
                <w:sz w:val="16"/>
                <w:szCs w:val="16"/>
              </w:rPr>
              <w:t>LA, EU</w:t>
            </w:r>
          </w:p>
        </w:tc>
        <w:tc>
          <w:tcPr>
            <w:tcW w:w="1246" w:type="dxa"/>
            <w:tcBorders>
              <w:top w:val="nil"/>
              <w:left w:val="nil"/>
              <w:bottom w:val="nil"/>
              <w:right w:val="nil"/>
            </w:tcBorders>
            <w:shd w:val="clear" w:color="auto" w:fill="auto"/>
            <w:noWrap/>
            <w:vAlign w:val="center"/>
          </w:tcPr>
          <w:p w14:paraId="051E483B" w14:textId="77777777" w:rsidR="00F561D9" w:rsidRPr="00720A84" w:rsidRDefault="00F561D9" w:rsidP="006B40CA">
            <w:pPr>
              <w:jc w:val="right"/>
              <w:rPr>
                <w:sz w:val="16"/>
                <w:szCs w:val="16"/>
              </w:rPr>
            </w:pPr>
            <w:r w:rsidRPr="00720A84">
              <w:rPr>
                <w:sz w:val="16"/>
                <w:szCs w:val="16"/>
              </w:rPr>
              <w:t>GF</w:t>
            </w:r>
          </w:p>
        </w:tc>
      </w:tr>
      <w:tr w:rsidR="00F561D9" w:rsidRPr="00720A84" w14:paraId="141DCBAF"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D6D3ACF" w14:textId="77777777" w:rsidR="00F561D9" w:rsidRPr="00720A84" w:rsidRDefault="00F561D9" w:rsidP="006B40CA">
            <w:pPr>
              <w:rPr>
                <w:sz w:val="16"/>
                <w:szCs w:val="16"/>
              </w:rPr>
            </w:pPr>
            <w:r w:rsidRPr="00720A84">
              <w:rPr>
                <w:sz w:val="16"/>
                <w:szCs w:val="16"/>
              </w:rPr>
              <w:t>Tigre</w:t>
            </w:r>
          </w:p>
        </w:tc>
        <w:tc>
          <w:tcPr>
            <w:tcW w:w="2079" w:type="dxa"/>
            <w:tcBorders>
              <w:top w:val="nil"/>
              <w:left w:val="nil"/>
              <w:bottom w:val="nil"/>
              <w:right w:val="nil"/>
            </w:tcBorders>
            <w:shd w:val="clear" w:color="auto" w:fill="auto"/>
            <w:noWrap/>
            <w:vAlign w:val="center"/>
          </w:tcPr>
          <w:p w14:paraId="2275DB29" w14:textId="77777777" w:rsidR="00F561D9" w:rsidRPr="00720A84" w:rsidRDefault="00F561D9" w:rsidP="006B40CA">
            <w:pPr>
              <w:rPr>
                <w:sz w:val="16"/>
                <w:szCs w:val="16"/>
              </w:rPr>
            </w:pPr>
            <w:r w:rsidRPr="00720A84">
              <w:rPr>
                <w:sz w:val="16"/>
                <w:szCs w:val="16"/>
              </w:rPr>
              <w:t>Construction materials</w:t>
            </w:r>
          </w:p>
        </w:tc>
        <w:tc>
          <w:tcPr>
            <w:tcW w:w="1134" w:type="dxa"/>
            <w:tcBorders>
              <w:top w:val="nil"/>
              <w:left w:val="nil"/>
              <w:bottom w:val="nil"/>
              <w:right w:val="nil"/>
            </w:tcBorders>
            <w:shd w:val="clear" w:color="auto" w:fill="auto"/>
            <w:noWrap/>
            <w:vAlign w:val="center"/>
          </w:tcPr>
          <w:p w14:paraId="1E658412" w14:textId="77777777" w:rsidR="00F561D9" w:rsidRPr="00720A84" w:rsidRDefault="00F561D9" w:rsidP="006B40CA">
            <w:pPr>
              <w:jc w:val="right"/>
              <w:rPr>
                <w:sz w:val="16"/>
                <w:szCs w:val="16"/>
              </w:rPr>
            </w:pPr>
            <w:r w:rsidRPr="00720A84">
              <w:rPr>
                <w:sz w:val="16"/>
                <w:szCs w:val="16"/>
              </w:rPr>
              <w:t>850</w:t>
            </w:r>
          </w:p>
        </w:tc>
        <w:tc>
          <w:tcPr>
            <w:tcW w:w="739" w:type="dxa"/>
            <w:tcBorders>
              <w:top w:val="nil"/>
              <w:left w:val="nil"/>
              <w:bottom w:val="nil"/>
              <w:right w:val="nil"/>
            </w:tcBorders>
            <w:shd w:val="clear" w:color="auto" w:fill="auto"/>
            <w:noWrap/>
            <w:vAlign w:val="center"/>
          </w:tcPr>
          <w:p w14:paraId="378867A7"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06FD4597" w14:textId="77777777" w:rsidR="00F561D9" w:rsidRPr="00720A84" w:rsidRDefault="00F561D9" w:rsidP="006B40CA">
            <w:pPr>
              <w:jc w:val="right"/>
              <w:rPr>
                <w:sz w:val="16"/>
                <w:szCs w:val="16"/>
              </w:rPr>
            </w:pPr>
            <w:r w:rsidRPr="00720A84">
              <w:rPr>
                <w:sz w:val="16"/>
                <w:szCs w:val="16"/>
              </w:rPr>
              <w:t>1977</w:t>
            </w:r>
          </w:p>
        </w:tc>
        <w:tc>
          <w:tcPr>
            <w:tcW w:w="783" w:type="dxa"/>
            <w:tcBorders>
              <w:top w:val="nil"/>
              <w:left w:val="nil"/>
              <w:bottom w:val="nil"/>
              <w:right w:val="nil"/>
            </w:tcBorders>
            <w:shd w:val="clear" w:color="auto" w:fill="auto"/>
            <w:noWrap/>
            <w:vAlign w:val="center"/>
          </w:tcPr>
          <w:p w14:paraId="3D63761E" w14:textId="77777777" w:rsidR="00F561D9" w:rsidRPr="00720A84" w:rsidRDefault="00F561D9" w:rsidP="006B40CA">
            <w:pPr>
              <w:jc w:val="right"/>
              <w:rPr>
                <w:sz w:val="16"/>
                <w:szCs w:val="16"/>
              </w:rPr>
            </w:pPr>
            <w:r w:rsidRPr="00720A84">
              <w:rPr>
                <w:sz w:val="16"/>
                <w:szCs w:val="16"/>
              </w:rPr>
              <w:t>6</w:t>
            </w:r>
          </w:p>
        </w:tc>
        <w:tc>
          <w:tcPr>
            <w:tcW w:w="2091" w:type="dxa"/>
            <w:tcBorders>
              <w:top w:val="nil"/>
              <w:left w:val="nil"/>
              <w:bottom w:val="nil"/>
              <w:right w:val="nil"/>
            </w:tcBorders>
            <w:shd w:val="clear" w:color="auto" w:fill="auto"/>
            <w:noWrap/>
            <w:vAlign w:val="center"/>
          </w:tcPr>
          <w:p w14:paraId="2BB72295"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2BB6851F" w14:textId="77777777" w:rsidR="00F561D9" w:rsidRPr="00720A84" w:rsidRDefault="00F561D9" w:rsidP="006B40CA">
            <w:pPr>
              <w:jc w:val="right"/>
              <w:rPr>
                <w:sz w:val="16"/>
                <w:szCs w:val="16"/>
              </w:rPr>
            </w:pPr>
            <w:r w:rsidRPr="00720A84">
              <w:rPr>
                <w:sz w:val="16"/>
                <w:szCs w:val="16"/>
              </w:rPr>
              <w:t>GF, Acq</w:t>
            </w:r>
          </w:p>
        </w:tc>
      </w:tr>
      <w:tr w:rsidR="00F561D9" w:rsidRPr="00720A84" w14:paraId="78752A72"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61BAEBF" w14:textId="77777777" w:rsidR="00F561D9" w:rsidRPr="00720A84" w:rsidRDefault="00F561D9" w:rsidP="006B40CA">
            <w:pPr>
              <w:rPr>
                <w:sz w:val="16"/>
                <w:szCs w:val="16"/>
              </w:rPr>
            </w:pPr>
            <w:r w:rsidRPr="00720A84">
              <w:rPr>
                <w:sz w:val="16"/>
                <w:szCs w:val="16"/>
              </w:rPr>
              <w:t>Tramontina</w:t>
            </w:r>
          </w:p>
        </w:tc>
        <w:tc>
          <w:tcPr>
            <w:tcW w:w="2079" w:type="dxa"/>
            <w:tcBorders>
              <w:top w:val="nil"/>
              <w:left w:val="nil"/>
              <w:bottom w:val="nil"/>
              <w:right w:val="nil"/>
            </w:tcBorders>
            <w:shd w:val="clear" w:color="auto" w:fill="auto"/>
            <w:noWrap/>
            <w:vAlign w:val="center"/>
          </w:tcPr>
          <w:p w14:paraId="7F0BBBBC" w14:textId="77777777" w:rsidR="00F561D9" w:rsidRPr="00720A84" w:rsidRDefault="00F561D9" w:rsidP="006B40CA">
            <w:pPr>
              <w:rPr>
                <w:sz w:val="16"/>
                <w:szCs w:val="16"/>
              </w:rPr>
            </w:pPr>
            <w:r w:rsidRPr="00720A84">
              <w:rPr>
                <w:sz w:val="16"/>
                <w:szCs w:val="16"/>
              </w:rPr>
              <w:t>Tools and house supply</w:t>
            </w:r>
          </w:p>
        </w:tc>
        <w:tc>
          <w:tcPr>
            <w:tcW w:w="1134" w:type="dxa"/>
            <w:tcBorders>
              <w:top w:val="nil"/>
              <w:left w:val="nil"/>
              <w:bottom w:val="nil"/>
              <w:right w:val="nil"/>
            </w:tcBorders>
            <w:shd w:val="clear" w:color="auto" w:fill="auto"/>
            <w:noWrap/>
            <w:vAlign w:val="center"/>
          </w:tcPr>
          <w:p w14:paraId="002E2026" w14:textId="77777777" w:rsidR="00F561D9" w:rsidRPr="00720A84" w:rsidRDefault="00F561D9" w:rsidP="006B40CA">
            <w:pPr>
              <w:jc w:val="right"/>
              <w:rPr>
                <w:sz w:val="16"/>
                <w:szCs w:val="16"/>
              </w:rPr>
            </w:pPr>
            <w:r w:rsidRPr="00720A84">
              <w:rPr>
                <w:sz w:val="16"/>
                <w:szCs w:val="16"/>
              </w:rPr>
              <w:t>700</w:t>
            </w:r>
          </w:p>
        </w:tc>
        <w:tc>
          <w:tcPr>
            <w:tcW w:w="739" w:type="dxa"/>
            <w:tcBorders>
              <w:top w:val="nil"/>
              <w:left w:val="nil"/>
              <w:bottom w:val="nil"/>
              <w:right w:val="nil"/>
            </w:tcBorders>
            <w:shd w:val="clear" w:color="auto" w:fill="auto"/>
            <w:noWrap/>
            <w:vAlign w:val="center"/>
          </w:tcPr>
          <w:p w14:paraId="0494073C"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3DE62978" w14:textId="77777777" w:rsidR="00F561D9" w:rsidRPr="00720A84" w:rsidRDefault="00F561D9" w:rsidP="006B40CA">
            <w:pPr>
              <w:jc w:val="right"/>
              <w:rPr>
                <w:sz w:val="16"/>
                <w:szCs w:val="16"/>
              </w:rPr>
            </w:pPr>
            <w:r w:rsidRPr="00720A84">
              <w:rPr>
                <w:sz w:val="16"/>
                <w:szCs w:val="16"/>
              </w:rPr>
              <w:t>1986</w:t>
            </w:r>
          </w:p>
        </w:tc>
        <w:tc>
          <w:tcPr>
            <w:tcW w:w="783" w:type="dxa"/>
            <w:tcBorders>
              <w:top w:val="nil"/>
              <w:left w:val="nil"/>
              <w:bottom w:val="nil"/>
              <w:right w:val="nil"/>
            </w:tcBorders>
            <w:shd w:val="clear" w:color="auto" w:fill="auto"/>
            <w:noWrap/>
            <w:vAlign w:val="center"/>
          </w:tcPr>
          <w:p w14:paraId="41D1A9EF" w14:textId="77777777" w:rsidR="00F561D9" w:rsidRPr="00720A84" w:rsidRDefault="00F561D9" w:rsidP="006B40CA">
            <w:pPr>
              <w:jc w:val="right"/>
              <w:rPr>
                <w:sz w:val="16"/>
                <w:szCs w:val="16"/>
              </w:rPr>
            </w:pPr>
            <w:r w:rsidRPr="00720A84">
              <w:rPr>
                <w:sz w:val="16"/>
                <w:szCs w:val="16"/>
              </w:rPr>
              <w:t>10</w:t>
            </w:r>
          </w:p>
        </w:tc>
        <w:tc>
          <w:tcPr>
            <w:tcW w:w="2091" w:type="dxa"/>
            <w:tcBorders>
              <w:top w:val="nil"/>
              <w:left w:val="nil"/>
              <w:bottom w:val="nil"/>
              <w:right w:val="nil"/>
            </w:tcBorders>
            <w:shd w:val="clear" w:color="auto" w:fill="auto"/>
            <w:noWrap/>
            <w:vAlign w:val="center"/>
          </w:tcPr>
          <w:p w14:paraId="23711882" w14:textId="77777777" w:rsidR="00F561D9" w:rsidRPr="00720A84" w:rsidRDefault="00F561D9" w:rsidP="006B40CA">
            <w:pPr>
              <w:jc w:val="right"/>
              <w:rPr>
                <w:sz w:val="16"/>
                <w:szCs w:val="16"/>
              </w:rPr>
            </w:pPr>
            <w:r w:rsidRPr="00720A84">
              <w:rPr>
                <w:sz w:val="16"/>
                <w:szCs w:val="16"/>
              </w:rPr>
              <w:t>USA, ME</w:t>
            </w:r>
          </w:p>
        </w:tc>
        <w:tc>
          <w:tcPr>
            <w:tcW w:w="1246" w:type="dxa"/>
            <w:tcBorders>
              <w:top w:val="nil"/>
              <w:left w:val="nil"/>
              <w:bottom w:val="nil"/>
              <w:right w:val="nil"/>
            </w:tcBorders>
            <w:shd w:val="clear" w:color="auto" w:fill="auto"/>
            <w:noWrap/>
            <w:vAlign w:val="center"/>
          </w:tcPr>
          <w:p w14:paraId="44C5EF2B" w14:textId="77777777" w:rsidR="00F561D9" w:rsidRPr="00720A84" w:rsidRDefault="00F561D9" w:rsidP="006B40CA">
            <w:pPr>
              <w:jc w:val="right"/>
              <w:rPr>
                <w:sz w:val="16"/>
                <w:szCs w:val="16"/>
              </w:rPr>
            </w:pPr>
            <w:r w:rsidRPr="00720A84">
              <w:rPr>
                <w:sz w:val="16"/>
                <w:szCs w:val="16"/>
              </w:rPr>
              <w:t>GF</w:t>
            </w:r>
          </w:p>
        </w:tc>
      </w:tr>
      <w:tr w:rsidR="00F561D9" w:rsidRPr="00720A84" w14:paraId="767B2A05"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41EA51D9" w14:textId="77777777" w:rsidR="00F561D9" w:rsidRPr="00720A84" w:rsidRDefault="00F561D9" w:rsidP="006B40CA">
            <w:pPr>
              <w:rPr>
                <w:sz w:val="16"/>
                <w:szCs w:val="16"/>
              </w:rPr>
            </w:pPr>
            <w:r w:rsidRPr="00720A84">
              <w:rPr>
                <w:sz w:val="16"/>
                <w:szCs w:val="16"/>
              </w:rPr>
              <w:t>Vale</w:t>
            </w:r>
          </w:p>
        </w:tc>
        <w:tc>
          <w:tcPr>
            <w:tcW w:w="2079" w:type="dxa"/>
            <w:tcBorders>
              <w:top w:val="nil"/>
              <w:left w:val="nil"/>
              <w:bottom w:val="nil"/>
              <w:right w:val="nil"/>
            </w:tcBorders>
            <w:shd w:val="clear" w:color="auto" w:fill="auto"/>
            <w:noWrap/>
            <w:vAlign w:val="center"/>
          </w:tcPr>
          <w:p w14:paraId="5552C42D" w14:textId="77777777" w:rsidR="00F561D9" w:rsidRPr="00720A84" w:rsidRDefault="00F561D9" w:rsidP="006B40CA">
            <w:pPr>
              <w:rPr>
                <w:sz w:val="16"/>
                <w:szCs w:val="16"/>
              </w:rPr>
            </w:pPr>
            <w:r w:rsidRPr="00720A84">
              <w:rPr>
                <w:sz w:val="16"/>
                <w:szCs w:val="16"/>
              </w:rPr>
              <w:t>Mining</w:t>
            </w:r>
          </w:p>
        </w:tc>
        <w:tc>
          <w:tcPr>
            <w:tcW w:w="1134" w:type="dxa"/>
            <w:tcBorders>
              <w:top w:val="nil"/>
              <w:left w:val="nil"/>
              <w:bottom w:val="nil"/>
              <w:right w:val="nil"/>
            </w:tcBorders>
            <w:shd w:val="clear" w:color="auto" w:fill="auto"/>
            <w:noWrap/>
            <w:vAlign w:val="center"/>
          </w:tcPr>
          <w:p w14:paraId="633CE416" w14:textId="77777777" w:rsidR="00F561D9" w:rsidRPr="00720A84" w:rsidRDefault="00F561D9" w:rsidP="006B40CA">
            <w:pPr>
              <w:jc w:val="right"/>
              <w:rPr>
                <w:sz w:val="16"/>
                <w:szCs w:val="16"/>
              </w:rPr>
            </w:pPr>
            <w:r w:rsidRPr="00720A84">
              <w:rPr>
                <w:sz w:val="16"/>
                <w:szCs w:val="16"/>
              </w:rPr>
              <w:t>23,350</w:t>
            </w:r>
          </w:p>
        </w:tc>
        <w:tc>
          <w:tcPr>
            <w:tcW w:w="739" w:type="dxa"/>
            <w:tcBorders>
              <w:top w:val="nil"/>
              <w:left w:val="nil"/>
              <w:bottom w:val="nil"/>
              <w:right w:val="nil"/>
            </w:tcBorders>
            <w:shd w:val="clear" w:color="auto" w:fill="auto"/>
            <w:noWrap/>
            <w:vAlign w:val="center"/>
          </w:tcPr>
          <w:p w14:paraId="320715DB" w14:textId="77777777" w:rsidR="00F561D9" w:rsidRPr="00720A84" w:rsidRDefault="00F561D9" w:rsidP="006B40CA">
            <w:pPr>
              <w:jc w:val="right"/>
              <w:rPr>
                <w:sz w:val="16"/>
                <w:szCs w:val="16"/>
              </w:rPr>
            </w:pPr>
            <w:r w:rsidRPr="00720A84">
              <w:rPr>
                <w:sz w:val="16"/>
                <w:szCs w:val="16"/>
              </w:rPr>
              <w:t>1949</w:t>
            </w:r>
          </w:p>
        </w:tc>
        <w:tc>
          <w:tcPr>
            <w:tcW w:w="982" w:type="dxa"/>
            <w:tcBorders>
              <w:top w:val="nil"/>
              <w:left w:val="nil"/>
              <w:bottom w:val="nil"/>
              <w:right w:val="nil"/>
            </w:tcBorders>
            <w:shd w:val="clear" w:color="auto" w:fill="auto"/>
            <w:noWrap/>
            <w:vAlign w:val="center"/>
          </w:tcPr>
          <w:p w14:paraId="54DE41AF" w14:textId="77777777" w:rsidR="00F561D9" w:rsidRPr="00720A84" w:rsidRDefault="00F561D9" w:rsidP="006B40CA">
            <w:pPr>
              <w:jc w:val="right"/>
              <w:rPr>
                <w:sz w:val="16"/>
                <w:szCs w:val="16"/>
              </w:rPr>
            </w:pPr>
            <w:r w:rsidRPr="00720A84">
              <w:rPr>
                <w:sz w:val="16"/>
                <w:szCs w:val="16"/>
              </w:rPr>
              <w:t>1984</w:t>
            </w:r>
          </w:p>
        </w:tc>
        <w:tc>
          <w:tcPr>
            <w:tcW w:w="783" w:type="dxa"/>
            <w:tcBorders>
              <w:top w:val="nil"/>
              <w:left w:val="nil"/>
              <w:bottom w:val="nil"/>
              <w:right w:val="nil"/>
            </w:tcBorders>
            <w:shd w:val="clear" w:color="auto" w:fill="auto"/>
            <w:noWrap/>
            <w:vAlign w:val="center"/>
          </w:tcPr>
          <w:p w14:paraId="6D8AA938" w14:textId="77777777" w:rsidR="00F561D9" w:rsidRPr="00720A84" w:rsidRDefault="00F561D9" w:rsidP="006B40CA">
            <w:pPr>
              <w:jc w:val="right"/>
              <w:rPr>
                <w:sz w:val="16"/>
                <w:szCs w:val="16"/>
              </w:rPr>
            </w:pPr>
            <w:r w:rsidRPr="00720A84">
              <w:rPr>
                <w:sz w:val="16"/>
                <w:szCs w:val="16"/>
              </w:rPr>
              <w:t>52</w:t>
            </w:r>
          </w:p>
        </w:tc>
        <w:tc>
          <w:tcPr>
            <w:tcW w:w="2091" w:type="dxa"/>
            <w:tcBorders>
              <w:top w:val="nil"/>
              <w:left w:val="nil"/>
              <w:bottom w:val="nil"/>
              <w:right w:val="nil"/>
            </w:tcBorders>
            <w:shd w:val="clear" w:color="auto" w:fill="auto"/>
            <w:noWrap/>
            <w:vAlign w:val="center"/>
          </w:tcPr>
          <w:p w14:paraId="7B8AB097" w14:textId="77777777" w:rsidR="00F561D9" w:rsidRPr="00720A84" w:rsidRDefault="00F561D9" w:rsidP="006B40CA">
            <w:pPr>
              <w:jc w:val="right"/>
              <w:rPr>
                <w:sz w:val="16"/>
                <w:szCs w:val="16"/>
              </w:rPr>
            </w:pPr>
            <w:r w:rsidRPr="00720A84">
              <w:rPr>
                <w:sz w:val="16"/>
                <w:szCs w:val="16"/>
              </w:rPr>
              <w:t>USA, EU, China</w:t>
            </w:r>
          </w:p>
        </w:tc>
        <w:tc>
          <w:tcPr>
            <w:tcW w:w="1246" w:type="dxa"/>
            <w:tcBorders>
              <w:top w:val="nil"/>
              <w:left w:val="nil"/>
              <w:bottom w:val="nil"/>
              <w:right w:val="nil"/>
            </w:tcBorders>
            <w:shd w:val="clear" w:color="auto" w:fill="auto"/>
            <w:noWrap/>
            <w:vAlign w:val="center"/>
          </w:tcPr>
          <w:p w14:paraId="12A59CC0" w14:textId="77777777" w:rsidR="00F561D9" w:rsidRPr="00720A84" w:rsidRDefault="00F561D9" w:rsidP="006B40CA">
            <w:pPr>
              <w:jc w:val="right"/>
              <w:rPr>
                <w:sz w:val="16"/>
                <w:szCs w:val="16"/>
              </w:rPr>
            </w:pPr>
            <w:r w:rsidRPr="00720A84">
              <w:rPr>
                <w:sz w:val="16"/>
                <w:szCs w:val="16"/>
              </w:rPr>
              <w:t>Acq, GF</w:t>
            </w:r>
          </w:p>
        </w:tc>
      </w:tr>
      <w:tr w:rsidR="00F561D9" w:rsidRPr="00720A84" w14:paraId="1D7F2A6D"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E07EB76" w14:textId="77777777" w:rsidR="00F561D9" w:rsidRPr="00720A84" w:rsidRDefault="00F561D9" w:rsidP="006B40CA">
            <w:pPr>
              <w:rPr>
                <w:sz w:val="16"/>
                <w:szCs w:val="16"/>
              </w:rPr>
            </w:pPr>
            <w:r w:rsidRPr="00720A84">
              <w:rPr>
                <w:sz w:val="16"/>
                <w:szCs w:val="16"/>
              </w:rPr>
              <w:t>Votorantim</w:t>
            </w:r>
          </w:p>
        </w:tc>
        <w:tc>
          <w:tcPr>
            <w:tcW w:w="2079" w:type="dxa"/>
            <w:tcBorders>
              <w:top w:val="nil"/>
              <w:left w:val="nil"/>
              <w:bottom w:val="nil"/>
              <w:right w:val="nil"/>
            </w:tcBorders>
            <w:shd w:val="clear" w:color="auto" w:fill="auto"/>
            <w:noWrap/>
            <w:vAlign w:val="center"/>
          </w:tcPr>
          <w:p w14:paraId="40E11291" w14:textId="77777777" w:rsidR="00F561D9" w:rsidRPr="00720A84" w:rsidRDefault="00F561D9" w:rsidP="006B40CA">
            <w:pPr>
              <w:rPr>
                <w:sz w:val="16"/>
                <w:szCs w:val="16"/>
              </w:rPr>
            </w:pPr>
            <w:r w:rsidRPr="00720A84">
              <w:rPr>
                <w:sz w:val="16"/>
                <w:szCs w:val="16"/>
              </w:rPr>
              <w:t>Mining</w:t>
            </w:r>
          </w:p>
        </w:tc>
        <w:tc>
          <w:tcPr>
            <w:tcW w:w="1134" w:type="dxa"/>
            <w:tcBorders>
              <w:top w:val="nil"/>
              <w:left w:val="nil"/>
              <w:bottom w:val="nil"/>
              <w:right w:val="nil"/>
            </w:tcBorders>
            <w:shd w:val="clear" w:color="auto" w:fill="auto"/>
            <w:noWrap/>
            <w:vAlign w:val="center"/>
          </w:tcPr>
          <w:p w14:paraId="15921287" w14:textId="77777777" w:rsidR="00F561D9" w:rsidRPr="00720A84" w:rsidRDefault="00F561D9" w:rsidP="006B40CA">
            <w:pPr>
              <w:jc w:val="right"/>
              <w:rPr>
                <w:sz w:val="16"/>
                <w:szCs w:val="16"/>
              </w:rPr>
            </w:pPr>
            <w:r w:rsidRPr="00720A84">
              <w:rPr>
                <w:sz w:val="16"/>
                <w:szCs w:val="16"/>
              </w:rPr>
              <w:t>1,750</w:t>
            </w:r>
          </w:p>
        </w:tc>
        <w:tc>
          <w:tcPr>
            <w:tcW w:w="739" w:type="dxa"/>
            <w:tcBorders>
              <w:top w:val="nil"/>
              <w:left w:val="nil"/>
              <w:bottom w:val="nil"/>
              <w:right w:val="nil"/>
            </w:tcBorders>
            <w:shd w:val="clear" w:color="auto" w:fill="auto"/>
            <w:noWrap/>
            <w:vAlign w:val="center"/>
          </w:tcPr>
          <w:p w14:paraId="1FDD9452"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128FC803" w14:textId="77777777" w:rsidR="00F561D9" w:rsidRPr="00720A84" w:rsidRDefault="00F561D9" w:rsidP="006B40CA">
            <w:pPr>
              <w:jc w:val="right"/>
              <w:rPr>
                <w:sz w:val="16"/>
                <w:szCs w:val="16"/>
              </w:rPr>
            </w:pPr>
            <w:r w:rsidRPr="00720A84">
              <w:rPr>
                <w:sz w:val="16"/>
                <w:szCs w:val="16"/>
              </w:rPr>
              <w:t>2004</w:t>
            </w:r>
          </w:p>
        </w:tc>
        <w:tc>
          <w:tcPr>
            <w:tcW w:w="783" w:type="dxa"/>
            <w:tcBorders>
              <w:top w:val="nil"/>
              <w:left w:val="nil"/>
              <w:bottom w:val="nil"/>
              <w:right w:val="nil"/>
            </w:tcBorders>
            <w:shd w:val="clear" w:color="auto" w:fill="auto"/>
            <w:noWrap/>
            <w:vAlign w:val="center"/>
          </w:tcPr>
          <w:p w14:paraId="30F8D3BD"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54DFB96C"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25D9542E" w14:textId="77777777" w:rsidR="00F561D9" w:rsidRPr="00720A84" w:rsidRDefault="00F561D9" w:rsidP="006B40CA">
            <w:pPr>
              <w:jc w:val="right"/>
              <w:rPr>
                <w:sz w:val="16"/>
                <w:szCs w:val="16"/>
              </w:rPr>
            </w:pPr>
            <w:r w:rsidRPr="00720A84">
              <w:rPr>
                <w:sz w:val="16"/>
                <w:szCs w:val="16"/>
              </w:rPr>
              <w:t>Acq</w:t>
            </w:r>
          </w:p>
        </w:tc>
      </w:tr>
      <w:tr w:rsidR="00F561D9" w:rsidRPr="00720A84" w14:paraId="351D5A84"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328B568A" w14:textId="77777777" w:rsidR="00F561D9" w:rsidRPr="00720A84" w:rsidRDefault="00F561D9" w:rsidP="006B40CA">
            <w:pPr>
              <w:rPr>
                <w:sz w:val="16"/>
                <w:szCs w:val="16"/>
              </w:rPr>
            </w:pPr>
            <w:r w:rsidRPr="00720A84">
              <w:rPr>
                <w:sz w:val="16"/>
                <w:szCs w:val="16"/>
              </w:rPr>
              <w:t>Votorantim</w:t>
            </w:r>
          </w:p>
        </w:tc>
        <w:tc>
          <w:tcPr>
            <w:tcW w:w="2079" w:type="dxa"/>
            <w:tcBorders>
              <w:top w:val="nil"/>
              <w:left w:val="nil"/>
              <w:bottom w:val="nil"/>
              <w:right w:val="nil"/>
            </w:tcBorders>
            <w:shd w:val="clear" w:color="auto" w:fill="auto"/>
            <w:noWrap/>
            <w:vAlign w:val="center"/>
          </w:tcPr>
          <w:p w14:paraId="2683B5CA" w14:textId="77777777" w:rsidR="00F561D9" w:rsidRPr="00720A84" w:rsidRDefault="00F561D9" w:rsidP="006B40CA">
            <w:pPr>
              <w:rPr>
                <w:sz w:val="16"/>
                <w:szCs w:val="16"/>
              </w:rPr>
            </w:pPr>
            <w:r w:rsidRPr="00720A84">
              <w:rPr>
                <w:sz w:val="16"/>
                <w:szCs w:val="16"/>
              </w:rPr>
              <w:t>Cement</w:t>
            </w:r>
          </w:p>
        </w:tc>
        <w:tc>
          <w:tcPr>
            <w:tcW w:w="1134" w:type="dxa"/>
            <w:tcBorders>
              <w:top w:val="nil"/>
              <w:left w:val="nil"/>
              <w:bottom w:val="nil"/>
              <w:right w:val="nil"/>
            </w:tcBorders>
            <w:shd w:val="clear" w:color="auto" w:fill="auto"/>
            <w:noWrap/>
            <w:vAlign w:val="center"/>
          </w:tcPr>
          <w:p w14:paraId="25E1CF11" w14:textId="77777777" w:rsidR="00F561D9" w:rsidRPr="00720A84" w:rsidRDefault="00F561D9" w:rsidP="006B40CA">
            <w:pPr>
              <w:jc w:val="right"/>
              <w:rPr>
                <w:sz w:val="16"/>
                <w:szCs w:val="16"/>
              </w:rPr>
            </w:pPr>
            <w:r w:rsidRPr="00720A84">
              <w:rPr>
                <w:sz w:val="16"/>
                <w:szCs w:val="16"/>
              </w:rPr>
              <w:t>11,500</w:t>
            </w:r>
          </w:p>
        </w:tc>
        <w:tc>
          <w:tcPr>
            <w:tcW w:w="739" w:type="dxa"/>
            <w:tcBorders>
              <w:top w:val="nil"/>
              <w:left w:val="nil"/>
              <w:bottom w:val="nil"/>
              <w:right w:val="nil"/>
            </w:tcBorders>
            <w:shd w:val="clear" w:color="auto" w:fill="auto"/>
            <w:noWrap/>
            <w:vAlign w:val="center"/>
          </w:tcPr>
          <w:p w14:paraId="62D179FE" w14:textId="77777777" w:rsidR="00F561D9" w:rsidRPr="00720A84" w:rsidRDefault="00F561D9" w:rsidP="006B40CA">
            <w:pPr>
              <w:jc w:val="right"/>
              <w:rPr>
                <w:sz w:val="16"/>
                <w:szCs w:val="16"/>
              </w:rPr>
            </w:pPr>
            <w:r w:rsidRPr="00720A84">
              <w:rPr>
                <w:sz w:val="16"/>
                <w:szCs w:val="16"/>
              </w:rPr>
              <w:t>1970</w:t>
            </w:r>
          </w:p>
        </w:tc>
        <w:tc>
          <w:tcPr>
            <w:tcW w:w="982" w:type="dxa"/>
            <w:tcBorders>
              <w:top w:val="nil"/>
              <w:left w:val="nil"/>
              <w:bottom w:val="nil"/>
              <w:right w:val="nil"/>
            </w:tcBorders>
            <w:shd w:val="clear" w:color="auto" w:fill="auto"/>
            <w:noWrap/>
            <w:vAlign w:val="center"/>
          </w:tcPr>
          <w:p w14:paraId="1941F5AB" w14:textId="77777777" w:rsidR="00F561D9" w:rsidRPr="00720A84" w:rsidRDefault="00F561D9" w:rsidP="006B40CA">
            <w:pPr>
              <w:jc w:val="right"/>
              <w:rPr>
                <w:sz w:val="16"/>
                <w:szCs w:val="16"/>
              </w:rPr>
            </w:pPr>
            <w:r w:rsidRPr="00720A84">
              <w:rPr>
                <w:sz w:val="16"/>
                <w:szCs w:val="16"/>
              </w:rPr>
              <w:t>2001</w:t>
            </w:r>
          </w:p>
        </w:tc>
        <w:tc>
          <w:tcPr>
            <w:tcW w:w="783" w:type="dxa"/>
            <w:tcBorders>
              <w:top w:val="nil"/>
              <w:left w:val="nil"/>
              <w:bottom w:val="nil"/>
              <w:right w:val="nil"/>
            </w:tcBorders>
            <w:shd w:val="clear" w:color="auto" w:fill="auto"/>
            <w:noWrap/>
            <w:vAlign w:val="center"/>
          </w:tcPr>
          <w:p w14:paraId="127A6648" w14:textId="77777777" w:rsidR="00F561D9" w:rsidRPr="00720A84" w:rsidRDefault="00F561D9" w:rsidP="006B40CA">
            <w:pPr>
              <w:jc w:val="right"/>
              <w:rPr>
                <w:sz w:val="16"/>
                <w:szCs w:val="16"/>
              </w:rPr>
            </w:pPr>
            <w:r w:rsidRPr="00720A84">
              <w:rPr>
                <w:sz w:val="16"/>
                <w:szCs w:val="16"/>
              </w:rPr>
              <w:t>29</w:t>
            </w:r>
          </w:p>
        </w:tc>
        <w:tc>
          <w:tcPr>
            <w:tcW w:w="2091" w:type="dxa"/>
            <w:tcBorders>
              <w:top w:val="nil"/>
              <w:left w:val="nil"/>
              <w:bottom w:val="nil"/>
              <w:right w:val="nil"/>
            </w:tcBorders>
            <w:shd w:val="clear" w:color="auto" w:fill="auto"/>
            <w:noWrap/>
            <w:vAlign w:val="center"/>
          </w:tcPr>
          <w:p w14:paraId="7CB2A4BB" w14:textId="77777777" w:rsidR="00F561D9" w:rsidRPr="00720A84" w:rsidRDefault="00F561D9" w:rsidP="006B40CA">
            <w:pPr>
              <w:jc w:val="right"/>
              <w:rPr>
                <w:sz w:val="16"/>
                <w:szCs w:val="16"/>
              </w:rPr>
            </w:pPr>
            <w:r w:rsidRPr="00720A84">
              <w:rPr>
                <w:sz w:val="16"/>
                <w:szCs w:val="16"/>
              </w:rPr>
              <w:t>Canada, USA</w:t>
            </w:r>
          </w:p>
        </w:tc>
        <w:tc>
          <w:tcPr>
            <w:tcW w:w="1246" w:type="dxa"/>
            <w:tcBorders>
              <w:top w:val="nil"/>
              <w:left w:val="nil"/>
              <w:bottom w:val="nil"/>
              <w:right w:val="nil"/>
            </w:tcBorders>
            <w:shd w:val="clear" w:color="auto" w:fill="auto"/>
            <w:noWrap/>
            <w:vAlign w:val="center"/>
          </w:tcPr>
          <w:p w14:paraId="6C668C32" w14:textId="77777777" w:rsidR="00F561D9" w:rsidRPr="00720A84" w:rsidRDefault="00F561D9" w:rsidP="006B40CA">
            <w:pPr>
              <w:jc w:val="right"/>
              <w:rPr>
                <w:sz w:val="16"/>
                <w:szCs w:val="16"/>
              </w:rPr>
            </w:pPr>
            <w:r w:rsidRPr="00720A84">
              <w:rPr>
                <w:sz w:val="16"/>
                <w:szCs w:val="16"/>
              </w:rPr>
              <w:t>Acq, JV</w:t>
            </w:r>
          </w:p>
        </w:tc>
      </w:tr>
      <w:tr w:rsidR="00F561D9" w:rsidRPr="00720A84" w14:paraId="01B9C354" w14:textId="77777777" w:rsidTr="006B40CA">
        <w:trPr>
          <w:trHeight w:hRule="exact" w:val="227"/>
          <w:jc w:val="center"/>
        </w:trPr>
        <w:tc>
          <w:tcPr>
            <w:tcW w:w="1541" w:type="dxa"/>
            <w:tcBorders>
              <w:top w:val="nil"/>
              <w:left w:val="nil"/>
              <w:bottom w:val="single" w:sz="4" w:space="0" w:color="auto"/>
              <w:right w:val="nil"/>
            </w:tcBorders>
            <w:shd w:val="clear" w:color="auto" w:fill="auto"/>
            <w:noWrap/>
            <w:vAlign w:val="center"/>
          </w:tcPr>
          <w:p w14:paraId="422659A3" w14:textId="77777777" w:rsidR="00F561D9" w:rsidRPr="00720A84" w:rsidRDefault="00F561D9" w:rsidP="006B40CA">
            <w:pPr>
              <w:rPr>
                <w:sz w:val="16"/>
                <w:szCs w:val="16"/>
              </w:rPr>
            </w:pPr>
            <w:r w:rsidRPr="00720A84">
              <w:rPr>
                <w:sz w:val="16"/>
                <w:szCs w:val="16"/>
              </w:rPr>
              <w:t>Weg</w:t>
            </w:r>
          </w:p>
        </w:tc>
        <w:tc>
          <w:tcPr>
            <w:tcW w:w="2079" w:type="dxa"/>
            <w:tcBorders>
              <w:top w:val="nil"/>
              <w:left w:val="nil"/>
              <w:bottom w:val="single" w:sz="4" w:space="0" w:color="auto"/>
              <w:right w:val="nil"/>
            </w:tcBorders>
            <w:shd w:val="clear" w:color="auto" w:fill="auto"/>
            <w:noWrap/>
            <w:vAlign w:val="center"/>
          </w:tcPr>
          <w:p w14:paraId="54499A54" w14:textId="77777777" w:rsidR="00F561D9" w:rsidRPr="00720A84" w:rsidRDefault="00F561D9" w:rsidP="006B40CA">
            <w:pPr>
              <w:rPr>
                <w:sz w:val="16"/>
                <w:szCs w:val="16"/>
              </w:rPr>
            </w:pPr>
            <w:r w:rsidRPr="00720A84">
              <w:rPr>
                <w:sz w:val="16"/>
                <w:szCs w:val="16"/>
              </w:rPr>
              <w:t>Electric engines</w:t>
            </w:r>
          </w:p>
        </w:tc>
        <w:tc>
          <w:tcPr>
            <w:tcW w:w="1134" w:type="dxa"/>
            <w:tcBorders>
              <w:top w:val="nil"/>
              <w:left w:val="nil"/>
              <w:bottom w:val="single" w:sz="4" w:space="0" w:color="auto"/>
              <w:right w:val="nil"/>
            </w:tcBorders>
            <w:shd w:val="clear" w:color="auto" w:fill="auto"/>
            <w:noWrap/>
            <w:vAlign w:val="center"/>
          </w:tcPr>
          <w:p w14:paraId="26B279BC" w14:textId="77777777" w:rsidR="00F561D9" w:rsidRPr="00720A84" w:rsidRDefault="00F561D9" w:rsidP="006B40CA">
            <w:pPr>
              <w:jc w:val="right"/>
              <w:rPr>
                <w:sz w:val="16"/>
                <w:szCs w:val="16"/>
              </w:rPr>
            </w:pPr>
            <w:r w:rsidRPr="00720A84">
              <w:rPr>
                <w:sz w:val="16"/>
                <w:szCs w:val="16"/>
              </w:rPr>
              <w:t>1,500</w:t>
            </w:r>
          </w:p>
        </w:tc>
        <w:tc>
          <w:tcPr>
            <w:tcW w:w="739" w:type="dxa"/>
            <w:tcBorders>
              <w:top w:val="nil"/>
              <w:left w:val="nil"/>
              <w:bottom w:val="single" w:sz="4" w:space="0" w:color="auto"/>
              <w:right w:val="nil"/>
            </w:tcBorders>
            <w:shd w:val="clear" w:color="auto" w:fill="auto"/>
            <w:noWrap/>
            <w:vAlign w:val="center"/>
          </w:tcPr>
          <w:p w14:paraId="27F4E662" w14:textId="77777777" w:rsidR="00F561D9" w:rsidRPr="00720A84" w:rsidRDefault="00F561D9" w:rsidP="006B40CA">
            <w:pPr>
              <w:jc w:val="right"/>
              <w:rPr>
                <w:sz w:val="16"/>
                <w:szCs w:val="16"/>
              </w:rPr>
            </w:pPr>
            <w:r w:rsidRPr="00720A84">
              <w:rPr>
                <w:sz w:val="16"/>
                <w:szCs w:val="16"/>
              </w:rPr>
              <w:t>1980s</w:t>
            </w:r>
          </w:p>
        </w:tc>
        <w:tc>
          <w:tcPr>
            <w:tcW w:w="982" w:type="dxa"/>
            <w:tcBorders>
              <w:top w:val="nil"/>
              <w:left w:val="nil"/>
              <w:bottom w:val="single" w:sz="4" w:space="0" w:color="auto"/>
              <w:right w:val="nil"/>
            </w:tcBorders>
            <w:shd w:val="clear" w:color="auto" w:fill="auto"/>
            <w:noWrap/>
            <w:vAlign w:val="center"/>
          </w:tcPr>
          <w:p w14:paraId="79370335" w14:textId="77777777" w:rsidR="00F561D9" w:rsidRPr="00720A84" w:rsidRDefault="00F561D9" w:rsidP="006B40CA">
            <w:pPr>
              <w:jc w:val="right"/>
              <w:rPr>
                <w:sz w:val="16"/>
                <w:szCs w:val="16"/>
              </w:rPr>
            </w:pPr>
            <w:r w:rsidRPr="00720A84">
              <w:rPr>
                <w:sz w:val="16"/>
                <w:szCs w:val="16"/>
              </w:rPr>
              <w:t>1995</w:t>
            </w:r>
          </w:p>
        </w:tc>
        <w:tc>
          <w:tcPr>
            <w:tcW w:w="783" w:type="dxa"/>
            <w:tcBorders>
              <w:top w:val="nil"/>
              <w:left w:val="nil"/>
              <w:bottom w:val="single" w:sz="4" w:space="0" w:color="auto"/>
              <w:right w:val="nil"/>
            </w:tcBorders>
            <w:shd w:val="clear" w:color="auto" w:fill="auto"/>
            <w:noWrap/>
            <w:vAlign w:val="center"/>
          </w:tcPr>
          <w:p w14:paraId="4E82FEA4" w14:textId="77777777" w:rsidR="00F561D9" w:rsidRPr="00720A84" w:rsidRDefault="00F561D9" w:rsidP="006B40CA">
            <w:pPr>
              <w:jc w:val="right"/>
              <w:rPr>
                <w:sz w:val="16"/>
                <w:szCs w:val="16"/>
              </w:rPr>
            </w:pPr>
            <w:r w:rsidRPr="00720A84">
              <w:rPr>
                <w:sz w:val="16"/>
                <w:szCs w:val="16"/>
              </w:rPr>
              <w:t>12</w:t>
            </w:r>
          </w:p>
        </w:tc>
        <w:tc>
          <w:tcPr>
            <w:tcW w:w="2091" w:type="dxa"/>
            <w:tcBorders>
              <w:top w:val="nil"/>
              <w:left w:val="nil"/>
              <w:bottom w:val="single" w:sz="4" w:space="0" w:color="auto"/>
              <w:right w:val="nil"/>
            </w:tcBorders>
            <w:shd w:val="clear" w:color="auto" w:fill="auto"/>
            <w:noWrap/>
            <w:vAlign w:val="center"/>
          </w:tcPr>
          <w:p w14:paraId="126FB31F" w14:textId="77777777" w:rsidR="00F561D9" w:rsidRPr="00720A84" w:rsidRDefault="00F561D9" w:rsidP="006B40CA">
            <w:pPr>
              <w:jc w:val="right"/>
              <w:rPr>
                <w:sz w:val="16"/>
                <w:szCs w:val="16"/>
              </w:rPr>
            </w:pPr>
            <w:r w:rsidRPr="00720A84">
              <w:rPr>
                <w:sz w:val="16"/>
                <w:szCs w:val="16"/>
              </w:rPr>
              <w:t>LA, EU, China</w:t>
            </w:r>
          </w:p>
        </w:tc>
        <w:tc>
          <w:tcPr>
            <w:tcW w:w="1246" w:type="dxa"/>
            <w:tcBorders>
              <w:top w:val="nil"/>
              <w:left w:val="nil"/>
              <w:bottom w:val="single" w:sz="4" w:space="0" w:color="auto"/>
              <w:right w:val="nil"/>
            </w:tcBorders>
            <w:shd w:val="clear" w:color="auto" w:fill="auto"/>
            <w:noWrap/>
            <w:vAlign w:val="center"/>
          </w:tcPr>
          <w:p w14:paraId="6237620F" w14:textId="77777777" w:rsidR="00F561D9" w:rsidRPr="00720A84" w:rsidRDefault="00F561D9" w:rsidP="006B40CA">
            <w:pPr>
              <w:jc w:val="right"/>
              <w:rPr>
                <w:sz w:val="16"/>
                <w:szCs w:val="16"/>
              </w:rPr>
            </w:pPr>
            <w:r w:rsidRPr="00720A84">
              <w:rPr>
                <w:sz w:val="16"/>
                <w:szCs w:val="16"/>
              </w:rPr>
              <w:t>Acq</w:t>
            </w:r>
          </w:p>
        </w:tc>
      </w:tr>
      <w:tr w:rsidR="00F561D9" w:rsidRPr="00720A84" w14:paraId="018C2CF8"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4E8713E1" w14:textId="77777777" w:rsidR="00F561D9" w:rsidRPr="00720A84" w:rsidRDefault="00F561D9" w:rsidP="006B40CA">
            <w:pPr>
              <w:rPr>
                <w:i/>
                <w:iCs/>
                <w:sz w:val="16"/>
                <w:szCs w:val="16"/>
              </w:rPr>
            </w:pPr>
            <w:r w:rsidRPr="00720A84">
              <w:rPr>
                <w:i/>
                <w:iCs/>
                <w:sz w:val="16"/>
                <w:szCs w:val="16"/>
              </w:rPr>
              <w:t>IT and services</w:t>
            </w:r>
          </w:p>
        </w:tc>
        <w:tc>
          <w:tcPr>
            <w:tcW w:w="2079" w:type="dxa"/>
            <w:tcBorders>
              <w:top w:val="nil"/>
              <w:left w:val="nil"/>
              <w:bottom w:val="nil"/>
              <w:right w:val="nil"/>
            </w:tcBorders>
            <w:shd w:val="clear" w:color="auto" w:fill="auto"/>
            <w:noWrap/>
            <w:vAlign w:val="center"/>
          </w:tcPr>
          <w:p w14:paraId="2F127895" w14:textId="77777777" w:rsidR="00F561D9" w:rsidRPr="00720A84" w:rsidRDefault="00F561D9" w:rsidP="006B40CA">
            <w:pPr>
              <w:rPr>
                <w:sz w:val="16"/>
                <w:szCs w:val="16"/>
              </w:rPr>
            </w:pPr>
          </w:p>
        </w:tc>
        <w:tc>
          <w:tcPr>
            <w:tcW w:w="1134" w:type="dxa"/>
            <w:tcBorders>
              <w:top w:val="nil"/>
              <w:left w:val="nil"/>
              <w:bottom w:val="nil"/>
              <w:right w:val="nil"/>
            </w:tcBorders>
            <w:shd w:val="clear" w:color="auto" w:fill="auto"/>
            <w:noWrap/>
            <w:vAlign w:val="center"/>
          </w:tcPr>
          <w:p w14:paraId="72A8AE70" w14:textId="77777777" w:rsidR="00F561D9" w:rsidRPr="00720A84" w:rsidRDefault="00F561D9" w:rsidP="006B40CA">
            <w:pPr>
              <w:jc w:val="right"/>
              <w:rPr>
                <w:sz w:val="16"/>
                <w:szCs w:val="16"/>
              </w:rPr>
            </w:pPr>
          </w:p>
        </w:tc>
        <w:tc>
          <w:tcPr>
            <w:tcW w:w="739" w:type="dxa"/>
            <w:tcBorders>
              <w:top w:val="nil"/>
              <w:left w:val="nil"/>
              <w:bottom w:val="nil"/>
              <w:right w:val="nil"/>
            </w:tcBorders>
            <w:shd w:val="clear" w:color="auto" w:fill="auto"/>
            <w:noWrap/>
            <w:vAlign w:val="center"/>
          </w:tcPr>
          <w:p w14:paraId="4C38F560" w14:textId="77777777" w:rsidR="00F561D9" w:rsidRPr="00720A84" w:rsidRDefault="00F561D9" w:rsidP="006B40CA">
            <w:pPr>
              <w:jc w:val="right"/>
              <w:rPr>
                <w:sz w:val="16"/>
                <w:szCs w:val="16"/>
              </w:rPr>
            </w:pPr>
          </w:p>
        </w:tc>
        <w:tc>
          <w:tcPr>
            <w:tcW w:w="982" w:type="dxa"/>
            <w:tcBorders>
              <w:top w:val="nil"/>
              <w:left w:val="nil"/>
              <w:bottom w:val="nil"/>
              <w:right w:val="nil"/>
            </w:tcBorders>
            <w:shd w:val="clear" w:color="auto" w:fill="auto"/>
            <w:noWrap/>
            <w:vAlign w:val="center"/>
          </w:tcPr>
          <w:p w14:paraId="402A32ED" w14:textId="77777777" w:rsidR="00F561D9" w:rsidRPr="00720A84" w:rsidRDefault="00F561D9" w:rsidP="006B40CA">
            <w:pPr>
              <w:jc w:val="right"/>
              <w:rPr>
                <w:sz w:val="16"/>
                <w:szCs w:val="16"/>
              </w:rPr>
            </w:pPr>
          </w:p>
        </w:tc>
        <w:tc>
          <w:tcPr>
            <w:tcW w:w="783" w:type="dxa"/>
            <w:tcBorders>
              <w:top w:val="nil"/>
              <w:left w:val="nil"/>
              <w:bottom w:val="nil"/>
              <w:right w:val="nil"/>
            </w:tcBorders>
            <w:shd w:val="clear" w:color="auto" w:fill="auto"/>
            <w:noWrap/>
            <w:vAlign w:val="center"/>
          </w:tcPr>
          <w:p w14:paraId="2DF079C7" w14:textId="77777777" w:rsidR="00F561D9" w:rsidRPr="00720A84" w:rsidRDefault="00F561D9" w:rsidP="006B40CA">
            <w:pPr>
              <w:jc w:val="right"/>
              <w:rPr>
                <w:sz w:val="16"/>
                <w:szCs w:val="16"/>
              </w:rPr>
            </w:pPr>
          </w:p>
        </w:tc>
        <w:tc>
          <w:tcPr>
            <w:tcW w:w="2091" w:type="dxa"/>
            <w:tcBorders>
              <w:top w:val="nil"/>
              <w:left w:val="nil"/>
              <w:bottom w:val="nil"/>
              <w:right w:val="nil"/>
            </w:tcBorders>
            <w:shd w:val="clear" w:color="auto" w:fill="auto"/>
            <w:noWrap/>
            <w:vAlign w:val="center"/>
          </w:tcPr>
          <w:p w14:paraId="7D7C8C4C" w14:textId="77777777" w:rsidR="00F561D9" w:rsidRPr="00720A84" w:rsidRDefault="00F561D9" w:rsidP="006B40CA">
            <w:pPr>
              <w:jc w:val="right"/>
              <w:rPr>
                <w:sz w:val="16"/>
                <w:szCs w:val="16"/>
              </w:rPr>
            </w:pPr>
          </w:p>
        </w:tc>
        <w:tc>
          <w:tcPr>
            <w:tcW w:w="1246" w:type="dxa"/>
            <w:tcBorders>
              <w:top w:val="nil"/>
              <w:left w:val="nil"/>
              <w:bottom w:val="nil"/>
              <w:right w:val="nil"/>
            </w:tcBorders>
            <w:shd w:val="clear" w:color="auto" w:fill="auto"/>
            <w:noWrap/>
            <w:vAlign w:val="center"/>
          </w:tcPr>
          <w:p w14:paraId="2E1F4AFA" w14:textId="77777777" w:rsidR="00F561D9" w:rsidRPr="00720A84" w:rsidRDefault="00F561D9" w:rsidP="006B40CA">
            <w:pPr>
              <w:jc w:val="right"/>
              <w:rPr>
                <w:sz w:val="16"/>
                <w:szCs w:val="16"/>
              </w:rPr>
            </w:pPr>
          </w:p>
        </w:tc>
      </w:tr>
      <w:tr w:rsidR="00F561D9" w:rsidRPr="00720A84" w14:paraId="5AFA0D0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79A5D8E4" w14:textId="77777777" w:rsidR="00F561D9" w:rsidRPr="00720A84" w:rsidRDefault="00F561D9" w:rsidP="006B40CA">
            <w:pPr>
              <w:rPr>
                <w:sz w:val="16"/>
                <w:szCs w:val="16"/>
              </w:rPr>
            </w:pPr>
            <w:r w:rsidRPr="00720A84">
              <w:rPr>
                <w:sz w:val="16"/>
                <w:szCs w:val="16"/>
              </w:rPr>
              <w:t>CI&amp;T</w:t>
            </w:r>
          </w:p>
        </w:tc>
        <w:tc>
          <w:tcPr>
            <w:tcW w:w="2079" w:type="dxa"/>
            <w:tcBorders>
              <w:top w:val="nil"/>
              <w:left w:val="nil"/>
              <w:bottom w:val="nil"/>
              <w:right w:val="nil"/>
            </w:tcBorders>
            <w:shd w:val="clear" w:color="auto" w:fill="auto"/>
            <w:noWrap/>
            <w:vAlign w:val="center"/>
          </w:tcPr>
          <w:p w14:paraId="6A7EA8E0" w14:textId="77777777" w:rsidR="00F561D9" w:rsidRPr="00720A84" w:rsidRDefault="00F561D9" w:rsidP="006B40CA">
            <w:pPr>
              <w:rPr>
                <w:sz w:val="16"/>
                <w:szCs w:val="16"/>
              </w:rPr>
            </w:pPr>
            <w:r w:rsidRPr="00720A84">
              <w:rPr>
                <w:sz w:val="16"/>
                <w:szCs w:val="16"/>
              </w:rPr>
              <w:t>Business intelligence</w:t>
            </w:r>
          </w:p>
        </w:tc>
        <w:tc>
          <w:tcPr>
            <w:tcW w:w="1134" w:type="dxa"/>
            <w:tcBorders>
              <w:top w:val="nil"/>
              <w:left w:val="nil"/>
              <w:bottom w:val="nil"/>
              <w:right w:val="nil"/>
            </w:tcBorders>
            <w:shd w:val="clear" w:color="auto" w:fill="auto"/>
            <w:noWrap/>
            <w:vAlign w:val="center"/>
          </w:tcPr>
          <w:p w14:paraId="18217D1B" w14:textId="77777777" w:rsidR="00F561D9" w:rsidRPr="00720A84" w:rsidRDefault="00F561D9" w:rsidP="006B40CA">
            <w:pPr>
              <w:jc w:val="right"/>
              <w:rPr>
                <w:sz w:val="16"/>
                <w:szCs w:val="16"/>
              </w:rPr>
            </w:pPr>
            <w:r w:rsidRPr="00720A84">
              <w:rPr>
                <w:sz w:val="16"/>
                <w:szCs w:val="16"/>
              </w:rPr>
              <w:t>150</w:t>
            </w:r>
          </w:p>
        </w:tc>
        <w:tc>
          <w:tcPr>
            <w:tcW w:w="739" w:type="dxa"/>
            <w:tcBorders>
              <w:top w:val="nil"/>
              <w:left w:val="nil"/>
              <w:bottom w:val="nil"/>
              <w:right w:val="nil"/>
            </w:tcBorders>
            <w:shd w:val="clear" w:color="auto" w:fill="auto"/>
            <w:noWrap/>
            <w:vAlign w:val="center"/>
          </w:tcPr>
          <w:p w14:paraId="57C94595"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5F7F37A0" w14:textId="77777777" w:rsidR="00F561D9" w:rsidRPr="00720A84" w:rsidRDefault="00F561D9" w:rsidP="006B40CA">
            <w:pPr>
              <w:jc w:val="right"/>
              <w:rPr>
                <w:sz w:val="16"/>
                <w:szCs w:val="16"/>
              </w:rPr>
            </w:pPr>
            <w:r w:rsidRPr="00720A84">
              <w:rPr>
                <w:sz w:val="16"/>
                <w:szCs w:val="16"/>
              </w:rPr>
              <w:t>2006</w:t>
            </w:r>
          </w:p>
        </w:tc>
        <w:tc>
          <w:tcPr>
            <w:tcW w:w="783" w:type="dxa"/>
            <w:tcBorders>
              <w:top w:val="nil"/>
              <w:left w:val="nil"/>
              <w:bottom w:val="nil"/>
              <w:right w:val="nil"/>
            </w:tcBorders>
            <w:shd w:val="clear" w:color="auto" w:fill="auto"/>
            <w:noWrap/>
            <w:vAlign w:val="center"/>
          </w:tcPr>
          <w:p w14:paraId="2E85CE71" w14:textId="77777777" w:rsidR="00F561D9" w:rsidRPr="00720A84" w:rsidRDefault="00F561D9" w:rsidP="006B40CA">
            <w:pPr>
              <w:jc w:val="right"/>
              <w:rPr>
                <w:sz w:val="16"/>
                <w:szCs w:val="16"/>
              </w:rPr>
            </w:pPr>
            <w:r w:rsidRPr="00720A84">
              <w:rPr>
                <w:sz w:val="16"/>
                <w:szCs w:val="16"/>
              </w:rPr>
              <w:t>2</w:t>
            </w:r>
          </w:p>
        </w:tc>
        <w:tc>
          <w:tcPr>
            <w:tcW w:w="2091" w:type="dxa"/>
            <w:tcBorders>
              <w:top w:val="nil"/>
              <w:left w:val="nil"/>
              <w:bottom w:val="nil"/>
              <w:right w:val="nil"/>
            </w:tcBorders>
            <w:shd w:val="clear" w:color="auto" w:fill="auto"/>
            <w:noWrap/>
            <w:vAlign w:val="center"/>
          </w:tcPr>
          <w:p w14:paraId="5E4D8C4E" w14:textId="77777777" w:rsidR="00F561D9" w:rsidRPr="00720A84" w:rsidRDefault="00F561D9" w:rsidP="006B40CA">
            <w:pPr>
              <w:jc w:val="right"/>
              <w:rPr>
                <w:sz w:val="16"/>
                <w:szCs w:val="16"/>
              </w:rPr>
            </w:pPr>
            <w:r w:rsidRPr="00720A84">
              <w:rPr>
                <w:sz w:val="16"/>
                <w:szCs w:val="16"/>
              </w:rPr>
              <w:t>USA, EU</w:t>
            </w:r>
          </w:p>
        </w:tc>
        <w:tc>
          <w:tcPr>
            <w:tcW w:w="1246" w:type="dxa"/>
            <w:tcBorders>
              <w:top w:val="nil"/>
              <w:left w:val="nil"/>
              <w:bottom w:val="nil"/>
              <w:right w:val="nil"/>
            </w:tcBorders>
            <w:shd w:val="clear" w:color="auto" w:fill="auto"/>
            <w:noWrap/>
            <w:vAlign w:val="center"/>
          </w:tcPr>
          <w:p w14:paraId="600C8292" w14:textId="77777777" w:rsidR="00F561D9" w:rsidRPr="00720A84" w:rsidRDefault="00F561D9" w:rsidP="006B40CA">
            <w:pPr>
              <w:jc w:val="right"/>
              <w:rPr>
                <w:sz w:val="16"/>
                <w:szCs w:val="16"/>
              </w:rPr>
            </w:pPr>
            <w:r w:rsidRPr="00720A84">
              <w:rPr>
                <w:sz w:val="16"/>
                <w:szCs w:val="16"/>
              </w:rPr>
              <w:t>GF</w:t>
            </w:r>
          </w:p>
        </w:tc>
      </w:tr>
      <w:tr w:rsidR="00F561D9" w:rsidRPr="00720A84" w14:paraId="6F5FD73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45D1C3C4" w14:textId="77777777" w:rsidR="00F561D9" w:rsidRPr="00720A84" w:rsidRDefault="00F561D9" w:rsidP="006B40CA">
            <w:pPr>
              <w:rPr>
                <w:sz w:val="16"/>
                <w:szCs w:val="16"/>
              </w:rPr>
            </w:pPr>
            <w:r w:rsidRPr="00720A84">
              <w:rPr>
                <w:sz w:val="16"/>
                <w:szCs w:val="16"/>
              </w:rPr>
              <w:t>Andrade Gutierrez</w:t>
            </w:r>
          </w:p>
        </w:tc>
        <w:tc>
          <w:tcPr>
            <w:tcW w:w="2079" w:type="dxa"/>
            <w:tcBorders>
              <w:top w:val="nil"/>
              <w:left w:val="nil"/>
              <w:bottom w:val="nil"/>
              <w:right w:val="nil"/>
            </w:tcBorders>
            <w:shd w:val="clear" w:color="auto" w:fill="auto"/>
            <w:noWrap/>
            <w:vAlign w:val="center"/>
          </w:tcPr>
          <w:p w14:paraId="1B501F55" w14:textId="77777777" w:rsidR="00F561D9" w:rsidRPr="00720A84" w:rsidRDefault="00F561D9" w:rsidP="006B40CA">
            <w:pPr>
              <w:rPr>
                <w:sz w:val="16"/>
                <w:szCs w:val="16"/>
              </w:rPr>
            </w:pPr>
            <w:r w:rsidRPr="00720A84">
              <w:rPr>
                <w:sz w:val="16"/>
                <w:szCs w:val="16"/>
              </w:rPr>
              <w:t>Engineering and construction</w:t>
            </w:r>
          </w:p>
        </w:tc>
        <w:tc>
          <w:tcPr>
            <w:tcW w:w="1134" w:type="dxa"/>
            <w:tcBorders>
              <w:top w:val="nil"/>
              <w:left w:val="nil"/>
              <w:bottom w:val="nil"/>
              <w:right w:val="nil"/>
            </w:tcBorders>
            <w:shd w:val="clear" w:color="auto" w:fill="auto"/>
            <w:noWrap/>
            <w:vAlign w:val="center"/>
          </w:tcPr>
          <w:p w14:paraId="6BCEAD48" w14:textId="77777777" w:rsidR="00F561D9" w:rsidRPr="00720A84" w:rsidRDefault="00F561D9" w:rsidP="006B40CA">
            <w:pPr>
              <w:jc w:val="right"/>
              <w:rPr>
                <w:sz w:val="16"/>
                <w:szCs w:val="16"/>
              </w:rPr>
            </w:pPr>
            <w:r w:rsidRPr="00720A84">
              <w:rPr>
                <w:sz w:val="16"/>
                <w:szCs w:val="16"/>
              </w:rPr>
              <w:t>2,150</w:t>
            </w:r>
          </w:p>
        </w:tc>
        <w:tc>
          <w:tcPr>
            <w:tcW w:w="739" w:type="dxa"/>
            <w:tcBorders>
              <w:top w:val="nil"/>
              <w:left w:val="nil"/>
              <w:bottom w:val="nil"/>
              <w:right w:val="nil"/>
            </w:tcBorders>
            <w:shd w:val="clear" w:color="auto" w:fill="auto"/>
            <w:noWrap/>
            <w:vAlign w:val="center"/>
          </w:tcPr>
          <w:p w14:paraId="72DAA634"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49270D41" w14:textId="77777777" w:rsidR="00F561D9" w:rsidRPr="00720A84" w:rsidRDefault="00F561D9" w:rsidP="006B40CA">
            <w:pPr>
              <w:jc w:val="right"/>
              <w:rPr>
                <w:sz w:val="16"/>
                <w:szCs w:val="16"/>
              </w:rPr>
            </w:pPr>
            <w:r w:rsidRPr="00720A84">
              <w:rPr>
                <w:sz w:val="16"/>
                <w:szCs w:val="16"/>
              </w:rPr>
              <w:t>1980</w:t>
            </w:r>
          </w:p>
        </w:tc>
        <w:tc>
          <w:tcPr>
            <w:tcW w:w="783" w:type="dxa"/>
            <w:tcBorders>
              <w:top w:val="nil"/>
              <w:left w:val="nil"/>
              <w:bottom w:val="nil"/>
              <w:right w:val="nil"/>
            </w:tcBorders>
            <w:shd w:val="clear" w:color="auto" w:fill="auto"/>
            <w:noWrap/>
            <w:vAlign w:val="center"/>
          </w:tcPr>
          <w:p w14:paraId="7A3453E5" w14:textId="77777777" w:rsidR="00F561D9" w:rsidRPr="00720A84" w:rsidRDefault="00F561D9" w:rsidP="006B40CA">
            <w:pPr>
              <w:jc w:val="right"/>
              <w:rPr>
                <w:sz w:val="16"/>
                <w:szCs w:val="16"/>
              </w:rPr>
            </w:pPr>
            <w:r w:rsidRPr="00720A84">
              <w:rPr>
                <w:sz w:val="16"/>
                <w:szCs w:val="16"/>
              </w:rPr>
              <w:t>11</w:t>
            </w:r>
          </w:p>
        </w:tc>
        <w:tc>
          <w:tcPr>
            <w:tcW w:w="2091" w:type="dxa"/>
            <w:tcBorders>
              <w:top w:val="nil"/>
              <w:left w:val="nil"/>
              <w:bottom w:val="nil"/>
              <w:right w:val="nil"/>
            </w:tcBorders>
            <w:shd w:val="clear" w:color="auto" w:fill="auto"/>
            <w:noWrap/>
            <w:vAlign w:val="center"/>
          </w:tcPr>
          <w:p w14:paraId="44837DDD"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038062ED" w14:textId="77777777" w:rsidR="00F561D9" w:rsidRPr="00720A84" w:rsidRDefault="00F561D9" w:rsidP="006B40CA">
            <w:pPr>
              <w:jc w:val="right"/>
              <w:rPr>
                <w:sz w:val="16"/>
                <w:szCs w:val="16"/>
              </w:rPr>
            </w:pPr>
            <w:r w:rsidRPr="00720A84">
              <w:rPr>
                <w:sz w:val="16"/>
                <w:szCs w:val="16"/>
              </w:rPr>
              <w:t>GF, Acq</w:t>
            </w:r>
          </w:p>
        </w:tc>
      </w:tr>
      <w:tr w:rsidR="00F561D9" w:rsidRPr="00720A84" w14:paraId="31FD68E7"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4ACF5C60" w14:textId="77777777" w:rsidR="00F561D9" w:rsidRPr="00720A84" w:rsidRDefault="00F561D9" w:rsidP="006B40CA">
            <w:pPr>
              <w:rPr>
                <w:sz w:val="16"/>
                <w:szCs w:val="16"/>
              </w:rPr>
            </w:pPr>
            <w:r w:rsidRPr="00720A84">
              <w:rPr>
                <w:sz w:val="16"/>
                <w:szCs w:val="16"/>
              </w:rPr>
              <w:t>Atech</w:t>
            </w:r>
          </w:p>
        </w:tc>
        <w:tc>
          <w:tcPr>
            <w:tcW w:w="2079" w:type="dxa"/>
            <w:tcBorders>
              <w:top w:val="nil"/>
              <w:left w:val="nil"/>
              <w:bottom w:val="nil"/>
              <w:right w:val="nil"/>
            </w:tcBorders>
            <w:shd w:val="clear" w:color="auto" w:fill="auto"/>
            <w:noWrap/>
            <w:vAlign w:val="center"/>
          </w:tcPr>
          <w:p w14:paraId="1017A62B" w14:textId="77777777" w:rsidR="00F561D9" w:rsidRPr="00720A84" w:rsidRDefault="00F561D9" w:rsidP="006B40CA">
            <w:pPr>
              <w:rPr>
                <w:sz w:val="16"/>
                <w:szCs w:val="16"/>
              </w:rPr>
            </w:pPr>
            <w:r w:rsidRPr="00720A84">
              <w:rPr>
                <w:sz w:val="16"/>
                <w:szCs w:val="16"/>
              </w:rPr>
              <w:t>IT</w:t>
            </w:r>
          </w:p>
        </w:tc>
        <w:tc>
          <w:tcPr>
            <w:tcW w:w="1134" w:type="dxa"/>
            <w:tcBorders>
              <w:top w:val="nil"/>
              <w:left w:val="nil"/>
              <w:bottom w:val="nil"/>
              <w:right w:val="nil"/>
            </w:tcBorders>
            <w:shd w:val="clear" w:color="auto" w:fill="auto"/>
            <w:noWrap/>
            <w:vAlign w:val="center"/>
          </w:tcPr>
          <w:p w14:paraId="764E8A8C" w14:textId="77777777" w:rsidR="00F561D9" w:rsidRPr="00720A84" w:rsidRDefault="00F561D9" w:rsidP="006B40CA">
            <w:pPr>
              <w:jc w:val="right"/>
              <w:rPr>
                <w:sz w:val="16"/>
                <w:szCs w:val="16"/>
              </w:rPr>
            </w:pPr>
            <w:r w:rsidRPr="00720A84">
              <w:rPr>
                <w:sz w:val="16"/>
                <w:szCs w:val="16"/>
              </w:rPr>
              <w:t>50</w:t>
            </w:r>
          </w:p>
        </w:tc>
        <w:tc>
          <w:tcPr>
            <w:tcW w:w="739" w:type="dxa"/>
            <w:tcBorders>
              <w:top w:val="nil"/>
              <w:left w:val="nil"/>
              <w:bottom w:val="nil"/>
              <w:right w:val="nil"/>
            </w:tcBorders>
            <w:shd w:val="clear" w:color="auto" w:fill="auto"/>
            <w:noWrap/>
            <w:vAlign w:val="center"/>
          </w:tcPr>
          <w:p w14:paraId="3E260F46"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5524D85B" w14:textId="77777777" w:rsidR="00F561D9" w:rsidRPr="00720A84" w:rsidRDefault="00F561D9" w:rsidP="006B40CA">
            <w:pPr>
              <w:jc w:val="right"/>
              <w:rPr>
                <w:sz w:val="16"/>
                <w:szCs w:val="16"/>
              </w:rPr>
            </w:pPr>
            <w:r w:rsidRPr="00720A84">
              <w:rPr>
                <w:sz w:val="16"/>
                <w:szCs w:val="16"/>
              </w:rPr>
              <w:t>1997</w:t>
            </w:r>
          </w:p>
        </w:tc>
        <w:tc>
          <w:tcPr>
            <w:tcW w:w="783" w:type="dxa"/>
            <w:tcBorders>
              <w:top w:val="nil"/>
              <w:left w:val="nil"/>
              <w:bottom w:val="nil"/>
              <w:right w:val="nil"/>
            </w:tcBorders>
            <w:shd w:val="clear" w:color="auto" w:fill="auto"/>
            <w:noWrap/>
            <w:vAlign w:val="center"/>
          </w:tcPr>
          <w:p w14:paraId="018CF26E" w14:textId="77777777" w:rsidR="00F561D9" w:rsidRPr="00720A84" w:rsidRDefault="00F561D9" w:rsidP="006B40CA">
            <w:pPr>
              <w:jc w:val="right"/>
              <w:rPr>
                <w:sz w:val="16"/>
                <w:szCs w:val="16"/>
              </w:rPr>
            </w:pPr>
            <w:r w:rsidRPr="00720A84">
              <w:rPr>
                <w:sz w:val="16"/>
                <w:szCs w:val="16"/>
              </w:rPr>
              <w:t>1</w:t>
            </w:r>
          </w:p>
        </w:tc>
        <w:tc>
          <w:tcPr>
            <w:tcW w:w="2091" w:type="dxa"/>
            <w:tcBorders>
              <w:top w:val="nil"/>
              <w:left w:val="nil"/>
              <w:bottom w:val="nil"/>
              <w:right w:val="nil"/>
            </w:tcBorders>
            <w:shd w:val="clear" w:color="auto" w:fill="auto"/>
            <w:noWrap/>
            <w:vAlign w:val="center"/>
          </w:tcPr>
          <w:p w14:paraId="173D117F" w14:textId="77777777" w:rsidR="00F561D9" w:rsidRPr="00720A84" w:rsidRDefault="00F561D9" w:rsidP="006B40CA">
            <w:pPr>
              <w:jc w:val="right"/>
              <w:rPr>
                <w:sz w:val="16"/>
                <w:szCs w:val="16"/>
              </w:rPr>
            </w:pPr>
            <w:r w:rsidRPr="00720A84">
              <w:rPr>
                <w:sz w:val="16"/>
                <w:szCs w:val="16"/>
              </w:rPr>
              <w:t>USA</w:t>
            </w:r>
          </w:p>
        </w:tc>
        <w:tc>
          <w:tcPr>
            <w:tcW w:w="1246" w:type="dxa"/>
            <w:tcBorders>
              <w:top w:val="nil"/>
              <w:left w:val="nil"/>
              <w:bottom w:val="nil"/>
              <w:right w:val="nil"/>
            </w:tcBorders>
            <w:shd w:val="clear" w:color="auto" w:fill="auto"/>
            <w:noWrap/>
            <w:vAlign w:val="center"/>
          </w:tcPr>
          <w:p w14:paraId="1CD4FD12" w14:textId="77777777" w:rsidR="00F561D9" w:rsidRPr="00720A84" w:rsidRDefault="00F561D9" w:rsidP="006B40CA">
            <w:pPr>
              <w:jc w:val="right"/>
              <w:rPr>
                <w:sz w:val="16"/>
                <w:szCs w:val="16"/>
              </w:rPr>
            </w:pPr>
            <w:r w:rsidRPr="00720A84">
              <w:rPr>
                <w:sz w:val="16"/>
                <w:szCs w:val="16"/>
              </w:rPr>
              <w:t>GF</w:t>
            </w:r>
          </w:p>
        </w:tc>
      </w:tr>
      <w:tr w:rsidR="00F561D9" w:rsidRPr="00720A84" w14:paraId="6C931FF5"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1AE4171" w14:textId="77777777" w:rsidR="00F561D9" w:rsidRPr="00720A84" w:rsidRDefault="00F561D9" w:rsidP="006B40CA">
            <w:pPr>
              <w:rPr>
                <w:sz w:val="16"/>
                <w:szCs w:val="16"/>
              </w:rPr>
            </w:pPr>
            <w:r w:rsidRPr="00720A84">
              <w:rPr>
                <w:sz w:val="16"/>
                <w:szCs w:val="16"/>
              </w:rPr>
              <w:t>Datasul</w:t>
            </w:r>
          </w:p>
        </w:tc>
        <w:tc>
          <w:tcPr>
            <w:tcW w:w="2079" w:type="dxa"/>
            <w:tcBorders>
              <w:top w:val="nil"/>
              <w:left w:val="nil"/>
              <w:bottom w:val="nil"/>
              <w:right w:val="nil"/>
            </w:tcBorders>
            <w:shd w:val="clear" w:color="auto" w:fill="auto"/>
            <w:noWrap/>
            <w:vAlign w:val="center"/>
          </w:tcPr>
          <w:p w14:paraId="7511743C" w14:textId="77777777" w:rsidR="00F561D9" w:rsidRPr="00720A84" w:rsidRDefault="00F561D9" w:rsidP="006B40CA">
            <w:pPr>
              <w:rPr>
                <w:sz w:val="16"/>
                <w:szCs w:val="16"/>
              </w:rPr>
            </w:pPr>
            <w:r w:rsidRPr="00720A84">
              <w:rPr>
                <w:sz w:val="16"/>
                <w:szCs w:val="16"/>
              </w:rPr>
              <w:t>Business intelligence</w:t>
            </w:r>
          </w:p>
        </w:tc>
        <w:tc>
          <w:tcPr>
            <w:tcW w:w="1134" w:type="dxa"/>
            <w:tcBorders>
              <w:top w:val="nil"/>
              <w:left w:val="nil"/>
              <w:bottom w:val="nil"/>
              <w:right w:val="nil"/>
            </w:tcBorders>
            <w:shd w:val="clear" w:color="auto" w:fill="auto"/>
            <w:noWrap/>
            <w:vAlign w:val="center"/>
          </w:tcPr>
          <w:p w14:paraId="39A524C6" w14:textId="77777777" w:rsidR="00F561D9" w:rsidRPr="00720A84" w:rsidRDefault="00F561D9" w:rsidP="006B40CA">
            <w:pPr>
              <w:jc w:val="right"/>
              <w:rPr>
                <w:sz w:val="16"/>
                <w:szCs w:val="16"/>
              </w:rPr>
            </w:pPr>
            <w:r w:rsidRPr="00720A84">
              <w:rPr>
                <w:sz w:val="16"/>
                <w:szCs w:val="16"/>
              </w:rPr>
              <w:t>95</w:t>
            </w:r>
          </w:p>
        </w:tc>
        <w:tc>
          <w:tcPr>
            <w:tcW w:w="739" w:type="dxa"/>
            <w:tcBorders>
              <w:top w:val="nil"/>
              <w:left w:val="nil"/>
              <w:bottom w:val="nil"/>
              <w:right w:val="nil"/>
            </w:tcBorders>
            <w:shd w:val="clear" w:color="auto" w:fill="auto"/>
            <w:noWrap/>
            <w:vAlign w:val="center"/>
          </w:tcPr>
          <w:p w14:paraId="0F8086E4" w14:textId="77777777" w:rsidR="00F561D9" w:rsidRPr="00720A84" w:rsidRDefault="00F561D9" w:rsidP="006B40CA">
            <w:pPr>
              <w:jc w:val="right"/>
              <w:rPr>
                <w:sz w:val="16"/>
                <w:szCs w:val="16"/>
              </w:rPr>
            </w:pPr>
            <w:r w:rsidRPr="00720A84">
              <w:rPr>
                <w:sz w:val="16"/>
                <w:szCs w:val="16"/>
              </w:rPr>
              <w:t>1993</w:t>
            </w:r>
          </w:p>
        </w:tc>
        <w:tc>
          <w:tcPr>
            <w:tcW w:w="982" w:type="dxa"/>
            <w:tcBorders>
              <w:top w:val="nil"/>
              <w:left w:val="nil"/>
              <w:bottom w:val="nil"/>
              <w:right w:val="nil"/>
            </w:tcBorders>
            <w:shd w:val="clear" w:color="auto" w:fill="auto"/>
            <w:noWrap/>
            <w:vAlign w:val="center"/>
          </w:tcPr>
          <w:p w14:paraId="50C38CD4" w14:textId="77777777" w:rsidR="00F561D9" w:rsidRPr="00720A84" w:rsidRDefault="00F561D9" w:rsidP="006B40CA">
            <w:pPr>
              <w:jc w:val="right"/>
              <w:rPr>
                <w:sz w:val="16"/>
                <w:szCs w:val="16"/>
              </w:rPr>
            </w:pPr>
            <w:r w:rsidRPr="00720A84">
              <w:rPr>
                <w:sz w:val="16"/>
                <w:szCs w:val="16"/>
              </w:rPr>
              <w:t>2001</w:t>
            </w:r>
          </w:p>
        </w:tc>
        <w:tc>
          <w:tcPr>
            <w:tcW w:w="783" w:type="dxa"/>
            <w:tcBorders>
              <w:top w:val="nil"/>
              <w:left w:val="nil"/>
              <w:bottom w:val="nil"/>
              <w:right w:val="nil"/>
            </w:tcBorders>
            <w:shd w:val="clear" w:color="auto" w:fill="auto"/>
            <w:noWrap/>
            <w:vAlign w:val="center"/>
          </w:tcPr>
          <w:p w14:paraId="78FE7D19" w14:textId="77777777" w:rsidR="00F561D9" w:rsidRPr="00720A84" w:rsidRDefault="00F561D9" w:rsidP="006B40CA">
            <w:pPr>
              <w:jc w:val="right"/>
              <w:rPr>
                <w:sz w:val="16"/>
                <w:szCs w:val="16"/>
              </w:rPr>
            </w:pPr>
            <w:r w:rsidRPr="00720A84">
              <w:rPr>
                <w:sz w:val="16"/>
                <w:szCs w:val="16"/>
              </w:rPr>
              <w:t>4</w:t>
            </w:r>
          </w:p>
        </w:tc>
        <w:tc>
          <w:tcPr>
            <w:tcW w:w="2091" w:type="dxa"/>
            <w:tcBorders>
              <w:top w:val="nil"/>
              <w:left w:val="nil"/>
              <w:bottom w:val="nil"/>
              <w:right w:val="nil"/>
            </w:tcBorders>
            <w:shd w:val="clear" w:color="auto" w:fill="auto"/>
            <w:noWrap/>
            <w:vAlign w:val="center"/>
          </w:tcPr>
          <w:p w14:paraId="5612315A"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12FC1A8C" w14:textId="77777777" w:rsidR="00F561D9" w:rsidRPr="00720A84" w:rsidRDefault="00F561D9" w:rsidP="006B40CA">
            <w:pPr>
              <w:jc w:val="right"/>
              <w:rPr>
                <w:sz w:val="16"/>
                <w:szCs w:val="16"/>
              </w:rPr>
            </w:pPr>
            <w:r w:rsidRPr="00720A84">
              <w:rPr>
                <w:sz w:val="16"/>
                <w:szCs w:val="16"/>
              </w:rPr>
              <w:t>GF</w:t>
            </w:r>
          </w:p>
        </w:tc>
      </w:tr>
      <w:tr w:rsidR="00F561D9" w:rsidRPr="00720A84" w14:paraId="6F1EDD49"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633DF58F" w14:textId="77777777" w:rsidR="00F561D9" w:rsidRPr="00720A84" w:rsidRDefault="00F561D9" w:rsidP="006B40CA">
            <w:pPr>
              <w:rPr>
                <w:sz w:val="16"/>
                <w:szCs w:val="16"/>
              </w:rPr>
            </w:pPr>
            <w:r w:rsidRPr="00720A84">
              <w:rPr>
                <w:sz w:val="16"/>
                <w:szCs w:val="16"/>
              </w:rPr>
              <w:t>Ibope</w:t>
            </w:r>
          </w:p>
        </w:tc>
        <w:tc>
          <w:tcPr>
            <w:tcW w:w="2079" w:type="dxa"/>
            <w:tcBorders>
              <w:top w:val="nil"/>
              <w:left w:val="nil"/>
              <w:bottom w:val="nil"/>
              <w:right w:val="nil"/>
            </w:tcBorders>
            <w:shd w:val="clear" w:color="auto" w:fill="auto"/>
            <w:noWrap/>
            <w:vAlign w:val="center"/>
          </w:tcPr>
          <w:p w14:paraId="5B025D04" w14:textId="77777777" w:rsidR="00F561D9" w:rsidRPr="00720A84" w:rsidRDefault="00F561D9" w:rsidP="006B40CA">
            <w:pPr>
              <w:rPr>
                <w:sz w:val="16"/>
                <w:szCs w:val="16"/>
              </w:rPr>
            </w:pPr>
            <w:r w:rsidRPr="00720A84">
              <w:rPr>
                <w:sz w:val="16"/>
                <w:szCs w:val="16"/>
              </w:rPr>
              <w:t>Telecommunication</w:t>
            </w:r>
          </w:p>
        </w:tc>
        <w:tc>
          <w:tcPr>
            <w:tcW w:w="1134" w:type="dxa"/>
            <w:tcBorders>
              <w:top w:val="nil"/>
              <w:left w:val="nil"/>
              <w:bottom w:val="nil"/>
              <w:right w:val="nil"/>
            </w:tcBorders>
            <w:shd w:val="clear" w:color="auto" w:fill="auto"/>
            <w:noWrap/>
            <w:vAlign w:val="center"/>
          </w:tcPr>
          <w:p w14:paraId="04B75C24" w14:textId="77777777" w:rsidR="00F561D9" w:rsidRPr="00720A84" w:rsidRDefault="00F561D9" w:rsidP="006B40CA">
            <w:pPr>
              <w:jc w:val="right"/>
              <w:rPr>
                <w:sz w:val="16"/>
                <w:szCs w:val="16"/>
              </w:rPr>
            </w:pPr>
            <w:r w:rsidRPr="00720A84">
              <w:rPr>
                <w:sz w:val="16"/>
                <w:szCs w:val="16"/>
              </w:rPr>
              <w:t>-</w:t>
            </w:r>
          </w:p>
        </w:tc>
        <w:tc>
          <w:tcPr>
            <w:tcW w:w="739" w:type="dxa"/>
            <w:tcBorders>
              <w:top w:val="nil"/>
              <w:left w:val="nil"/>
              <w:bottom w:val="nil"/>
              <w:right w:val="nil"/>
            </w:tcBorders>
            <w:shd w:val="clear" w:color="auto" w:fill="auto"/>
            <w:noWrap/>
            <w:vAlign w:val="center"/>
          </w:tcPr>
          <w:p w14:paraId="095683F5"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57110E4B" w14:textId="77777777" w:rsidR="00F561D9" w:rsidRPr="00720A84" w:rsidRDefault="00F561D9" w:rsidP="006B40CA">
            <w:pPr>
              <w:jc w:val="right"/>
              <w:rPr>
                <w:sz w:val="16"/>
                <w:szCs w:val="16"/>
              </w:rPr>
            </w:pPr>
            <w:r w:rsidRPr="00720A84">
              <w:rPr>
                <w:sz w:val="16"/>
                <w:szCs w:val="16"/>
              </w:rPr>
              <w:t>1991</w:t>
            </w:r>
          </w:p>
        </w:tc>
        <w:tc>
          <w:tcPr>
            <w:tcW w:w="783" w:type="dxa"/>
            <w:tcBorders>
              <w:top w:val="nil"/>
              <w:left w:val="nil"/>
              <w:bottom w:val="nil"/>
              <w:right w:val="nil"/>
            </w:tcBorders>
            <w:shd w:val="clear" w:color="auto" w:fill="auto"/>
            <w:noWrap/>
            <w:vAlign w:val="center"/>
          </w:tcPr>
          <w:p w14:paraId="445E273E" w14:textId="77777777" w:rsidR="00F561D9" w:rsidRPr="00720A84" w:rsidRDefault="00F561D9" w:rsidP="006B40CA">
            <w:pPr>
              <w:jc w:val="right"/>
              <w:rPr>
                <w:sz w:val="16"/>
                <w:szCs w:val="16"/>
              </w:rPr>
            </w:pPr>
            <w:r w:rsidRPr="00720A84">
              <w:rPr>
                <w:sz w:val="16"/>
                <w:szCs w:val="16"/>
              </w:rPr>
              <w:t>16</w:t>
            </w:r>
          </w:p>
        </w:tc>
        <w:tc>
          <w:tcPr>
            <w:tcW w:w="2091" w:type="dxa"/>
            <w:tcBorders>
              <w:top w:val="nil"/>
              <w:left w:val="nil"/>
              <w:bottom w:val="nil"/>
              <w:right w:val="nil"/>
            </w:tcBorders>
            <w:shd w:val="clear" w:color="auto" w:fill="auto"/>
            <w:noWrap/>
            <w:vAlign w:val="center"/>
          </w:tcPr>
          <w:p w14:paraId="6B1440C0"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nil"/>
              <w:right w:val="nil"/>
            </w:tcBorders>
            <w:shd w:val="clear" w:color="auto" w:fill="auto"/>
            <w:noWrap/>
            <w:vAlign w:val="center"/>
          </w:tcPr>
          <w:p w14:paraId="0304EDAE" w14:textId="77777777" w:rsidR="00F561D9" w:rsidRPr="00720A84" w:rsidRDefault="00F561D9" w:rsidP="006B40CA">
            <w:pPr>
              <w:jc w:val="right"/>
              <w:rPr>
                <w:sz w:val="16"/>
                <w:szCs w:val="16"/>
              </w:rPr>
            </w:pPr>
            <w:r w:rsidRPr="00720A84">
              <w:rPr>
                <w:sz w:val="16"/>
                <w:szCs w:val="16"/>
              </w:rPr>
              <w:t>JV, GF</w:t>
            </w:r>
          </w:p>
        </w:tc>
      </w:tr>
      <w:tr w:rsidR="00F561D9" w:rsidRPr="00720A84" w14:paraId="2F8D2B1F"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0E1C38C1" w14:textId="77777777" w:rsidR="00F561D9" w:rsidRPr="00720A84" w:rsidRDefault="00F561D9" w:rsidP="006B40CA">
            <w:pPr>
              <w:rPr>
                <w:sz w:val="16"/>
                <w:szCs w:val="16"/>
              </w:rPr>
            </w:pPr>
            <w:r w:rsidRPr="00720A84">
              <w:rPr>
                <w:sz w:val="16"/>
                <w:szCs w:val="16"/>
              </w:rPr>
              <w:t>Odebrecht</w:t>
            </w:r>
          </w:p>
        </w:tc>
        <w:tc>
          <w:tcPr>
            <w:tcW w:w="2079" w:type="dxa"/>
            <w:tcBorders>
              <w:top w:val="nil"/>
              <w:left w:val="nil"/>
              <w:bottom w:val="nil"/>
              <w:right w:val="nil"/>
            </w:tcBorders>
            <w:shd w:val="clear" w:color="auto" w:fill="auto"/>
            <w:noWrap/>
            <w:vAlign w:val="center"/>
          </w:tcPr>
          <w:p w14:paraId="6BB9F8A3" w14:textId="77777777" w:rsidR="00F561D9" w:rsidRPr="00720A84" w:rsidRDefault="00F561D9" w:rsidP="006B40CA">
            <w:pPr>
              <w:rPr>
                <w:sz w:val="16"/>
                <w:szCs w:val="16"/>
              </w:rPr>
            </w:pPr>
            <w:r w:rsidRPr="00720A84">
              <w:rPr>
                <w:sz w:val="16"/>
                <w:szCs w:val="16"/>
              </w:rPr>
              <w:t>Engineering and construction</w:t>
            </w:r>
          </w:p>
        </w:tc>
        <w:tc>
          <w:tcPr>
            <w:tcW w:w="1134" w:type="dxa"/>
            <w:tcBorders>
              <w:top w:val="nil"/>
              <w:left w:val="nil"/>
              <w:bottom w:val="nil"/>
              <w:right w:val="nil"/>
            </w:tcBorders>
            <w:shd w:val="clear" w:color="auto" w:fill="auto"/>
            <w:noWrap/>
            <w:vAlign w:val="center"/>
          </w:tcPr>
          <w:p w14:paraId="58846BB7" w14:textId="77777777" w:rsidR="00F561D9" w:rsidRPr="00720A84" w:rsidRDefault="00F561D9" w:rsidP="006B40CA">
            <w:pPr>
              <w:jc w:val="right"/>
              <w:rPr>
                <w:sz w:val="16"/>
                <w:szCs w:val="16"/>
              </w:rPr>
            </w:pPr>
            <w:r w:rsidRPr="00720A84">
              <w:rPr>
                <w:sz w:val="16"/>
                <w:szCs w:val="16"/>
              </w:rPr>
              <w:t>11,322</w:t>
            </w:r>
          </w:p>
        </w:tc>
        <w:tc>
          <w:tcPr>
            <w:tcW w:w="739" w:type="dxa"/>
            <w:tcBorders>
              <w:top w:val="nil"/>
              <w:left w:val="nil"/>
              <w:bottom w:val="nil"/>
              <w:right w:val="nil"/>
            </w:tcBorders>
            <w:shd w:val="clear" w:color="auto" w:fill="auto"/>
            <w:noWrap/>
            <w:vAlign w:val="center"/>
          </w:tcPr>
          <w:p w14:paraId="6B2537E6" w14:textId="77777777" w:rsidR="00F561D9" w:rsidRPr="00720A84" w:rsidRDefault="00F561D9" w:rsidP="006B40CA">
            <w:pPr>
              <w:jc w:val="right"/>
              <w:rPr>
                <w:sz w:val="16"/>
                <w:szCs w:val="16"/>
              </w:rPr>
            </w:pPr>
            <w:r w:rsidRPr="00720A84">
              <w:rPr>
                <w:sz w:val="16"/>
                <w:szCs w:val="16"/>
              </w:rPr>
              <w:t>1979</w:t>
            </w:r>
          </w:p>
        </w:tc>
        <w:tc>
          <w:tcPr>
            <w:tcW w:w="982" w:type="dxa"/>
            <w:tcBorders>
              <w:top w:val="nil"/>
              <w:left w:val="nil"/>
              <w:bottom w:val="nil"/>
              <w:right w:val="nil"/>
            </w:tcBorders>
            <w:shd w:val="clear" w:color="auto" w:fill="auto"/>
            <w:noWrap/>
            <w:vAlign w:val="center"/>
          </w:tcPr>
          <w:p w14:paraId="0DDE6C64" w14:textId="77777777" w:rsidR="00F561D9" w:rsidRPr="00720A84" w:rsidRDefault="00F561D9" w:rsidP="006B40CA">
            <w:pPr>
              <w:jc w:val="right"/>
              <w:rPr>
                <w:sz w:val="16"/>
                <w:szCs w:val="16"/>
              </w:rPr>
            </w:pPr>
            <w:r w:rsidRPr="00720A84">
              <w:rPr>
                <w:sz w:val="16"/>
                <w:szCs w:val="16"/>
              </w:rPr>
              <w:t>1979</w:t>
            </w:r>
          </w:p>
        </w:tc>
        <w:tc>
          <w:tcPr>
            <w:tcW w:w="783" w:type="dxa"/>
            <w:tcBorders>
              <w:top w:val="nil"/>
              <w:left w:val="nil"/>
              <w:bottom w:val="nil"/>
              <w:right w:val="nil"/>
            </w:tcBorders>
            <w:shd w:val="clear" w:color="auto" w:fill="auto"/>
            <w:noWrap/>
            <w:vAlign w:val="center"/>
          </w:tcPr>
          <w:p w14:paraId="28F0F94B" w14:textId="77777777" w:rsidR="00F561D9" w:rsidRPr="00720A84" w:rsidRDefault="00F561D9" w:rsidP="006B40CA">
            <w:pPr>
              <w:jc w:val="right"/>
              <w:rPr>
                <w:sz w:val="16"/>
                <w:szCs w:val="16"/>
              </w:rPr>
            </w:pPr>
            <w:r w:rsidRPr="00720A84">
              <w:rPr>
                <w:sz w:val="16"/>
                <w:szCs w:val="16"/>
              </w:rPr>
              <w:t>14</w:t>
            </w:r>
          </w:p>
        </w:tc>
        <w:tc>
          <w:tcPr>
            <w:tcW w:w="2091" w:type="dxa"/>
            <w:tcBorders>
              <w:top w:val="nil"/>
              <w:left w:val="nil"/>
              <w:bottom w:val="nil"/>
              <w:right w:val="nil"/>
            </w:tcBorders>
            <w:shd w:val="clear" w:color="auto" w:fill="auto"/>
            <w:noWrap/>
            <w:vAlign w:val="center"/>
          </w:tcPr>
          <w:p w14:paraId="3F98783B" w14:textId="77777777" w:rsidR="00F561D9" w:rsidRPr="00720A84" w:rsidRDefault="00F561D9" w:rsidP="006B40CA">
            <w:pPr>
              <w:jc w:val="right"/>
              <w:rPr>
                <w:sz w:val="16"/>
                <w:szCs w:val="16"/>
              </w:rPr>
            </w:pPr>
            <w:r w:rsidRPr="00720A84">
              <w:rPr>
                <w:sz w:val="16"/>
                <w:szCs w:val="16"/>
              </w:rPr>
              <w:t>LA, Africa, EU</w:t>
            </w:r>
          </w:p>
        </w:tc>
        <w:tc>
          <w:tcPr>
            <w:tcW w:w="1246" w:type="dxa"/>
            <w:tcBorders>
              <w:top w:val="nil"/>
              <w:left w:val="nil"/>
              <w:bottom w:val="nil"/>
              <w:right w:val="nil"/>
            </w:tcBorders>
            <w:shd w:val="clear" w:color="auto" w:fill="auto"/>
            <w:noWrap/>
            <w:vAlign w:val="center"/>
          </w:tcPr>
          <w:p w14:paraId="57493BEF" w14:textId="77777777" w:rsidR="00F561D9" w:rsidRPr="00720A84" w:rsidRDefault="00F561D9" w:rsidP="006B40CA">
            <w:pPr>
              <w:jc w:val="right"/>
              <w:rPr>
                <w:sz w:val="16"/>
                <w:szCs w:val="16"/>
              </w:rPr>
            </w:pPr>
            <w:r w:rsidRPr="00720A84">
              <w:rPr>
                <w:sz w:val="16"/>
                <w:szCs w:val="16"/>
              </w:rPr>
              <w:t>Acq, GF</w:t>
            </w:r>
          </w:p>
        </w:tc>
      </w:tr>
      <w:tr w:rsidR="00F561D9" w:rsidRPr="00720A84" w14:paraId="078E5FC1" w14:textId="77777777" w:rsidTr="006B40CA">
        <w:trPr>
          <w:trHeight w:hRule="exact" w:val="227"/>
          <w:jc w:val="center"/>
        </w:trPr>
        <w:tc>
          <w:tcPr>
            <w:tcW w:w="1541" w:type="dxa"/>
            <w:tcBorders>
              <w:top w:val="nil"/>
              <w:left w:val="nil"/>
              <w:bottom w:val="nil"/>
              <w:right w:val="nil"/>
            </w:tcBorders>
            <w:shd w:val="clear" w:color="auto" w:fill="auto"/>
            <w:noWrap/>
            <w:vAlign w:val="center"/>
          </w:tcPr>
          <w:p w14:paraId="55BC224C" w14:textId="77777777" w:rsidR="00F561D9" w:rsidRPr="00720A84" w:rsidRDefault="00F561D9" w:rsidP="006B40CA">
            <w:pPr>
              <w:rPr>
                <w:sz w:val="16"/>
                <w:szCs w:val="16"/>
              </w:rPr>
            </w:pPr>
            <w:r w:rsidRPr="00720A84">
              <w:rPr>
                <w:sz w:val="16"/>
                <w:szCs w:val="16"/>
              </w:rPr>
              <w:t>Politec</w:t>
            </w:r>
          </w:p>
        </w:tc>
        <w:tc>
          <w:tcPr>
            <w:tcW w:w="2079" w:type="dxa"/>
            <w:tcBorders>
              <w:top w:val="nil"/>
              <w:left w:val="nil"/>
              <w:bottom w:val="nil"/>
              <w:right w:val="nil"/>
            </w:tcBorders>
            <w:shd w:val="clear" w:color="auto" w:fill="auto"/>
            <w:noWrap/>
            <w:vAlign w:val="center"/>
          </w:tcPr>
          <w:p w14:paraId="2D7C95E0" w14:textId="77777777" w:rsidR="00F561D9" w:rsidRPr="00720A84" w:rsidRDefault="00F561D9" w:rsidP="006B40CA">
            <w:pPr>
              <w:rPr>
                <w:sz w:val="16"/>
                <w:szCs w:val="16"/>
              </w:rPr>
            </w:pPr>
            <w:r w:rsidRPr="00720A84">
              <w:rPr>
                <w:sz w:val="16"/>
                <w:szCs w:val="16"/>
              </w:rPr>
              <w:t>Business intelligence</w:t>
            </w:r>
          </w:p>
        </w:tc>
        <w:tc>
          <w:tcPr>
            <w:tcW w:w="1134" w:type="dxa"/>
            <w:tcBorders>
              <w:top w:val="nil"/>
              <w:left w:val="nil"/>
              <w:bottom w:val="nil"/>
              <w:right w:val="nil"/>
            </w:tcBorders>
            <w:shd w:val="clear" w:color="auto" w:fill="auto"/>
            <w:noWrap/>
            <w:vAlign w:val="center"/>
          </w:tcPr>
          <w:p w14:paraId="1F8E8B2B" w14:textId="77777777" w:rsidR="00F561D9" w:rsidRPr="00720A84" w:rsidRDefault="00F561D9" w:rsidP="006B40CA">
            <w:pPr>
              <w:jc w:val="right"/>
              <w:rPr>
                <w:sz w:val="16"/>
                <w:szCs w:val="16"/>
              </w:rPr>
            </w:pPr>
            <w:r w:rsidRPr="00720A84">
              <w:rPr>
                <w:sz w:val="16"/>
                <w:szCs w:val="16"/>
              </w:rPr>
              <w:t>250</w:t>
            </w:r>
          </w:p>
        </w:tc>
        <w:tc>
          <w:tcPr>
            <w:tcW w:w="739" w:type="dxa"/>
            <w:tcBorders>
              <w:top w:val="nil"/>
              <w:left w:val="nil"/>
              <w:bottom w:val="nil"/>
              <w:right w:val="nil"/>
            </w:tcBorders>
            <w:shd w:val="clear" w:color="auto" w:fill="auto"/>
            <w:noWrap/>
            <w:vAlign w:val="center"/>
          </w:tcPr>
          <w:p w14:paraId="3A7DAD77"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nil"/>
              <w:right w:val="nil"/>
            </w:tcBorders>
            <w:shd w:val="clear" w:color="auto" w:fill="auto"/>
            <w:noWrap/>
            <w:vAlign w:val="center"/>
          </w:tcPr>
          <w:p w14:paraId="02747498" w14:textId="77777777" w:rsidR="00F561D9" w:rsidRPr="00720A84" w:rsidRDefault="00F561D9" w:rsidP="006B40CA">
            <w:pPr>
              <w:jc w:val="right"/>
              <w:rPr>
                <w:sz w:val="16"/>
                <w:szCs w:val="16"/>
              </w:rPr>
            </w:pPr>
            <w:r w:rsidRPr="00720A84">
              <w:rPr>
                <w:sz w:val="16"/>
                <w:szCs w:val="16"/>
              </w:rPr>
              <w:t>-</w:t>
            </w:r>
          </w:p>
        </w:tc>
        <w:tc>
          <w:tcPr>
            <w:tcW w:w="783" w:type="dxa"/>
            <w:tcBorders>
              <w:top w:val="nil"/>
              <w:left w:val="nil"/>
              <w:bottom w:val="nil"/>
              <w:right w:val="nil"/>
            </w:tcBorders>
            <w:shd w:val="clear" w:color="auto" w:fill="auto"/>
            <w:noWrap/>
            <w:vAlign w:val="center"/>
          </w:tcPr>
          <w:p w14:paraId="48A98DD6" w14:textId="77777777" w:rsidR="00F561D9" w:rsidRPr="00720A84" w:rsidRDefault="00F561D9" w:rsidP="006B40CA">
            <w:pPr>
              <w:jc w:val="right"/>
              <w:rPr>
                <w:sz w:val="16"/>
                <w:szCs w:val="16"/>
              </w:rPr>
            </w:pPr>
            <w:r w:rsidRPr="00720A84">
              <w:rPr>
                <w:sz w:val="16"/>
                <w:szCs w:val="16"/>
              </w:rPr>
              <w:t>2</w:t>
            </w:r>
          </w:p>
        </w:tc>
        <w:tc>
          <w:tcPr>
            <w:tcW w:w="2091" w:type="dxa"/>
            <w:tcBorders>
              <w:top w:val="nil"/>
              <w:left w:val="nil"/>
              <w:bottom w:val="nil"/>
              <w:right w:val="nil"/>
            </w:tcBorders>
            <w:shd w:val="clear" w:color="auto" w:fill="auto"/>
            <w:noWrap/>
            <w:vAlign w:val="center"/>
          </w:tcPr>
          <w:p w14:paraId="2BB32170" w14:textId="77777777" w:rsidR="00F561D9" w:rsidRPr="00720A84" w:rsidRDefault="00F561D9" w:rsidP="006B40CA">
            <w:pPr>
              <w:jc w:val="right"/>
              <w:rPr>
                <w:sz w:val="16"/>
                <w:szCs w:val="16"/>
              </w:rPr>
            </w:pPr>
            <w:r w:rsidRPr="00720A84">
              <w:rPr>
                <w:sz w:val="16"/>
                <w:szCs w:val="16"/>
              </w:rPr>
              <w:t>USA, Japan</w:t>
            </w:r>
          </w:p>
        </w:tc>
        <w:tc>
          <w:tcPr>
            <w:tcW w:w="1246" w:type="dxa"/>
            <w:tcBorders>
              <w:top w:val="nil"/>
              <w:left w:val="nil"/>
              <w:bottom w:val="nil"/>
              <w:right w:val="nil"/>
            </w:tcBorders>
            <w:shd w:val="clear" w:color="auto" w:fill="auto"/>
            <w:noWrap/>
            <w:vAlign w:val="center"/>
          </w:tcPr>
          <w:p w14:paraId="1216963D" w14:textId="77777777" w:rsidR="00F561D9" w:rsidRPr="00720A84" w:rsidRDefault="00F561D9" w:rsidP="006B40CA">
            <w:pPr>
              <w:jc w:val="right"/>
              <w:rPr>
                <w:sz w:val="16"/>
                <w:szCs w:val="16"/>
              </w:rPr>
            </w:pPr>
            <w:r w:rsidRPr="00720A84">
              <w:rPr>
                <w:sz w:val="16"/>
                <w:szCs w:val="16"/>
              </w:rPr>
              <w:t>GF, Acq</w:t>
            </w:r>
          </w:p>
        </w:tc>
      </w:tr>
      <w:tr w:rsidR="00F561D9" w:rsidRPr="00720A84" w14:paraId="7DA0C171" w14:textId="77777777" w:rsidTr="006B40CA">
        <w:trPr>
          <w:trHeight w:hRule="exact" w:val="227"/>
          <w:jc w:val="center"/>
        </w:trPr>
        <w:tc>
          <w:tcPr>
            <w:tcW w:w="1541" w:type="dxa"/>
            <w:tcBorders>
              <w:top w:val="nil"/>
              <w:left w:val="nil"/>
              <w:bottom w:val="single" w:sz="12" w:space="0" w:color="auto"/>
              <w:right w:val="nil"/>
            </w:tcBorders>
            <w:shd w:val="clear" w:color="auto" w:fill="auto"/>
            <w:noWrap/>
            <w:vAlign w:val="center"/>
          </w:tcPr>
          <w:p w14:paraId="7BFC2E6D" w14:textId="77777777" w:rsidR="00F561D9" w:rsidRPr="00720A84" w:rsidRDefault="00F561D9" w:rsidP="006B40CA">
            <w:pPr>
              <w:rPr>
                <w:sz w:val="16"/>
                <w:szCs w:val="16"/>
              </w:rPr>
            </w:pPr>
            <w:r w:rsidRPr="00720A84">
              <w:rPr>
                <w:sz w:val="16"/>
                <w:szCs w:val="16"/>
              </w:rPr>
              <w:t>YKP</w:t>
            </w:r>
          </w:p>
        </w:tc>
        <w:tc>
          <w:tcPr>
            <w:tcW w:w="2079" w:type="dxa"/>
            <w:tcBorders>
              <w:top w:val="nil"/>
              <w:left w:val="nil"/>
              <w:bottom w:val="single" w:sz="12" w:space="0" w:color="auto"/>
              <w:right w:val="nil"/>
            </w:tcBorders>
            <w:shd w:val="clear" w:color="auto" w:fill="auto"/>
            <w:noWrap/>
            <w:vAlign w:val="center"/>
          </w:tcPr>
          <w:p w14:paraId="148DF819" w14:textId="77777777" w:rsidR="00F561D9" w:rsidRPr="00720A84" w:rsidRDefault="00F561D9" w:rsidP="006B40CA">
            <w:pPr>
              <w:rPr>
                <w:sz w:val="16"/>
                <w:szCs w:val="16"/>
              </w:rPr>
            </w:pPr>
            <w:r w:rsidRPr="00720A84">
              <w:rPr>
                <w:sz w:val="16"/>
                <w:szCs w:val="16"/>
              </w:rPr>
              <w:t>Business intelligence</w:t>
            </w:r>
          </w:p>
        </w:tc>
        <w:tc>
          <w:tcPr>
            <w:tcW w:w="1134" w:type="dxa"/>
            <w:tcBorders>
              <w:top w:val="nil"/>
              <w:left w:val="nil"/>
              <w:bottom w:val="single" w:sz="12" w:space="0" w:color="auto"/>
              <w:right w:val="nil"/>
            </w:tcBorders>
            <w:shd w:val="clear" w:color="auto" w:fill="auto"/>
            <w:noWrap/>
            <w:vAlign w:val="center"/>
          </w:tcPr>
          <w:p w14:paraId="25738B29" w14:textId="77777777" w:rsidR="00F561D9" w:rsidRPr="00720A84" w:rsidRDefault="00F561D9" w:rsidP="006B40CA">
            <w:pPr>
              <w:jc w:val="right"/>
              <w:rPr>
                <w:sz w:val="16"/>
                <w:szCs w:val="16"/>
              </w:rPr>
            </w:pPr>
            <w:r w:rsidRPr="00720A84">
              <w:rPr>
                <w:sz w:val="16"/>
                <w:szCs w:val="16"/>
              </w:rPr>
              <w:t>18</w:t>
            </w:r>
          </w:p>
        </w:tc>
        <w:tc>
          <w:tcPr>
            <w:tcW w:w="739" w:type="dxa"/>
            <w:tcBorders>
              <w:top w:val="nil"/>
              <w:left w:val="nil"/>
              <w:bottom w:val="single" w:sz="12" w:space="0" w:color="auto"/>
              <w:right w:val="nil"/>
            </w:tcBorders>
            <w:shd w:val="clear" w:color="auto" w:fill="auto"/>
            <w:noWrap/>
            <w:vAlign w:val="center"/>
          </w:tcPr>
          <w:p w14:paraId="5CAE6096" w14:textId="77777777" w:rsidR="00F561D9" w:rsidRPr="00720A84" w:rsidRDefault="00F561D9" w:rsidP="006B40CA">
            <w:pPr>
              <w:jc w:val="right"/>
              <w:rPr>
                <w:sz w:val="16"/>
                <w:szCs w:val="16"/>
              </w:rPr>
            </w:pPr>
            <w:r w:rsidRPr="00720A84">
              <w:rPr>
                <w:sz w:val="16"/>
                <w:szCs w:val="16"/>
              </w:rPr>
              <w:t>-</w:t>
            </w:r>
          </w:p>
        </w:tc>
        <w:tc>
          <w:tcPr>
            <w:tcW w:w="982" w:type="dxa"/>
            <w:tcBorders>
              <w:top w:val="nil"/>
              <w:left w:val="nil"/>
              <w:bottom w:val="single" w:sz="12" w:space="0" w:color="auto"/>
              <w:right w:val="nil"/>
            </w:tcBorders>
            <w:shd w:val="clear" w:color="auto" w:fill="auto"/>
            <w:noWrap/>
            <w:vAlign w:val="center"/>
          </w:tcPr>
          <w:p w14:paraId="28BC3947" w14:textId="77777777" w:rsidR="00F561D9" w:rsidRPr="00720A84" w:rsidRDefault="00F561D9" w:rsidP="006B40CA">
            <w:pPr>
              <w:jc w:val="right"/>
              <w:rPr>
                <w:sz w:val="16"/>
                <w:szCs w:val="16"/>
              </w:rPr>
            </w:pPr>
            <w:r w:rsidRPr="00720A84">
              <w:rPr>
                <w:sz w:val="16"/>
                <w:szCs w:val="16"/>
              </w:rPr>
              <w:t>-</w:t>
            </w:r>
          </w:p>
        </w:tc>
        <w:tc>
          <w:tcPr>
            <w:tcW w:w="783" w:type="dxa"/>
            <w:tcBorders>
              <w:top w:val="nil"/>
              <w:left w:val="nil"/>
              <w:bottom w:val="single" w:sz="12" w:space="0" w:color="auto"/>
              <w:right w:val="nil"/>
            </w:tcBorders>
            <w:shd w:val="clear" w:color="auto" w:fill="auto"/>
            <w:noWrap/>
            <w:vAlign w:val="center"/>
          </w:tcPr>
          <w:p w14:paraId="57EE2A04" w14:textId="77777777" w:rsidR="00F561D9" w:rsidRPr="00720A84" w:rsidRDefault="00F561D9" w:rsidP="006B40CA">
            <w:pPr>
              <w:jc w:val="right"/>
              <w:rPr>
                <w:sz w:val="16"/>
                <w:szCs w:val="16"/>
              </w:rPr>
            </w:pPr>
            <w:r w:rsidRPr="00720A84">
              <w:rPr>
                <w:sz w:val="16"/>
                <w:szCs w:val="16"/>
              </w:rPr>
              <w:t>-</w:t>
            </w:r>
          </w:p>
        </w:tc>
        <w:tc>
          <w:tcPr>
            <w:tcW w:w="2091" w:type="dxa"/>
            <w:tcBorders>
              <w:top w:val="nil"/>
              <w:left w:val="nil"/>
              <w:bottom w:val="single" w:sz="12" w:space="0" w:color="auto"/>
              <w:right w:val="nil"/>
            </w:tcBorders>
            <w:shd w:val="clear" w:color="auto" w:fill="auto"/>
            <w:noWrap/>
            <w:vAlign w:val="center"/>
          </w:tcPr>
          <w:p w14:paraId="66CEB165" w14:textId="77777777" w:rsidR="00F561D9" w:rsidRPr="00720A84" w:rsidRDefault="00F561D9" w:rsidP="006B40CA">
            <w:pPr>
              <w:jc w:val="right"/>
              <w:rPr>
                <w:sz w:val="16"/>
                <w:szCs w:val="16"/>
              </w:rPr>
            </w:pPr>
            <w:r w:rsidRPr="00720A84">
              <w:rPr>
                <w:sz w:val="16"/>
                <w:szCs w:val="16"/>
              </w:rPr>
              <w:t>LA</w:t>
            </w:r>
          </w:p>
        </w:tc>
        <w:tc>
          <w:tcPr>
            <w:tcW w:w="1246" w:type="dxa"/>
            <w:tcBorders>
              <w:top w:val="nil"/>
              <w:left w:val="nil"/>
              <w:bottom w:val="single" w:sz="12" w:space="0" w:color="auto"/>
              <w:right w:val="nil"/>
            </w:tcBorders>
            <w:shd w:val="clear" w:color="auto" w:fill="auto"/>
            <w:noWrap/>
            <w:vAlign w:val="center"/>
          </w:tcPr>
          <w:p w14:paraId="227856A5" w14:textId="77777777" w:rsidR="00F561D9" w:rsidRPr="00720A84" w:rsidRDefault="00F561D9" w:rsidP="006B40CA">
            <w:pPr>
              <w:jc w:val="right"/>
              <w:rPr>
                <w:sz w:val="16"/>
                <w:szCs w:val="16"/>
              </w:rPr>
            </w:pPr>
            <w:r w:rsidRPr="00720A84">
              <w:rPr>
                <w:sz w:val="16"/>
                <w:szCs w:val="16"/>
              </w:rPr>
              <w:t>JV</w:t>
            </w:r>
          </w:p>
        </w:tc>
      </w:tr>
    </w:tbl>
    <w:p w14:paraId="1B2A1386" w14:textId="77777777" w:rsidR="00F561D9" w:rsidRPr="006C3C4C" w:rsidRDefault="00F561D9" w:rsidP="00F561D9">
      <w:pPr>
        <w:jc w:val="both"/>
        <w:rPr>
          <w:sz w:val="20"/>
          <w:szCs w:val="20"/>
          <w:lang w:val="en-GB"/>
        </w:rPr>
      </w:pPr>
      <w:r w:rsidRPr="00A2564A">
        <w:rPr>
          <w:sz w:val="20"/>
          <w:szCs w:val="20"/>
          <w:lang w:val="en-GB"/>
        </w:rPr>
        <w:t>Source</w:t>
      </w:r>
      <w:r w:rsidRPr="00E853AB">
        <w:rPr>
          <w:sz w:val="20"/>
          <w:szCs w:val="20"/>
          <w:lang w:val="en-GB"/>
        </w:rPr>
        <w:t>: Fleury &amp; Fleury (2009).</w:t>
      </w:r>
    </w:p>
    <w:p w14:paraId="383BBEBE" w14:textId="77777777" w:rsidR="00F561D9" w:rsidRPr="006C3C4C" w:rsidRDefault="00F561D9" w:rsidP="00F561D9">
      <w:pPr>
        <w:jc w:val="both"/>
        <w:rPr>
          <w:sz w:val="20"/>
          <w:szCs w:val="20"/>
          <w:lang w:val="en-GB"/>
        </w:rPr>
      </w:pPr>
      <w:r w:rsidRPr="00A2564A">
        <w:rPr>
          <w:sz w:val="20"/>
          <w:szCs w:val="20"/>
          <w:lang w:val="en-GB"/>
        </w:rPr>
        <w:t>Note</w:t>
      </w:r>
      <w:r w:rsidRPr="006C3C4C">
        <w:rPr>
          <w:sz w:val="20"/>
          <w:szCs w:val="20"/>
          <w:lang w:val="en-GB"/>
        </w:rPr>
        <w:t xml:space="preserve">: EU = European Union; LA = Latin America; ME = Middle East; Acq = acquisition; JV = joint venture; GF = </w:t>
      </w:r>
      <w:smartTag w:uri="urn:schemas-microsoft-com:office:smarttags" w:element="City">
        <w:smartTag w:uri="urn:schemas-microsoft-com:office:smarttags" w:element="place">
          <w:r w:rsidRPr="006C3C4C">
            <w:rPr>
              <w:sz w:val="20"/>
              <w:szCs w:val="20"/>
              <w:lang w:val="en-GB"/>
            </w:rPr>
            <w:t>greenfield</w:t>
          </w:r>
        </w:smartTag>
      </w:smartTag>
      <w:r w:rsidRPr="006C3C4C">
        <w:rPr>
          <w:sz w:val="20"/>
          <w:szCs w:val="20"/>
          <w:lang w:val="en-GB"/>
        </w:rPr>
        <w:t xml:space="preserve"> plant.</w:t>
      </w:r>
    </w:p>
    <w:p w14:paraId="6711484D" w14:textId="77777777" w:rsidR="00F561D9" w:rsidRPr="00162291" w:rsidRDefault="00F561D9" w:rsidP="00F561D9">
      <w:pPr>
        <w:jc w:val="both"/>
        <w:rPr>
          <w:lang w:val="en-GB"/>
        </w:rPr>
      </w:pPr>
    </w:p>
    <w:p w14:paraId="336A14D1" w14:textId="77777777" w:rsidR="002722D8" w:rsidRDefault="00424CC1"/>
    <w:sectPr w:rsidR="002722D8" w:rsidSect="00C045A5">
      <w:headerReference w:type="even" r:id="rId22"/>
      <w:headerReference w:type="default" r:id="rId2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CBAC2" w14:textId="77777777" w:rsidR="00424CC1" w:rsidRDefault="00424CC1" w:rsidP="00F561D9">
      <w:r>
        <w:separator/>
      </w:r>
    </w:p>
  </w:endnote>
  <w:endnote w:type="continuationSeparator" w:id="0">
    <w:p w14:paraId="12E523B6" w14:textId="77777777" w:rsidR="00424CC1" w:rsidRDefault="00424CC1" w:rsidP="00F5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917EA" w14:textId="77777777" w:rsidR="00424CC1" w:rsidRDefault="00424CC1" w:rsidP="00F561D9">
      <w:r>
        <w:separator/>
      </w:r>
    </w:p>
  </w:footnote>
  <w:footnote w:type="continuationSeparator" w:id="0">
    <w:p w14:paraId="22B92B63" w14:textId="77777777" w:rsidR="00424CC1" w:rsidRDefault="00424CC1" w:rsidP="00F561D9">
      <w:r>
        <w:continuationSeparator/>
      </w:r>
    </w:p>
  </w:footnote>
  <w:footnote w:id="1">
    <w:p w14:paraId="1D0FA48A" w14:textId="77777777" w:rsidR="00F561D9" w:rsidRPr="00600B4A" w:rsidRDefault="00F561D9" w:rsidP="00F561D9">
      <w:pPr>
        <w:pStyle w:val="Textodenotaderodap"/>
        <w:jc w:val="both"/>
        <w:rPr>
          <w:lang w:val="en-US"/>
        </w:rPr>
      </w:pPr>
      <w:r w:rsidRPr="002338A3">
        <w:rPr>
          <w:rStyle w:val="Refdenotaderodap"/>
          <w:lang w:val="en-US"/>
        </w:rPr>
        <w:t>*</w:t>
      </w:r>
      <w:r w:rsidRPr="002338A3">
        <w:rPr>
          <w:lang w:val="en-US"/>
        </w:rPr>
        <w:t xml:space="preserve"> </w:t>
      </w:r>
      <w:r w:rsidRPr="00F00333">
        <w:rPr>
          <w:lang w:val="en-GB"/>
        </w:rPr>
        <w:t xml:space="preserve">PhD </w:t>
      </w:r>
      <w:r>
        <w:rPr>
          <w:lang w:val="en-GB"/>
        </w:rPr>
        <w:t xml:space="preserve">Student, Centre of Development Studies, </w:t>
      </w:r>
      <w:smartTag w:uri="urn:schemas-microsoft-com:office:smarttags" w:element="place">
        <w:smartTag w:uri="urn:schemas-microsoft-com:office:smarttags" w:element="City">
          <w:r w:rsidRPr="00F00333">
            <w:rPr>
              <w:lang w:val="en-GB"/>
            </w:rPr>
            <w:t>University of Cambridge</w:t>
          </w:r>
        </w:smartTag>
        <w:r w:rsidRPr="00F00333">
          <w:rPr>
            <w:lang w:val="en-GB"/>
          </w:rPr>
          <w:t xml:space="preserve">, </w:t>
        </w:r>
        <w:smartTag w:uri="urn:schemas-microsoft-com:office:smarttags" w:element="country-region">
          <w:r w:rsidRPr="00F00333">
            <w:rPr>
              <w:lang w:val="en-GB"/>
            </w:rPr>
            <w:t>UK</w:t>
          </w:r>
        </w:smartTag>
      </w:smartTag>
      <w:r w:rsidRPr="00F00333">
        <w:rPr>
          <w:lang w:val="en-GB"/>
        </w:rPr>
        <w:t>.</w:t>
      </w:r>
      <w:r>
        <w:rPr>
          <w:lang w:val="en-GB"/>
        </w:rPr>
        <w:t xml:space="preserve"> The author wishes to thank </w:t>
      </w:r>
      <w:smartTag w:uri="urn:schemas-microsoft-com:office:smarttags" w:element="place">
        <w:r>
          <w:rPr>
            <w:lang w:val="en-GB"/>
          </w:rPr>
          <w:t>CAPES</w:t>
        </w:r>
      </w:smartTag>
      <w:r>
        <w:rPr>
          <w:lang w:val="en-GB"/>
        </w:rPr>
        <w:t xml:space="preserve"> for the scholarship to support his PhD studies. </w:t>
      </w:r>
      <w:r w:rsidRPr="00600B4A">
        <w:rPr>
          <w:lang w:val="en-US"/>
        </w:rPr>
        <w:t xml:space="preserve">Email contact: </w:t>
      </w:r>
      <w:hyperlink r:id="rId1" w:history="1">
        <w:r w:rsidRPr="00600B4A">
          <w:rPr>
            <w:rStyle w:val="Hyperlink"/>
            <w:lang w:val="en-US"/>
          </w:rPr>
          <w:t>razb2@cam.ac.uk</w:t>
        </w:r>
      </w:hyperlink>
      <w:r w:rsidRPr="00600B4A">
        <w:rPr>
          <w:lang w:val="en-US"/>
        </w:rPr>
        <w:t>.</w:t>
      </w:r>
    </w:p>
  </w:footnote>
  <w:footnote w:id="2">
    <w:p w14:paraId="7C28118E" w14:textId="77777777" w:rsidR="00F561D9" w:rsidRPr="00402788" w:rsidRDefault="00F561D9" w:rsidP="00F561D9">
      <w:pPr>
        <w:pStyle w:val="Textodenotaderodap"/>
        <w:jc w:val="both"/>
        <w:rPr>
          <w:lang w:val="en-GB"/>
        </w:rPr>
      </w:pPr>
      <w:r w:rsidRPr="00402788">
        <w:rPr>
          <w:rStyle w:val="Refdenotaderodap"/>
          <w:lang w:val="en-GB"/>
        </w:rPr>
        <w:footnoteRef/>
      </w:r>
      <w:r w:rsidRPr="00402788">
        <w:rPr>
          <w:lang w:val="en-GB"/>
        </w:rPr>
        <w:t xml:space="preserve"> </w:t>
      </w:r>
      <w:r>
        <w:rPr>
          <w:lang w:val="en-GB"/>
        </w:rPr>
        <w:t xml:space="preserve">Available at: </w:t>
      </w:r>
      <w:r w:rsidRPr="00152503">
        <w:rPr>
          <w:lang w:val="en-GB"/>
        </w:rPr>
        <w:t>http://unctadstat.unctad.org/</w:t>
      </w:r>
      <w:r>
        <w:rPr>
          <w:lang w:val="en-GB"/>
        </w:rPr>
        <w:t>.</w:t>
      </w:r>
    </w:p>
  </w:footnote>
  <w:footnote w:id="3">
    <w:p w14:paraId="2836631B"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CSN, Embraer and Vale were created in 1941, 1969 and 1942</w:t>
      </w:r>
      <w:r>
        <w:rPr>
          <w:lang w:val="en-GB"/>
        </w:rPr>
        <w:t>,</w:t>
      </w:r>
      <w:r w:rsidRPr="00E853AB">
        <w:rPr>
          <w:lang w:val="en-GB"/>
        </w:rPr>
        <w:t xml:space="preserve"> and privatised in 1993, 1994 and 1997, respectively. Petrobrás, </w:t>
      </w:r>
      <w:r>
        <w:rPr>
          <w:lang w:val="en-GB"/>
        </w:rPr>
        <w:t>in</w:t>
      </w:r>
      <w:r w:rsidRPr="00E853AB">
        <w:rPr>
          <w:lang w:val="en-GB"/>
        </w:rPr>
        <w:t xml:space="preserve"> its turn, was founded in 1953 and remains state-owned in spite of being a public company (Fleury &amp; Fleury, 2009).</w:t>
      </w:r>
    </w:p>
  </w:footnote>
  <w:footnote w:id="4">
    <w:p w14:paraId="4984D9A6" w14:textId="77777777" w:rsidR="00F561D9" w:rsidRPr="00DC7F31" w:rsidRDefault="00F561D9" w:rsidP="00F561D9">
      <w:pPr>
        <w:pStyle w:val="Textodenotaderodap"/>
        <w:jc w:val="both"/>
        <w:rPr>
          <w:lang w:val="en-GB"/>
        </w:rPr>
      </w:pPr>
      <w:r w:rsidRPr="00E853AB">
        <w:rPr>
          <w:rStyle w:val="Refdenotaderodap"/>
          <w:lang w:val="en-GB"/>
        </w:rPr>
        <w:footnoteRef/>
      </w:r>
      <w:r w:rsidRPr="00E853AB">
        <w:rPr>
          <w:lang w:val="en-GB"/>
        </w:rPr>
        <w:t xml:space="preserve"> Expression coined by Williamson (1989) to express the neoliberal economic approach on which recommendation policies of multilateral organisms, </w:t>
      </w:r>
      <w:r>
        <w:rPr>
          <w:lang w:val="en-GB"/>
        </w:rPr>
        <w:t>such as</w:t>
      </w:r>
      <w:r w:rsidRPr="00E853AB">
        <w:rPr>
          <w:lang w:val="en-GB"/>
        </w:rPr>
        <w:t xml:space="preserve"> the World Bank and the International Monetary Fund (IMF), were based.</w:t>
      </w:r>
    </w:p>
  </w:footnote>
  <w:footnote w:id="5">
    <w:p w14:paraId="089EA327"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See Keynes (1936).</w:t>
      </w:r>
    </w:p>
  </w:footnote>
  <w:footnote w:id="6">
    <w:p w14:paraId="48E5CD95"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See Schumpeter (1912).</w:t>
      </w:r>
    </w:p>
  </w:footnote>
  <w:footnote w:id="7">
    <w:p w14:paraId="330CB2BC"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This was particularly true after 1964 when a modernisation of Brazilian financial system </w:t>
      </w:r>
      <w:r>
        <w:rPr>
          <w:lang w:val="en-GB"/>
        </w:rPr>
        <w:t xml:space="preserve">was promoted </w:t>
      </w:r>
      <w:r w:rsidRPr="00E853AB">
        <w:rPr>
          <w:lang w:val="en-GB"/>
        </w:rPr>
        <w:t>and the indexation mechanism</w:t>
      </w:r>
      <w:r>
        <w:rPr>
          <w:lang w:val="en-GB"/>
        </w:rPr>
        <w:t xml:space="preserve"> was implemented</w:t>
      </w:r>
      <w:r w:rsidRPr="00E853AB">
        <w:rPr>
          <w:lang w:val="en-GB"/>
        </w:rPr>
        <w:t>, a common way to make non-operating profits by banks and companies investing in financial markets during the highly inflationary period in the 1980s.</w:t>
      </w:r>
    </w:p>
  </w:footnote>
  <w:footnote w:id="8">
    <w:p w14:paraId="09319577"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Most remarkable financial crises during the 1990s were Mexican, Asian, Russian and Brazilian crises.</w:t>
      </w:r>
    </w:p>
  </w:footnote>
  <w:footnote w:id="9">
    <w:p w14:paraId="4E3FAE6D" w14:textId="77777777" w:rsidR="00F561D9" w:rsidRPr="008603FE" w:rsidRDefault="00F561D9" w:rsidP="00F561D9">
      <w:pPr>
        <w:pStyle w:val="Textodenotaderodap"/>
        <w:jc w:val="both"/>
        <w:rPr>
          <w:lang w:val="en-GB"/>
        </w:rPr>
      </w:pPr>
      <w:r w:rsidRPr="00E853AB">
        <w:rPr>
          <w:rStyle w:val="Refdenotaderodap"/>
          <w:lang w:val="en-GB"/>
        </w:rPr>
        <w:footnoteRef/>
      </w:r>
      <w:r w:rsidRPr="00E853AB">
        <w:rPr>
          <w:lang w:val="en-GB"/>
        </w:rPr>
        <w:t xml:space="preserve"> In a large extent, tariff barriers were reduced, financial markets deregulated, capital inflows allowed, companies privatised and public expenditures controlled (Belluzzo &amp; Almeida, 2002).</w:t>
      </w:r>
    </w:p>
  </w:footnote>
  <w:footnote w:id="10">
    <w:p w14:paraId="7C136E46" w14:textId="77777777" w:rsidR="00F561D9" w:rsidRPr="00100515" w:rsidRDefault="00F561D9" w:rsidP="00F561D9">
      <w:pPr>
        <w:pStyle w:val="Textodenotaderodap"/>
        <w:jc w:val="both"/>
        <w:rPr>
          <w:lang w:val="en-GB"/>
        </w:rPr>
      </w:pPr>
      <w:r w:rsidRPr="00100515">
        <w:rPr>
          <w:rStyle w:val="Refdenotaderodap"/>
          <w:lang w:val="en-GB"/>
        </w:rPr>
        <w:footnoteRef/>
      </w:r>
      <w:r w:rsidRPr="00100515">
        <w:rPr>
          <w:lang w:val="en-GB"/>
        </w:rPr>
        <w:t xml:space="preserve"> </w:t>
      </w:r>
      <w:r>
        <w:rPr>
          <w:lang w:val="en-GB"/>
        </w:rPr>
        <w:t xml:space="preserve">For instance, tax reduction on goods produced by some sectors, such as auto industry and construction, credit expansion by public banks to programmes related, for example, to construction and by BNDES in order to reanimate private confidence and promote a financial restructuring of some companies involved </w:t>
      </w:r>
      <w:r w:rsidRPr="00E853AB">
        <w:rPr>
          <w:lang w:val="en-GB"/>
        </w:rPr>
        <w:t>in derivatives losses during the crisis.</w:t>
      </w:r>
    </w:p>
  </w:footnote>
  <w:footnote w:id="11">
    <w:p w14:paraId="107A7C1A" w14:textId="77777777" w:rsidR="00F561D9" w:rsidRPr="00223C51" w:rsidRDefault="00F561D9" w:rsidP="00F561D9">
      <w:pPr>
        <w:pStyle w:val="Textodenotaderodap"/>
        <w:jc w:val="both"/>
        <w:rPr>
          <w:lang w:val="en-GB"/>
        </w:rPr>
      </w:pPr>
      <w:r w:rsidRPr="00223C51">
        <w:rPr>
          <w:rStyle w:val="Refdenotaderodap"/>
          <w:lang w:val="en-GB"/>
        </w:rPr>
        <w:footnoteRef/>
      </w:r>
      <w:r w:rsidRPr="00223C51">
        <w:rPr>
          <w:lang w:val="en-GB"/>
        </w:rPr>
        <w:t xml:space="preserve"> </w:t>
      </w:r>
      <w:r>
        <w:rPr>
          <w:lang w:val="en-GB"/>
        </w:rPr>
        <w:t>It is not by chance that the government has adopted tax measures trying to control capital inflows to the country, especially regarding foreign exchange derivatives markets.</w:t>
      </w:r>
    </w:p>
  </w:footnote>
  <w:footnote w:id="12">
    <w:p w14:paraId="45F7B0E9" w14:textId="77777777" w:rsidR="00F561D9" w:rsidRPr="00511569" w:rsidRDefault="00F561D9" w:rsidP="00F561D9">
      <w:pPr>
        <w:pStyle w:val="Textodenotaderodap"/>
        <w:jc w:val="both"/>
        <w:rPr>
          <w:lang w:val="en-US"/>
        </w:rPr>
      </w:pPr>
      <w:r>
        <w:rPr>
          <w:rStyle w:val="Refdenotaderodap"/>
        </w:rPr>
        <w:footnoteRef/>
      </w:r>
      <w:r w:rsidRPr="00511569">
        <w:rPr>
          <w:lang w:val="en-US"/>
        </w:rPr>
        <w:t xml:space="preserve"> </w:t>
      </w:r>
      <w:smartTag w:uri="urn:schemas-microsoft-com:office:smarttags" w:element="City">
        <w:r>
          <w:rPr>
            <w:lang w:val="en-US"/>
          </w:rPr>
          <w:t>Palma</w:t>
        </w:r>
      </w:smartTag>
      <w:r>
        <w:rPr>
          <w:lang w:val="en-US"/>
        </w:rPr>
        <w:t xml:space="preserve"> (2013) shows that for </w:t>
      </w:r>
      <w:smartTag w:uri="urn:schemas-microsoft-com:office:smarttags" w:element="place">
        <w:r>
          <w:rPr>
            <w:lang w:val="en-US"/>
          </w:rPr>
          <w:t>Latin America</w:t>
        </w:r>
      </w:smartTag>
      <w:r>
        <w:rPr>
          <w:lang w:val="en-US"/>
        </w:rPr>
        <w:t xml:space="preserve"> in general the massive capital inflows over the last two decades of economic liberalisation has not resulted in significant increases in productive investments.</w:t>
      </w:r>
    </w:p>
  </w:footnote>
  <w:footnote w:id="13">
    <w:p w14:paraId="4A4AAEB7" w14:textId="77777777" w:rsidR="00F561D9" w:rsidRPr="00F86A00" w:rsidRDefault="00F561D9" w:rsidP="00F561D9">
      <w:pPr>
        <w:pStyle w:val="Textodenotaderodap"/>
        <w:jc w:val="both"/>
        <w:rPr>
          <w:lang w:val="en-GB"/>
        </w:rPr>
      </w:pPr>
      <w:r w:rsidRPr="00E853AB">
        <w:rPr>
          <w:rStyle w:val="Refdenotaderodap"/>
          <w:lang w:val="en-GB"/>
        </w:rPr>
        <w:footnoteRef/>
      </w:r>
      <w:r w:rsidRPr="00E853AB">
        <w:rPr>
          <w:lang w:val="en-GB"/>
        </w:rPr>
        <w:t xml:space="preserve"> There were striking evidences of this “denationalisation process” in the automotive industry with cases such as Metal Leve sold to Mahle and other companies (Varga, Nakata and Cofap) acquired by foreign c</w:t>
      </w:r>
      <w:r>
        <w:rPr>
          <w:lang w:val="en-GB"/>
        </w:rPr>
        <w:t>apital (Fleury &amp; Fleury, 2009).</w:t>
      </w:r>
    </w:p>
  </w:footnote>
  <w:footnote w:id="14">
    <w:p w14:paraId="2E1D74AE" w14:textId="77777777" w:rsidR="00F561D9" w:rsidRPr="00097A7C" w:rsidRDefault="00F561D9" w:rsidP="00F561D9">
      <w:pPr>
        <w:pStyle w:val="Textodenotaderodap"/>
        <w:jc w:val="both"/>
        <w:rPr>
          <w:lang w:val="en-GB"/>
        </w:rPr>
      </w:pPr>
      <w:r w:rsidRPr="00097A7C">
        <w:rPr>
          <w:rStyle w:val="Refdenotaderodap"/>
          <w:lang w:val="en-GB"/>
        </w:rPr>
        <w:footnoteRef/>
      </w:r>
      <w:r w:rsidRPr="00097A7C">
        <w:rPr>
          <w:lang w:val="en-GB"/>
        </w:rPr>
        <w:t xml:space="preserve"> </w:t>
      </w:r>
      <w:r>
        <w:rPr>
          <w:lang w:val="en-GB"/>
        </w:rPr>
        <w:t xml:space="preserve">InBev then acquired North American </w:t>
      </w:r>
      <w:r>
        <w:rPr>
          <w:lang w:val="en-US"/>
        </w:rPr>
        <w:t>Anheuser-Busch in 2008 by US$ 52 billion to form ABInBev, the world’s leading brewer (UNCTAD</w:t>
      </w:r>
      <w:r w:rsidRPr="00E853AB">
        <w:rPr>
          <w:lang w:val="en-US"/>
        </w:rPr>
        <w:t>, 2009).</w:t>
      </w:r>
    </w:p>
  </w:footnote>
  <w:footnote w:id="15">
    <w:p w14:paraId="3B11F4A7" w14:textId="77777777" w:rsidR="00F561D9" w:rsidRPr="000A1E5B" w:rsidRDefault="00F561D9" w:rsidP="00F561D9">
      <w:pPr>
        <w:pStyle w:val="Textodenotaderodap"/>
        <w:jc w:val="both"/>
        <w:rPr>
          <w:lang w:val="en-GB"/>
        </w:rPr>
      </w:pPr>
      <w:r w:rsidRPr="000A1E5B">
        <w:rPr>
          <w:rStyle w:val="Refdenotaderodap"/>
          <w:lang w:val="en-GB"/>
        </w:rPr>
        <w:footnoteRef/>
      </w:r>
      <w:r>
        <w:rPr>
          <w:lang w:val="en-GB"/>
        </w:rPr>
        <w:t xml:space="preserve"> After Ambev’s merger with Interbrew, it is quite difficult to assess the origin of capital. In fact, the new company is normally considered as Dutch capital. This is a common problem that arises when boundaries to capital are diminished and M&amp;A operations take place.</w:t>
      </w:r>
    </w:p>
  </w:footnote>
  <w:footnote w:id="16">
    <w:p w14:paraId="3AE38269" w14:textId="77777777" w:rsidR="00F561D9" w:rsidRPr="00D7345D" w:rsidRDefault="00F561D9" w:rsidP="00F561D9">
      <w:pPr>
        <w:pStyle w:val="Textodenotaderodap"/>
        <w:jc w:val="both"/>
        <w:rPr>
          <w:lang w:val="en-GB"/>
        </w:rPr>
      </w:pPr>
      <w:r w:rsidRPr="00D7345D">
        <w:rPr>
          <w:rStyle w:val="Refdenotaderodap"/>
          <w:lang w:val="en-GB"/>
        </w:rPr>
        <w:footnoteRef/>
      </w:r>
      <w:r w:rsidRPr="00D7345D">
        <w:rPr>
          <w:lang w:val="en-GB"/>
        </w:rPr>
        <w:t xml:space="preserve"> </w:t>
      </w:r>
      <w:r>
        <w:rPr>
          <w:lang w:val="en-GB"/>
        </w:rPr>
        <w:t>Ranking mostly dominated by Asian corporations. Companies ranked both by foreign assets and the t</w:t>
      </w:r>
      <w:r w:rsidRPr="00720A84">
        <w:rPr>
          <w:lang w:val="en-GB"/>
        </w:rPr>
        <w:t xml:space="preserve">ransnationality </w:t>
      </w:r>
      <w:r>
        <w:rPr>
          <w:lang w:val="en-GB"/>
        </w:rPr>
        <w:t>i</w:t>
      </w:r>
      <w:r w:rsidRPr="00720A84">
        <w:rPr>
          <w:lang w:val="en-GB"/>
        </w:rPr>
        <w:t>ndex</w:t>
      </w:r>
      <w:r>
        <w:rPr>
          <w:lang w:val="en-GB"/>
        </w:rPr>
        <w:t xml:space="preserve">, an </w:t>
      </w:r>
      <w:r w:rsidRPr="00720A84">
        <w:rPr>
          <w:lang w:val="en-GB"/>
        </w:rPr>
        <w:t>average of foreign assets</w:t>
      </w:r>
      <w:r>
        <w:rPr>
          <w:lang w:val="en-GB"/>
        </w:rPr>
        <w:t>, sales and employment to their respective totals</w:t>
      </w:r>
      <w:r w:rsidRPr="00720A84">
        <w:rPr>
          <w:lang w:val="en-GB"/>
        </w:rPr>
        <w:t>.</w:t>
      </w:r>
    </w:p>
  </w:footnote>
  <w:footnote w:id="17">
    <w:p w14:paraId="450EC485"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It could be mentioned, for instance, JBS-Friboi and Marfrig as big internationalised groups in food sector, whose positions were reinforced through acquisitions during the crisis (Valor Econômico, 2010; Valor Econômico, 2011).</w:t>
      </w:r>
    </w:p>
  </w:footnote>
  <w:footnote w:id="18">
    <w:p w14:paraId="6295FC01"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This has represented an opportunity to expand business abroad, inclusive through M&amp;A, among many other alternatives of wealth allocation.</w:t>
      </w:r>
    </w:p>
  </w:footnote>
  <w:footnote w:id="19">
    <w:p w14:paraId="2EF19C77" w14:textId="77777777" w:rsidR="00F561D9" w:rsidRPr="00E853AB" w:rsidRDefault="00F561D9" w:rsidP="00F561D9">
      <w:pPr>
        <w:pStyle w:val="Textodenotaderodap"/>
        <w:jc w:val="both"/>
        <w:rPr>
          <w:lang w:val="en-GB"/>
        </w:rPr>
      </w:pPr>
      <w:r w:rsidRPr="00E853AB">
        <w:rPr>
          <w:rStyle w:val="Refdenotaderodap"/>
          <w:lang w:val="en-GB"/>
        </w:rPr>
        <w:footnoteRef/>
      </w:r>
      <w:r w:rsidRPr="00E853AB">
        <w:rPr>
          <w:lang w:val="en-GB"/>
        </w:rPr>
        <w:t xml:space="preserve"> Before this change in perception, companies were basically “investing abroad on their own accord without support of the government – in contrast, for example, to Chinese firms [...]” (Sauvant, 2005, p.660). This relative lateness of policy reorientation may help to explain differences between countries and the still limited internationalisation process of Brazilian corporations in relation to other international experiences, especially from </w:t>
      </w:r>
      <w:smartTag w:uri="urn:schemas-microsoft-com:office:smarttags" w:element="place">
        <w:r w:rsidRPr="00E853AB">
          <w:rPr>
            <w:lang w:val="en-GB"/>
          </w:rPr>
          <w:t>Asia</w:t>
        </w:r>
      </w:smartTag>
      <w:r w:rsidRPr="00E853AB">
        <w:rPr>
          <w:lang w:val="en-GB"/>
        </w:rPr>
        <w:t>.</w:t>
      </w:r>
    </w:p>
  </w:footnote>
  <w:footnote w:id="20">
    <w:p w14:paraId="060C3C81" w14:textId="77777777" w:rsidR="00F561D9" w:rsidRPr="00305488" w:rsidRDefault="00F561D9" w:rsidP="00F561D9">
      <w:pPr>
        <w:pStyle w:val="Textodenotaderodap"/>
        <w:jc w:val="both"/>
        <w:rPr>
          <w:lang w:val="en-GB"/>
        </w:rPr>
      </w:pPr>
      <w:r w:rsidRPr="00E853AB">
        <w:rPr>
          <w:rStyle w:val="Refdenotaderodap"/>
          <w:lang w:val="en-GB"/>
        </w:rPr>
        <w:footnoteRef/>
      </w:r>
      <w:r w:rsidRPr="00E853AB">
        <w:rPr>
          <w:lang w:val="en-GB"/>
        </w:rPr>
        <w:t xml:space="preserve"> Within BNDES Finem, there is a credit line offered by the bank for projects of implementation, expansion or modernisation of facilities abroad over R$ 10 million. More details availab</w:t>
      </w:r>
      <w:r>
        <w:rPr>
          <w:lang w:val="en-GB"/>
        </w:rPr>
        <w:t>le at: http://www.bndes.gov.br/</w:t>
      </w:r>
      <w:r w:rsidRPr="00E853AB">
        <w:rPr>
          <w:lang w:val="en-GB"/>
        </w:rPr>
        <w:t>. The first operation using this credit line was a loan of US$ 80 million to JBS-Friboi to acquire more than 80% of Argentinian Swift Armour capital</w:t>
      </w:r>
      <w:r>
        <w:rPr>
          <w:lang w:val="en-GB"/>
        </w:rPr>
        <w:t xml:space="preserve"> in 2005. In 2010</w:t>
      </w:r>
      <w:r w:rsidRPr="00E853AB">
        <w:rPr>
          <w:lang w:val="en-GB"/>
        </w:rPr>
        <w:t xml:space="preserve"> approvals to this internationalisation programme reached R$ 2.6 billion and total spending, R$ 3.8 billion (Valor Econômico,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9C7FA" w14:textId="77777777" w:rsidR="00203DF9" w:rsidRDefault="00424CC1" w:rsidP="00792CF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F9949E" w14:textId="77777777" w:rsidR="00203DF9" w:rsidRDefault="00424CC1" w:rsidP="00162291">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7A7D9" w14:textId="77777777" w:rsidR="00203DF9" w:rsidRDefault="00424CC1" w:rsidP="00792CF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1EEEDAD8" w14:textId="77777777" w:rsidR="00203DF9" w:rsidRDefault="00424CC1" w:rsidP="00162291">
    <w:pPr>
      <w:pStyle w:val="Cabealh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5E"/>
    <w:rsid w:val="0006797E"/>
    <w:rsid w:val="003039F9"/>
    <w:rsid w:val="00424CC1"/>
    <w:rsid w:val="005C7720"/>
    <w:rsid w:val="007C05B7"/>
    <w:rsid w:val="00AD1F5E"/>
    <w:rsid w:val="00F5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7A7F9704-110E-46F9-A434-F8FC3E37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D9"/>
    <w:pPr>
      <w:spacing w:after="0" w:line="240" w:lineRule="auto"/>
      <w:jc w:val="left"/>
    </w:pPr>
    <w:rPr>
      <w:rFonts w:ascii="Times New Roman" w:eastAsia="Times New Roman" w:hAnsi="Times New Roman" w:cs="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paragraph" w:styleId="Textodenotaderodap">
    <w:name w:val="footnote text"/>
    <w:basedOn w:val="Normal"/>
    <w:link w:val="TextodenotaderodapChar"/>
    <w:semiHidden/>
    <w:rsid w:val="00F561D9"/>
    <w:rPr>
      <w:sz w:val="20"/>
      <w:szCs w:val="20"/>
    </w:rPr>
  </w:style>
  <w:style w:type="character" w:customStyle="1" w:styleId="TextodenotaderodapChar">
    <w:name w:val="Texto de nota de rodapé Char"/>
    <w:basedOn w:val="Fontepargpadro"/>
    <w:link w:val="Textodenotaderodap"/>
    <w:semiHidden/>
    <w:rsid w:val="00F561D9"/>
    <w:rPr>
      <w:rFonts w:ascii="Times New Roman" w:eastAsia="Times New Roman" w:hAnsi="Times New Roman" w:cs="Times New Roman"/>
      <w:sz w:val="20"/>
      <w:szCs w:val="20"/>
      <w:lang w:val="pt-BR" w:eastAsia="pt-BR"/>
    </w:rPr>
  </w:style>
  <w:style w:type="character" w:styleId="Refdenotaderodap">
    <w:name w:val="footnote reference"/>
    <w:basedOn w:val="Fontepargpadro"/>
    <w:semiHidden/>
    <w:rsid w:val="00F561D9"/>
    <w:rPr>
      <w:vertAlign w:val="superscript"/>
    </w:rPr>
  </w:style>
  <w:style w:type="character" w:styleId="Hyperlink">
    <w:name w:val="Hyperlink"/>
    <w:basedOn w:val="Fontepargpadro"/>
    <w:rsid w:val="00F561D9"/>
    <w:rPr>
      <w:color w:val="0000FF"/>
      <w:u w:val="single"/>
    </w:rPr>
  </w:style>
  <w:style w:type="table" w:styleId="Tabelacomgrade">
    <w:name w:val="Table Grid"/>
    <w:basedOn w:val="Tabelanormal"/>
    <w:rsid w:val="00F561D9"/>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rsid w:val="00F561D9"/>
    <w:pPr>
      <w:tabs>
        <w:tab w:val="center" w:pos="4252"/>
        <w:tab w:val="right" w:pos="8504"/>
      </w:tabs>
    </w:pPr>
  </w:style>
  <w:style w:type="character" w:customStyle="1" w:styleId="CabealhoChar">
    <w:name w:val="Cabeçalho Char"/>
    <w:basedOn w:val="Fontepargpadro"/>
    <w:link w:val="Cabealho"/>
    <w:rsid w:val="00F561D9"/>
    <w:rPr>
      <w:rFonts w:ascii="Times New Roman" w:eastAsia="Times New Roman" w:hAnsi="Times New Roman" w:cs="Times New Roman"/>
      <w:lang w:val="pt-BR" w:eastAsia="pt-BR"/>
    </w:rPr>
  </w:style>
  <w:style w:type="character" w:styleId="Nmerodepgina">
    <w:name w:val="page number"/>
    <w:basedOn w:val="Fontepargpadro"/>
    <w:rsid w:val="00F561D9"/>
  </w:style>
  <w:style w:type="character" w:styleId="Refdecomentrio">
    <w:name w:val="annotation reference"/>
    <w:basedOn w:val="Fontepargpadro"/>
    <w:semiHidden/>
    <w:rsid w:val="00F561D9"/>
    <w:rPr>
      <w:sz w:val="16"/>
      <w:szCs w:val="16"/>
    </w:rPr>
  </w:style>
  <w:style w:type="paragraph" w:styleId="Textodecomentrio">
    <w:name w:val="annotation text"/>
    <w:basedOn w:val="Normal"/>
    <w:link w:val="TextodecomentrioChar"/>
    <w:semiHidden/>
    <w:rsid w:val="00F561D9"/>
    <w:rPr>
      <w:sz w:val="20"/>
      <w:szCs w:val="20"/>
    </w:rPr>
  </w:style>
  <w:style w:type="character" w:customStyle="1" w:styleId="TextodecomentrioChar">
    <w:name w:val="Texto de comentário Char"/>
    <w:basedOn w:val="Fontepargpadro"/>
    <w:link w:val="Textodecomentrio"/>
    <w:semiHidden/>
    <w:rsid w:val="00F561D9"/>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semiHidden/>
    <w:rsid w:val="00F561D9"/>
    <w:rPr>
      <w:b/>
      <w:bCs/>
    </w:rPr>
  </w:style>
  <w:style w:type="character" w:customStyle="1" w:styleId="AssuntodocomentrioChar">
    <w:name w:val="Assunto do comentário Char"/>
    <w:basedOn w:val="TextodecomentrioChar"/>
    <w:link w:val="Assuntodocomentrio"/>
    <w:semiHidden/>
    <w:rsid w:val="00F561D9"/>
    <w:rPr>
      <w:rFonts w:ascii="Times New Roman" w:eastAsia="Times New Roman" w:hAnsi="Times New Roman" w:cs="Times New Roman"/>
      <w:b/>
      <w:bCs/>
      <w:sz w:val="20"/>
      <w:szCs w:val="20"/>
      <w:lang w:val="pt-BR" w:eastAsia="pt-BR"/>
    </w:rPr>
  </w:style>
  <w:style w:type="paragraph" w:styleId="Textodebalo">
    <w:name w:val="Balloon Text"/>
    <w:basedOn w:val="Normal"/>
    <w:link w:val="TextodebaloChar"/>
    <w:semiHidden/>
    <w:rsid w:val="00F561D9"/>
    <w:rPr>
      <w:rFonts w:ascii="Tahoma" w:hAnsi="Tahoma" w:cs="Tahoma"/>
      <w:sz w:val="16"/>
      <w:szCs w:val="16"/>
    </w:rPr>
  </w:style>
  <w:style w:type="character" w:customStyle="1" w:styleId="TextodebaloChar">
    <w:name w:val="Texto de balão Char"/>
    <w:basedOn w:val="Fontepargpadro"/>
    <w:link w:val="Textodebalo"/>
    <w:semiHidden/>
    <w:rsid w:val="00F561D9"/>
    <w:rPr>
      <w:rFonts w:ascii="Tahoma" w:eastAsia="Times New Roman" w:hAnsi="Tahoma" w:cs="Tahoma"/>
      <w:sz w:val="16"/>
      <w:szCs w:val="16"/>
      <w:lang w:val="pt-BR" w:eastAsia="pt-BR"/>
    </w:rPr>
  </w:style>
  <w:style w:type="paragraph" w:customStyle="1" w:styleId="Default">
    <w:name w:val="Default"/>
    <w:rsid w:val="00F561D9"/>
    <w:pPr>
      <w:autoSpaceDE w:val="0"/>
      <w:autoSpaceDN w:val="0"/>
      <w:adjustRightInd w:val="0"/>
      <w:spacing w:after="0" w:line="240" w:lineRule="auto"/>
      <w:jc w:val="left"/>
    </w:pPr>
    <w:rPr>
      <w:rFonts w:ascii="Times New Roman" w:eastAsia="Times New Roman" w:hAnsi="Times New Roman" w:cs="Times New Roman"/>
      <w:color w:val="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eader" Target="header2.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razb2@cam.ac.u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8890</Words>
  <Characters>48008</Characters>
  <Application>Microsoft Office Word</Application>
  <DocSecurity>0</DocSecurity>
  <Lines>400</Lines>
  <Paragraphs>113</Paragraphs>
  <ScaleCrop>false</ScaleCrop>
  <Company/>
  <LinksUpToDate>false</LinksUpToDate>
  <CharactersWithSpaces>56785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2020-11-17T20:21:00Z</dcterms:created>
  <dcterms:modified xsi:type="dcterms:W3CDTF">2020-11-17T20:21:00Z</dcterms:modified>
</cp:coreProperties>
</file>