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83A" w:rsidRPr="006E41E7" w:rsidRDefault="002407D6" w:rsidP="006E41E7">
      <w:pPr>
        <w:spacing w:after="0" w:line="240" w:lineRule="auto"/>
        <w:jc w:val="center"/>
        <w:rPr>
          <w:rFonts w:ascii="Times New Roman" w:hAnsi="Times New Roman"/>
          <w:b/>
          <w:sz w:val="24"/>
          <w:szCs w:val="24"/>
        </w:rPr>
      </w:pPr>
      <w:r>
        <w:rPr>
          <w:rFonts w:ascii="Times New Roman" w:hAnsi="Times New Roman"/>
          <w:b/>
          <w:sz w:val="24"/>
          <w:szCs w:val="24"/>
        </w:rPr>
        <w:t>FLUXOS DE CAPITAIS VERSUS EXPORTAÇÕES DE COMMODITIES: EFEITOS SOBRE A TAXA DE CÂMBIO REAL BRASIL</w:t>
      </w:r>
      <w:r w:rsidR="00830AFA">
        <w:rPr>
          <w:rFonts w:ascii="Times New Roman" w:hAnsi="Times New Roman"/>
          <w:b/>
          <w:sz w:val="24"/>
          <w:szCs w:val="24"/>
        </w:rPr>
        <w:t>EIRA NO PERÍODO 2000-2013</w:t>
      </w:r>
    </w:p>
    <w:p w:rsidR="00A729FE" w:rsidRDefault="00A729FE" w:rsidP="006E41E7">
      <w:pPr>
        <w:spacing w:after="0" w:line="240" w:lineRule="auto"/>
        <w:jc w:val="both"/>
        <w:rPr>
          <w:rFonts w:ascii="Times New Roman" w:hAnsi="Times New Roman"/>
          <w:sz w:val="24"/>
          <w:szCs w:val="24"/>
        </w:rPr>
      </w:pPr>
    </w:p>
    <w:p w:rsidR="00894B44" w:rsidRDefault="00894B44" w:rsidP="006E41E7">
      <w:pPr>
        <w:spacing w:after="0" w:line="240" w:lineRule="auto"/>
        <w:jc w:val="both"/>
        <w:rPr>
          <w:rFonts w:ascii="Times New Roman" w:hAnsi="Times New Roman"/>
          <w:sz w:val="24"/>
          <w:szCs w:val="24"/>
        </w:rPr>
      </w:pPr>
    </w:p>
    <w:p w:rsidR="00894B44" w:rsidRDefault="00894B44" w:rsidP="00894B44">
      <w:pPr>
        <w:spacing w:after="0" w:line="240" w:lineRule="auto"/>
        <w:jc w:val="center"/>
        <w:rPr>
          <w:rFonts w:ascii="Times New Roman" w:hAnsi="Times New Roman"/>
          <w:sz w:val="24"/>
          <w:szCs w:val="24"/>
        </w:rPr>
      </w:pPr>
      <w:r>
        <w:rPr>
          <w:rFonts w:ascii="Times New Roman" w:hAnsi="Times New Roman"/>
          <w:sz w:val="24"/>
          <w:szCs w:val="24"/>
        </w:rPr>
        <w:t>Vanessa da Costa Val Munhoz</w:t>
      </w:r>
    </w:p>
    <w:p w:rsidR="00894B44" w:rsidRDefault="00894B44" w:rsidP="00894B44">
      <w:pPr>
        <w:spacing w:after="0" w:line="240" w:lineRule="auto"/>
        <w:jc w:val="center"/>
        <w:rPr>
          <w:rFonts w:ascii="Times New Roman" w:hAnsi="Times New Roman"/>
          <w:sz w:val="24"/>
          <w:szCs w:val="24"/>
        </w:rPr>
      </w:pPr>
      <w:r>
        <w:rPr>
          <w:rFonts w:ascii="Times New Roman" w:hAnsi="Times New Roman"/>
          <w:sz w:val="24"/>
          <w:szCs w:val="24"/>
        </w:rPr>
        <w:t>Professora do Instituto de Economia da Universidade Federal de Uberlândia – UFU</w:t>
      </w:r>
    </w:p>
    <w:p w:rsidR="005153C0" w:rsidRPr="007119E2" w:rsidRDefault="00894B44" w:rsidP="00894B44">
      <w:pPr>
        <w:spacing w:after="0" w:line="240" w:lineRule="auto"/>
        <w:jc w:val="center"/>
        <w:rPr>
          <w:rFonts w:ascii="Times New Roman" w:hAnsi="Times New Roman"/>
          <w:sz w:val="24"/>
          <w:szCs w:val="24"/>
        </w:rPr>
      </w:pPr>
      <w:r w:rsidRPr="007119E2">
        <w:rPr>
          <w:rFonts w:ascii="Times New Roman" w:hAnsi="Times New Roman"/>
          <w:sz w:val="24"/>
          <w:szCs w:val="24"/>
        </w:rPr>
        <w:t xml:space="preserve">Email: </w:t>
      </w:r>
      <w:hyperlink r:id="rId8" w:history="1">
        <w:r w:rsidRPr="007119E2">
          <w:rPr>
            <w:rStyle w:val="Hyperlink"/>
            <w:rFonts w:ascii="Times New Roman" w:hAnsi="Times New Roman"/>
            <w:sz w:val="24"/>
            <w:szCs w:val="24"/>
          </w:rPr>
          <w:t>vanessacostaval@ie.ufu.br</w:t>
        </w:r>
      </w:hyperlink>
    </w:p>
    <w:p w:rsidR="00894B44" w:rsidRDefault="00894B44" w:rsidP="00894B44">
      <w:pPr>
        <w:spacing w:after="0" w:line="240" w:lineRule="auto"/>
        <w:jc w:val="both"/>
        <w:rPr>
          <w:rFonts w:ascii="Times New Roman" w:hAnsi="Times New Roman"/>
          <w:sz w:val="24"/>
          <w:szCs w:val="24"/>
        </w:rPr>
      </w:pPr>
    </w:p>
    <w:p w:rsidR="005153C0" w:rsidRDefault="005153C0" w:rsidP="005153C0">
      <w:pPr>
        <w:spacing w:after="0" w:line="240" w:lineRule="auto"/>
        <w:jc w:val="center"/>
        <w:rPr>
          <w:rFonts w:ascii="Times New Roman" w:hAnsi="Times New Roman"/>
          <w:sz w:val="24"/>
          <w:szCs w:val="24"/>
        </w:rPr>
      </w:pPr>
      <w:r>
        <w:rPr>
          <w:rFonts w:ascii="Times New Roman" w:hAnsi="Times New Roman"/>
          <w:sz w:val="24"/>
          <w:szCs w:val="24"/>
        </w:rPr>
        <w:t>Michele Polline Veríssimo</w:t>
      </w:r>
      <w:r w:rsidR="00AE6EBD">
        <w:rPr>
          <w:rStyle w:val="Refdenotaderodap"/>
          <w:rFonts w:ascii="Times New Roman" w:hAnsi="Times New Roman"/>
          <w:sz w:val="24"/>
          <w:szCs w:val="24"/>
        </w:rPr>
        <w:footnoteReference w:id="2"/>
      </w:r>
    </w:p>
    <w:p w:rsidR="005153C0" w:rsidRDefault="005153C0" w:rsidP="005153C0">
      <w:pPr>
        <w:spacing w:after="0" w:line="240" w:lineRule="auto"/>
        <w:jc w:val="center"/>
        <w:rPr>
          <w:rFonts w:ascii="Times New Roman" w:hAnsi="Times New Roman"/>
          <w:sz w:val="24"/>
          <w:szCs w:val="24"/>
        </w:rPr>
      </w:pPr>
      <w:r>
        <w:rPr>
          <w:rFonts w:ascii="Times New Roman" w:hAnsi="Times New Roman"/>
          <w:sz w:val="24"/>
          <w:szCs w:val="24"/>
        </w:rPr>
        <w:t>Professora do Instituto de Economia da Universidade Federal de Uberlândia – UFU</w:t>
      </w:r>
    </w:p>
    <w:p w:rsidR="005153C0" w:rsidRDefault="005153C0" w:rsidP="005153C0">
      <w:pPr>
        <w:spacing w:after="0" w:line="240" w:lineRule="auto"/>
        <w:jc w:val="center"/>
        <w:rPr>
          <w:rFonts w:ascii="Times New Roman" w:hAnsi="Times New Roman"/>
          <w:sz w:val="24"/>
          <w:szCs w:val="24"/>
        </w:rPr>
      </w:pPr>
      <w:r w:rsidRPr="007119E2">
        <w:rPr>
          <w:rFonts w:ascii="Times New Roman" w:hAnsi="Times New Roman"/>
          <w:sz w:val="24"/>
          <w:szCs w:val="24"/>
        </w:rPr>
        <w:t xml:space="preserve">Email: </w:t>
      </w:r>
      <w:hyperlink r:id="rId9" w:history="1">
        <w:r w:rsidRPr="007119E2">
          <w:rPr>
            <w:rStyle w:val="Hyperlink"/>
            <w:rFonts w:ascii="Times New Roman" w:hAnsi="Times New Roman"/>
            <w:sz w:val="24"/>
            <w:szCs w:val="24"/>
          </w:rPr>
          <w:t>michele@ie.ufu.br</w:t>
        </w:r>
      </w:hyperlink>
    </w:p>
    <w:p w:rsidR="00BA5092" w:rsidRDefault="0021760A" w:rsidP="00AE6EBD">
      <w:pPr>
        <w:tabs>
          <w:tab w:val="center" w:pos="4819"/>
          <w:tab w:val="left" w:pos="7297"/>
        </w:tabs>
        <w:spacing w:after="0" w:line="240" w:lineRule="auto"/>
        <w:rPr>
          <w:rFonts w:ascii="Times New Roman" w:hAnsi="Times New Roman"/>
          <w:sz w:val="24"/>
          <w:szCs w:val="24"/>
        </w:rPr>
      </w:pPr>
      <w:r w:rsidRPr="007119E2">
        <w:rPr>
          <w:rFonts w:ascii="Times New Roman" w:hAnsi="Times New Roman"/>
          <w:sz w:val="24"/>
          <w:szCs w:val="24"/>
        </w:rPr>
        <w:tab/>
      </w:r>
    </w:p>
    <w:p w:rsidR="00396CA7" w:rsidRDefault="00396CA7" w:rsidP="009D6DF2">
      <w:pPr>
        <w:spacing w:after="0" w:line="240" w:lineRule="auto"/>
        <w:jc w:val="both"/>
        <w:rPr>
          <w:rFonts w:ascii="Times New Roman" w:hAnsi="Times New Roman"/>
          <w:b/>
          <w:sz w:val="24"/>
          <w:szCs w:val="24"/>
        </w:rPr>
      </w:pPr>
    </w:p>
    <w:p w:rsidR="009D6DF2" w:rsidRPr="00BA5092" w:rsidRDefault="00C4683A" w:rsidP="009D6DF2">
      <w:pPr>
        <w:spacing w:after="0" w:line="240" w:lineRule="auto"/>
        <w:jc w:val="both"/>
        <w:rPr>
          <w:rFonts w:ascii="Times New Roman" w:hAnsi="Times New Roman"/>
          <w:b/>
          <w:sz w:val="24"/>
          <w:szCs w:val="24"/>
        </w:rPr>
      </w:pPr>
      <w:r w:rsidRPr="00BA5092">
        <w:rPr>
          <w:rFonts w:ascii="Times New Roman" w:hAnsi="Times New Roman"/>
          <w:b/>
          <w:sz w:val="24"/>
          <w:szCs w:val="24"/>
        </w:rPr>
        <w:t xml:space="preserve">Resumo: </w:t>
      </w:r>
      <w:r w:rsidR="009A111D">
        <w:rPr>
          <w:rFonts w:ascii="Times New Roman" w:hAnsi="Times New Roman"/>
          <w:sz w:val="24"/>
          <w:szCs w:val="24"/>
        </w:rPr>
        <w:t xml:space="preserve">Este trabalho </w:t>
      </w:r>
      <w:r w:rsidR="00E70DA5">
        <w:rPr>
          <w:rFonts w:ascii="Times New Roman" w:hAnsi="Times New Roman"/>
          <w:sz w:val="24"/>
          <w:szCs w:val="24"/>
        </w:rPr>
        <w:t>analisa</w:t>
      </w:r>
      <w:r w:rsidR="00FC2F41">
        <w:rPr>
          <w:rFonts w:ascii="Times New Roman" w:hAnsi="Times New Roman"/>
          <w:sz w:val="24"/>
          <w:szCs w:val="24"/>
        </w:rPr>
        <w:t xml:space="preserve"> a importância relativa de</w:t>
      </w:r>
      <w:r w:rsidR="009D6DF2">
        <w:rPr>
          <w:rFonts w:ascii="Times New Roman" w:hAnsi="Times New Roman"/>
          <w:sz w:val="24"/>
          <w:szCs w:val="24"/>
        </w:rPr>
        <w:t xml:space="preserve"> variáveis comerciais (exportações e preços das </w:t>
      </w:r>
      <w:r w:rsidR="009D6DF2" w:rsidRPr="00BA5092">
        <w:rPr>
          <w:rFonts w:ascii="Times New Roman" w:hAnsi="Times New Roman"/>
          <w:i/>
          <w:sz w:val="24"/>
          <w:szCs w:val="24"/>
        </w:rPr>
        <w:t>commodities</w:t>
      </w:r>
      <w:r w:rsidR="009D6DF2">
        <w:rPr>
          <w:rFonts w:ascii="Times New Roman" w:hAnsi="Times New Roman"/>
          <w:sz w:val="24"/>
          <w:szCs w:val="24"/>
        </w:rPr>
        <w:t>) e financeiras (</w:t>
      </w:r>
      <w:r w:rsidR="00BA5092">
        <w:rPr>
          <w:rFonts w:ascii="Times New Roman" w:hAnsi="Times New Roman"/>
          <w:sz w:val="24"/>
          <w:szCs w:val="24"/>
        </w:rPr>
        <w:t xml:space="preserve">entradas de </w:t>
      </w:r>
      <w:r w:rsidR="009D6DF2">
        <w:rPr>
          <w:rFonts w:ascii="Times New Roman" w:hAnsi="Times New Roman"/>
          <w:sz w:val="24"/>
          <w:szCs w:val="24"/>
        </w:rPr>
        <w:t xml:space="preserve">investimento em carteira, taxa de juros e risco-país) para a explicação da </w:t>
      </w:r>
      <w:r w:rsidR="00E70DA5">
        <w:rPr>
          <w:rFonts w:ascii="Times New Roman" w:hAnsi="Times New Roman"/>
          <w:sz w:val="24"/>
          <w:szCs w:val="24"/>
        </w:rPr>
        <w:t xml:space="preserve">tendência de </w:t>
      </w:r>
      <w:r w:rsidR="009D6DF2">
        <w:rPr>
          <w:rFonts w:ascii="Times New Roman" w:hAnsi="Times New Roman"/>
          <w:sz w:val="24"/>
          <w:szCs w:val="24"/>
        </w:rPr>
        <w:t xml:space="preserve">apreciação da taxa de câmbio real brasileira, </w:t>
      </w:r>
      <w:r w:rsidR="007119E2">
        <w:rPr>
          <w:rFonts w:ascii="Times New Roman" w:hAnsi="Times New Roman"/>
          <w:sz w:val="24"/>
          <w:szCs w:val="24"/>
        </w:rPr>
        <w:t xml:space="preserve">durante </w:t>
      </w:r>
      <w:r w:rsidR="009D6DF2">
        <w:rPr>
          <w:rFonts w:ascii="Times New Roman" w:hAnsi="Times New Roman"/>
          <w:sz w:val="24"/>
          <w:szCs w:val="24"/>
        </w:rPr>
        <w:t>o período 2000-2013.</w:t>
      </w:r>
      <w:r w:rsidR="00744DBA">
        <w:rPr>
          <w:rFonts w:ascii="Times New Roman" w:hAnsi="Times New Roman"/>
          <w:sz w:val="24"/>
          <w:szCs w:val="24"/>
        </w:rPr>
        <w:t xml:space="preserve"> </w:t>
      </w:r>
      <w:r w:rsidR="009A111D">
        <w:rPr>
          <w:rFonts w:ascii="Times New Roman" w:hAnsi="Times New Roman"/>
          <w:sz w:val="24"/>
          <w:szCs w:val="24"/>
        </w:rPr>
        <w:t xml:space="preserve">Para isso, </w:t>
      </w:r>
      <w:r w:rsidR="00E70DA5">
        <w:rPr>
          <w:rFonts w:ascii="Times New Roman" w:hAnsi="Times New Roman"/>
          <w:sz w:val="24"/>
          <w:szCs w:val="24"/>
        </w:rPr>
        <w:t>utiliza</w:t>
      </w:r>
      <w:r w:rsidR="00AC15E5">
        <w:rPr>
          <w:rFonts w:ascii="Times New Roman" w:hAnsi="Times New Roman"/>
          <w:sz w:val="24"/>
          <w:szCs w:val="24"/>
        </w:rPr>
        <w:t xml:space="preserve"> a metodologia de Vetores Auto-Regressivos (VAR), Funções de Resposta aos Impulsos e Análise de Decomposição de Variância</w:t>
      </w:r>
      <w:r w:rsidR="009D6DF2">
        <w:rPr>
          <w:rFonts w:ascii="Times New Roman" w:hAnsi="Times New Roman"/>
          <w:sz w:val="24"/>
          <w:szCs w:val="24"/>
        </w:rPr>
        <w:t xml:space="preserve">. As evidências obtidas sugerem </w:t>
      </w:r>
      <w:r w:rsidR="009D6DF2" w:rsidRPr="001E5B19">
        <w:rPr>
          <w:rFonts w:ascii="Times New Roman" w:hAnsi="Times New Roman"/>
          <w:sz w:val="24"/>
          <w:szCs w:val="24"/>
        </w:rPr>
        <w:t xml:space="preserve">que </w:t>
      </w:r>
      <w:r w:rsidR="009D6DF2">
        <w:rPr>
          <w:rFonts w:ascii="Times New Roman" w:hAnsi="Times New Roman"/>
          <w:sz w:val="24"/>
          <w:szCs w:val="24"/>
        </w:rPr>
        <w:t>tanto as variáveis financeiras</w:t>
      </w:r>
      <w:r w:rsidR="00744DBA">
        <w:rPr>
          <w:rFonts w:ascii="Times New Roman" w:hAnsi="Times New Roman"/>
          <w:sz w:val="24"/>
          <w:szCs w:val="24"/>
        </w:rPr>
        <w:t>,</w:t>
      </w:r>
      <w:r w:rsidR="009D6DF2">
        <w:rPr>
          <w:rFonts w:ascii="Times New Roman" w:hAnsi="Times New Roman"/>
          <w:sz w:val="24"/>
          <w:szCs w:val="24"/>
        </w:rPr>
        <w:t xml:space="preserve"> especialmente </w:t>
      </w:r>
      <w:r w:rsidR="00744DBA">
        <w:rPr>
          <w:rFonts w:ascii="Times New Roman" w:hAnsi="Times New Roman"/>
          <w:sz w:val="24"/>
          <w:szCs w:val="24"/>
        </w:rPr>
        <w:t>o</w:t>
      </w:r>
      <w:r w:rsidR="00671D09">
        <w:rPr>
          <w:rFonts w:ascii="Times New Roman" w:hAnsi="Times New Roman"/>
          <w:sz w:val="24"/>
          <w:szCs w:val="24"/>
        </w:rPr>
        <w:t>s</w:t>
      </w:r>
      <w:r w:rsidR="00744DBA">
        <w:rPr>
          <w:rFonts w:ascii="Times New Roman" w:hAnsi="Times New Roman"/>
          <w:sz w:val="24"/>
          <w:szCs w:val="24"/>
        </w:rPr>
        <w:t xml:space="preserve"> </w:t>
      </w:r>
      <w:r w:rsidR="00671D09">
        <w:rPr>
          <w:rFonts w:ascii="Times New Roman" w:hAnsi="Times New Roman"/>
          <w:sz w:val="24"/>
          <w:szCs w:val="24"/>
        </w:rPr>
        <w:t xml:space="preserve">influxos de </w:t>
      </w:r>
      <w:r w:rsidR="009D6DF2">
        <w:rPr>
          <w:rFonts w:ascii="Times New Roman" w:hAnsi="Times New Roman"/>
          <w:sz w:val="24"/>
          <w:szCs w:val="24"/>
        </w:rPr>
        <w:t xml:space="preserve">investimento em carteira e </w:t>
      </w:r>
      <w:r w:rsidR="00744DBA">
        <w:rPr>
          <w:rFonts w:ascii="Times New Roman" w:hAnsi="Times New Roman"/>
          <w:sz w:val="24"/>
          <w:szCs w:val="24"/>
        </w:rPr>
        <w:t xml:space="preserve">o </w:t>
      </w:r>
      <w:r w:rsidR="009D6DF2">
        <w:rPr>
          <w:rFonts w:ascii="Times New Roman" w:hAnsi="Times New Roman"/>
          <w:sz w:val="24"/>
          <w:szCs w:val="24"/>
        </w:rPr>
        <w:t xml:space="preserve">risco-país, quanto as variáveis comerciais, </w:t>
      </w:r>
      <w:r w:rsidR="00744DBA">
        <w:rPr>
          <w:rFonts w:ascii="Times New Roman" w:hAnsi="Times New Roman"/>
          <w:sz w:val="24"/>
          <w:szCs w:val="24"/>
        </w:rPr>
        <w:t>sobretudo</w:t>
      </w:r>
      <w:r w:rsidR="009D6DF2">
        <w:rPr>
          <w:rFonts w:ascii="Times New Roman" w:hAnsi="Times New Roman"/>
          <w:sz w:val="24"/>
          <w:szCs w:val="24"/>
        </w:rPr>
        <w:t xml:space="preserve"> </w:t>
      </w:r>
      <w:r w:rsidR="00744DBA">
        <w:rPr>
          <w:rFonts w:ascii="Times New Roman" w:hAnsi="Times New Roman"/>
          <w:sz w:val="24"/>
          <w:szCs w:val="24"/>
        </w:rPr>
        <w:t>em termos d</w:t>
      </w:r>
      <w:r w:rsidR="009D6DF2">
        <w:rPr>
          <w:rFonts w:ascii="Times New Roman" w:hAnsi="Times New Roman"/>
          <w:sz w:val="24"/>
          <w:szCs w:val="24"/>
        </w:rPr>
        <w:t xml:space="preserve">os preços das </w:t>
      </w:r>
      <w:r w:rsidR="009D6DF2" w:rsidRPr="009D6DF2">
        <w:rPr>
          <w:rFonts w:ascii="Times New Roman" w:hAnsi="Times New Roman"/>
          <w:i/>
          <w:sz w:val="24"/>
          <w:szCs w:val="24"/>
        </w:rPr>
        <w:t>commodities</w:t>
      </w:r>
      <w:r w:rsidR="009D6DF2">
        <w:rPr>
          <w:rFonts w:ascii="Times New Roman" w:hAnsi="Times New Roman"/>
          <w:sz w:val="24"/>
          <w:szCs w:val="24"/>
        </w:rPr>
        <w:t xml:space="preserve">, contribuíram para a apreciação da taxa de câmbio real no Brasil </w:t>
      </w:r>
      <w:r w:rsidR="00E70DA5">
        <w:rPr>
          <w:rFonts w:ascii="Times New Roman" w:hAnsi="Times New Roman"/>
          <w:sz w:val="24"/>
          <w:szCs w:val="24"/>
        </w:rPr>
        <w:t>ao longo do período</w:t>
      </w:r>
      <w:r w:rsidR="009D6DF2">
        <w:rPr>
          <w:rFonts w:ascii="Times New Roman" w:hAnsi="Times New Roman"/>
          <w:sz w:val="24"/>
          <w:szCs w:val="24"/>
        </w:rPr>
        <w:t>. Porém</w:t>
      </w:r>
      <w:r w:rsidR="0021760A">
        <w:rPr>
          <w:rFonts w:ascii="Times New Roman" w:hAnsi="Times New Roman"/>
          <w:sz w:val="24"/>
          <w:szCs w:val="24"/>
        </w:rPr>
        <w:t>,</w:t>
      </w:r>
      <w:r w:rsidR="009D6DF2">
        <w:rPr>
          <w:rFonts w:ascii="Times New Roman" w:hAnsi="Times New Roman"/>
          <w:sz w:val="24"/>
          <w:szCs w:val="24"/>
        </w:rPr>
        <w:t xml:space="preserve"> os</w:t>
      </w:r>
      <w:r w:rsidR="00B329F5">
        <w:rPr>
          <w:rFonts w:ascii="Times New Roman" w:hAnsi="Times New Roman"/>
          <w:sz w:val="24"/>
          <w:szCs w:val="24"/>
        </w:rPr>
        <w:t xml:space="preserve"> elementos do mercado </w:t>
      </w:r>
      <w:r w:rsidR="009D6DF2" w:rsidRPr="001E5B19">
        <w:rPr>
          <w:rFonts w:ascii="Times New Roman" w:hAnsi="Times New Roman"/>
          <w:sz w:val="24"/>
          <w:szCs w:val="24"/>
        </w:rPr>
        <w:t xml:space="preserve">financeiro </w:t>
      </w:r>
      <w:r w:rsidR="009D6DF2">
        <w:rPr>
          <w:rFonts w:ascii="Times New Roman" w:hAnsi="Times New Roman"/>
          <w:sz w:val="24"/>
          <w:szCs w:val="24"/>
        </w:rPr>
        <w:t xml:space="preserve">tiveram maior peso relativo </w:t>
      </w:r>
      <w:r w:rsidR="00BA5092">
        <w:rPr>
          <w:rFonts w:ascii="Times New Roman" w:hAnsi="Times New Roman"/>
          <w:sz w:val="24"/>
          <w:szCs w:val="24"/>
        </w:rPr>
        <w:t xml:space="preserve">(cerca de 45%) </w:t>
      </w:r>
      <w:r w:rsidR="009D6DF2">
        <w:rPr>
          <w:rFonts w:ascii="Times New Roman" w:hAnsi="Times New Roman"/>
          <w:sz w:val="24"/>
          <w:szCs w:val="24"/>
        </w:rPr>
        <w:t xml:space="preserve">na </w:t>
      </w:r>
      <w:r w:rsidR="009D6DF2" w:rsidRPr="001E5B19">
        <w:rPr>
          <w:rFonts w:ascii="Times New Roman" w:hAnsi="Times New Roman"/>
          <w:sz w:val="24"/>
          <w:szCs w:val="24"/>
        </w:rPr>
        <w:t>apreciação cambial ocorrida na economia brasileira</w:t>
      </w:r>
      <w:r w:rsidR="00B329F5">
        <w:rPr>
          <w:rFonts w:ascii="Times New Roman" w:hAnsi="Times New Roman"/>
          <w:sz w:val="24"/>
          <w:szCs w:val="24"/>
        </w:rPr>
        <w:t xml:space="preserve"> em comparação aos fatores comerciais</w:t>
      </w:r>
      <w:r w:rsidR="00BA5092">
        <w:rPr>
          <w:rFonts w:ascii="Times New Roman" w:hAnsi="Times New Roman"/>
          <w:sz w:val="24"/>
          <w:szCs w:val="24"/>
        </w:rPr>
        <w:t xml:space="preserve"> (menos de 20%)</w:t>
      </w:r>
      <w:r w:rsidR="009D6DF2" w:rsidRPr="001E5B19">
        <w:rPr>
          <w:rFonts w:ascii="Times New Roman" w:hAnsi="Times New Roman"/>
          <w:sz w:val="24"/>
          <w:szCs w:val="24"/>
        </w:rPr>
        <w:t xml:space="preserve">. </w:t>
      </w:r>
      <w:r w:rsidR="00B329F5">
        <w:rPr>
          <w:rFonts w:ascii="Times New Roman" w:hAnsi="Times New Roman"/>
          <w:sz w:val="24"/>
          <w:szCs w:val="24"/>
        </w:rPr>
        <w:t>Neste sentido, fica a lição de que a</w:t>
      </w:r>
      <w:r w:rsidR="009D6DF2" w:rsidRPr="001E5B19">
        <w:rPr>
          <w:rFonts w:ascii="Times New Roman" w:hAnsi="Times New Roman"/>
          <w:sz w:val="24"/>
          <w:szCs w:val="24"/>
        </w:rPr>
        <w:t xml:space="preserve"> política econômica prudencial deve</w:t>
      </w:r>
      <w:r w:rsidR="00B329F5">
        <w:rPr>
          <w:rFonts w:ascii="Times New Roman" w:hAnsi="Times New Roman"/>
          <w:sz w:val="24"/>
          <w:szCs w:val="24"/>
        </w:rPr>
        <w:t xml:space="preserve"> </w:t>
      </w:r>
      <w:r w:rsidR="009D6DF2" w:rsidRPr="001E5B19">
        <w:rPr>
          <w:rFonts w:ascii="Times New Roman" w:hAnsi="Times New Roman"/>
          <w:sz w:val="24"/>
          <w:szCs w:val="24"/>
        </w:rPr>
        <w:t>ampliar a consideração do efeito negativo potencial dos influxos de capitais e incluir aqueles associados à Doença Holandesa</w:t>
      </w:r>
      <w:r w:rsidR="00B329F5">
        <w:rPr>
          <w:rFonts w:ascii="Times New Roman" w:hAnsi="Times New Roman"/>
          <w:sz w:val="24"/>
          <w:szCs w:val="24"/>
        </w:rPr>
        <w:t xml:space="preserve"> para promover uma taxa de câmbio mais adequada para o</w:t>
      </w:r>
      <w:r w:rsidR="0007698B">
        <w:rPr>
          <w:rFonts w:ascii="Times New Roman" w:hAnsi="Times New Roman"/>
          <w:sz w:val="24"/>
          <w:szCs w:val="24"/>
        </w:rPr>
        <w:t xml:space="preserve"> desenvolvimento </w:t>
      </w:r>
      <w:r w:rsidR="001336A7">
        <w:rPr>
          <w:rFonts w:ascii="Times New Roman" w:hAnsi="Times New Roman"/>
          <w:sz w:val="24"/>
          <w:szCs w:val="24"/>
        </w:rPr>
        <w:t xml:space="preserve">econômico </w:t>
      </w:r>
      <w:r w:rsidR="0007698B">
        <w:rPr>
          <w:rFonts w:ascii="Times New Roman" w:hAnsi="Times New Roman"/>
          <w:sz w:val="24"/>
          <w:szCs w:val="24"/>
        </w:rPr>
        <w:t>do</w:t>
      </w:r>
      <w:r w:rsidR="00B329F5">
        <w:rPr>
          <w:rFonts w:ascii="Times New Roman" w:hAnsi="Times New Roman"/>
          <w:sz w:val="24"/>
          <w:szCs w:val="24"/>
        </w:rPr>
        <w:t xml:space="preserve"> país</w:t>
      </w:r>
      <w:r w:rsidR="009D6DF2" w:rsidRPr="001E5B19">
        <w:rPr>
          <w:rFonts w:ascii="Times New Roman" w:hAnsi="Times New Roman"/>
          <w:sz w:val="24"/>
          <w:szCs w:val="24"/>
        </w:rPr>
        <w:t>.</w:t>
      </w:r>
    </w:p>
    <w:p w:rsidR="009D6DF2" w:rsidRDefault="009D6DF2" w:rsidP="006E41E7">
      <w:pPr>
        <w:spacing w:after="0" w:line="240" w:lineRule="auto"/>
        <w:jc w:val="both"/>
        <w:rPr>
          <w:rFonts w:ascii="Times New Roman" w:hAnsi="Times New Roman"/>
          <w:sz w:val="24"/>
          <w:szCs w:val="24"/>
        </w:rPr>
      </w:pPr>
    </w:p>
    <w:p w:rsidR="00C4683A" w:rsidRDefault="00C4683A" w:rsidP="006E41E7">
      <w:pPr>
        <w:spacing w:after="0" w:line="240" w:lineRule="auto"/>
        <w:jc w:val="both"/>
        <w:rPr>
          <w:rFonts w:ascii="Times New Roman" w:hAnsi="Times New Roman"/>
          <w:sz w:val="24"/>
          <w:szCs w:val="24"/>
        </w:rPr>
      </w:pPr>
      <w:r w:rsidRPr="00BA5092">
        <w:rPr>
          <w:rFonts w:ascii="Times New Roman" w:hAnsi="Times New Roman"/>
          <w:b/>
          <w:sz w:val="24"/>
          <w:szCs w:val="24"/>
        </w:rPr>
        <w:t>Palavras-chave:</w:t>
      </w:r>
      <w:r w:rsidR="00666D3D">
        <w:rPr>
          <w:rFonts w:ascii="Times New Roman" w:hAnsi="Times New Roman"/>
          <w:sz w:val="24"/>
          <w:szCs w:val="24"/>
        </w:rPr>
        <w:t xml:space="preserve"> Taxa de câmbio real, exportações de commodities, fluxos de capitais, Brasil.</w:t>
      </w:r>
      <w:r w:rsidR="005C13D4">
        <w:rPr>
          <w:rFonts w:ascii="Times New Roman" w:hAnsi="Times New Roman"/>
          <w:sz w:val="24"/>
          <w:szCs w:val="24"/>
        </w:rPr>
        <w:t xml:space="preserve"> </w:t>
      </w:r>
    </w:p>
    <w:p w:rsidR="00C4683A" w:rsidRDefault="00C4683A" w:rsidP="006E41E7">
      <w:pPr>
        <w:spacing w:after="0" w:line="240" w:lineRule="auto"/>
        <w:jc w:val="both"/>
        <w:rPr>
          <w:rFonts w:ascii="Times New Roman" w:hAnsi="Times New Roman"/>
          <w:sz w:val="24"/>
          <w:szCs w:val="24"/>
        </w:rPr>
      </w:pPr>
    </w:p>
    <w:p w:rsidR="0068275C" w:rsidRDefault="00AE6E27" w:rsidP="006E41E7">
      <w:pPr>
        <w:spacing w:after="0" w:line="240" w:lineRule="auto"/>
        <w:jc w:val="both"/>
        <w:rPr>
          <w:rFonts w:ascii="Times New Roman" w:hAnsi="Times New Roman"/>
          <w:b/>
          <w:sz w:val="24"/>
          <w:szCs w:val="24"/>
          <w:lang w:val="en-US"/>
        </w:rPr>
      </w:pPr>
      <w:r>
        <w:rPr>
          <w:rFonts w:ascii="Times New Roman" w:hAnsi="Times New Roman"/>
          <w:b/>
          <w:sz w:val="24"/>
          <w:szCs w:val="24"/>
          <w:lang w:val="en-US"/>
        </w:rPr>
        <w:t xml:space="preserve">Classificação </w:t>
      </w:r>
      <w:r w:rsidR="0068275C">
        <w:rPr>
          <w:rFonts w:ascii="Times New Roman" w:hAnsi="Times New Roman"/>
          <w:b/>
          <w:sz w:val="24"/>
          <w:szCs w:val="24"/>
          <w:lang w:val="en-US"/>
        </w:rPr>
        <w:t>JEL:</w:t>
      </w:r>
      <w:r w:rsidR="00CC4FDD">
        <w:rPr>
          <w:rFonts w:ascii="Times New Roman" w:hAnsi="Times New Roman"/>
          <w:b/>
          <w:sz w:val="24"/>
          <w:szCs w:val="24"/>
          <w:lang w:val="en-US"/>
        </w:rPr>
        <w:t xml:space="preserve"> </w:t>
      </w:r>
      <w:r w:rsidR="00CC4FDD">
        <w:rPr>
          <w:rFonts w:ascii="Times New Roman" w:hAnsi="Times New Roman"/>
          <w:sz w:val="24"/>
          <w:szCs w:val="24"/>
          <w:lang w:val="en-US"/>
        </w:rPr>
        <w:t xml:space="preserve">O13, O24, </w:t>
      </w:r>
      <w:r w:rsidR="0021760A" w:rsidRPr="005153C0">
        <w:rPr>
          <w:rFonts w:ascii="Times New Roman" w:hAnsi="Times New Roman"/>
          <w:bCs/>
          <w:sz w:val="24"/>
          <w:szCs w:val="24"/>
          <w:lang w:val="en-US"/>
        </w:rPr>
        <w:t>E44, F32</w:t>
      </w:r>
    </w:p>
    <w:p w:rsidR="0068275C" w:rsidRDefault="0068275C" w:rsidP="006E41E7">
      <w:pPr>
        <w:spacing w:after="0" w:line="240" w:lineRule="auto"/>
        <w:jc w:val="both"/>
        <w:rPr>
          <w:rFonts w:ascii="Times New Roman" w:hAnsi="Times New Roman"/>
          <w:b/>
          <w:sz w:val="24"/>
          <w:szCs w:val="24"/>
          <w:lang w:val="en-US"/>
        </w:rPr>
      </w:pPr>
    </w:p>
    <w:p w:rsidR="00396CA7" w:rsidRDefault="006E41E7" w:rsidP="006E41E7">
      <w:pPr>
        <w:spacing w:after="0" w:line="240" w:lineRule="auto"/>
        <w:jc w:val="both"/>
        <w:rPr>
          <w:rFonts w:ascii="Times New Roman" w:hAnsi="Times New Roman"/>
          <w:sz w:val="24"/>
          <w:szCs w:val="24"/>
          <w:lang w:val="en-US"/>
        </w:rPr>
      </w:pPr>
      <w:r w:rsidRPr="00BA5092">
        <w:rPr>
          <w:rFonts w:ascii="Times New Roman" w:hAnsi="Times New Roman"/>
          <w:b/>
          <w:sz w:val="24"/>
          <w:szCs w:val="24"/>
          <w:lang w:val="en-US"/>
        </w:rPr>
        <w:t>Abstract:</w:t>
      </w:r>
      <w:r w:rsidR="005153C0">
        <w:rPr>
          <w:rFonts w:ascii="Times New Roman" w:hAnsi="Times New Roman"/>
          <w:b/>
          <w:sz w:val="24"/>
          <w:szCs w:val="24"/>
          <w:lang w:val="en-US"/>
        </w:rPr>
        <w:t xml:space="preserve"> </w:t>
      </w:r>
      <w:r w:rsidR="005153C0" w:rsidRPr="005153C0">
        <w:rPr>
          <w:rFonts w:ascii="Times New Roman" w:hAnsi="Times New Roman"/>
          <w:sz w:val="24"/>
          <w:szCs w:val="24"/>
          <w:lang w:val="en-US"/>
        </w:rPr>
        <w:t xml:space="preserve">This </w:t>
      </w:r>
      <w:r w:rsidR="005153C0">
        <w:rPr>
          <w:rFonts w:ascii="Times New Roman" w:hAnsi="Times New Roman"/>
          <w:sz w:val="24"/>
          <w:szCs w:val="24"/>
          <w:lang w:val="en-US"/>
        </w:rPr>
        <w:t>paper</w:t>
      </w:r>
      <w:r w:rsidR="005153C0" w:rsidRPr="005153C0">
        <w:rPr>
          <w:rFonts w:ascii="Times New Roman" w:hAnsi="Times New Roman"/>
          <w:sz w:val="24"/>
          <w:szCs w:val="24"/>
          <w:lang w:val="en-US"/>
        </w:rPr>
        <w:t xml:space="preserve"> examines the relative importance of </w:t>
      </w:r>
      <w:r w:rsidR="00E724CA">
        <w:rPr>
          <w:rFonts w:ascii="Times New Roman" w:hAnsi="Times New Roman"/>
          <w:sz w:val="24"/>
          <w:szCs w:val="24"/>
          <w:lang w:val="en-US"/>
        </w:rPr>
        <w:t xml:space="preserve">trade </w:t>
      </w:r>
      <w:r w:rsidR="005153C0" w:rsidRPr="005153C0">
        <w:rPr>
          <w:rFonts w:ascii="Times New Roman" w:hAnsi="Times New Roman"/>
          <w:sz w:val="24"/>
          <w:szCs w:val="24"/>
          <w:lang w:val="en-US"/>
        </w:rPr>
        <w:t xml:space="preserve">variables (exports and commodity prices) and financial </w:t>
      </w:r>
      <w:r w:rsidR="00E724CA">
        <w:rPr>
          <w:rFonts w:ascii="Times New Roman" w:hAnsi="Times New Roman"/>
          <w:sz w:val="24"/>
          <w:szCs w:val="24"/>
          <w:lang w:val="en-US"/>
        </w:rPr>
        <w:t xml:space="preserve">variables </w:t>
      </w:r>
      <w:r w:rsidR="005153C0" w:rsidRPr="005153C0">
        <w:rPr>
          <w:rFonts w:ascii="Times New Roman" w:hAnsi="Times New Roman"/>
          <w:sz w:val="24"/>
          <w:szCs w:val="24"/>
          <w:lang w:val="en-US"/>
        </w:rPr>
        <w:t xml:space="preserve">(investment inflows in portfolio, interest rate and country risk) to explain the trend </w:t>
      </w:r>
      <w:r w:rsidR="00E724CA">
        <w:rPr>
          <w:rFonts w:ascii="Times New Roman" w:hAnsi="Times New Roman"/>
          <w:sz w:val="24"/>
          <w:szCs w:val="24"/>
          <w:lang w:val="en-US"/>
        </w:rPr>
        <w:t xml:space="preserve">of </w:t>
      </w:r>
      <w:r w:rsidR="005153C0" w:rsidRPr="005153C0">
        <w:rPr>
          <w:rFonts w:ascii="Times New Roman" w:hAnsi="Times New Roman"/>
          <w:sz w:val="24"/>
          <w:szCs w:val="24"/>
          <w:lang w:val="en-US"/>
        </w:rPr>
        <w:t xml:space="preserve">appreciation of the real exchange rate in Brazil, </w:t>
      </w:r>
      <w:r w:rsidR="00B43A27">
        <w:rPr>
          <w:rFonts w:ascii="Times New Roman" w:hAnsi="Times New Roman"/>
          <w:sz w:val="24"/>
          <w:szCs w:val="24"/>
          <w:lang w:val="en-US"/>
        </w:rPr>
        <w:t>during the</w:t>
      </w:r>
      <w:r w:rsidR="005153C0" w:rsidRPr="005153C0">
        <w:rPr>
          <w:rFonts w:ascii="Times New Roman" w:hAnsi="Times New Roman"/>
          <w:sz w:val="24"/>
          <w:szCs w:val="24"/>
          <w:lang w:val="en-US"/>
        </w:rPr>
        <w:t xml:space="preserve"> period 2000 to 2013. </w:t>
      </w:r>
      <w:r w:rsidR="00E724CA">
        <w:rPr>
          <w:rFonts w:ascii="Times New Roman" w:hAnsi="Times New Roman"/>
          <w:sz w:val="24"/>
          <w:szCs w:val="24"/>
          <w:lang w:val="en-US"/>
        </w:rPr>
        <w:t>To accomplish this,</w:t>
      </w:r>
      <w:r w:rsidR="005153C0" w:rsidRPr="005153C0">
        <w:rPr>
          <w:rFonts w:ascii="Times New Roman" w:hAnsi="Times New Roman"/>
          <w:sz w:val="24"/>
          <w:szCs w:val="24"/>
          <w:lang w:val="en-US"/>
        </w:rPr>
        <w:t xml:space="preserve"> the methodology of Vector Autoregressive (VAR)</w:t>
      </w:r>
      <w:r w:rsidR="00E724CA">
        <w:rPr>
          <w:rFonts w:ascii="Times New Roman" w:hAnsi="Times New Roman"/>
          <w:sz w:val="24"/>
          <w:szCs w:val="24"/>
          <w:lang w:val="en-US"/>
        </w:rPr>
        <w:t xml:space="preserve"> is used</w:t>
      </w:r>
      <w:r w:rsidR="005153C0" w:rsidRPr="005153C0">
        <w:rPr>
          <w:rFonts w:ascii="Times New Roman" w:hAnsi="Times New Roman"/>
          <w:sz w:val="24"/>
          <w:szCs w:val="24"/>
          <w:lang w:val="en-US"/>
        </w:rPr>
        <w:t>,</w:t>
      </w:r>
      <w:r w:rsidR="00E724CA">
        <w:rPr>
          <w:rFonts w:ascii="Times New Roman" w:hAnsi="Times New Roman"/>
          <w:sz w:val="24"/>
          <w:szCs w:val="24"/>
          <w:lang w:val="en-US"/>
        </w:rPr>
        <w:t xml:space="preserve"> through</w:t>
      </w:r>
      <w:r w:rsidR="005153C0" w:rsidRPr="005153C0">
        <w:rPr>
          <w:rFonts w:ascii="Times New Roman" w:hAnsi="Times New Roman"/>
          <w:sz w:val="24"/>
          <w:szCs w:val="24"/>
          <w:lang w:val="en-US"/>
        </w:rPr>
        <w:t xml:space="preserve"> the Impulse Response Functions and Decomposition Analysis of Variance. The evidences suggest that both financial variables, especially inflows of portfolio investment and country risk, as the trade variables, especially </w:t>
      </w:r>
      <w:r w:rsidR="00E724CA">
        <w:rPr>
          <w:rFonts w:ascii="Times New Roman" w:hAnsi="Times New Roman"/>
          <w:sz w:val="24"/>
          <w:szCs w:val="24"/>
          <w:lang w:val="en-US"/>
        </w:rPr>
        <w:t>the</w:t>
      </w:r>
      <w:r w:rsidR="005153C0" w:rsidRPr="005153C0">
        <w:rPr>
          <w:rFonts w:ascii="Times New Roman" w:hAnsi="Times New Roman"/>
          <w:sz w:val="24"/>
          <w:szCs w:val="24"/>
          <w:lang w:val="en-US"/>
        </w:rPr>
        <w:t xml:space="preserve"> commodity prices, contributed to the appreciation of the real exchange</w:t>
      </w:r>
      <w:r w:rsidR="00E724CA">
        <w:rPr>
          <w:rFonts w:ascii="Times New Roman" w:hAnsi="Times New Roman"/>
          <w:sz w:val="24"/>
          <w:szCs w:val="24"/>
          <w:lang w:val="en-US"/>
        </w:rPr>
        <w:t xml:space="preserve"> rate in Brazil over the period</w:t>
      </w:r>
      <w:r w:rsidR="005153C0" w:rsidRPr="005153C0">
        <w:rPr>
          <w:rFonts w:ascii="Times New Roman" w:hAnsi="Times New Roman"/>
          <w:sz w:val="24"/>
          <w:szCs w:val="24"/>
          <w:lang w:val="en-US"/>
        </w:rPr>
        <w:t xml:space="preserve">. However, the elements of the financial market had higher relative weight (about 45%) in the exchange rate appreciation in the Brazilian economy in comparison to commercial factors (less than 20%). In this sense, the lesson is that </w:t>
      </w:r>
      <w:r w:rsidR="00E724CA">
        <w:rPr>
          <w:rFonts w:ascii="Times New Roman" w:hAnsi="Times New Roman"/>
          <w:sz w:val="24"/>
          <w:szCs w:val="24"/>
          <w:lang w:val="en-US"/>
        </w:rPr>
        <w:t>prudential</w:t>
      </w:r>
      <w:r w:rsidR="005153C0" w:rsidRPr="005153C0">
        <w:rPr>
          <w:rFonts w:ascii="Times New Roman" w:hAnsi="Times New Roman"/>
          <w:sz w:val="24"/>
          <w:szCs w:val="24"/>
          <w:lang w:val="en-US"/>
        </w:rPr>
        <w:t xml:space="preserve"> policy should extend consideration of the potential negative effect of capital inflows and include those associated with the Dutch Disease to promote an </w:t>
      </w:r>
      <w:r w:rsidR="00E724CA">
        <w:rPr>
          <w:rFonts w:ascii="Times New Roman" w:hAnsi="Times New Roman"/>
          <w:sz w:val="24"/>
          <w:szCs w:val="24"/>
          <w:lang w:val="en-US"/>
        </w:rPr>
        <w:t xml:space="preserve">adequate </w:t>
      </w:r>
      <w:r w:rsidR="005153C0" w:rsidRPr="005153C0">
        <w:rPr>
          <w:rFonts w:ascii="Times New Roman" w:hAnsi="Times New Roman"/>
          <w:sz w:val="24"/>
          <w:szCs w:val="24"/>
          <w:lang w:val="en-US"/>
        </w:rPr>
        <w:t xml:space="preserve">exchange rate </w:t>
      </w:r>
      <w:r w:rsidR="00E724CA">
        <w:rPr>
          <w:rFonts w:ascii="Times New Roman" w:hAnsi="Times New Roman"/>
          <w:sz w:val="24"/>
          <w:szCs w:val="24"/>
          <w:lang w:val="en-US"/>
        </w:rPr>
        <w:t>policy</w:t>
      </w:r>
      <w:r w:rsidR="005153C0" w:rsidRPr="005153C0">
        <w:rPr>
          <w:rFonts w:ascii="Times New Roman" w:hAnsi="Times New Roman"/>
          <w:sz w:val="24"/>
          <w:szCs w:val="24"/>
          <w:lang w:val="en-US"/>
        </w:rPr>
        <w:t xml:space="preserve"> for the </w:t>
      </w:r>
      <w:r w:rsidR="00396CA7">
        <w:rPr>
          <w:rFonts w:ascii="Times New Roman" w:hAnsi="Times New Roman"/>
          <w:sz w:val="24"/>
          <w:szCs w:val="24"/>
          <w:lang w:val="en-US"/>
        </w:rPr>
        <w:t xml:space="preserve">economic </w:t>
      </w:r>
      <w:r w:rsidR="005153C0" w:rsidRPr="005153C0">
        <w:rPr>
          <w:rFonts w:ascii="Times New Roman" w:hAnsi="Times New Roman"/>
          <w:sz w:val="24"/>
          <w:szCs w:val="24"/>
          <w:lang w:val="en-US"/>
        </w:rPr>
        <w:t>development</w:t>
      </w:r>
      <w:r w:rsidR="00396CA7">
        <w:rPr>
          <w:rFonts w:ascii="Times New Roman" w:hAnsi="Times New Roman"/>
          <w:sz w:val="24"/>
          <w:szCs w:val="24"/>
          <w:lang w:val="en-US"/>
        </w:rPr>
        <w:t>.</w:t>
      </w:r>
    </w:p>
    <w:p w:rsidR="006E41E7" w:rsidRPr="005C13D4" w:rsidRDefault="00396CA7" w:rsidP="006E41E7">
      <w:pPr>
        <w:spacing w:after="0" w:line="240" w:lineRule="auto"/>
        <w:jc w:val="both"/>
        <w:rPr>
          <w:rFonts w:ascii="Times New Roman" w:hAnsi="Times New Roman"/>
          <w:sz w:val="24"/>
          <w:szCs w:val="24"/>
          <w:lang w:val="en-US"/>
        </w:rPr>
      </w:pPr>
      <w:r w:rsidRPr="005C13D4">
        <w:rPr>
          <w:rFonts w:ascii="Times New Roman" w:hAnsi="Times New Roman"/>
          <w:sz w:val="24"/>
          <w:szCs w:val="24"/>
          <w:lang w:val="en-US"/>
        </w:rPr>
        <w:t xml:space="preserve"> </w:t>
      </w:r>
    </w:p>
    <w:p w:rsidR="005C13D4" w:rsidRDefault="006E41E7" w:rsidP="006E41E7">
      <w:pPr>
        <w:spacing w:after="0" w:line="240" w:lineRule="auto"/>
        <w:jc w:val="both"/>
        <w:rPr>
          <w:rFonts w:ascii="Times New Roman" w:hAnsi="Times New Roman"/>
          <w:sz w:val="24"/>
          <w:szCs w:val="24"/>
          <w:lang w:val="en-US"/>
        </w:rPr>
      </w:pPr>
      <w:r w:rsidRPr="00BA5092">
        <w:rPr>
          <w:rFonts w:ascii="Times New Roman" w:hAnsi="Times New Roman"/>
          <w:b/>
          <w:sz w:val="24"/>
          <w:szCs w:val="24"/>
          <w:lang w:val="en-US"/>
        </w:rPr>
        <w:t>Key-words:</w:t>
      </w:r>
      <w:r w:rsidR="005C13D4" w:rsidRPr="005C13D4">
        <w:rPr>
          <w:rFonts w:ascii="Times New Roman" w:hAnsi="Times New Roman"/>
          <w:sz w:val="24"/>
          <w:szCs w:val="24"/>
          <w:lang w:val="en-US"/>
        </w:rPr>
        <w:t xml:space="preserve"> Real exchange rate, </w:t>
      </w:r>
      <w:r w:rsidR="005C13D4">
        <w:rPr>
          <w:rFonts w:ascii="Times New Roman" w:hAnsi="Times New Roman"/>
          <w:sz w:val="24"/>
          <w:szCs w:val="24"/>
          <w:lang w:val="en-US"/>
        </w:rPr>
        <w:t>export of commodities, capital flows, Bra</w:t>
      </w:r>
      <w:r w:rsidR="005C13D4" w:rsidRPr="00FD6F49">
        <w:rPr>
          <w:rFonts w:ascii="Times New Roman" w:hAnsi="Times New Roman"/>
          <w:sz w:val="24"/>
          <w:szCs w:val="24"/>
          <w:lang w:val="en-US"/>
        </w:rPr>
        <w:t>z</w:t>
      </w:r>
      <w:r w:rsidR="005C13D4">
        <w:rPr>
          <w:rFonts w:ascii="Times New Roman" w:hAnsi="Times New Roman"/>
          <w:sz w:val="24"/>
          <w:szCs w:val="24"/>
          <w:lang w:val="en-US"/>
        </w:rPr>
        <w:t xml:space="preserve">il. </w:t>
      </w:r>
    </w:p>
    <w:p w:rsidR="00BA5092" w:rsidRDefault="00BA5092" w:rsidP="006E41E7">
      <w:pPr>
        <w:spacing w:after="0" w:line="240" w:lineRule="auto"/>
        <w:jc w:val="both"/>
        <w:rPr>
          <w:rFonts w:ascii="Times New Roman" w:hAnsi="Times New Roman"/>
          <w:sz w:val="24"/>
          <w:szCs w:val="24"/>
          <w:lang w:val="en-US"/>
        </w:rPr>
      </w:pPr>
    </w:p>
    <w:p w:rsidR="00BA5092" w:rsidRDefault="00BA5092" w:rsidP="006E41E7">
      <w:pPr>
        <w:spacing w:after="0" w:line="240" w:lineRule="auto"/>
        <w:jc w:val="both"/>
        <w:rPr>
          <w:rFonts w:ascii="Times New Roman" w:hAnsi="Times New Roman"/>
          <w:sz w:val="24"/>
          <w:szCs w:val="24"/>
          <w:lang w:val="en-US"/>
        </w:rPr>
      </w:pPr>
    </w:p>
    <w:p w:rsidR="00BA5092" w:rsidRDefault="00BA5092" w:rsidP="00BA5092">
      <w:pPr>
        <w:spacing w:after="0" w:line="240" w:lineRule="auto"/>
        <w:jc w:val="center"/>
        <w:rPr>
          <w:rFonts w:ascii="Times New Roman" w:hAnsi="Times New Roman"/>
          <w:b/>
          <w:sz w:val="24"/>
          <w:szCs w:val="24"/>
          <w:lang w:val="en-US"/>
        </w:rPr>
      </w:pPr>
      <w:r w:rsidRPr="00BA5092">
        <w:rPr>
          <w:rFonts w:ascii="Times New Roman" w:hAnsi="Times New Roman"/>
          <w:b/>
          <w:sz w:val="24"/>
          <w:szCs w:val="24"/>
          <w:lang w:val="en-US"/>
        </w:rPr>
        <w:t>Área 7 – Economia Internacional</w:t>
      </w:r>
    </w:p>
    <w:p w:rsidR="00396CA7" w:rsidRDefault="00396CA7" w:rsidP="00BA5092">
      <w:pPr>
        <w:spacing w:after="0" w:line="240" w:lineRule="auto"/>
        <w:jc w:val="center"/>
        <w:rPr>
          <w:rFonts w:ascii="Times New Roman" w:hAnsi="Times New Roman"/>
          <w:b/>
          <w:sz w:val="24"/>
          <w:szCs w:val="24"/>
          <w:lang w:val="en-US"/>
        </w:rPr>
      </w:pPr>
    </w:p>
    <w:p w:rsidR="008A26CD" w:rsidRPr="00C4683A" w:rsidRDefault="00C4683A" w:rsidP="006E41E7">
      <w:pPr>
        <w:pStyle w:val="PargrafodaLista"/>
        <w:numPr>
          <w:ilvl w:val="0"/>
          <w:numId w:val="1"/>
        </w:numPr>
        <w:spacing w:after="0" w:line="240" w:lineRule="auto"/>
        <w:jc w:val="both"/>
        <w:rPr>
          <w:rFonts w:ascii="Times New Roman" w:hAnsi="Times New Roman"/>
          <w:b/>
          <w:sz w:val="24"/>
          <w:szCs w:val="24"/>
        </w:rPr>
      </w:pPr>
      <w:r w:rsidRPr="00C4683A">
        <w:rPr>
          <w:rFonts w:ascii="Times New Roman" w:hAnsi="Times New Roman"/>
          <w:b/>
          <w:sz w:val="24"/>
          <w:szCs w:val="24"/>
        </w:rPr>
        <w:t>Introdução</w:t>
      </w:r>
    </w:p>
    <w:p w:rsidR="00C4683A" w:rsidRDefault="00C4683A" w:rsidP="006E41E7">
      <w:pPr>
        <w:spacing w:after="0" w:line="240" w:lineRule="auto"/>
        <w:jc w:val="both"/>
        <w:rPr>
          <w:rFonts w:ascii="Times New Roman" w:hAnsi="Times New Roman"/>
          <w:sz w:val="24"/>
          <w:szCs w:val="24"/>
        </w:rPr>
      </w:pPr>
    </w:p>
    <w:p w:rsidR="005F6674" w:rsidRDefault="00C4683A" w:rsidP="006E41E7">
      <w:pPr>
        <w:spacing w:after="0" w:line="240" w:lineRule="auto"/>
        <w:ind w:firstLine="708"/>
        <w:jc w:val="both"/>
        <w:rPr>
          <w:rFonts w:ascii="Times New Roman" w:hAnsi="Times New Roman"/>
          <w:sz w:val="24"/>
          <w:szCs w:val="24"/>
        </w:rPr>
      </w:pPr>
      <w:r>
        <w:rPr>
          <w:rFonts w:ascii="Times New Roman" w:hAnsi="Times New Roman"/>
          <w:sz w:val="24"/>
          <w:szCs w:val="24"/>
        </w:rPr>
        <w:t xml:space="preserve">A economia brasileira </w:t>
      </w:r>
      <w:r w:rsidR="006E230C">
        <w:rPr>
          <w:rFonts w:ascii="Times New Roman" w:hAnsi="Times New Roman"/>
          <w:sz w:val="24"/>
          <w:szCs w:val="24"/>
        </w:rPr>
        <w:t>v</w:t>
      </w:r>
      <w:r>
        <w:rPr>
          <w:rFonts w:ascii="Times New Roman" w:hAnsi="Times New Roman"/>
          <w:sz w:val="24"/>
          <w:szCs w:val="24"/>
        </w:rPr>
        <w:t>ivenci</w:t>
      </w:r>
      <w:r w:rsidR="006E230C">
        <w:rPr>
          <w:rFonts w:ascii="Times New Roman" w:hAnsi="Times New Roman"/>
          <w:sz w:val="24"/>
          <w:szCs w:val="24"/>
        </w:rPr>
        <w:t>ou</w:t>
      </w:r>
      <w:r>
        <w:rPr>
          <w:rFonts w:ascii="Times New Roman" w:hAnsi="Times New Roman"/>
          <w:sz w:val="24"/>
          <w:szCs w:val="24"/>
        </w:rPr>
        <w:t xml:space="preserve">, ao longo dos anos 2000, um cenário caracterizado por uma tendência de apreciação da taxa de câmbio real. Aliado a </w:t>
      </w:r>
      <w:r w:rsidR="0099077C">
        <w:rPr>
          <w:rFonts w:ascii="Times New Roman" w:hAnsi="Times New Roman"/>
          <w:sz w:val="24"/>
          <w:szCs w:val="24"/>
        </w:rPr>
        <w:t>isto</w:t>
      </w:r>
      <w:r>
        <w:rPr>
          <w:rFonts w:ascii="Times New Roman" w:hAnsi="Times New Roman"/>
          <w:sz w:val="24"/>
          <w:szCs w:val="24"/>
        </w:rPr>
        <w:t>, verific</w:t>
      </w:r>
      <w:r w:rsidR="006E230C">
        <w:rPr>
          <w:rFonts w:ascii="Times New Roman" w:hAnsi="Times New Roman"/>
          <w:sz w:val="24"/>
          <w:szCs w:val="24"/>
        </w:rPr>
        <w:t>ou</w:t>
      </w:r>
      <w:r>
        <w:rPr>
          <w:rFonts w:ascii="Times New Roman" w:hAnsi="Times New Roman"/>
          <w:sz w:val="24"/>
          <w:szCs w:val="24"/>
        </w:rPr>
        <w:t xml:space="preserve">-se uma alta participação dos produtos intensivos em recursos naturais </w:t>
      </w:r>
      <w:r w:rsidR="0099077C">
        <w:rPr>
          <w:rFonts w:ascii="Times New Roman" w:hAnsi="Times New Roman"/>
          <w:sz w:val="24"/>
          <w:szCs w:val="24"/>
        </w:rPr>
        <w:t>na pauta exportadora</w:t>
      </w:r>
      <w:r>
        <w:rPr>
          <w:rFonts w:ascii="Times New Roman" w:hAnsi="Times New Roman"/>
          <w:sz w:val="24"/>
          <w:szCs w:val="24"/>
        </w:rPr>
        <w:t xml:space="preserve">, preços internacionais elevados </w:t>
      </w:r>
      <w:r w:rsidR="0099077C">
        <w:rPr>
          <w:rFonts w:ascii="Times New Roman" w:hAnsi="Times New Roman"/>
          <w:sz w:val="24"/>
          <w:szCs w:val="24"/>
        </w:rPr>
        <w:t xml:space="preserve">e </w:t>
      </w:r>
      <w:r>
        <w:rPr>
          <w:rFonts w:ascii="Times New Roman" w:hAnsi="Times New Roman"/>
          <w:sz w:val="24"/>
          <w:szCs w:val="24"/>
        </w:rPr>
        <w:t xml:space="preserve">demanda externa favorável para os produtos básicos, perda de participação relativa da indústria no </w:t>
      </w:r>
      <w:r w:rsidR="0099077C">
        <w:rPr>
          <w:rFonts w:ascii="Times New Roman" w:hAnsi="Times New Roman"/>
          <w:sz w:val="24"/>
          <w:szCs w:val="24"/>
        </w:rPr>
        <w:t>produto</w:t>
      </w:r>
      <w:r>
        <w:rPr>
          <w:rFonts w:ascii="Times New Roman" w:hAnsi="Times New Roman"/>
          <w:sz w:val="24"/>
          <w:szCs w:val="24"/>
        </w:rPr>
        <w:t xml:space="preserve">, </w:t>
      </w:r>
      <w:r w:rsidR="0099077C">
        <w:rPr>
          <w:rFonts w:ascii="Times New Roman" w:hAnsi="Times New Roman"/>
          <w:sz w:val="24"/>
          <w:szCs w:val="24"/>
        </w:rPr>
        <w:t xml:space="preserve">e </w:t>
      </w:r>
      <w:r>
        <w:rPr>
          <w:rFonts w:ascii="Times New Roman" w:hAnsi="Times New Roman"/>
          <w:sz w:val="24"/>
          <w:szCs w:val="24"/>
        </w:rPr>
        <w:t xml:space="preserve">baixo crescimento econômico. </w:t>
      </w:r>
      <w:r w:rsidR="0099077C">
        <w:rPr>
          <w:rFonts w:ascii="Times New Roman" w:hAnsi="Times New Roman"/>
          <w:sz w:val="24"/>
          <w:szCs w:val="24"/>
        </w:rPr>
        <w:t>E</w:t>
      </w:r>
      <w:r>
        <w:rPr>
          <w:rFonts w:ascii="Times New Roman" w:hAnsi="Times New Roman"/>
          <w:sz w:val="24"/>
          <w:szCs w:val="24"/>
        </w:rPr>
        <w:t xml:space="preserve">stes fatores em conjunto são favoráveis, no âmbito teórico, à ocorrência de Doença Holandesa no Brasil. </w:t>
      </w:r>
    </w:p>
    <w:p w:rsidR="005F6674" w:rsidRDefault="00C4683A" w:rsidP="006E41E7">
      <w:pPr>
        <w:spacing w:after="0" w:line="240" w:lineRule="auto"/>
        <w:ind w:firstLine="708"/>
        <w:jc w:val="both"/>
        <w:rPr>
          <w:rFonts w:ascii="Times New Roman" w:hAnsi="Times New Roman"/>
          <w:sz w:val="24"/>
          <w:szCs w:val="24"/>
        </w:rPr>
      </w:pPr>
      <w:r>
        <w:rPr>
          <w:rFonts w:ascii="Times New Roman" w:hAnsi="Times New Roman"/>
          <w:sz w:val="24"/>
          <w:szCs w:val="24"/>
        </w:rPr>
        <w:t xml:space="preserve">Nestes termos, </w:t>
      </w:r>
      <w:r w:rsidR="0088046C">
        <w:rPr>
          <w:rFonts w:ascii="Times New Roman" w:hAnsi="Times New Roman"/>
          <w:sz w:val="24"/>
          <w:szCs w:val="24"/>
        </w:rPr>
        <w:t xml:space="preserve">alguns </w:t>
      </w:r>
      <w:r>
        <w:rPr>
          <w:rFonts w:ascii="Times New Roman" w:hAnsi="Times New Roman"/>
          <w:sz w:val="24"/>
          <w:szCs w:val="24"/>
        </w:rPr>
        <w:t>autores</w:t>
      </w:r>
      <w:r w:rsidR="0088046C">
        <w:rPr>
          <w:rFonts w:ascii="Times New Roman" w:hAnsi="Times New Roman"/>
          <w:sz w:val="24"/>
          <w:szCs w:val="24"/>
        </w:rPr>
        <w:t>, dentre os quais Bresser-Pereira (2009),</w:t>
      </w:r>
      <w:r w:rsidR="003E041E">
        <w:rPr>
          <w:rFonts w:ascii="Times New Roman" w:hAnsi="Times New Roman"/>
          <w:sz w:val="24"/>
          <w:szCs w:val="24"/>
        </w:rPr>
        <w:t xml:space="preserve"> </w:t>
      </w:r>
      <w:r>
        <w:rPr>
          <w:rFonts w:ascii="Times New Roman" w:hAnsi="Times New Roman"/>
          <w:sz w:val="24"/>
          <w:szCs w:val="24"/>
        </w:rPr>
        <w:t>apontam que o processo de apreciação ca</w:t>
      </w:r>
      <w:r w:rsidR="0099077C">
        <w:rPr>
          <w:rFonts w:ascii="Times New Roman" w:hAnsi="Times New Roman"/>
          <w:sz w:val="24"/>
          <w:szCs w:val="24"/>
        </w:rPr>
        <w:t xml:space="preserve">mbial </w:t>
      </w:r>
      <w:r>
        <w:rPr>
          <w:rFonts w:ascii="Times New Roman" w:hAnsi="Times New Roman"/>
          <w:sz w:val="24"/>
          <w:szCs w:val="24"/>
        </w:rPr>
        <w:t>seria derivado de um</w:t>
      </w:r>
      <w:r w:rsidR="0099077C">
        <w:rPr>
          <w:rFonts w:ascii="Times New Roman" w:hAnsi="Times New Roman"/>
          <w:sz w:val="24"/>
          <w:szCs w:val="24"/>
        </w:rPr>
        <w:t>a condição</w:t>
      </w:r>
      <w:r>
        <w:rPr>
          <w:rFonts w:ascii="Times New Roman" w:hAnsi="Times New Roman"/>
          <w:sz w:val="24"/>
          <w:szCs w:val="24"/>
        </w:rPr>
        <w:t xml:space="preserve"> estrutural, dad</w:t>
      </w:r>
      <w:r w:rsidR="0099077C">
        <w:rPr>
          <w:rFonts w:ascii="Times New Roman" w:hAnsi="Times New Roman"/>
          <w:sz w:val="24"/>
          <w:szCs w:val="24"/>
        </w:rPr>
        <w:t>a</w:t>
      </w:r>
      <w:r>
        <w:rPr>
          <w:rFonts w:ascii="Times New Roman" w:hAnsi="Times New Roman"/>
          <w:sz w:val="24"/>
          <w:szCs w:val="24"/>
        </w:rPr>
        <w:t xml:space="preserve"> por uma especialização da </w:t>
      </w:r>
      <w:r w:rsidR="00272D6A">
        <w:rPr>
          <w:rFonts w:ascii="Times New Roman" w:hAnsi="Times New Roman"/>
          <w:sz w:val="24"/>
          <w:szCs w:val="24"/>
        </w:rPr>
        <w:t xml:space="preserve">estrutura produtiva e exportadora da </w:t>
      </w:r>
      <w:r>
        <w:rPr>
          <w:rFonts w:ascii="Times New Roman" w:hAnsi="Times New Roman"/>
          <w:sz w:val="24"/>
          <w:szCs w:val="24"/>
        </w:rPr>
        <w:t>economia em bens intensivos em recursos naturais</w:t>
      </w:r>
      <w:r w:rsidR="00272D6A">
        <w:rPr>
          <w:rFonts w:ascii="Times New Roman" w:hAnsi="Times New Roman"/>
          <w:sz w:val="24"/>
          <w:szCs w:val="24"/>
        </w:rPr>
        <w:t xml:space="preserve"> (</w:t>
      </w:r>
      <w:r w:rsidR="00272D6A" w:rsidRPr="00272D6A">
        <w:rPr>
          <w:rFonts w:ascii="Times New Roman" w:hAnsi="Times New Roman"/>
          <w:i/>
          <w:sz w:val="24"/>
          <w:szCs w:val="24"/>
        </w:rPr>
        <w:t>commodities</w:t>
      </w:r>
      <w:r w:rsidR="00272D6A">
        <w:rPr>
          <w:rFonts w:ascii="Times New Roman" w:hAnsi="Times New Roman"/>
          <w:sz w:val="24"/>
          <w:szCs w:val="24"/>
        </w:rPr>
        <w:t>)</w:t>
      </w:r>
      <w:r>
        <w:rPr>
          <w:rFonts w:ascii="Times New Roman" w:hAnsi="Times New Roman"/>
          <w:sz w:val="24"/>
          <w:szCs w:val="24"/>
        </w:rPr>
        <w:t xml:space="preserve">, que contam com vantagens comparativas </w:t>
      </w:r>
      <w:r w:rsidR="005F6674">
        <w:rPr>
          <w:rFonts w:ascii="Times New Roman" w:hAnsi="Times New Roman"/>
          <w:sz w:val="24"/>
          <w:szCs w:val="24"/>
        </w:rPr>
        <w:t xml:space="preserve">(ricardianas) </w:t>
      </w:r>
      <w:r>
        <w:rPr>
          <w:rFonts w:ascii="Times New Roman" w:hAnsi="Times New Roman"/>
          <w:sz w:val="24"/>
          <w:szCs w:val="24"/>
        </w:rPr>
        <w:t>no comércio internacional</w:t>
      </w:r>
      <w:r w:rsidR="00272D6A">
        <w:rPr>
          <w:rFonts w:ascii="Times New Roman" w:hAnsi="Times New Roman"/>
          <w:sz w:val="24"/>
          <w:szCs w:val="24"/>
        </w:rPr>
        <w:t>. E</w:t>
      </w:r>
      <w:r>
        <w:rPr>
          <w:rFonts w:ascii="Times New Roman" w:hAnsi="Times New Roman"/>
          <w:sz w:val="24"/>
          <w:szCs w:val="24"/>
        </w:rPr>
        <w:t xml:space="preserve">m </w:t>
      </w:r>
      <w:r w:rsidR="0099077C">
        <w:rPr>
          <w:rFonts w:ascii="Times New Roman" w:hAnsi="Times New Roman"/>
          <w:sz w:val="24"/>
          <w:szCs w:val="24"/>
        </w:rPr>
        <w:t>um contexto de preços internacionais elevados para tais produtos</w:t>
      </w:r>
      <w:r>
        <w:rPr>
          <w:rFonts w:ascii="Times New Roman" w:hAnsi="Times New Roman"/>
          <w:sz w:val="24"/>
          <w:szCs w:val="24"/>
        </w:rPr>
        <w:t xml:space="preserve">, </w:t>
      </w:r>
      <w:r w:rsidR="00272D6A">
        <w:rPr>
          <w:rFonts w:ascii="Times New Roman" w:hAnsi="Times New Roman"/>
          <w:sz w:val="24"/>
          <w:szCs w:val="24"/>
        </w:rPr>
        <w:t xml:space="preserve">as exportações de </w:t>
      </w:r>
      <w:r w:rsidR="00272D6A" w:rsidRPr="00272D6A">
        <w:rPr>
          <w:rFonts w:ascii="Times New Roman" w:hAnsi="Times New Roman"/>
          <w:i/>
          <w:sz w:val="24"/>
          <w:szCs w:val="24"/>
        </w:rPr>
        <w:t>commodities</w:t>
      </w:r>
      <w:r w:rsidR="00272D6A">
        <w:rPr>
          <w:rFonts w:ascii="Times New Roman" w:hAnsi="Times New Roman"/>
          <w:sz w:val="24"/>
          <w:szCs w:val="24"/>
        </w:rPr>
        <w:t xml:space="preserve"> </w:t>
      </w:r>
      <w:r>
        <w:rPr>
          <w:rFonts w:ascii="Times New Roman" w:hAnsi="Times New Roman"/>
          <w:sz w:val="24"/>
          <w:szCs w:val="24"/>
        </w:rPr>
        <w:t>provocam uma entrada de divisas no país, promovendo a manutenção da taxa de câmbio real em patamares inferiores aos necessários para assegurar uma rent</w:t>
      </w:r>
      <w:r w:rsidR="00950AD2">
        <w:rPr>
          <w:rFonts w:ascii="Times New Roman" w:hAnsi="Times New Roman"/>
          <w:sz w:val="24"/>
          <w:szCs w:val="24"/>
        </w:rPr>
        <w:t>abilidade atrativa para os produtores de bens manufaturados</w:t>
      </w:r>
      <w:r w:rsidR="005F6674">
        <w:rPr>
          <w:rFonts w:ascii="Times New Roman" w:hAnsi="Times New Roman"/>
          <w:sz w:val="24"/>
          <w:szCs w:val="24"/>
        </w:rPr>
        <w:t>, os quais não contam com vantagens de custo, e, assim, necessitam de uma taxa de câmbio mais competitiva para garantir uma rentabilidade adequada aos produtores. Em última instância, a consequ</w:t>
      </w:r>
      <w:r w:rsidR="0099077C">
        <w:rPr>
          <w:rFonts w:ascii="Times New Roman" w:hAnsi="Times New Roman"/>
          <w:sz w:val="24"/>
          <w:szCs w:val="24"/>
        </w:rPr>
        <w:t>ência deste processo é a</w:t>
      </w:r>
      <w:r w:rsidR="005F6674">
        <w:rPr>
          <w:rFonts w:ascii="Times New Roman" w:hAnsi="Times New Roman"/>
          <w:sz w:val="24"/>
          <w:szCs w:val="24"/>
        </w:rPr>
        <w:t xml:space="preserve"> especialização regressiva da economia em produtos </w:t>
      </w:r>
      <w:r w:rsidR="0099077C">
        <w:rPr>
          <w:rFonts w:ascii="Times New Roman" w:hAnsi="Times New Roman"/>
          <w:sz w:val="24"/>
          <w:szCs w:val="24"/>
        </w:rPr>
        <w:t>primários</w:t>
      </w:r>
      <w:r w:rsidR="005F6674">
        <w:rPr>
          <w:rFonts w:ascii="Times New Roman" w:hAnsi="Times New Roman"/>
          <w:sz w:val="24"/>
          <w:szCs w:val="24"/>
        </w:rPr>
        <w:t xml:space="preserve">, </w:t>
      </w:r>
      <w:r w:rsidR="00C70550">
        <w:rPr>
          <w:rFonts w:ascii="Times New Roman" w:hAnsi="Times New Roman"/>
          <w:sz w:val="24"/>
          <w:szCs w:val="24"/>
        </w:rPr>
        <w:t xml:space="preserve">que promove </w:t>
      </w:r>
      <w:r w:rsidR="005F6674">
        <w:rPr>
          <w:rFonts w:ascii="Times New Roman" w:hAnsi="Times New Roman"/>
          <w:sz w:val="24"/>
          <w:szCs w:val="24"/>
        </w:rPr>
        <w:t>a desindustrialização (perda de participação relativa da atividade industrial</w:t>
      </w:r>
      <w:r w:rsidR="00C70550">
        <w:rPr>
          <w:rFonts w:ascii="Times New Roman" w:hAnsi="Times New Roman"/>
          <w:sz w:val="24"/>
          <w:szCs w:val="24"/>
        </w:rPr>
        <w:t xml:space="preserve"> na geração de emprego e renda)</w:t>
      </w:r>
      <w:r w:rsidR="005F6674">
        <w:rPr>
          <w:rFonts w:ascii="Times New Roman" w:hAnsi="Times New Roman"/>
          <w:sz w:val="24"/>
          <w:szCs w:val="24"/>
        </w:rPr>
        <w:t xml:space="preserve"> e a obtenção de baixas taxas de crescimento econômico.</w:t>
      </w:r>
    </w:p>
    <w:p w:rsidR="006B508D" w:rsidRPr="00361A32" w:rsidRDefault="00811761" w:rsidP="006B508D">
      <w:pPr>
        <w:spacing w:after="0" w:line="240" w:lineRule="auto"/>
        <w:ind w:firstLine="708"/>
        <w:jc w:val="both"/>
        <w:rPr>
          <w:rFonts w:ascii="Times New Roman" w:hAnsi="Times New Roman"/>
          <w:sz w:val="24"/>
          <w:szCs w:val="24"/>
        </w:rPr>
      </w:pPr>
      <w:r w:rsidRPr="00361A32">
        <w:rPr>
          <w:rFonts w:ascii="Times New Roman" w:hAnsi="Times New Roman"/>
          <w:sz w:val="24"/>
          <w:szCs w:val="24"/>
        </w:rPr>
        <w:t>No entanto, o cenário econômico vivenciado pela economia brasileira ao longo dos anos 2000 também pode ser caracterizado por um período de liquidez elevada, com entradas significativas de fluxos de capitais no país, em um co</w:t>
      </w:r>
      <w:r w:rsidR="001E7805">
        <w:rPr>
          <w:rFonts w:ascii="Times New Roman" w:hAnsi="Times New Roman"/>
          <w:sz w:val="24"/>
          <w:szCs w:val="24"/>
        </w:rPr>
        <w:t>ntexto de elevado diferencial da</w:t>
      </w:r>
      <w:r w:rsidRPr="00361A32">
        <w:rPr>
          <w:rFonts w:ascii="Times New Roman" w:hAnsi="Times New Roman"/>
          <w:sz w:val="24"/>
          <w:szCs w:val="24"/>
        </w:rPr>
        <w:t xml:space="preserve"> taxa de juros interna e externa, </w:t>
      </w:r>
      <w:r w:rsidR="006B508D" w:rsidRPr="00361A32">
        <w:rPr>
          <w:rFonts w:ascii="Times New Roman" w:hAnsi="Times New Roman"/>
          <w:sz w:val="24"/>
          <w:szCs w:val="24"/>
        </w:rPr>
        <w:t xml:space="preserve">e </w:t>
      </w:r>
      <w:r w:rsidRPr="00361A32">
        <w:rPr>
          <w:rFonts w:ascii="Times New Roman" w:hAnsi="Times New Roman"/>
          <w:sz w:val="24"/>
          <w:szCs w:val="24"/>
        </w:rPr>
        <w:t xml:space="preserve">melhoria das avaliações de risco </w:t>
      </w:r>
      <w:r w:rsidR="006B508D" w:rsidRPr="00361A32">
        <w:rPr>
          <w:rFonts w:ascii="Times New Roman" w:hAnsi="Times New Roman"/>
          <w:sz w:val="24"/>
          <w:szCs w:val="24"/>
        </w:rPr>
        <w:t>sobre a economia brasileira</w:t>
      </w:r>
      <w:r w:rsidR="003C7E2E">
        <w:rPr>
          <w:rFonts w:ascii="Times New Roman" w:hAnsi="Times New Roman"/>
          <w:sz w:val="24"/>
          <w:szCs w:val="24"/>
        </w:rPr>
        <w:t>.</w:t>
      </w:r>
      <w:r w:rsidRPr="00361A32">
        <w:rPr>
          <w:rFonts w:ascii="Times New Roman" w:hAnsi="Times New Roman"/>
          <w:sz w:val="24"/>
          <w:szCs w:val="24"/>
        </w:rPr>
        <w:t xml:space="preserve"> </w:t>
      </w:r>
      <w:r w:rsidR="006B508D" w:rsidRPr="00361A32">
        <w:rPr>
          <w:rFonts w:ascii="Times New Roman" w:hAnsi="Times New Roman"/>
          <w:sz w:val="24"/>
          <w:szCs w:val="24"/>
        </w:rPr>
        <w:t xml:space="preserve">Cabe ressaltar que, em virtude da constante alteração no volume e direção dos movimentos de capitais internacionais e seus impactos sobre a expansão e retração dos influxos financeiros para as economias emergentes, a literatura econômica tem se preocupado com as ameaças provocadas pelos fluxos correntes de capitais para esta região, como é o caso da economia brasileira. Uma questão que se coloca é </w:t>
      </w:r>
      <w:r w:rsidR="004536D8">
        <w:rPr>
          <w:rFonts w:ascii="Times New Roman" w:hAnsi="Times New Roman"/>
          <w:sz w:val="24"/>
          <w:szCs w:val="24"/>
        </w:rPr>
        <w:t xml:space="preserve">exatamente </w:t>
      </w:r>
      <w:r w:rsidR="006B508D" w:rsidRPr="00361A32">
        <w:rPr>
          <w:rFonts w:ascii="Times New Roman" w:hAnsi="Times New Roman"/>
          <w:sz w:val="24"/>
          <w:szCs w:val="24"/>
        </w:rPr>
        <w:t xml:space="preserve">o impacto desta dinâmica sobre a evolução da taxa de câmbio. Em particular, o Brasil sofreu uma das mais fortes tendências de apreciação cambial, entre os países emergentes, até </w:t>
      </w:r>
      <w:r w:rsidR="002A5463">
        <w:rPr>
          <w:rFonts w:ascii="Times New Roman" w:hAnsi="Times New Roman"/>
          <w:sz w:val="24"/>
          <w:szCs w:val="24"/>
        </w:rPr>
        <w:t xml:space="preserve">o </w:t>
      </w:r>
      <w:r w:rsidR="006B508D" w:rsidRPr="00361A32">
        <w:rPr>
          <w:rFonts w:ascii="Times New Roman" w:hAnsi="Times New Roman"/>
          <w:sz w:val="24"/>
          <w:szCs w:val="24"/>
        </w:rPr>
        <w:t>início de 2012. Diante deste cenário, medidas de regulação financeira (controle de capitais, medidas macroprudenciais e regulação de derivativos cambiais) foram adotadas, de forma que o país ganhou destaque em estudos de casos nas pesquisas do FMI</w:t>
      </w:r>
      <w:r w:rsidR="006B508D" w:rsidRPr="00361A32">
        <w:rPr>
          <w:rStyle w:val="Refdenotaderodap"/>
          <w:rFonts w:ascii="Times New Roman" w:hAnsi="Times New Roman"/>
          <w:sz w:val="24"/>
          <w:szCs w:val="24"/>
        </w:rPr>
        <w:footnoteReference w:id="3"/>
      </w:r>
      <w:r w:rsidR="006B508D" w:rsidRPr="00361A32">
        <w:rPr>
          <w:rFonts w:ascii="Times New Roman" w:hAnsi="Times New Roman"/>
          <w:sz w:val="24"/>
          <w:szCs w:val="24"/>
        </w:rPr>
        <w:t xml:space="preserve"> relativas ao gerenciamento dos fluxos de capitais. Assim, a preocupação sobre o impacto dos fluxos de capitais na taxa de câmbio se tornou clara diante das medidas adotadas pelo governo brasileiro, em consonância com o debate internacional sobre os efeitos macroeconômicos deletérios de reversões de capitais nas economias emergentes.</w:t>
      </w:r>
    </w:p>
    <w:p w:rsidR="006B508D" w:rsidRPr="00F26E73" w:rsidRDefault="006B508D" w:rsidP="006B508D">
      <w:pPr>
        <w:spacing w:after="0" w:line="240" w:lineRule="auto"/>
        <w:ind w:firstLine="708"/>
        <w:jc w:val="both"/>
        <w:rPr>
          <w:rFonts w:ascii="Times New Roman" w:hAnsi="Times New Roman"/>
          <w:sz w:val="24"/>
          <w:szCs w:val="24"/>
        </w:rPr>
      </w:pPr>
      <w:r w:rsidRPr="00F26E73">
        <w:rPr>
          <w:rFonts w:ascii="Times New Roman" w:hAnsi="Times New Roman"/>
          <w:sz w:val="24"/>
          <w:szCs w:val="24"/>
        </w:rPr>
        <w:t>A despeito do país não apresentar a possibilidade de crises no futuro próximo, especialmente em razão do elevado estoque de reservas internacionais</w:t>
      </w:r>
      <w:r w:rsidR="00CD169B" w:rsidRPr="00F26E73">
        <w:rPr>
          <w:rFonts w:ascii="Times New Roman" w:hAnsi="Times New Roman"/>
          <w:sz w:val="24"/>
          <w:szCs w:val="24"/>
        </w:rPr>
        <w:t xml:space="preserve"> e da recente diminuição da parcela do passivo externo denominado em dólares</w:t>
      </w:r>
      <w:r w:rsidRPr="00F26E73">
        <w:rPr>
          <w:rFonts w:ascii="Times New Roman" w:hAnsi="Times New Roman"/>
          <w:sz w:val="24"/>
          <w:szCs w:val="24"/>
        </w:rPr>
        <w:t>, deve-se considerar o</w:t>
      </w:r>
      <w:r w:rsidR="003C3CCF">
        <w:rPr>
          <w:rFonts w:ascii="Times New Roman" w:hAnsi="Times New Roman"/>
          <w:sz w:val="24"/>
          <w:szCs w:val="24"/>
        </w:rPr>
        <w:t>s</w:t>
      </w:r>
      <w:r w:rsidRPr="00F26E73">
        <w:rPr>
          <w:rFonts w:ascii="Times New Roman" w:hAnsi="Times New Roman"/>
          <w:sz w:val="24"/>
          <w:szCs w:val="24"/>
        </w:rPr>
        <w:t xml:space="preserve"> efeitos que os influxos de capitais estão tendo sobre a taxa de câmbio real. Acredita-se que as fortes entradas de capitais estrangeiros decorrentes de fatores globais conjunturais e estruturais se somam aos fatores estruturais associados à ocorrência de Doença Holandesa para explicar a forte apreciação da taxa de câmbio real no Brasil</w:t>
      </w:r>
      <w:r w:rsidR="00EC3730">
        <w:rPr>
          <w:rFonts w:ascii="Times New Roman" w:hAnsi="Times New Roman"/>
          <w:sz w:val="24"/>
          <w:szCs w:val="24"/>
        </w:rPr>
        <w:t xml:space="preserve"> </w:t>
      </w:r>
      <w:r w:rsidRPr="00F26E73">
        <w:rPr>
          <w:rFonts w:ascii="Times New Roman" w:hAnsi="Times New Roman"/>
          <w:sz w:val="24"/>
          <w:szCs w:val="24"/>
        </w:rPr>
        <w:t xml:space="preserve">a partir dos anos 2000. Os influxos de capitais, ao estarem associados à apreciação da taxa de </w:t>
      </w:r>
      <w:r w:rsidRPr="00F26E73">
        <w:rPr>
          <w:rFonts w:ascii="Times New Roman" w:hAnsi="Times New Roman"/>
          <w:sz w:val="24"/>
          <w:szCs w:val="24"/>
        </w:rPr>
        <w:lastRenderedPageBreak/>
        <w:t>câmbio real, danificam a competitividade do setor externo e potencialmente reduzem o crescimento econômico</w:t>
      </w:r>
      <w:r w:rsidRPr="00F26E73">
        <w:rPr>
          <w:rStyle w:val="Refdenotaderodap"/>
          <w:rFonts w:ascii="Times New Roman" w:hAnsi="Times New Roman"/>
          <w:sz w:val="24"/>
          <w:szCs w:val="24"/>
        </w:rPr>
        <w:footnoteReference w:id="4"/>
      </w:r>
      <w:r w:rsidRPr="00F26E73">
        <w:rPr>
          <w:rFonts w:ascii="Times New Roman" w:hAnsi="Times New Roman"/>
          <w:sz w:val="24"/>
          <w:szCs w:val="24"/>
        </w:rPr>
        <w:t xml:space="preserve">. Assim, os fluxos de capitais podem ser incorporados na análise da relação entre exportação e câmbio, sendo este o intuito deste trabalho. </w:t>
      </w:r>
    </w:p>
    <w:p w:rsidR="00EA6326" w:rsidRDefault="00EA6326" w:rsidP="00EA6326">
      <w:pPr>
        <w:spacing w:after="0" w:line="240" w:lineRule="auto"/>
        <w:ind w:firstLine="708"/>
        <w:jc w:val="both"/>
        <w:rPr>
          <w:rFonts w:ascii="Times New Roman" w:hAnsi="Times New Roman"/>
          <w:sz w:val="24"/>
          <w:szCs w:val="24"/>
        </w:rPr>
      </w:pPr>
      <w:r w:rsidRPr="00361A32">
        <w:rPr>
          <w:rFonts w:ascii="Times New Roman" w:hAnsi="Times New Roman"/>
          <w:sz w:val="24"/>
          <w:szCs w:val="24"/>
        </w:rPr>
        <w:t xml:space="preserve">Neste contexto, o presente trabalho pretende </w:t>
      </w:r>
      <w:r w:rsidR="00CA123E" w:rsidRPr="00361A32">
        <w:rPr>
          <w:rFonts w:ascii="Times New Roman" w:hAnsi="Times New Roman"/>
          <w:sz w:val="24"/>
          <w:szCs w:val="24"/>
        </w:rPr>
        <w:t xml:space="preserve">contribuir para </w:t>
      </w:r>
      <w:r w:rsidR="00023907" w:rsidRPr="00361A32">
        <w:rPr>
          <w:rFonts w:ascii="Times New Roman" w:hAnsi="Times New Roman"/>
          <w:sz w:val="24"/>
          <w:szCs w:val="24"/>
        </w:rPr>
        <w:t>a análise</w:t>
      </w:r>
      <w:r w:rsidR="00CA123E" w:rsidRPr="00361A32">
        <w:rPr>
          <w:rFonts w:ascii="Times New Roman" w:hAnsi="Times New Roman"/>
          <w:sz w:val="24"/>
          <w:szCs w:val="24"/>
        </w:rPr>
        <w:t xml:space="preserve"> d</w:t>
      </w:r>
      <w:r w:rsidR="00EC3730">
        <w:rPr>
          <w:rFonts w:ascii="Times New Roman" w:hAnsi="Times New Roman"/>
          <w:sz w:val="24"/>
          <w:szCs w:val="24"/>
        </w:rPr>
        <w:t>a seguinte questão: a partir da</w:t>
      </w:r>
      <w:r w:rsidRPr="00361A32">
        <w:rPr>
          <w:rFonts w:ascii="Times New Roman" w:hAnsi="Times New Roman"/>
          <w:sz w:val="24"/>
          <w:szCs w:val="24"/>
        </w:rPr>
        <w:t xml:space="preserve"> </w:t>
      </w:r>
      <w:r w:rsidR="00EC3730" w:rsidRPr="00361A32">
        <w:rPr>
          <w:rFonts w:ascii="Times New Roman" w:hAnsi="Times New Roman"/>
          <w:sz w:val="24"/>
          <w:szCs w:val="24"/>
        </w:rPr>
        <w:t>hipótese</w:t>
      </w:r>
      <w:r w:rsidRPr="00361A32">
        <w:rPr>
          <w:rFonts w:ascii="Times New Roman" w:hAnsi="Times New Roman"/>
          <w:sz w:val="24"/>
          <w:szCs w:val="24"/>
        </w:rPr>
        <w:t xml:space="preserve"> de que o processo de apreciação da taxa de câmbio real brasileira na década de 2000, dentre outros fatores, se encontra relacionado à entrada favorável de capitais externos no país advind</w:t>
      </w:r>
      <w:r w:rsidR="00EC3730">
        <w:rPr>
          <w:rFonts w:ascii="Times New Roman" w:hAnsi="Times New Roman"/>
          <w:sz w:val="24"/>
          <w:szCs w:val="24"/>
        </w:rPr>
        <w:t>os</w:t>
      </w:r>
      <w:r w:rsidRPr="00361A32">
        <w:rPr>
          <w:rFonts w:ascii="Times New Roman" w:hAnsi="Times New Roman"/>
          <w:sz w:val="24"/>
          <w:szCs w:val="24"/>
        </w:rPr>
        <w:t xml:space="preserve"> do lado financeiro (</w:t>
      </w:r>
      <w:r w:rsidR="00225D9B">
        <w:rPr>
          <w:rFonts w:ascii="Times New Roman" w:hAnsi="Times New Roman"/>
          <w:sz w:val="24"/>
          <w:szCs w:val="24"/>
        </w:rPr>
        <w:t>fluxos de capitais</w:t>
      </w:r>
      <w:r w:rsidRPr="00361A32">
        <w:rPr>
          <w:rFonts w:ascii="Times New Roman" w:hAnsi="Times New Roman"/>
          <w:sz w:val="24"/>
          <w:szCs w:val="24"/>
        </w:rPr>
        <w:t>) e do lado comercial (desempenho exportador</w:t>
      </w:r>
      <w:r w:rsidR="00EC3730">
        <w:rPr>
          <w:rFonts w:ascii="Times New Roman" w:hAnsi="Times New Roman"/>
          <w:sz w:val="24"/>
          <w:szCs w:val="24"/>
        </w:rPr>
        <w:t>, especialmente</w:t>
      </w:r>
      <w:r w:rsidRPr="00361A32">
        <w:rPr>
          <w:rFonts w:ascii="Times New Roman" w:hAnsi="Times New Roman"/>
          <w:sz w:val="24"/>
          <w:szCs w:val="24"/>
        </w:rPr>
        <w:t xml:space="preserve"> de produtos primários), qual a contribuição dos fatores estruturais (variáveis comercia</w:t>
      </w:r>
      <w:r w:rsidR="00EC3730">
        <w:rPr>
          <w:rFonts w:ascii="Times New Roman" w:hAnsi="Times New Roman"/>
          <w:sz w:val="24"/>
          <w:szCs w:val="24"/>
        </w:rPr>
        <w:t>is</w:t>
      </w:r>
      <w:r w:rsidRPr="00361A32">
        <w:rPr>
          <w:rFonts w:ascii="Times New Roman" w:hAnsi="Times New Roman"/>
          <w:sz w:val="24"/>
          <w:szCs w:val="24"/>
        </w:rPr>
        <w:t>) e conjunturais (variáveis financeir</w:t>
      </w:r>
      <w:r w:rsidR="00EC3730">
        <w:rPr>
          <w:rFonts w:ascii="Times New Roman" w:hAnsi="Times New Roman"/>
          <w:sz w:val="24"/>
          <w:szCs w:val="24"/>
        </w:rPr>
        <w:t>as</w:t>
      </w:r>
      <w:r w:rsidRPr="00361A32">
        <w:rPr>
          <w:rFonts w:ascii="Times New Roman" w:hAnsi="Times New Roman"/>
          <w:sz w:val="24"/>
          <w:szCs w:val="24"/>
        </w:rPr>
        <w:t xml:space="preserve">) para a </w:t>
      </w:r>
      <w:r w:rsidR="00EC3730">
        <w:rPr>
          <w:rFonts w:ascii="Times New Roman" w:hAnsi="Times New Roman"/>
          <w:sz w:val="24"/>
          <w:szCs w:val="24"/>
        </w:rPr>
        <w:t>explica</w:t>
      </w:r>
      <w:r w:rsidRPr="00361A32">
        <w:rPr>
          <w:rFonts w:ascii="Times New Roman" w:hAnsi="Times New Roman"/>
          <w:sz w:val="24"/>
          <w:szCs w:val="24"/>
        </w:rPr>
        <w:t>ção d</w:t>
      </w:r>
      <w:r w:rsidR="00EC3730">
        <w:rPr>
          <w:rFonts w:ascii="Times New Roman" w:hAnsi="Times New Roman"/>
          <w:sz w:val="24"/>
          <w:szCs w:val="24"/>
        </w:rPr>
        <w:t>o comportamento d</w:t>
      </w:r>
      <w:r w:rsidRPr="00361A32">
        <w:rPr>
          <w:rFonts w:ascii="Times New Roman" w:hAnsi="Times New Roman"/>
          <w:sz w:val="24"/>
          <w:szCs w:val="24"/>
        </w:rPr>
        <w:t>a taxa de câmbio real no período 2000-201</w:t>
      </w:r>
      <w:r w:rsidR="00EC3730">
        <w:rPr>
          <w:rFonts w:ascii="Times New Roman" w:hAnsi="Times New Roman"/>
          <w:sz w:val="24"/>
          <w:szCs w:val="24"/>
        </w:rPr>
        <w:t>3</w:t>
      </w:r>
      <w:r w:rsidRPr="00361A32">
        <w:rPr>
          <w:rFonts w:ascii="Times New Roman" w:hAnsi="Times New Roman"/>
          <w:sz w:val="24"/>
          <w:szCs w:val="24"/>
        </w:rPr>
        <w:t>?</w:t>
      </w:r>
      <w:r>
        <w:rPr>
          <w:rFonts w:ascii="Times New Roman" w:hAnsi="Times New Roman"/>
          <w:sz w:val="24"/>
          <w:szCs w:val="24"/>
        </w:rPr>
        <w:t xml:space="preserve">  </w:t>
      </w:r>
    </w:p>
    <w:p w:rsidR="006B508D" w:rsidRDefault="00EA6326" w:rsidP="006B508D">
      <w:pPr>
        <w:spacing w:after="0" w:line="240" w:lineRule="auto"/>
        <w:ind w:firstLine="708"/>
        <w:jc w:val="both"/>
        <w:rPr>
          <w:rFonts w:ascii="Times New Roman" w:hAnsi="Times New Roman"/>
          <w:sz w:val="24"/>
          <w:szCs w:val="24"/>
        </w:rPr>
      </w:pPr>
      <w:r w:rsidRPr="002469AD">
        <w:rPr>
          <w:rFonts w:ascii="Times New Roman" w:hAnsi="Times New Roman"/>
          <w:sz w:val="24"/>
          <w:szCs w:val="24"/>
        </w:rPr>
        <w:t xml:space="preserve">A </w:t>
      </w:r>
      <w:r w:rsidR="00CA123E" w:rsidRPr="002469AD">
        <w:rPr>
          <w:rFonts w:ascii="Times New Roman" w:hAnsi="Times New Roman"/>
          <w:sz w:val="24"/>
          <w:szCs w:val="24"/>
        </w:rPr>
        <w:t>proposi</w:t>
      </w:r>
      <w:r w:rsidRPr="002469AD">
        <w:rPr>
          <w:rFonts w:ascii="Times New Roman" w:hAnsi="Times New Roman"/>
          <w:sz w:val="24"/>
          <w:szCs w:val="24"/>
        </w:rPr>
        <w:t xml:space="preserve">ção desta questão se encontra em linha com </w:t>
      </w:r>
      <w:r w:rsidR="00023907">
        <w:rPr>
          <w:rFonts w:ascii="Times New Roman" w:hAnsi="Times New Roman"/>
          <w:sz w:val="24"/>
          <w:szCs w:val="24"/>
        </w:rPr>
        <w:t>argumentos presentes em trabalhos c</w:t>
      </w:r>
      <w:r w:rsidR="006B508D">
        <w:rPr>
          <w:rFonts w:ascii="Times New Roman" w:hAnsi="Times New Roman"/>
          <w:sz w:val="24"/>
          <w:szCs w:val="24"/>
        </w:rPr>
        <w:t xml:space="preserve">omo </w:t>
      </w:r>
      <w:r w:rsidR="00023907">
        <w:rPr>
          <w:rFonts w:ascii="Times New Roman" w:hAnsi="Times New Roman"/>
          <w:sz w:val="24"/>
          <w:szCs w:val="24"/>
        </w:rPr>
        <w:t>o de</w:t>
      </w:r>
      <w:r w:rsidR="006B508D">
        <w:rPr>
          <w:rFonts w:ascii="Times New Roman" w:hAnsi="Times New Roman"/>
          <w:sz w:val="24"/>
          <w:szCs w:val="24"/>
        </w:rPr>
        <w:t xml:space="preserve"> Bresser-Pereira (2011), </w:t>
      </w:r>
      <w:r w:rsidR="00023907">
        <w:rPr>
          <w:rFonts w:ascii="Times New Roman" w:hAnsi="Times New Roman"/>
          <w:sz w:val="24"/>
          <w:szCs w:val="24"/>
        </w:rPr>
        <w:t xml:space="preserve">o </w:t>
      </w:r>
      <w:r>
        <w:rPr>
          <w:rFonts w:ascii="Times New Roman" w:hAnsi="Times New Roman"/>
          <w:sz w:val="24"/>
          <w:szCs w:val="24"/>
        </w:rPr>
        <w:t>qu</w:t>
      </w:r>
      <w:r w:rsidR="00023907">
        <w:rPr>
          <w:rFonts w:ascii="Times New Roman" w:hAnsi="Times New Roman"/>
          <w:sz w:val="24"/>
          <w:szCs w:val="24"/>
        </w:rPr>
        <w:t>al</w:t>
      </w:r>
      <w:r>
        <w:rPr>
          <w:rFonts w:ascii="Times New Roman" w:hAnsi="Times New Roman"/>
          <w:sz w:val="24"/>
          <w:szCs w:val="24"/>
        </w:rPr>
        <w:t xml:space="preserve"> </w:t>
      </w:r>
      <w:r w:rsidR="006B508D">
        <w:rPr>
          <w:rFonts w:ascii="Times New Roman" w:hAnsi="Times New Roman"/>
          <w:sz w:val="24"/>
          <w:szCs w:val="24"/>
        </w:rPr>
        <w:t xml:space="preserve">aponta que </w:t>
      </w:r>
      <w:r w:rsidR="00111582">
        <w:rPr>
          <w:rFonts w:ascii="Times New Roman" w:hAnsi="Times New Roman"/>
          <w:sz w:val="24"/>
          <w:szCs w:val="24"/>
        </w:rPr>
        <w:t xml:space="preserve">a </w:t>
      </w:r>
      <w:r w:rsidR="006B508D" w:rsidRPr="00032E87">
        <w:rPr>
          <w:rFonts w:ascii="Times New Roman" w:hAnsi="Times New Roman"/>
          <w:sz w:val="24"/>
          <w:szCs w:val="24"/>
        </w:rPr>
        <w:t>tendência à sobreapreciação cíclica da taxa de câmbio é consequência</w:t>
      </w:r>
      <w:r w:rsidR="006B508D">
        <w:rPr>
          <w:rFonts w:ascii="Times New Roman" w:hAnsi="Times New Roman"/>
          <w:sz w:val="24"/>
          <w:szCs w:val="24"/>
        </w:rPr>
        <w:t xml:space="preserve"> </w:t>
      </w:r>
      <w:r w:rsidR="006B508D" w:rsidRPr="00032E87">
        <w:rPr>
          <w:rFonts w:ascii="Times New Roman" w:hAnsi="Times New Roman"/>
          <w:sz w:val="24"/>
          <w:szCs w:val="24"/>
        </w:rPr>
        <w:t xml:space="preserve">de dois fatores </w:t>
      </w:r>
      <w:r w:rsidR="006B508D">
        <w:rPr>
          <w:rFonts w:ascii="Times New Roman" w:hAnsi="Times New Roman"/>
          <w:sz w:val="24"/>
          <w:szCs w:val="24"/>
        </w:rPr>
        <w:t>q</w:t>
      </w:r>
      <w:r w:rsidR="006B508D" w:rsidRPr="00032E87">
        <w:rPr>
          <w:rFonts w:ascii="Times New Roman" w:hAnsi="Times New Roman"/>
          <w:sz w:val="24"/>
          <w:szCs w:val="24"/>
        </w:rPr>
        <w:t xml:space="preserve">ue se somam: </w:t>
      </w:r>
      <w:r w:rsidR="006B508D">
        <w:rPr>
          <w:rFonts w:ascii="Times New Roman" w:hAnsi="Times New Roman"/>
          <w:sz w:val="24"/>
          <w:szCs w:val="24"/>
        </w:rPr>
        <w:t xml:space="preserve">i) </w:t>
      </w:r>
      <w:r w:rsidR="006B508D" w:rsidRPr="00032E87">
        <w:rPr>
          <w:rFonts w:ascii="Times New Roman" w:hAnsi="Times New Roman"/>
          <w:sz w:val="24"/>
          <w:szCs w:val="24"/>
        </w:rPr>
        <w:t xml:space="preserve">a doença holandesa, que </w:t>
      </w:r>
      <w:r w:rsidR="006B508D">
        <w:rPr>
          <w:rFonts w:ascii="Times New Roman" w:hAnsi="Times New Roman"/>
          <w:sz w:val="24"/>
          <w:szCs w:val="24"/>
        </w:rPr>
        <w:t xml:space="preserve">implica na determinação da taxa de câmbio no nível que equilibra intertemporalmente a conta corrente e dificulta a competitividade dos setores industriais que utilizam tecnologia sofisticada, causando </w:t>
      </w:r>
      <w:r w:rsidR="006B508D" w:rsidRPr="00032E87">
        <w:rPr>
          <w:rFonts w:ascii="Times New Roman" w:hAnsi="Times New Roman"/>
          <w:sz w:val="24"/>
          <w:szCs w:val="24"/>
        </w:rPr>
        <w:t xml:space="preserve">a </w:t>
      </w:r>
      <w:r w:rsidR="006B508D">
        <w:rPr>
          <w:rFonts w:ascii="Times New Roman" w:hAnsi="Times New Roman"/>
          <w:sz w:val="24"/>
          <w:szCs w:val="24"/>
        </w:rPr>
        <w:t>des</w:t>
      </w:r>
      <w:r w:rsidR="006B508D" w:rsidRPr="00032E87">
        <w:rPr>
          <w:rFonts w:ascii="Times New Roman" w:hAnsi="Times New Roman"/>
          <w:sz w:val="24"/>
          <w:szCs w:val="24"/>
        </w:rPr>
        <w:t>industrialização, e</w:t>
      </w:r>
      <w:r w:rsidR="006B508D">
        <w:rPr>
          <w:rFonts w:ascii="Times New Roman" w:hAnsi="Times New Roman"/>
          <w:sz w:val="24"/>
          <w:szCs w:val="24"/>
        </w:rPr>
        <w:t xml:space="preserve">, ii) </w:t>
      </w:r>
      <w:r w:rsidR="006B508D" w:rsidRPr="00032E87">
        <w:rPr>
          <w:rFonts w:ascii="Times New Roman" w:hAnsi="Times New Roman"/>
          <w:sz w:val="24"/>
          <w:szCs w:val="24"/>
        </w:rPr>
        <w:t>pelas</w:t>
      </w:r>
      <w:r w:rsidR="006B508D">
        <w:rPr>
          <w:rFonts w:ascii="Times New Roman" w:hAnsi="Times New Roman"/>
          <w:sz w:val="24"/>
          <w:szCs w:val="24"/>
        </w:rPr>
        <w:t xml:space="preserve"> </w:t>
      </w:r>
      <w:r w:rsidR="006B508D" w:rsidRPr="00032E87">
        <w:rPr>
          <w:rFonts w:ascii="Times New Roman" w:hAnsi="Times New Roman"/>
          <w:sz w:val="24"/>
          <w:szCs w:val="24"/>
        </w:rPr>
        <w:t xml:space="preserve">entradas de capitais </w:t>
      </w:r>
      <w:r w:rsidR="006B508D">
        <w:rPr>
          <w:rFonts w:ascii="Times New Roman" w:hAnsi="Times New Roman"/>
          <w:sz w:val="24"/>
          <w:szCs w:val="24"/>
        </w:rPr>
        <w:t xml:space="preserve">atraídos pelas altas taxas de lucro e de juros nos países em desenvolvimento em um contexto de abertura da conta de capitais e liberalização financeira, em que estes capitais externos se mostram necessários para </w:t>
      </w:r>
      <w:r w:rsidR="006B508D" w:rsidRPr="00032E87">
        <w:rPr>
          <w:rFonts w:ascii="Times New Roman" w:hAnsi="Times New Roman"/>
          <w:sz w:val="24"/>
          <w:szCs w:val="24"/>
        </w:rPr>
        <w:t>financia</w:t>
      </w:r>
      <w:r w:rsidR="006B508D">
        <w:rPr>
          <w:rFonts w:ascii="Times New Roman" w:hAnsi="Times New Roman"/>
          <w:sz w:val="24"/>
          <w:szCs w:val="24"/>
        </w:rPr>
        <w:t>r</w:t>
      </w:r>
      <w:r w:rsidR="006B508D" w:rsidRPr="00032E87">
        <w:rPr>
          <w:rFonts w:ascii="Times New Roman" w:hAnsi="Times New Roman"/>
          <w:sz w:val="24"/>
          <w:szCs w:val="24"/>
        </w:rPr>
        <w:t xml:space="preserve"> déficits em conta corrente</w:t>
      </w:r>
      <w:r w:rsidR="006B508D">
        <w:rPr>
          <w:rFonts w:ascii="Times New Roman" w:hAnsi="Times New Roman"/>
          <w:sz w:val="24"/>
          <w:szCs w:val="24"/>
        </w:rPr>
        <w:t xml:space="preserve"> (crescimento com poupança externa). Nestes termos, o autor sugere que a tendência de sobreapreciação da taxa de câmbio deve ser neutralizada, pelo lado da doença holandesa, por meio de impostos sobre as exportações dos produtos que geram a doença, superávits fiscais, co</w:t>
      </w:r>
      <w:r w:rsidR="008566E8">
        <w:rPr>
          <w:rFonts w:ascii="Times New Roman" w:hAnsi="Times New Roman"/>
          <w:sz w:val="24"/>
          <w:szCs w:val="24"/>
        </w:rPr>
        <w:t>nstituição de um fundo soberano;</w:t>
      </w:r>
      <w:r w:rsidR="006B508D">
        <w:rPr>
          <w:rFonts w:ascii="Times New Roman" w:hAnsi="Times New Roman"/>
          <w:sz w:val="24"/>
          <w:szCs w:val="24"/>
        </w:rPr>
        <w:t xml:space="preserve"> e pelo lado das entradas de capitais, por meio de controles (impostos) à entrada e administração da taxa de câmbio (compra de dólares e aumento de reservas).</w:t>
      </w:r>
    </w:p>
    <w:p w:rsidR="004F1ED8" w:rsidRDefault="004F1ED8" w:rsidP="004F1ED8">
      <w:pPr>
        <w:spacing w:after="0" w:line="240" w:lineRule="auto"/>
        <w:ind w:firstLine="708"/>
        <w:jc w:val="both"/>
        <w:rPr>
          <w:rFonts w:ascii="Times New Roman" w:hAnsi="Times New Roman"/>
          <w:sz w:val="24"/>
          <w:szCs w:val="24"/>
        </w:rPr>
      </w:pPr>
      <w:r>
        <w:rPr>
          <w:rFonts w:ascii="Times New Roman" w:hAnsi="Times New Roman"/>
          <w:sz w:val="24"/>
          <w:szCs w:val="24"/>
        </w:rPr>
        <w:t xml:space="preserve">Frenkel e Rapeti (2012) também alertam para a relação entre o lado financeiro e o lado comercial das economias para explicar movimentos da taxa de câmbio real. Assim, ao analisarem os fluxos de capitais para países da América Latina no pós-crise de 2009, os autores afirmam que o perigo de tais fluxos não é o de causar crises futuras de balanço de pagamentos das economias, mas sim de causar efeitos sobre o lado real das economias via apreciação excessiva da taxa de câmbio real, que pode prejudicar a lucratividade dos setores produtores de bens manufaturados, reduzindo o emprego e a produtividade, e prejudicando as perspectivas de desenvolvimento da região. Neste sentido, o trabalho também aponta que as políticas macroeconômicas devem promover uma taxa de câmbio real competitiva, proteger os setores industriais e estimular as exportações de bens não tradicionais.  </w:t>
      </w:r>
    </w:p>
    <w:p w:rsidR="0019171E" w:rsidRPr="00383E94" w:rsidRDefault="00383E94" w:rsidP="004F1ED8">
      <w:pPr>
        <w:spacing w:after="0" w:line="240" w:lineRule="auto"/>
        <w:ind w:firstLine="708"/>
        <w:jc w:val="both"/>
        <w:rPr>
          <w:rFonts w:ascii="Times New Roman" w:hAnsi="Times New Roman"/>
          <w:sz w:val="24"/>
          <w:szCs w:val="24"/>
        </w:rPr>
      </w:pPr>
      <w:r w:rsidRPr="008566E8">
        <w:rPr>
          <w:rFonts w:ascii="Times New Roman" w:hAnsi="Times New Roman"/>
          <w:sz w:val="24"/>
          <w:szCs w:val="24"/>
        </w:rPr>
        <w:t>Em adição, d</w:t>
      </w:r>
      <w:r w:rsidR="0019171E" w:rsidRPr="008566E8">
        <w:rPr>
          <w:rFonts w:ascii="Times New Roman" w:hAnsi="Times New Roman"/>
          <w:sz w:val="24"/>
          <w:szCs w:val="24"/>
        </w:rPr>
        <w:t>estaca-se que</w:t>
      </w:r>
      <w:r w:rsidRPr="008566E8">
        <w:rPr>
          <w:rFonts w:ascii="Times New Roman" w:hAnsi="Times New Roman"/>
          <w:sz w:val="24"/>
          <w:szCs w:val="24"/>
        </w:rPr>
        <w:t>,</w:t>
      </w:r>
      <w:r w:rsidR="0019171E" w:rsidRPr="008566E8">
        <w:rPr>
          <w:rFonts w:ascii="Times New Roman" w:hAnsi="Times New Roman"/>
          <w:sz w:val="24"/>
          <w:szCs w:val="24"/>
        </w:rPr>
        <w:t xml:space="preserve"> </w:t>
      </w:r>
      <w:r w:rsidR="002F6D06" w:rsidRPr="008566E8">
        <w:rPr>
          <w:rFonts w:ascii="Times New Roman" w:hAnsi="Times New Roman"/>
          <w:sz w:val="24"/>
          <w:szCs w:val="24"/>
        </w:rPr>
        <w:t>apesar</w:t>
      </w:r>
      <w:r w:rsidR="0019171E" w:rsidRPr="008566E8">
        <w:rPr>
          <w:rFonts w:ascii="Times New Roman" w:hAnsi="Times New Roman"/>
          <w:sz w:val="24"/>
          <w:szCs w:val="24"/>
        </w:rPr>
        <w:t xml:space="preserve"> da ausência de estudos que analisem empiricamente a influência conjunta de variáveis comerciais e financeiras para explicar </w:t>
      </w:r>
      <w:r w:rsidRPr="008566E8">
        <w:rPr>
          <w:rFonts w:ascii="Times New Roman" w:hAnsi="Times New Roman"/>
          <w:sz w:val="24"/>
          <w:szCs w:val="24"/>
        </w:rPr>
        <w:t>a dinâmica da</w:t>
      </w:r>
      <w:r w:rsidR="0019171E" w:rsidRPr="008566E8">
        <w:rPr>
          <w:rFonts w:ascii="Times New Roman" w:hAnsi="Times New Roman"/>
          <w:sz w:val="24"/>
          <w:szCs w:val="24"/>
        </w:rPr>
        <w:t xml:space="preserve"> </w:t>
      </w:r>
      <w:r w:rsidRPr="008566E8">
        <w:rPr>
          <w:rFonts w:ascii="Times New Roman" w:hAnsi="Times New Roman"/>
          <w:sz w:val="24"/>
          <w:szCs w:val="24"/>
        </w:rPr>
        <w:t>taxa</w:t>
      </w:r>
      <w:r w:rsidR="0019171E" w:rsidRPr="008566E8">
        <w:rPr>
          <w:rFonts w:ascii="Times New Roman" w:hAnsi="Times New Roman"/>
          <w:sz w:val="24"/>
          <w:szCs w:val="24"/>
        </w:rPr>
        <w:t xml:space="preserve"> de c</w:t>
      </w:r>
      <w:r w:rsidR="005D45F2" w:rsidRPr="008566E8">
        <w:rPr>
          <w:rFonts w:ascii="Times New Roman" w:hAnsi="Times New Roman"/>
          <w:sz w:val="24"/>
          <w:szCs w:val="24"/>
        </w:rPr>
        <w:t>âmbio real, uma pequena, mas crescente</w:t>
      </w:r>
      <w:r w:rsidRPr="008566E8">
        <w:rPr>
          <w:rFonts w:ascii="Times New Roman" w:hAnsi="Times New Roman"/>
          <w:sz w:val="24"/>
          <w:szCs w:val="24"/>
        </w:rPr>
        <w:t>,</w:t>
      </w:r>
      <w:r w:rsidR="005D45F2" w:rsidRPr="008566E8">
        <w:rPr>
          <w:rFonts w:ascii="Times New Roman" w:hAnsi="Times New Roman"/>
          <w:sz w:val="24"/>
          <w:szCs w:val="24"/>
        </w:rPr>
        <w:t xml:space="preserve"> literatura preocupada com a competitividade comercial em economias em desenvolvimento tem </w:t>
      </w:r>
      <w:r w:rsidRPr="008566E8">
        <w:rPr>
          <w:rFonts w:ascii="Times New Roman" w:hAnsi="Times New Roman"/>
          <w:sz w:val="24"/>
          <w:szCs w:val="24"/>
        </w:rPr>
        <w:t>examinado</w:t>
      </w:r>
      <w:r w:rsidR="005D45F2" w:rsidRPr="008566E8">
        <w:rPr>
          <w:rFonts w:ascii="Times New Roman" w:hAnsi="Times New Roman"/>
          <w:sz w:val="24"/>
          <w:szCs w:val="24"/>
        </w:rPr>
        <w:t xml:space="preserve"> o efeito forte e persistente dos </w:t>
      </w:r>
      <w:r w:rsidRPr="008566E8">
        <w:rPr>
          <w:rFonts w:ascii="Times New Roman" w:hAnsi="Times New Roman"/>
          <w:sz w:val="24"/>
          <w:szCs w:val="24"/>
        </w:rPr>
        <w:t>fluxos</w:t>
      </w:r>
      <w:r w:rsidR="005D45F2" w:rsidRPr="008566E8">
        <w:rPr>
          <w:rFonts w:ascii="Times New Roman" w:hAnsi="Times New Roman"/>
          <w:sz w:val="24"/>
          <w:szCs w:val="24"/>
        </w:rPr>
        <w:t xml:space="preserve"> de capitais de curto </w:t>
      </w:r>
      <w:r w:rsidRPr="008566E8">
        <w:rPr>
          <w:rFonts w:ascii="Times New Roman" w:hAnsi="Times New Roman"/>
          <w:sz w:val="24"/>
          <w:szCs w:val="24"/>
        </w:rPr>
        <w:t>prazo</w:t>
      </w:r>
      <w:r w:rsidR="005D45F2" w:rsidRPr="008566E8">
        <w:rPr>
          <w:rFonts w:ascii="Times New Roman" w:hAnsi="Times New Roman"/>
          <w:sz w:val="24"/>
          <w:szCs w:val="24"/>
        </w:rPr>
        <w:t xml:space="preserve"> sobre o nível da </w:t>
      </w:r>
      <w:r w:rsidRPr="008566E8">
        <w:rPr>
          <w:rFonts w:ascii="Times New Roman" w:hAnsi="Times New Roman"/>
          <w:sz w:val="24"/>
          <w:szCs w:val="24"/>
        </w:rPr>
        <w:t>taxa</w:t>
      </w:r>
      <w:r w:rsidR="005D45F2" w:rsidRPr="008566E8">
        <w:rPr>
          <w:rFonts w:ascii="Times New Roman" w:hAnsi="Times New Roman"/>
          <w:sz w:val="24"/>
          <w:szCs w:val="24"/>
        </w:rPr>
        <w:t xml:space="preserve"> de câmbio real</w:t>
      </w:r>
      <w:r w:rsidRPr="008566E8">
        <w:rPr>
          <w:rFonts w:ascii="Times New Roman" w:hAnsi="Times New Roman"/>
          <w:sz w:val="24"/>
          <w:szCs w:val="24"/>
        </w:rPr>
        <w:t xml:space="preserve"> </w:t>
      </w:r>
      <w:r w:rsidR="00833DA7" w:rsidRPr="008566E8">
        <w:rPr>
          <w:rFonts w:ascii="Times New Roman" w:hAnsi="Times New Roman"/>
          <w:sz w:val="24"/>
          <w:szCs w:val="24"/>
          <w:lang w:val="en-GB"/>
        </w:rPr>
        <w:fldChar w:fldCharType="begin"/>
      </w:r>
      <w:r w:rsidRPr="008566E8">
        <w:rPr>
          <w:rFonts w:ascii="Times New Roman" w:hAnsi="Times New Roman"/>
          <w:sz w:val="24"/>
          <w:szCs w:val="24"/>
        </w:rPr>
        <w:instrText xml:space="preserve"> ADDIN EN.CITE &lt;EndNote&gt;&lt;Cite&gt;&lt;Author&gt;Ibarra&lt;/Author&gt;&lt;Year&gt;2011&lt;/Year&gt;&lt;RecNum&gt;961&lt;/RecNum&gt;&lt;DisplayText&gt;(Combes et al., 2011; Ibarra, 2011)&lt;/DisplayText&gt;&lt;record&gt;&lt;rec-number&gt;961&lt;/rec-number&gt;&lt;foreign-keys&gt;&lt;key app="EN" db-id="2pww0ad2rv2av1ewxabpxta9rvwxrtrfve00"&gt;961&lt;/key&gt;&lt;/foreign-keys&gt;&lt;ref-type name="Journal Article"&gt;17&lt;/ref-type&gt;&lt;contributors&gt;&lt;authors&gt;&lt;author&gt;Ibarra, Carlos A.&lt;/author&gt;&lt;/authors&gt;&lt;/contributors&gt;&lt;titles&gt;&lt;title&gt;Capital Flows and Real Exchange Rate Appreciation in Mexico&lt;/title&gt;&lt;secondary-title&gt;World Development&lt;/secondary-title&gt;&lt;/titles&gt;&lt;periodical&gt;&lt;full-title&gt;World Development&lt;/full-title&gt;&lt;/periodical&gt;&lt;pages&gt;2080-2090&lt;/pages&gt;&lt;volume&gt;39&lt;/volume&gt;&lt;number&gt;12&lt;/number&gt;&lt;keywords&gt;&lt;keyword&gt;capital flows&lt;/keyword&gt;&lt;keyword&gt;FDI&lt;/keyword&gt;&lt;keyword&gt;real exchange rate&lt;/keyword&gt;&lt;keyword&gt;ARDL bounds testing approach&lt;/keyword&gt;&lt;keyword&gt;Latin America&lt;/keyword&gt;&lt;keyword&gt;Mexico&lt;/keyword&gt;&lt;/keywords&gt;&lt;dates&gt;&lt;year&gt;2011&lt;/year&gt;&lt;/dates&gt;&lt;isbn&gt;0305-750X&lt;/isbn&gt;&lt;urls&gt;&lt;related-urls&gt;&lt;url&gt;http://www.sciencedirect.com/science/article/pii/S0305750X11001501&lt;/url&gt;&lt;/related-urls&gt;&lt;/urls&gt;&lt;electronic-resource-num&gt;10.1016/j.worlddev.2011.05.020&lt;/electronic-resource-num&gt;&lt;/record&gt;&lt;/Cite&gt;&lt;Cite&gt;&lt;Author&gt;Combes&lt;/Author&gt;&lt;Year&gt;2011&lt;/Year&gt;&lt;RecNum&gt;589&lt;/RecNum&gt;&lt;record&gt;&lt;rec-number&gt;589&lt;/rec-number&gt;&lt;foreign-keys&gt;&lt;key app="EN" db-id="2pww0ad2rv2av1ewxabpxta9rvwxrtrfve00"&gt;589&lt;/key&gt;&lt;/foreign-keys&gt;&lt;ref-type name="Journal Article"&gt;17&lt;/ref-type&gt;&lt;contributors&gt;&lt;authors&gt;&lt;author&gt;Combes, J.-L.&lt;/author&gt;&lt;author&gt;Kinda, T.&lt;/author&gt;&lt;author&gt;Plane, P.&lt;/author&gt;&lt;/authors&gt;&lt;/contributors&gt;&lt;titles&gt;&lt;title&gt;Capital Flows and their Impact on the Real Effective Exchange Rate&lt;/title&gt;&lt;secondary-title&gt;IMF Working Paper&lt;/secondary-title&gt;&lt;/titles&gt;&lt;periodical&gt;&lt;full-title&gt;IMF Working Paper&lt;/full-title&gt;&lt;/periodical&gt;&lt;volume&gt;9&lt;/volume&gt;&lt;dates&gt;&lt;year&gt;2011&lt;/year&gt;&lt;/dates&gt;&lt;urls&gt;&lt;/urls&gt;&lt;/record&gt;&lt;/Cite&gt;&lt;/EndNote&gt;</w:instrText>
      </w:r>
      <w:r w:rsidR="00833DA7" w:rsidRPr="008566E8">
        <w:rPr>
          <w:rFonts w:ascii="Times New Roman" w:hAnsi="Times New Roman"/>
          <w:sz w:val="24"/>
          <w:szCs w:val="24"/>
          <w:lang w:val="en-GB"/>
        </w:rPr>
        <w:fldChar w:fldCharType="separate"/>
      </w:r>
      <w:r w:rsidRPr="008566E8">
        <w:rPr>
          <w:rFonts w:ascii="Times New Roman" w:hAnsi="Times New Roman"/>
          <w:noProof/>
          <w:sz w:val="24"/>
          <w:szCs w:val="24"/>
        </w:rPr>
        <w:t>(Combes et al., 2011; Ibarra, 2011)</w:t>
      </w:r>
      <w:r w:rsidR="00833DA7" w:rsidRPr="008566E8">
        <w:rPr>
          <w:rFonts w:ascii="Times New Roman" w:hAnsi="Times New Roman"/>
          <w:sz w:val="24"/>
          <w:szCs w:val="24"/>
          <w:lang w:val="en-GB"/>
        </w:rPr>
        <w:fldChar w:fldCharType="end"/>
      </w:r>
      <w:r w:rsidR="005D45F2" w:rsidRPr="008566E8">
        <w:rPr>
          <w:rFonts w:ascii="Times New Roman" w:hAnsi="Times New Roman"/>
          <w:sz w:val="24"/>
          <w:szCs w:val="24"/>
        </w:rPr>
        <w:t>.</w:t>
      </w:r>
      <w:r w:rsidR="008566E8" w:rsidRPr="008566E8">
        <w:rPr>
          <w:rFonts w:ascii="Times New Roman" w:hAnsi="Times New Roman"/>
          <w:sz w:val="24"/>
          <w:szCs w:val="24"/>
        </w:rPr>
        <w:t xml:space="preserve"> </w:t>
      </w:r>
      <w:r w:rsidR="00946567" w:rsidRPr="008566E8">
        <w:rPr>
          <w:rFonts w:ascii="Times New Roman" w:hAnsi="Times New Roman"/>
          <w:sz w:val="24"/>
          <w:szCs w:val="24"/>
        </w:rPr>
        <w:t>Assim, o pres</w:t>
      </w:r>
      <w:r w:rsidR="00920FBE">
        <w:rPr>
          <w:rFonts w:ascii="Times New Roman" w:hAnsi="Times New Roman"/>
          <w:sz w:val="24"/>
          <w:szCs w:val="24"/>
        </w:rPr>
        <w:t>ente artigo pretende estender esta</w:t>
      </w:r>
      <w:r w:rsidR="00946567" w:rsidRPr="008566E8">
        <w:rPr>
          <w:rFonts w:ascii="Times New Roman" w:hAnsi="Times New Roman"/>
          <w:sz w:val="24"/>
          <w:szCs w:val="24"/>
        </w:rPr>
        <w:t xml:space="preserve"> análise de </w:t>
      </w:r>
      <w:r w:rsidR="000344D8" w:rsidRPr="008566E8">
        <w:rPr>
          <w:rFonts w:ascii="Times New Roman" w:hAnsi="Times New Roman"/>
          <w:sz w:val="24"/>
          <w:szCs w:val="24"/>
        </w:rPr>
        <w:t>efeitos conjuntos do comércio e das finanças como</w:t>
      </w:r>
      <w:r w:rsidR="00946567" w:rsidRPr="008566E8">
        <w:rPr>
          <w:rFonts w:ascii="Times New Roman" w:hAnsi="Times New Roman"/>
          <w:sz w:val="24"/>
          <w:szCs w:val="24"/>
        </w:rPr>
        <w:t xml:space="preserve"> determinantes da </w:t>
      </w:r>
      <w:r w:rsidR="00353884" w:rsidRPr="008566E8">
        <w:rPr>
          <w:rFonts w:ascii="Times New Roman" w:hAnsi="Times New Roman"/>
          <w:sz w:val="24"/>
          <w:szCs w:val="24"/>
        </w:rPr>
        <w:t>taxa</w:t>
      </w:r>
      <w:r w:rsidR="00946567" w:rsidRPr="008566E8">
        <w:rPr>
          <w:rFonts w:ascii="Times New Roman" w:hAnsi="Times New Roman"/>
          <w:sz w:val="24"/>
          <w:szCs w:val="24"/>
        </w:rPr>
        <w:t xml:space="preserve"> de câmbio real.</w:t>
      </w:r>
      <w:r w:rsidR="00946567">
        <w:rPr>
          <w:rFonts w:ascii="Times New Roman" w:hAnsi="Times New Roman"/>
          <w:sz w:val="24"/>
          <w:szCs w:val="24"/>
        </w:rPr>
        <w:t xml:space="preserve"> </w:t>
      </w:r>
    </w:p>
    <w:p w:rsidR="00F90453" w:rsidRDefault="00D54A01" w:rsidP="006E41E7">
      <w:pPr>
        <w:spacing w:after="0" w:line="240" w:lineRule="auto"/>
        <w:ind w:firstLine="708"/>
        <w:jc w:val="both"/>
        <w:rPr>
          <w:rFonts w:ascii="Times New Roman" w:hAnsi="Times New Roman"/>
          <w:sz w:val="24"/>
          <w:szCs w:val="24"/>
        </w:rPr>
      </w:pPr>
      <w:r w:rsidRPr="00AC4F76">
        <w:rPr>
          <w:rFonts w:ascii="Times New Roman" w:hAnsi="Times New Roman"/>
          <w:sz w:val="24"/>
          <w:szCs w:val="24"/>
        </w:rPr>
        <w:t>Para o tratam</w:t>
      </w:r>
      <w:r w:rsidR="00AC4F76" w:rsidRPr="00AC4F76">
        <w:rPr>
          <w:rFonts w:ascii="Times New Roman" w:hAnsi="Times New Roman"/>
          <w:sz w:val="24"/>
          <w:szCs w:val="24"/>
        </w:rPr>
        <w:t>ento do problema, será utilizada</w:t>
      </w:r>
      <w:r w:rsidRPr="00AC4F76">
        <w:rPr>
          <w:rFonts w:ascii="Times New Roman" w:hAnsi="Times New Roman"/>
          <w:sz w:val="24"/>
          <w:szCs w:val="24"/>
        </w:rPr>
        <w:t xml:space="preserve"> a metodologia </w:t>
      </w:r>
      <w:r w:rsidR="00F90453" w:rsidRPr="00AC4F76">
        <w:rPr>
          <w:rFonts w:ascii="Times New Roman" w:hAnsi="Times New Roman"/>
          <w:sz w:val="24"/>
          <w:szCs w:val="24"/>
        </w:rPr>
        <w:t>de Vetores Auto-Regressivos (VAR)</w:t>
      </w:r>
      <w:r w:rsidR="003061E3">
        <w:rPr>
          <w:rFonts w:ascii="Times New Roman" w:hAnsi="Times New Roman"/>
          <w:sz w:val="24"/>
          <w:szCs w:val="24"/>
        </w:rPr>
        <w:t>,</w:t>
      </w:r>
      <w:r w:rsidR="00F90453" w:rsidRPr="00AC4F76">
        <w:rPr>
          <w:rFonts w:ascii="Times New Roman" w:hAnsi="Times New Roman"/>
          <w:sz w:val="24"/>
          <w:szCs w:val="24"/>
        </w:rPr>
        <w:t xml:space="preserve"> e a estimação das Funções de Resposta aos Impulsos (FIR) e Análise de Decomposição de Variância (ADV). </w:t>
      </w:r>
      <w:r w:rsidR="00BE1DB0" w:rsidRPr="00AC4F76">
        <w:rPr>
          <w:rFonts w:ascii="Times New Roman" w:hAnsi="Times New Roman"/>
          <w:sz w:val="24"/>
          <w:szCs w:val="24"/>
        </w:rPr>
        <w:t>A</w:t>
      </w:r>
      <w:r w:rsidR="00F26E73" w:rsidRPr="00AC4F76">
        <w:rPr>
          <w:rFonts w:ascii="Times New Roman" w:hAnsi="Times New Roman"/>
          <w:sz w:val="24"/>
          <w:szCs w:val="24"/>
        </w:rPr>
        <w:t xml:space="preserve"> model</w:t>
      </w:r>
      <w:r w:rsidR="00BE1DB0" w:rsidRPr="00AC4F76">
        <w:rPr>
          <w:rFonts w:ascii="Times New Roman" w:hAnsi="Times New Roman"/>
          <w:sz w:val="24"/>
          <w:szCs w:val="24"/>
        </w:rPr>
        <w:t>agem</w:t>
      </w:r>
      <w:r w:rsidR="00F26E73" w:rsidRPr="00AC4F76">
        <w:rPr>
          <w:rFonts w:ascii="Times New Roman" w:hAnsi="Times New Roman"/>
          <w:sz w:val="24"/>
          <w:szCs w:val="24"/>
        </w:rPr>
        <w:t xml:space="preserve"> VAR permite o tratamento das variáveis sem que se estabeleça</w:t>
      </w:r>
      <w:r w:rsidR="00BE1DB0" w:rsidRPr="00AC4F76">
        <w:rPr>
          <w:rFonts w:ascii="Times New Roman" w:hAnsi="Times New Roman"/>
          <w:sz w:val="24"/>
          <w:szCs w:val="24"/>
        </w:rPr>
        <w:t xml:space="preserve"> </w:t>
      </w:r>
      <w:r w:rsidR="00BE1DB0" w:rsidRPr="00AC4F76">
        <w:rPr>
          <w:rFonts w:ascii="Times New Roman" w:hAnsi="Times New Roman"/>
          <w:i/>
          <w:sz w:val="24"/>
          <w:szCs w:val="24"/>
        </w:rPr>
        <w:t>a priori</w:t>
      </w:r>
      <w:r w:rsidR="00F26E73" w:rsidRPr="00AC4F76">
        <w:rPr>
          <w:rFonts w:ascii="Times New Roman" w:hAnsi="Times New Roman"/>
          <w:sz w:val="24"/>
          <w:szCs w:val="24"/>
        </w:rPr>
        <w:t xml:space="preserve"> uma </w:t>
      </w:r>
      <w:r w:rsidR="003061E3">
        <w:rPr>
          <w:rFonts w:ascii="Times New Roman" w:hAnsi="Times New Roman"/>
          <w:sz w:val="24"/>
          <w:szCs w:val="24"/>
        </w:rPr>
        <w:t>ordem de causalidade entre elas</w:t>
      </w:r>
      <w:r w:rsidR="00F26E73" w:rsidRPr="00AC4F76">
        <w:rPr>
          <w:rFonts w:ascii="Times New Roman" w:hAnsi="Times New Roman"/>
          <w:sz w:val="24"/>
          <w:szCs w:val="24"/>
        </w:rPr>
        <w:t xml:space="preserve">. Entretanto, tendo em vista o propósito deste trabalho, </w:t>
      </w:r>
      <w:r w:rsidR="00F90453" w:rsidRPr="00AC4F76">
        <w:rPr>
          <w:rFonts w:ascii="Times New Roman" w:hAnsi="Times New Roman"/>
          <w:sz w:val="24"/>
          <w:szCs w:val="24"/>
        </w:rPr>
        <w:t xml:space="preserve">pretende-se avaliar a resposta da taxa de câmbio </w:t>
      </w:r>
      <w:r w:rsidR="00F26E73" w:rsidRPr="00AC4F76">
        <w:rPr>
          <w:rFonts w:ascii="Times New Roman" w:hAnsi="Times New Roman"/>
          <w:sz w:val="24"/>
          <w:szCs w:val="24"/>
        </w:rPr>
        <w:t xml:space="preserve">real </w:t>
      </w:r>
      <w:r w:rsidR="00F90453" w:rsidRPr="00AC4F76">
        <w:rPr>
          <w:rFonts w:ascii="Times New Roman" w:hAnsi="Times New Roman"/>
          <w:sz w:val="24"/>
          <w:szCs w:val="24"/>
        </w:rPr>
        <w:t xml:space="preserve">em relação aos choques das variáveis </w:t>
      </w:r>
      <w:r w:rsidR="00F26E73" w:rsidRPr="00AC4F76">
        <w:rPr>
          <w:rFonts w:ascii="Times New Roman" w:hAnsi="Times New Roman"/>
          <w:sz w:val="24"/>
          <w:szCs w:val="24"/>
        </w:rPr>
        <w:t xml:space="preserve">comerciais (exportações e preço das </w:t>
      </w:r>
      <w:r w:rsidR="00F26E73" w:rsidRPr="00AC4F76">
        <w:rPr>
          <w:rFonts w:ascii="Times New Roman" w:hAnsi="Times New Roman"/>
          <w:i/>
          <w:sz w:val="24"/>
          <w:szCs w:val="24"/>
        </w:rPr>
        <w:t>commodities</w:t>
      </w:r>
      <w:r w:rsidR="00F26E73" w:rsidRPr="00AC4F76">
        <w:rPr>
          <w:rFonts w:ascii="Times New Roman" w:hAnsi="Times New Roman"/>
          <w:sz w:val="24"/>
          <w:szCs w:val="24"/>
        </w:rPr>
        <w:t>) e financeiras (capitais de curto prazo, taxa de juros e risco-país</w:t>
      </w:r>
      <w:r w:rsidR="00F26E73" w:rsidRPr="003061E3">
        <w:rPr>
          <w:rFonts w:ascii="Times New Roman" w:hAnsi="Times New Roman"/>
          <w:sz w:val="24"/>
          <w:szCs w:val="24"/>
        </w:rPr>
        <w:t>)</w:t>
      </w:r>
      <w:r w:rsidR="00AC4F76" w:rsidRPr="003061E3">
        <w:rPr>
          <w:rFonts w:ascii="Times New Roman" w:hAnsi="Times New Roman"/>
          <w:sz w:val="24"/>
          <w:szCs w:val="24"/>
        </w:rPr>
        <w:t xml:space="preserve">, a duração desses impactos e a </w:t>
      </w:r>
      <w:r w:rsidR="005640D4" w:rsidRPr="003061E3">
        <w:rPr>
          <w:rFonts w:ascii="Times New Roman" w:hAnsi="Times New Roman"/>
          <w:sz w:val="24"/>
          <w:szCs w:val="24"/>
        </w:rPr>
        <w:t>participação</w:t>
      </w:r>
      <w:r w:rsidR="0008189D" w:rsidRPr="003061E3">
        <w:rPr>
          <w:rFonts w:ascii="Times New Roman" w:hAnsi="Times New Roman"/>
          <w:sz w:val="24"/>
          <w:szCs w:val="24"/>
        </w:rPr>
        <w:t xml:space="preserve"> das variáveis comerciais e financeiras na variância da </w:t>
      </w:r>
      <w:r w:rsidR="005640D4" w:rsidRPr="003061E3">
        <w:rPr>
          <w:rFonts w:ascii="Times New Roman" w:hAnsi="Times New Roman"/>
          <w:sz w:val="24"/>
          <w:szCs w:val="24"/>
        </w:rPr>
        <w:t>taxa</w:t>
      </w:r>
      <w:r w:rsidR="0008189D" w:rsidRPr="003061E3">
        <w:rPr>
          <w:rFonts w:ascii="Times New Roman" w:hAnsi="Times New Roman"/>
          <w:sz w:val="24"/>
          <w:szCs w:val="24"/>
        </w:rPr>
        <w:t xml:space="preserve"> de câmbio real</w:t>
      </w:r>
      <w:r w:rsidR="00F26E73" w:rsidRPr="003061E3">
        <w:rPr>
          <w:rFonts w:ascii="Times New Roman" w:hAnsi="Times New Roman"/>
          <w:sz w:val="24"/>
          <w:szCs w:val="24"/>
        </w:rPr>
        <w:t>.</w:t>
      </w:r>
      <w:r w:rsidR="00F26E73">
        <w:rPr>
          <w:rFonts w:ascii="Times New Roman" w:hAnsi="Times New Roman"/>
          <w:sz w:val="24"/>
          <w:szCs w:val="24"/>
        </w:rPr>
        <w:t xml:space="preserve"> </w:t>
      </w:r>
      <w:r w:rsidR="00F90453">
        <w:rPr>
          <w:rFonts w:ascii="Times New Roman" w:hAnsi="Times New Roman"/>
          <w:sz w:val="24"/>
          <w:szCs w:val="24"/>
        </w:rPr>
        <w:t xml:space="preserve"> </w:t>
      </w:r>
    </w:p>
    <w:p w:rsidR="00DA6AAD" w:rsidRPr="008667D7" w:rsidRDefault="00D54A01" w:rsidP="006E41E7">
      <w:pPr>
        <w:spacing w:after="0" w:line="240" w:lineRule="auto"/>
        <w:ind w:firstLine="708"/>
        <w:jc w:val="both"/>
        <w:rPr>
          <w:rFonts w:ascii="Times New Roman" w:hAnsi="Times New Roman"/>
          <w:sz w:val="24"/>
          <w:szCs w:val="24"/>
        </w:rPr>
      </w:pPr>
      <w:r>
        <w:rPr>
          <w:rFonts w:ascii="Times New Roman" w:hAnsi="Times New Roman"/>
          <w:sz w:val="24"/>
          <w:szCs w:val="24"/>
        </w:rPr>
        <w:lastRenderedPageBreak/>
        <w:t>E</w:t>
      </w:r>
      <w:r w:rsidR="00CC5E43">
        <w:rPr>
          <w:rFonts w:ascii="Times New Roman" w:hAnsi="Times New Roman"/>
          <w:sz w:val="24"/>
          <w:szCs w:val="24"/>
        </w:rPr>
        <w:t xml:space="preserve">ste trabalho se encontra estruturado em </w:t>
      </w:r>
      <w:r w:rsidR="003A408E">
        <w:rPr>
          <w:rFonts w:ascii="Times New Roman" w:hAnsi="Times New Roman"/>
          <w:sz w:val="24"/>
          <w:szCs w:val="24"/>
        </w:rPr>
        <w:t>cinco</w:t>
      </w:r>
      <w:r w:rsidR="00CC5E43">
        <w:rPr>
          <w:rFonts w:ascii="Times New Roman" w:hAnsi="Times New Roman"/>
          <w:sz w:val="24"/>
          <w:szCs w:val="24"/>
        </w:rPr>
        <w:t xml:space="preserve"> seções, além desta introdução</w:t>
      </w:r>
      <w:r w:rsidR="00DA6AAD">
        <w:rPr>
          <w:rFonts w:ascii="Times New Roman" w:hAnsi="Times New Roman"/>
          <w:sz w:val="24"/>
          <w:szCs w:val="24"/>
        </w:rPr>
        <w:t>. A seção 2 traça um perfil</w:t>
      </w:r>
      <w:r w:rsidR="003A408E">
        <w:rPr>
          <w:rFonts w:ascii="Times New Roman" w:hAnsi="Times New Roman"/>
          <w:sz w:val="24"/>
          <w:szCs w:val="24"/>
        </w:rPr>
        <w:t xml:space="preserve"> do comércio internacional brasileiro, e analisa o comportamento das variáveis do lado do comércio que podem favorecer a entrada de divisas, culminando</w:t>
      </w:r>
      <w:r w:rsidR="002A6EFB">
        <w:rPr>
          <w:rFonts w:ascii="Times New Roman" w:hAnsi="Times New Roman"/>
          <w:sz w:val="24"/>
          <w:szCs w:val="24"/>
        </w:rPr>
        <w:t xml:space="preserve">, em última instância, </w:t>
      </w:r>
      <w:r w:rsidR="003A408E">
        <w:rPr>
          <w:rFonts w:ascii="Times New Roman" w:hAnsi="Times New Roman"/>
          <w:sz w:val="24"/>
          <w:szCs w:val="24"/>
        </w:rPr>
        <w:t>e</w:t>
      </w:r>
      <w:r w:rsidR="003061E3">
        <w:rPr>
          <w:rFonts w:ascii="Times New Roman" w:hAnsi="Times New Roman"/>
          <w:sz w:val="24"/>
          <w:szCs w:val="24"/>
        </w:rPr>
        <w:t>m</w:t>
      </w:r>
      <w:r w:rsidR="003A408E">
        <w:rPr>
          <w:rFonts w:ascii="Times New Roman" w:hAnsi="Times New Roman"/>
          <w:sz w:val="24"/>
          <w:szCs w:val="24"/>
        </w:rPr>
        <w:t xml:space="preserve"> um processo de Doença Holandesa no Brasil. </w:t>
      </w:r>
      <w:r w:rsidR="00DA6AAD">
        <w:rPr>
          <w:rFonts w:ascii="Times New Roman" w:hAnsi="Times New Roman"/>
          <w:sz w:val="24"/>
          <w:szCs w:val="24"/>
        </w:rPr>
        <w:t>A seção 3</w:t>
      </w:r>
      <w:r w:rsidR="0099668B">
        <w:rPr>
          <w:rFonts w:ascii="Times New Roman" w:hAnsi="Times New Roman"/>
          <w:sz w:val="24"/>
          <w:szCs w:val="24"/>
        </w:rPr>
        <w:t xml:space="preserve"> descreve o perfil e </w:t>
      </w:r>
      <w:r w:rsidR="00BE1DB0">
        <w:rPr>
          <w:rFonts w:ascii="Times New Roman" w:hAnsi="Times New Roman"/>
          <w:sz w:val="24"/>
          <w:szCs w:val="24"/>
        </w:rPr>
        <w:t xml:space="preserve">a </w:t>
      </w:r>
      <w:r w:rsidR="0099668B">
        <w:rPr>
          <w:rFonts w:ascii="Times New Roman" w:hAnsi="Times New Roman"/>
          <w:sz w:val="24"/>
          <w:szCs w:val="24"/>
        </w:rPr>
        <w:t xml:space="preserve">dinâmica da conta financeira do Balanço de Pagamentos brasileiro, destacando alguns dos determinantes da forte volatilidade de capitais, que </w:t>
      </w:r>
      <w:r w:rsidR="00FD3413">
        <w:rPr>
          <w:rFonts w:ascii="Times New Roman" w:hAnsi="Times New Roman"/>
          <w:sz w:val="24"/>
          <w:szCs w:val="24"/>
        </w:rPr>
        <w:t>podem ter</w:t>
      </w:r>
      <w:r w:rsidR="0099668B">
        <w:rPr>
          <w:rFonts w:ascii="Times New Roman" w:hAnsi="Times New Roman"/>
          <w:sz w:val="24"/>
          <w:szCs w:val="24"/>
        </w:rPr>
        <w:t xml:space="preserve"> influenciado a dinâmica da taxa de câmbio no país</w:t>
      </w:r>
      <w:r w:rsidR="003A408E">
        <w:rPr>
          <w:rFonts w:ascii="Times New Roman" w:hAnsi="Times New Roman"/>
          <w:sz w:val="24"/>
          <w:szCs w:val="24"/>
        </w:rPr>
        <w:t xml:space="preserve">. </w:t>
      </w:r>
      <w:r w:rsidR="00DA6AAD">
        <w:rPr>
          <w:rFonts w:ascii="Times New Roman" w:hAnsi="Times New Roman"/>
          <w:sz w:val="24"/>
          <w:szCs w:val="24"/>
        </w:rPr>
        <w:t>A seção 4</w:t>
      </w:r>
      <w:r w:rsidR="003A408E">
        <w:rPr>
          <w:rFonts w:ascii="Times New Roman" w:hAnsi="Times New Roman"/>
          <w:sz w:val="24"/>
          <w:szCs w:val="24"/>
        </w:rPr>
        <w:t xml:space="preserve"> apresenta o modelo utilizado para analisar a influência d</w:t>
      </w:r>
      <w:r w:rsidR="003061E3">
        <w:rPr>
          <w:rFonts w:ascii="Times New Roman" w:hAnsi="Times New Roman"/>
          <w:sz w:val="24"/>
          <w:szCs w:val="24"/>
        </w:rPr>
        <w:t xml:space="preserve">as variáveis </w:t>
      </w:r>
      <w:r w:rsidR="003A408E">
        <w:rPr>
          <w:rFonts w:ascii="Times New Roman" w:hAnsi="Times New Roman"/>
          <w:sz w:val="24"/>
          <w:szCs w:val="24"/>
        </w:rPr>
        <w:t>comercia</w:t>
      </w:r>
      <w:r w:rsidR="003061E3">
        <w:rPr>
          <w:rFonts w:ascii="Times New Roman" w:hAnsi="Times New Roman"/>
          <w:sz w:val="24"/>
          <w:szCs w:val="24"/>
        </w:rPr>
        <w:t>is e</w:t>
      </w:r>
      <w:r w:rsidR="0034573C">
        <w:rPr>
          <w:rFonts w:ascii="Times New Roman" w:hAnsi="Times New Roman"/>
          <w:sz w:val="24"/>
          <w:szCs w:val="24"/>
        </w:rPr>
        <w:t xml:space="preserve"> </w:t>
      </w:r>
      <w:r w:rsidR="003A408E">
        <w:rPr>
          <w:rFonts w:ascii="Times New Roman" w:hAnsi="Times New Roman"/>
          <w:sz w:val="24"/>
          <w:szCs w:val="24"/>
        </w:rPr>
        <w:t>financeir</w:t>
      </w:r>
      <w:r w:rsidR="003061E3">
        <w:rPr>
          <w:rFonts w:ascii="Times New Roman" w:hAnsi="Times New Roman"/>
          <w:sz w:val="24"/>
          <w:szCs w:val="24"/>
        </w:rPr>
        <w:t>as</w:t>
      </w:r>
      <w:r w:rsidR="003A408E">
        <w:rPr>
          <w:rFonts w:ascii="Times New Roman" w:hAnsi="Times New Roman"/>
          <w:sz w:val="24"/>
          <w:szCs w:val="24"/>
        </w:rPr>
        <w:t xml:space="preserve"> sobre a taxa de câmbio real</w:t>
      </w:r>
      <w:r w:rsidR="00BE1DB0">
        <w:rPr>
          <w:rFonts w:ascii="Times New Roman" w:hAnsi="Times New Roman"/>
          <w:sz w:val="24"/>
          <w:szCs w:val="24"/>
        </w:rPr>
        <w:t>, com base</w:t>
      </w:r>
      <w:r w:rsidR="003A408E">
        <w:rPr>
          <w:rFonts w:ascii="Times New Roman" w:hAnsi="Times New Roman"/>
          <w:sz w:val="24"/>
          <w:szCs w:val="24"/>
        </w:rPr>
        <w:t xml:space="preserve"> n</w:t>
      </w:r>
      <w:r w:rsidR="002A6EFB">
        <w:rPr>
          <w:rFonts w:ascii="Times New Roman" w:hAnsi="Times New Roman"/>
          <w:sz w:val="24"/>
          <w:szCs w:val="24"/>
        </w:rPr>
        <w:t xml:space="preserve">o período </w:t>
      </w:r>
      <w:r w:rsidR="0034573C">
        <w:rPr>
          <w:rFonts w:ascii="Times New Roman" w:hAnsi="Times New Roman"/>
          <w:sz w:val="24"/>
          <w:szCs w:val="24"/>
        </w:rPr>
        <w:t>2000</w:t>
      </w:r>
      <w:r w:rsidR="002A6EFB">
        <w:rPr>
          <w:rFonts w:ascii="Times New Roman" w:hAnsi="Times New Roman"/>
          <w:sz w:val="24"/>
          <w:szCs w:val="24"/>
        </w:rPr>
        <w:t>-201</w:t>
      </w:r>
      <w:r w:rsidR="00964A01">
        <w:rPr>
          <w:rFonts w:ascii="Times New Roman" w:hAnsi="Times New Roman"/>
          <w:sz w:val="24"/>
          <w:szCs w:val="24"/>
        </w:rPr>
        <w:t>3</w:t>
      </w:r>
      <w:r w:rsidR="003A408E">
        <w:rPr>
          <w:rFonts w:ascii="Times New Roman" w:hAnsi="Times New Roman"/>
          <w:sz w:val="24"/>
          <w:szCs w:val="24"/>
        </w:rPr>
        <w:t xml:space="preserve">. A seção 5 discute os resultados obtidos. Por fim, a </w:t>
      </w:r>
      <w:r w:rsidR="00DA6AAD">
        <w:rPr>
          <w:rFonts w:ascii="Times New Roman" w:hAnsi="Times New Roman"/>
          <w:sz w:val="24"/>
          <w:szCs w:val="24"/>
        </w:rPr>
        <w:t xml:space="preserve">seção </w:t>
      </w:r>
      <w:r w:rsidR="003A408E">
        <w:rPr>
          <w:rFonts w:ascii="Times New Roman" w:hAnsi="Times New Roman"/>
          <w:sz w:val="24"/>
          <w:szCs w:val="24"/>
        </w:rPr>
        <w:t>6</w:t>
      </w:r>
      <w:r w:rsidR="00DA6AAD">
        <w:rPr>
          <w:rFonts w:ascii="Times New Roman" w:hAnsi="Times New Roman"/>
          <w:sz w:val="24"/>
          <w:szCs w:val="24"/>
        </w:rPr>
        <w:t xml:space="preserve"> sintetiza as principais conclusões </w:t>
      </w:r>
      <w:r w:rsidR="003A408E">
        <w:rPr>
          <w:rFonts w:ascii="Times New Roman" w:hAnsi="Times New Roman"/>
          <w:sz w:val="24"/>
          <w:szCs w:val="24"/>
        </w:rPr>
        <w:t>derivadas d</w:t>
      </w:r>
      <w:r w:rsidR="00DA6AAD">
        <w:rPr>
          <w:rFonts w:ascii="Times New Roman" w:hAnsi="Times New Roman"/>
          <w:sz w:val="24"/>
          <w:szCs w:val="24"/>
        </w:rPr>
        <w:t xml:space="preserve">o </w:t>
      </w:r>
      <w:r w:rsidR="00DA6AAD" w:rsidRPr="008667D7">
        <w:rPr>
          <w:rFonts w:ascii="Times New Roman" w:hAnsi="Times New Roman"/>
          <w:sz w:val="24"/>
          <w:szCs w:val="24"/>
        </w:rPr>
        <w:t>trabalho</w:t>
      </w:r>
      <w:r w:rsidR="0071106F" w:rsidRPr="008667D7">
        <w:rPr>
          <w:rFonts w:ascii="Times New Roman" w:hAnsi="Times New Roman"/>
          <w:sz w:val="24"/>
          <w:szCs w:val="24"/>
        </w:rPr>
        <w:t xml:space="preserve"> e aponta algumas indicações de políticas econômicas que podem ser utilizadas para neutralizar o referido processo de apreciação cambial e mitigar os problemas dele decorrentes que afetam o crescimento da economia brasileira</w:t>
      </w:r>
      <w:r w:rsidR="00DA6AAD" w:rsidRPr="008667D7">
        <w:rPr>
          <w:rFonts w:ascii="Times New Roman" w:hAnsi="Times New Roman"/>
          <w:sz w:val="24"/>
          <w:szCs w:val="24"/>
        </w:rPr>
        <w:t>.</w:t>
      </w:r>
    </w:p>
    <w:p w:rsidR="005F55E1" w:rsidRDefault="005F55E1" w:rsidP="006E41E7">
      <w:pPr>
        <w:spacing w:after="0" w:line="240" w:lineRule="auto"/>
        <w:jc w:val="both"/>
        <w:rPr>
          <w:rFonts w:ascii="Times New Roman" w:hAnsi="Times New Roman"/>
          <w:sz w:val="24"/>
          <w:szCs w:val="24"/>
        </w:rPr>
      </w:pPr>
    </w:p>
    <w:p w:rsidR="005F55E1" w:rsidRPr="006E41E7" w:rsidRDefault="005F55E1" w:rsidP="006E41E7">
      <w:pPr>
        <w:numPr>
          <w:ilvl w:val="0"/>
          <w:numId w:val="1"/>
        </w:numPr>
        <w:spacing w:after="0" w:line="240" w:lineRule="auto"/>
        <w:jc w:val="both"/>
        <w:rPr>
          <w:rFonts w:ascii="Times New Roman" w:hAnsi="Times New Roman"/>
          <w:b/>
          <w:sz w:val="24"/>
          <w:szCs w:val="24"/>
        </w:rPr>
      </w:pPr>
      <w:r w:rsidRPr="006E41E7">
        <w:rPr>
          <w:rFonts w:ascii="Times New Roman" w:hAnsi="Times New Roman"/>
          <w:b/>
          <w:sz w:val="24"/>
          <w:szCs w:val="24"/>
        </w:rPr>
        <w:t>O Comércio Internacional</w:t>
      </w:r>
      <w:r w:rsidR="00964A01">
        <w:rPr>
          <w:rFonts w:ascii="Times New Roman" w:hAnsi="Times New Roman"/>
          <w:b/>
          <w:sz w:val="24"/>
          <w:szCs w:val="24"/>
        </w:rPr>
        <w:t xml:space="preserve"> Brasileiro no Período 2000-201</w:t>
      </w:r>
      <w:r w:rsidR="00B568C3">
        <w:rPr>
          <w:rFonts w:ascii="Times New Roman" w:hAnsi="Times New Roman"/>
          <w:b/>
          <w:sz w:val="24"/>
          <w:szCs w:val="24"/>
        </w:rPr>
        <w:t>2</w:t>
      </w:r>
    </w:p>
    <w:p w:rsidR="008F41B6" w:rsidRDefault="008F41B6" w:rsidP="006E41E7">
      <w:pPr>
        <w:spacing w:after="0" w:line="240" w:lineRule="auto"/>
        <w:ind w:firstLine="708"/>
        <w:jc w:val="both"/>
        <w:rPr>
          <w:rFonts w:ascii="Times New Roman" w:hAnsi="Times New Roman"/>
          <w:sz w:val="24"/>
          <w:szCs w:val="24"/>
        </w:rPr>
      </w:pPr>
    </w:p>
    <w:p w:rsidR="005F55E1" w:rsidRDefault="00590C5D" w:rsidP="006E4210">
      <w:pPr>
        <w:spacing w:after="0" w:line="240" w:lineRule="auto"/>
        <w:ind w:firstLine="708"/>
        <w:jc w:val="both"/>
        <w:rPr>
          <w:rFonts w:ascii="Times New Roman" w:hAnsi="Times New Roman"/>
          <w:sz w:val="24"/>
          <w:szCs w:val="24"/>
        </w:rPr>
      </w:pPr>
      <w:r>
        <w:rPr>
          <w:rFonts w:ascii="Times New Roman" w:hAnsi="Times New Roman"/>
          <w:sz w:val="24"/>
          <w:szCs w:val="24"/>
        </w:rPr>
        <w:t>O</w:t>
      </w:r>
      <w:r w:rsidR="004D44E0">
        <w:rPr>
          <w:rFonts w:ascii="Times New Roman" w:hAnsi="Times New Roman"/>
          <w:sz w:val="24"/>
          <w:szCs w:val="24"/>
        </w:rPr>
        <w:t xml:space="preserve"> argument</w:t>
      </w:r>
      <w:r>
        <w:rPr>
          <w:rFonts w:ascii="Times New Roman" w:hAnsi="Times New Roman"/>
          <w:sz w:val="24"/>
          <w:szCs w:val="24"/>
        </w:rPr>
        <w:t xml:space="preserve">o sobre </w:t>
      </w:r>
      <w:r w:rsidR="004D44E0">
        <w:rPr>
          <w:rFonts w:ascii="Times New Roman" w:hAnsi="Times New Roman"/>
          <w:sz w:val="24"/>
          <w:szCs w:val="24"/>
        </w:rPr>
        <w:t xml:space="preserve">a Doença Holandesa </w:t>
      </w:r>
      <w:r w:rsidR="004A1998">
        <w:rPr>
          <w:rFonts w:ascii="Times New Roman" w:hAnsi="Times New Roman"/>
          <w:sz w:val="24"/>
          <w:szCs w:val="24"/>
        </w:rPr>
        <w:t>se baseia n</w:t>
      </w:r>
      <w:r w:rsidR="004D44E0">
        <w:rPr>
          <w:rFonts w:ascii="Times New Roman" w:hAnsi="Times New Roman"/>
          <w:sz w:val="24"/>
          <w:szCs w:val="24"/>
        </w:rPr>
        <w:t>o pressuposto de que a entrada de divisas no país decorrente das exportações de bens intensivos em recursos naturais promove uma apreciação da taxa de câmbio real que inviabiliza as exportações de produtos manufaturados, causando desindustrialização e baixo crescimento econômico.</w:t>
      </w:r>
      <w:r w:rsidR="006E4210">
        <w:rPr>
          <w:rFonts w:ascii="Times New Roman" w:hAnsi="Times New Roman"/>
          <w:sz w:val="24"/>
          <w:szCs w:val="24"/>
        </w:rPr>
        <w:t xml:space="preserve"> </w:t>
      </w:r>
      <w:r w:rsidR="004D44E0">
        <w:rPr>
          <w:rFonts w:ascii="Times New Roman" w:hAnsi="Times New Roman"/>
          <w:sz w:val="24"/>
          <w:szCs w:val="24"/>
        </w:rPr>
        <w:t>Nestes termos, esta seção do trabalho tem como o</w:t>
      </w:r>
      <w:r w:rsidR="005F55E1">
        <w:rPr>
          <w:rFonts w:ascii="Times New Roman" w:hAnsi="Times New Roman"/>
          <w:sz w:val="24"/>
          <w:szCs w:val="24"/>
        </w:rPr>
        <w:t xml:space="preserve">bjetivo retratar a entrada de divisas no país pela via do comércio de </w:t>
      </w:r>
      <w:r w:rsidR="005F55E1" w:rsidRPr="004D44E0">
        <w:rPr>
          <w:rFonts w:ascii="Times New Roman" w:hAnsi="Times New Roman"/>
          <w:i/>
          <w:sz w:val="24"/>
          <w:szCs w:val="24"/>
        </w:rPr>
        <w:t>commodities</w:t>
      </w:r>
      <w:r w:rsidR="005F55E1">
        <w:rPr>
          <w:rFonts w:ascii="Times New Roman" w:hAnsi="Times New Roman"/>
          <w:sz w:val="24"/>
          <w:szCs w:val="24"/>
        </w:rPr>
        <w:t xml:space="preserve">, </w:t>
      </w:r>
      <w:r w:rsidR="004D44E0">
        <w:rPr>
          <w:rFonts w:ascii="Times New Roman" w:hAnsi="Times New Roman"/>
          <w:sz w:val="24"/>
          <w:szCs w:val="24"/>
        </w:rPr>
        <w:t xml:space="preserve">a fim de </w:t>
      </w:r>
      <w:r>
        <w:rPr>
          <w:rFonts w:ascii="Times New Roman" w:hAnsi="Times New Roman"/>
          <w:sz w:val="24"/>
          <w:szCs w:val="24"/>
        </w:rPr>
        <w:t xml:space="preserve">fornecer evidências </w:t>
      </w:r>
      <w:r w:rsidR="00734B81">
        <w:rPr>
          <w:rFonts w:ascii="Times New Roman" w:hAnsi="Times New Roman"/>
          <w:sz w:val="24"/>
          <w:szCs w:val="24"/>
        </w:rPr>
        <w:t xml:space="preserve">preliminares </w:t>
      </w:r>
      <w:r>
        <w:rPr>
          <w:rFonts w:ascii="Times New Roman" w:hAnsi="Times New Roman"/>
          <w:sz w:val="24"/>
          <w:szCs w:val="24"/>
        </w:rPr>
        <w:t xml:space="preserve">que permitam </w:t>
      </w:r>
      <w:r w:rsidR="005F55E1">
        <w:rPr>
          <w:rFonts w:ascii="Times New Roman" w:hAnsi="Times New Roman"/>
          <w:sz w:val="24"/>
          <w:szCs w:val="24"/>
        </w:rPr>
        <w:t>refleti</w:t>
      </w:r>
      <w:r w:rsidR="004D44E0">
        <w:rPr>
          <w:rFonts w:ascii="Times New Roman" w:hAnsi="Times New Roman"/>
          <w:sz w:val="24"/>
          <w:szCs w:val="24"/>
        </w:rPr>
        <w:t>r</w:t>
      </w:r>
      <w:r w:rsidR="005F55E1">
        <w:rPr>
          <w:rFonts w:ascii="Times New Roman" w:hAnsi="Times New Roman"/>
          <w:sz w:val="24"/>
          <w:szCs w:val="24"/>
        </w:rPr>
        <w:t xml:space="preserve"> </w:t>
      </w:r>
      <w:r>
        <w:rPr>
          <w:rFonts w:ascii="Times New Roman" w:hAnsi="Times New Roman"/>
          <w:sz w:val="24"/>
          <w:szCs w:val="24"/>
        </w:rPr>
        <w:t xml:space="preserve">sobre </w:t>
      </w:r>
      <w:r w:rsidR="00BD35BF">
        <w:rPr>
          <w:rFonts w:ascii="Times New Roman" w:hAnsi="Times New Roman"/>
          <w:sz w:val="24"/>
          <w:szCs w:val="24"/>
        </w:rPr>
        <w:t>um processo de</w:t>
      </w:r>
      <w:r w:rsidR="005F55E1">
        <w:rPr>
          <w:rFonts w:ascii="Times New Roman" w:hAnsi="Times New Roman"/>
          <w:sz w:val="24"/>
          <w:szCs w:val="24"/>
        </w:rPr>
        <w:t xml:space="preserve"> apreciação cambial </w:t>
      </w:r>
      <w:r w:rsidR="00BD35BF">
        <w:rPr>
          <w:rFonts w:ascii="Times New Roman" w:hAnsi="Times New Roman"/>
          <w:sz w:val="24"/>
          <w:szCs w:val="24"/>
        </w:rPr>
        <w:t>decorr</w:t>
      </w:r>
      <w:r w:rsidR="00734B81">
        <w:rPr>
          <w:rFonts w:ascii="Times New Roman" w:hAnsi="Times New Roman"/>
          <w:sz w:val="24"/>
          <w:szCs w:val="24"/>
        </w:rPr>
        <w:t>ente</w:t>
      </w:r>
      <w:r w:rsidR="00BD35BF">
        <w:rPr>
          <w:rFonts w:ascii="Times New Roman" w:hAnsi="Times New Roman"/>
          <w:sz w:val="24"/>
          <w:szCs w:val="24"/>
        </w:rPr>
        <w:t xml:space="preserve"> do desempenho </w:t>
      </w:r>
      <w:r w:rsidR="005F55E1">
        <w:rPr>
          <w:rFonts w:ascii="Times New Roman" w:hAnsi="Times New Roman"/>
          <w:sz w:val="24"/>
          <w:szCs w:val="24"/>
        </w:rPr>
        <w:t>comercial da economia.</w:t>
      </w:r>
    </w:p>
    <w:p w:rsidR="00C72EEC" w:rsidRDefault="00C72EEC" w:rsidP="00C72EEC">
      <w:pPr>
        <w:spacing w:after="0" w:line="240" w:lineRule="auto"/>
        <w:ind w:firstLine="708"/>
        <w:jc w:val="both"/>
        <w:rPr>
          <w:rFonts w:ascii="Times New Roman" w:hAnsi="Times New Roman"/>
          <w:sz w:val="24"/>
          <w:szCs w:val="24"/>
        </w:rPr>
      </w:pPr>
      <w:r>
        <w:rPr>
          <w:rFonts w:ascii="Times New Roman" w:hAnsi="Times New Roman"/>
          <w:sz w:val="24"/>
          <w:szCs w:val="24"/>
        </w:rPr>
        <w:t xml:space="preserve">O gráfico 1 apresenta a composição das exportações brasileiras no período 2000-2012. Os dados revelam que as </w:t>
      </w:r>
      <w:r w:rsidRPr="00C879C6">
        <w:rPr>
          <w:rFonts w:ascii="Times New Roman" w:hAnsi="Times New Roman"/>
          <w:i/>
          <w:sz w:val="24"/>
          <w:szCs w:val="24"/>
        </w:rPr>
        <w:t>commodities</w:t>
      </w:r>
      <w:r>
        <w:rPr>
          <w:rFonts w:ascii="Times New Roman" w:hAnsi="Times New Roman"/>
          <w:sz w:val="24"/>
          <w:szCs w:val="24"/>
        </w:rPr>
        <w:t xml:space="preserve"> ganharam 20,2 p.p. de participação nas exportações brasileiras, passando de 49,3% em 2000 para 69,5% em 2012, em detrimento da participação dos produtos manufaturados, que cai de 50,7% para 30,5%. Estes dados ilustram uma relativa especialização das exportações brasileiras em produtos intensivos em recursos naturais.</w:t>
      </w:r>
    </w:p>
    <w:p w:rsidR="00590C5D" w:rsidRDefault="00590C5D" w:rsidP="006E41E7">
      <w:pPr>
        <w:spacing w:after="0" w:line="240" w:lineRule="auto"/>
        <w:ind w:firstLine="708"/>
        <w:jc w:val="both"/>
        <w:rPr>
          <w:rFonts w:ascii="Times New Roman" w:hAnsi="Times New Roman"/>
          <w:sz w:val="24"/>
          <w:szCs w:val="24"/>
        </w:rPr>
      </w:pPr>
    </w:p>
    <w:p w:rsidR="002B6269" w:rsidRDefault="00590C5D" w:rsidP="00590C5D">
      <w:pPr>
        <w:spacing w:after="0" w:line="240" w:lineRule="auto"/>
        <w:jc w:val="center"/>
        <w:rPr>
          <w:rFonts w:ascii="Times New Roman" w:hAnsi="Times New Roman"/>
          <w:b/>
          <w:sz w:val="24"/>
          <w:szCs w:val="24"/>
        </w:rPr>
      </w:pPr>
      <w:r w:rsidRPr="00590C5D">
        <w:rPr>
          <w:rFonts w:ascii="Times New Roman" w:hAnsi="Times New Roman"/>
          <w:b/>
          <w:sz w:val="24"/>
          <w:szCs w:val="24"/>
        </w:rPr>
        <w:t xml:space="preserve">Gráfico 1: </w:t>
      </w:r>
      <w:r w:rsidR="00975232" w:rsidRPr="00590C5D">
        <w:rPr>
          <w:rFonts w:ascii="Times New Roman" w:hAnsi="Times New Roman"/>
          <w:b/>
          <w:sz w:val="24"/>
          <w:szCs w:val="24"/>
        </w:rPr>
        <w:t xml:space="preserve">Participação </w:t>
      </w:r>
      <w:r w:rsidRPr="00590C5D">
        <w:rPr>
          <w:rFonts w:ascii="Times New Roman" w:hAnsi="Times New Roman"/>
          <w:b/>
          <w:sz w:val="24"/>
          <w:szCs w:val="24"/>
        </w:rPr>
        <w:t xml:space="preserve">das </w:t>
      </w:r>
      <w:r w:rsidR="00CE5AAE">
        <w:rPr>
          <w:rFonts w:ascii="Times New Roman" w:hAnsi="Times New Roman"/>
          <w:b/>
          <w:i/>
          <w:sz w:val="24"/>
          <w:szCs w:val="24"/>
        </w:rPr>
        <w:t>C</w:t>
      </w:r>
      <w:r w:rsidR="00975232" w:rsidRPr="00590C5D">
        <w:rPr>
          <w:rFonts w:ascii="Times New Roman" w:hAnsi="Times New Roman"/>
          <w:b/>
          <w:i/>
          <w:sz w:val="24"/>
          <w:szCs w:val="24"/>
        </w:rPr>
        <w:t>ommodities</w:t>
      </w:r>
      <w:r w:rsidR="00975232" w:rsidRPr="00590C5D">
        <w:rPr>
          <w:rFonts w:ascii="Times New Roman" w:hAnsi="Times New Roman"/>
          <w:b/>
          <w:sz w:val="24"/>
          <w:szCs w:val="24"/>
        </w:rPr>
        <w:t xml:space="preserve"> </w:t>
      </w:r>
      <w:r w:rsidR="00CE5AAE">
        <w:rPr>
          <w:rFonts w:ascii="Times New Roman" w:hAnsi="Times New Roman"/>
          <w:b/>
          <w:sz w:val="24"/>
          <w:szCs w:val="24"/>
        </w:rPr>
        <w:t>e P</w:t>
      </w:r>
      <w:r w:rsidRPr="00590C5D">
        <w:rPr>
          <w:rFonts w:ascii="Times New Roman" w:hAnsi="Times New Roman"/>
          <w:b/>
          <w:sz w:val="24"/>
          <w:szCs w:val="24"/>
        </w:rPr>
        <w:t xml:space="preserve">rodutos </w:t>
      </w:r>
      <w:r w:rsidR="00CE5AAE">
        <w:rPr>
          <w:rFonts w:ascii="Times New Roman" w:hAnsi="Times New Roman"/>
          <w:b/>
          <w:sz w:val="24"/>
          <w:szCs w:val="24"/>
        </w:rPr>
        <w:t>M</w:t>
      </w:r>
      <w:r w:rsidR="00975232" w:rsidRPr="00590C5D">
        <w:rPr>
          <w:rFonts w:ascii="Times New Roman" w:hAnsi="Times New Roman"/>
          <w:b/>
          <w:sz w:val="24"/>
          <w:szCs w:val="24"/>
        </w:rPr>
        <w:t xml:space="preserve">anufaturados </w:t>
      </w:r>
    </w:p>
    <w:p w:rsidR="00975232" w:rsidRPr="00590C5D" w:rsidRDefault="00975232" w:rsidP="00590C5D">
      <w:pPr>
        <w:spacing w:after="0" w:line="240" w:lineRule="auto"/>
        <w:jc w:val="center"/>
        <w:rPr>
          <w:rFonts w:ascii="Times New Roman" w:hAnsi="Times New Roman"/>
          <w:b/>
          <w:sz w:val="24"/>
          <w:szCs w:val="24"/>
        </w:rPr>
      </w:pPr>
      <w:r w:rsidRPr="00590C5D">
        <w:rPr>
          <w:rFonts w:ascii="Times New Roman" w:hAnsi="Times New Roman"/>
          <w:b/>
          <w:sz w:val="24"/>
          <w:szCs w:val="24"/>
        </w:rPr>
        <w:t xml:space="preserve">nas </w:t>
      </w:r>
      <w:r w:rsidR="00CE5AAE">
        <w:rPr>
          <w:rFonts w:ascii="Times New Roman" w:hAnsi="Times New Roman"/>
          <w:b/>
          <w:sz w:val="24"/>
          <w:szCs w:val="24"/>
        </w:rPr>
        <w:t>E</w:t>
      </w:r>
      <w:r w:rsidRPr="00590C5D">
        <w:rPr>
          <w:rFonts w:ascii="Times New Roman" w:hAnsi="Times New Roman"/>
          <w:b/>
          <w:sz w:val="24"/>
          <w:szCs w:val="24"/>
        </w:rPr>
        <w:t>xportações</w:t>
      </w:r>
      <w:r w:rsidR="00CE5AAE">
        <w:rPr>
          <w:rFonts w:ascii="Times New Roman" w:hAnsi="Times New Roman"/>
          <w:b/>
          <w:sz w:val="24"/>
          <w:szCs w:val="24"/>
        </w:rPr>
        <w:t xml:space="preserve"> – </w:t>
      </w:r>
      <w:r w:rsidR="00590C5D" w:rsidRPr="00590C5D">
        <w:rPr>
          <w:rFonts w:ascii="Times New Roman" w:hAnsi="Times New Roman"/>
          <w:b/>
          <w:sz w:val="24"/>
          <w:szCs w:val="24"/>
        </w:rPr>
        <w:t>2000</w:t>
      </w:r>
      <w:r w:rsidR="00CE5AAE">
        <w:rPr>
          <w:rFonts w:ascii="Times New Roman" w:hAnsi="Times New Roman"/>
          <w:b/>
          <w:sz w:val="24"/>
          <w:szCs w:val="24"/>
        </w:rPr>
        <w:t xml:space="preserve"> a </w:t>
      </w:r>
      <w:r w:rsidR="00590C5D" w:rsidRPr="00590C5D">
        <w:rPr>
          <w:rFonts w:ascii="Times New Roman" w:hAnsi="Times New Roman"/>
          <w:b/>
          <w:sz w:val="24"/>
          <w:szCs w:val="24"/>
        </w:rPr>
        <w:t>2012 (%)</w:t>
      </w:r>
    </w:p>
    <w:p w:rsidR="00023907" w:rsidRDefault="00894B44" w:rsidP="00023907">
      <w:pPr>
        <w:spacing w:after="0" w:line="240" w:lineRule="auto"/>
        <w:jc w:val="center"/>
        <w:rPr>
          <w:rFonts w:ascii="Times New Roman" w:hAnsi="Times New Roman"/>
          <w:sz w:val="24"/>
          <w:szCs w:val="24"/>
        </w:rPr>
      </w:pPr>
      <w:r>
        <w:rPr>
          <w:noProof/>
          <w:szCs w:val="24"/>
          <w:lang w:eastAsia="pt-BR"/>
        </w:rPr>
        <w:drawing>
          <wp:inline distT="0" distB="0" distL="0" distR="0">
            <wp:extent cx="3282315" cy="1985645"/>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0" cstate="print"/>
                    <a:srcRect/>
                    <a:stretch>
                      <a:fillRect/>
                    </a:stretch>
                  </pic:blipFill>
                  <pic:spPr bwMode="auto">
                    <a:xfrm>
                      <a:off x="0" y="0"/>
                      <a:ext cx="3282315" cy="1985645"/>
                    </a:xfrm>
                    <a:prstGeom prst="rect">
                      <a:avLst/>
                    </a:prstGeom>
                    <a:noFill/>
                    <a:ln w="9525">
                      <a:noFill/>
                      <a:miter lim="800000"/>
                      <a:headEnd/>
                      <a:tailEnd/>
                    </a:ln>
                  </pic:spPr>
                </pic:pic>
              </a:graphicData>
            </a:graphic>
          </wp:inline>
        </w:drawing>
      </w:r>
    </w:p>
    <w:p w:rsidR="003D5D88" w:rsidRPr="00023907" w:rsidRDefault="003D5D88" w:rsidP="00023907">
      <w:pPr>
        <w:spacing w:after="0" w:line="240" w:lineRule="auto"/>
        <w:jc w:val="center"/>
        <w:rPr>
          <w:rFonts w:ascii="Times New Roman" w:hAnsi="Times New Roman"/>
          <w:sz w:val="24"/>
          <w:szCs w:val="24"/>
        </w:rPr>
      </w:pPr>
      <w:r w:rsidRPr="00023907">
        <w:rPr>
          <w:rFonts w:ascii="Times New Roman" w:hAnsi="Times New Roman"/>
          <w:i/>
          <w:sz w:val="20"/>
          <w:szCs w:val="20"/>
        </w:rPr>
        <w:t>Fonte:</w:t>
      </w:r>
      <w:r w:rsidRPr="002469AD">
        <w:rPr>
          <w:rFonts w:ascii="Times New Roman" w:hAnsi="Times New Roman"/>
          <w:sz w:val="20"/>
          <w:szCs w:val="20"/>
        </w:rPr>
        <w:t xml:space="preserve"> </w:t>
      </w:r>
      <w:r w:rsidR="00023907" w:rsidRPr="00074F3D">
        <w:rPr>
          <w:rFonts w:ascii="Times New Roman" w:hAnsi="Times New Roman"/>
          <w:sz w:val="20"/>
          <w:szCs w:val="20"/>
        </w:rPr>
        <w:t xml:space="preserve">Elaboração própria a partir dos dados do </w:t>
      </w:r>
      <w:r w:rsidR="00023907" w:rsidRPr="002469AD">
        <w:rPr>
          <w:rFonts w:ascii="Times New Roman" w:hAnsi="Times New Roman"/>
          <w:sz w:val="20"/>
          <w:szCs w:val="20"/>
        </w:rPr>
        <w:t>M</w:t>
      </w:r>
      <w:r w:rsidR="00657E84">
        <w:rPr>
          <w:rFonts w:ascii="Times New Roman" w:hAnsi="Times New Roman"/>
          <w:sz w:val="20"/>
          <w:szCs w:val="20"/>
        </w:rPr>
        <w:t>DIC</w:t>
      </w:r>
      <w:r w:rsidR="00023907">
        <w:rPr>
          <w:rFonts w:ascii="Times New Roman" w:hAnsi="Times New Roman"/>
          <w:sz w:val="20"/>
          <w:szCs w:val="20"/>
        </w:rPr>
        <w:t xml:space="preserve">. </w:t>
      </w:r>
    </w:p>
    <w:p w:rsidR="00EC4993" w:rsidRDefault="00EC4993" w:rsidP="006E41E7">
      <w:pPr>
        <w:spacing w:after="0" w:line="240" w:lineRule="auto"/>
        <w:ind w:firstLine="708"/>
        <w:jc w:val="both"/>
        <w:rPr>
          <w:rFonts w:ascii="Times New Roman" w:hAnsi="Times New Roman"/>
          <w:sz w:val="24"/>
          <w:szCs w:val="24"/>
        </w:rPr>
      </w:pPr>
    </w:p>
    <w:p w:rsidR="00C72EEC" w:rsidRDefault="00C72EEC" w:rsidP="00C72EEC">
      <w:pPr>
        <w:spacing w:after="0" w:line="240" w:lineRule="auto"/>
        <w:ind w:firstLine="708"/>
        <w:jc w:val="both"/>
        <w:rPr>
          <w:rFonts w:ascii="Times New Roman" w:hAnsi="Times New Roman"/>
          <w:sz w:val="24"/>
          <w:szCs w:val="24"/>
        </w:rPr>
      </w:pPr>
      <w:r>
        <w:rPr>
          <w:rFonts w:ascii="Times New Roman" w:hAnsi="Times New Roman"/>
          <w:sz w:val="24"/>
          <w:szCs w:val="24"/>
        </w:rPr>
        <w:t xml:space="preserve">O gráfico 2 exibe os valores exportados e importados das </w:t>
      </w:r>
      <w:r w:rsidRPr="0091227F">
        <w:rPr>
          <w:rFonts w:ascii="Times New Roman" w:hAnsi="Times New Roman"/>
          <w:i/>
          <w:sz w:val="24"/>
          <w:szCs w:val="24"/>
        </w:rPr>
        <w:t>commodities</w:t>
      </w:r>
      <w:r>
        <w:rPr>
          <w:rFonts w:ascii="Times New Roman" w:hAnsi="Times New Roman"/>
          <w:sz w:val="24"/>
          <w:szCs w:val="24"/>
        </w:rPr>
        <w:t xml:space="preserve"> e o saldo comercial para este tipo de produto no período 2000-2012. Verifica-se que os valores das exportações de </w:t>
      </w:r>
      <w:r w:rsidRPr="0091227F">
        <w:rPr>
          <w:rFonts w:ascii="Times New Roman" w:hAnsi="Times New Roman"/>
          <w:i/>
          <w:sz w:val="24"/>
          <w:szCs w:val="24"/>
        </w:rPr>
        <w:t>commodities</w:t>
      </w:r>
      <w:r>
        <w:rPr>
          <w:rFonts w:ascii="Times New Roman" w:hAnsi="Times New Roman"/>
          <w:sz w:val="24"/>
          <w:szCs w:val="24"/>
        </w:rPr>
        <w:t xml:space="preserve"> foram crescentes, exceto em 2009, em função dos efeitos da crise internacional, mas estes se recuperaram rapidamente, atingindo patamares recordes em 2011 (US$ 181,5 bilhões). De outro lado, as importações, embora crescentes, permaneceram em patamares bem inferiores aos valores exportados, o que determinou um saldo comercial superavitário e crescente para este tipo de produto, passando de US$ 10,5 bilhões para US$ 97 bilhões, o que implicou uma entrada líquida de </w:t>
      </w:r>
      <w:r>
        <w:rPr>
          <w:rFonts w:ascii="Times New Roman" w:hAnsi="Times New Roman"/>
          <w:sz w:val="24"/>
          <w:szCs w:val="24"/>
        </w:rPr>
        <w:lastRenderedPageBreak/>
        <w:t xml:space="preserve">divisas no país no montante de US$ 86,5 bilhões entre 2000 e 2012. Destaca-se que este tipo de produto não foi afetado pelos efeitos da crise internacional verificados a partir de 2008. </w:t>
      </w:r>
    </w:p>
    <w:p w:rsidR="00A95C45" w:rsidRDefault="00A95C45" w:rsidP="00A95C45">
      <w:pPr>
        <w:spacing w:after="0" w:line="240" w:lineRule="auto"/>
        <w:ind w:firstLine="708"/>
        <w:jc w:val="both"/>
        <w:rPr>
          <w:rFonts w:ascii="Times New Roman" w:hAnsi="Times New Roman"/>
          <w:sz w:val="24"/>
          <w:szCs w:val="24"/>
        </w:rPr>
      </w:pPr>
    </w:p>
    <w:p w:rsidR="002B6269" w:rsidRDefault="00A10E32" w:rsidP="00A10E32">
      <w:pPr>
        <w:spacing w:after="0" w:line="240" w:lineRule="auto"/>
        <w:jc w:val="center"/>
        <w:rPr>
          <w:rFonts w:ascii="Times New Roman" w:hAnsi="Times New Roman"/>
          <w:b/>
          <w:sz w:val="24"/>
          <w:szCs w:val="24"/>
        </w:rPr>
      </w:pPr>
      <w:r w:rsidRPr="00590C5D">
        <w:rPr>
          <w:rFonts w:ascii="Times New Roman" w:hAnsi="Times New Roman"/>
          <w:b/>
          <w:sz w:val="24"/>
          <w:szCs w:val="24"/>
        </w:rPr>
        <w:t xml:space="preserve">Gráfico </w:t>
      </w:r>
      <w:r>
        <w:rPr>
          <w:rFonts w:ascii="Times New Roman" w:hAnsi="Times New Roman"/>
          <w:b/>
          <w:sz w:val="24"/>
          <w:szCs w:val="24"/>
        </w:rPr>
        <w:t>2</w:t>
      </w:r>
      <w:r w:rsidRPr="00590C5D">
        <w:rPr>
          <w:rFonts w:ascii="Times New Roman" w:hAnsi="Times New Roman"/>
          <w:b/>
          <w:sz w:val="24"/>
          <w:szCs w:val="24"/>
        </w:rPr>
        <w:t xml:space="preserve">: </w:t>
      </w:r>
      <w:r>
        <w:rPr>
          <w:rFonts w:ascii="Times New Roman" w:hAnsi="Times New Roman"/>
          <w:b/>
          <w:sz w:val="24"/>
          <w:szCs w:val="24"/>
        </w:rPr>
        <w:t xml:space="preserve">Exportações, </w:t>
      </w:r>
      <w:r w:rsidR="009A7589">
        <w:rPr>
          <w:rFonts w:ascii="Times New Roman" w:hAnsi="Times New Roman"/>
          <w:b/>
          <w:sz w:val="24"/>
          <w:szCs w:val="24"/>
        </w:rPr>
        <w:t>I</w:t>
      </w:r>
      <w:r>
        <w:rPr>
          <w:rFonts w:ascii="Times New Roman" w:hAnsi="Times New Roman"/>
          <w:b/>
          <w:sz w:val="24"/>
          <w:szCs w:val="24"/>
        </w:rPr>
        <w:t xml:space="preserve">mportações e </w:t>
      </w:r>
      <w:r w:rsidR="009A7589">
        <w:rPr>
          <w:rFonts w:ascii="Times New Roman" w:hAnsi="Times New Roman"/>
          <w:b/>
          <w:sz w:val="24"/>
          <w:szCs w:val="24"/>
        </w:rPr>
        <w:t>S</w:t>
      </w:r>
      <w:r>
        <w:rPr>
          <w:rFonts w:ascii="Times New Roman" w:hAnsi="Times New Roman"/>
          <w:b/>
          <w:sz w:val="24"/>
          <w:szCs w:val="24"/>
        </w:rPr>
        <w:t xml:space="preserve">aldo </w:t>
      </w:r>
      <w:r w:rsidR="009A7589">
        <w:rPr>
          <w:rFonts w:ascii="Times New Roman" w:hAnsi="Times New Roman"/>
          <w:b/>
          <w:sz w:val="24"/>
          <w:szCs w:val="24"/>
        </w:rPr>
        <w:t>C</w:t>
      </w:r>
      <w:r>
        <w:rPr>
          <w:rFonts w:ascii="Times New Roman" w:hAnsi="Times New Roman"/>
          <w:b/>
          <w:sz w:val="24"/>
          <w:szCs w:val="24"/>
        </w:rPr>
        <w:t xml:space="preserve">omercial </w:t>
      </w:r>
      <w:r w:rsidRPr="00590C5D">
        <w:rPr>
          <w:rFonts w:ascii="Times New Roman" w:hAnsi="Times New Roman"/>
          <w:b/>
          <w:sz w:val="24"/>
          <w:szCs w:val="24"/>
        </w:rPr>
        <w:t xml:space="preserve">das </w:t>
      </w:r>
    </w:p>
    <w:p w:rsidR="00A10E32" w:rsidRPr="00590C5D" w:rsidRDefault="009A7589" w:rsidP="00A10E32">
      <w:pPr>
        <w:spacing w:after="0" w:line="240" w:lineRule="auto"/>
        <w:jc w:val="center"/>
        <w:rPr>
          <w:rFonts w:ascii="Times New Roman" w:hAnsi="Times New Roman"/>
          <w:b/>
          <w:sz w:val="24"/>
          <w:szCs w:val="24"/>
        </w:rPr>
      </w:pPr>
      <w:r>
        <w:rPr>
          <w:rFonts w:ascii="Times New Roman" w:hAnsi="Times New Roman"/>
          <w:b/>
          <w:i/>
          <w:sz w:val="24"/>
          <w:szCs w:val="24"/>
        </w:rPr>
        <w:t>C</w:t>
      </w:r>
      <w:r w:rsidR="00A10E32" w:rsidRPr="00590C5D">
        <w:rPr>
          <w:rFonts w:ascii="Times New Roman" w:hAnsi="Times New Roman"/>
          <w:b/>
          <w:i/>
          <w:sz w:val="24"/>
          <w:szCs w:val="24"/>
        </w:rPr>
        <w:t>ommodities</w:t>
      </w:r>
      <w:r w:rsidR="00A10E32" w:rsidRPr="00590C5D">
        <w:rPr>
          <w:rFonts w:ascii="Times New Roman" w:hAnsi="Times New Roman"/>
          <w:b/>
          <w:sz w:val="24"/>
          <w:szCs w:val="24"/>
        </w:rPr>
        <w:t xml:space="preserve"> </w:t>
      </w:r>
      <w:r>
        <w:rPr>
          <w:rFonts w:ascii="Times New Roman" w:hAnsi="Times New Roman"/>
          <w:b/>
          <w:sz w:val="24"/>
          <w:szCs w:val="24"/>
        </w:rPr>
        <w:t xml:space="preserve">– </w:t>
      </w:r>
      <w:r w:rsidR="00A10E32" w:rsidRPr="00590C5D">
        <w:rPr>
          <w:rFonts w:ascii="Times New Roman" w:hAnsi="Times New Roman"/>
          <w:b/>
          <w:sz w:val="24"/>
          <w:szCs w:val="24"/>
        </w:rPr>
        <w:t>2000</w:t>
      </w:r>
      <w:r>
        <w:rPr>
          <w:rFonts w:ascii="Times New Roman" w:hAnsi="Times New Roman"/>
          <w:b/>
          <w:sz w:val="24"/>
          <w:szCs w:val="24"/>
        </w:rPr>
        <w:t xml:space="preserve"> a </w:t>
      </w:r>
      <w:r w:rsidR="00A10E32" w:rsidRPr="00590C5D">
        <w:rPr>
          <w:rFonts w:ascii="Times New Roman" w:hAnsi="Times New Roman"/>
          <w:b/>
          <w:sz w:val="24"/>
          <w:szCs w:val="24"/>
        </w:rPr>
        <w:t>2012 (</w:t>
      </w:r>
      <w:r w:rsidR="00A10E32">
        <w:rPr>
          <w:rFonts w:ascii="Times New Roman" w:hAnsi="Times New Roman"/>
          <w:b/>
          <w:sz w:val="24"/>
          <w:szCs w:val="24"/>
        </w:rPr>
        <w:t>US milhões</w:t>
      </w:r>
      <w:r w:rsidR="00A10E32" w:rsidRPr="00590C5D">
        <w:rPr>
          <w:rFonts w:ascii="Times New Roman" w:hAnsi="Times New Roman"/>
          <w:b/>
          <w:sz w:val="24"/>
          <w:szCs w:val="24"/>
        </w:rPr>
        <w:t>)</w:t>
      </w:r>
    </w:p>
    <w:p w:rsidR="00EC4993" w:rsidRDefault="00894B44" w:rsidP="002469AD">
      <w:pPr>
        <w:spacing w:after="0" w:line="240" w:lineRule="auto"/>
        <w:jc w:val="center"/>
        <w:rPr>
          <w:rFonts w:ascii="Times New Roman" w:hAnsi="Times New Roman"/>
          <w:sz w:val="24"/>
          <w:szCs w:val="24"/>
        </w:rPr>
      </w:pPr>
      <w:r>
        <w:rPr>
          <w:noProof/>
          <w:szCs w:val="24"/>
          <w:lang w:eastAsia="pt-BR"/>
        </w:rPr>
        <w:drawing>
          <wp:inline distT="0" distB="0" distL="0" distR="0">
            <wp:extent cx="3309620" cy="1992630"/>
            <wp:effectExtent l="19050" t="0" r="508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1" cstate="print"/>
                    <a:srcRect/>
                    <a:stretch>
                      <a:fillRect/>
                    </a:stretch>
                  </pic:blipFill>
                  <pic:spPr bwMode="auto">
                    <a:xfrm>
                      <a:off x="0" y="0"/>
                      <a:ext cx="3309620" cy="1992630"/>
                    </a:xfrm>
                    <a:prstGeom prst="rect">
                      <a:avLst/>
                    </a:prstGeom>
                    <a:noFill/>
                    <a:ln w="9525">
                      <a:noFill/>
                      <a:miter lim="800000"/>
                      <a:headEnd/>
                      <a:tailEnd/>
                    </a:ln>
                  </pic:spPr>
                </pic:pic>
              </a:graphicData>
            </a:graphic>
          </wp:inline>
        </w:drawing>
      </w:r>
    </w:p>
    <w:p w:rsidR="00023907" w:rsidRPr="00023907" w:rsidRDefault="00023907" w:rsidP="00023907">
      <w:pPr>
        <w:spacing w:after="0" w:line="240" w:lineRule="auto"/>
        <w:jc w:val="center"/>
        <w:rPr>
          <w:rFonts w:ascii="Times New Roman" w:hAnsi="Times New Roman"/>
          <w:sz w:val="24"/>
          <w:szCs w:val="24"/>
        </w:rPr>
      </w:pPr>
      <w:r w:rsidRPr="00023907">
        <w:rPr>
          <w:rFonts w:ascii="Times New Roman" w:hAnsi="Times New Roman"/>
          <w:i/>
          <w:sz w:val="20"/>
          <w:szCs w:val="20"/>
        </w:rPr>
        <w:t>Fonte:</w:t>
      </w:r>
      <w:r w:rsidRPr="002469AD">
        <w:rPr>
          <w:rFonts w:ascii="Times New Roman" w:hAnsi="Times New Roman"/>
          <w:sz w:val="20"/>
          <w:szCs w:val="20"/>
        </w:rPr>
        <w:t xml:space="preserve"> </w:t>
      </w:r>
      <w:r w:rsidRPr="00074F3D">
        <w:rPr>
          <w:rFonts w:ascii="Times New Roman" w:hAnsi="Times New Roman"/>
          <w:sz w:val="20"/>
          <w:szCs w:val="20"/>
        </w:rPr>
        <w:t xml:space="preserve">Elaboração própria a partir dos dados do </w:t>
      </w:r>
      <w:r w:rsidRPr="002469AD">
        <w:rPr>
          <w:rFonts w:ascii="Times New Roman" w:hAnsi="Times New Roman"/>
          <w:sz w:val="20"/>
          <w:szCs w:val="20"/>
        </w:rPr>
        <w:t>M</w:t>
      </w:r>
      <w:r w:rsidR="00657E84">
        <w:rPr>
          <w:rFonts w:ascii="Times New Roman" w:hAnsi="Times New Roman"/>
          <w:sz w:val="20"/>
          <w:szCs w:val="20"/>
        </w:rPr>
        <w:t>DIC</w:t>
      </w:r>
      <w:r>
        <w:rPr>
          <w:rFonts w:ascii="Times New Roman" w:hAnsi="Times New Roman"/>
          <w:sz w:val="20"/>
          <w:szCs w:val="20"/>
        </w:rPr>
        <w:t xml:space="preserve">. </w:t>
      </w:r>
    </w:p>
    <w:p w:rsidR="000B4EAD" w:rsidRDefault="000B4EAD" w:rsidP="000B4EAD">
      <w:pPr>
        <w:spacing w:after="0" w:line="240" w:lineRule="auto"/>
        <w:ind w:firstLine="708"/>
        <w:jc w:val="both"/>
        <w:rPr>
          <w:rFonts w:ascii="Times New Roman" w:hAnsi="Times New Roman"/>
          <w:sz w:val="24"/>
          <w:szCs w:val="24"/>
        </w:rPr>
      </w:pPr>
    </w:p>
    <w:p w:rsidR="00C72EEC" w:rsidRDefault="00C72EEC" w:rsidP="00C72EEC">
      <w:pPr>
        <w:spacing w:after="0" w:line="240" w:lineRule="auto"/>
        <w:ind w:firstLine="708"/>
        <w:jc w:val="both"/>
        <w:rPr>
          <w:rFonts w:ascii="Times New Roman" w:hAnsi="Times New Roman"/>
          <w:sz w:val="24"/>
          <w:szCs w:val="24"/>
        </w:rPr>
      </w:pPr>
      <w:r>
        <w:rPr>
          <w:rFonts w:ascii="Times New Roman" w:hAnsi="Times New Roman"/>
          <w:sz w:val="24"/>
          <w:szCs w:val="24"/>
        </w:rPr>
        <w:t xml:space="preserve">O gráfico 3 apresenta o comportamento dos preços internacionais das </w:t>
      </w:r>
      <w:r w:rsidRPr="00BD35BF">
        <w:rPr>
          <w:rFonts w:ascii="Times New Roman" w:hAnsi="Times New Roman"/>
          <w:i/>
          <w:sz w:val="24"/>
          <w:szCs w:val="24"/>
        </w:rPr>
        <w:t>commodities</w:t>
      </w:r>
      <w:r>
        <w:rPr>
          <w:rFonts w:ascii="Times New Roman" w:hAnsi="Times New Roman"/>
          <w:sz w:val="24"/>
          <w:szCs w:val="24"/>
        </w:rPr>
        <w:t xml:space="preserve"> no período 2000-2012. Observa-se que os preços das </w:t>
      </w:r>
      <w:r w:rsidRPr="00BD35BF">
        <w:rPr>
          <w:rFonts w:ascii="Times New Roman" w:hAnsi="Times New Roman"/>
          <w:i/>
          <w:sz w:val="24"/>
          <w:szCs w:val="24"/>
        </w:rPr>
        <w:t>commodities</w:t>
      </w:r>
      <w:r>
        <w:rPr>
          <w:rFonts w:ascii="Times New Roman" w:hAnsi="Times New Roman"/>
          <w:sz w:val="24"/>
          <w:szCs w:val="24"/>
        </w:rPr>
        <w:t xml:space="preserve"> foram um elemento importante para explicar o bom desempenho comercial deste produto, sendo que tanto os preços das </w:t>
      </w:r>
      <w:r w:rsidRPr="00502F56">
        <w:rPr>
          <w:rFonts w:ascii="Times New Roman" w:hAnsi="Times New Roman"/>
          <w:i/>
          <w:sz w:val="24"/>
          <w:szCs w:val="24"/>
        </w:rPr>
        <w:t>commodities</w:t>
      </w:r>
      <w:r>
        <w:rPr>
          <w:rFonts w:ascii="Times New Roman" w:hAnsi="Times New Roman"/>
          <w:sz w:val="24"/>
          <w:szCs w:val="24"/>
        </w:rPr>
        <w:t xml:space="preserve"> energéticas (petróleo e derivados), como os das não energéticas (alimentos e bebidas, minerais, matérias-primas) tiveram um crescimento expressivo no período, com exceção de 2009, em que houve uma queda dos preços em virtude da crise internacional, mas com rápida recuperação nos anos seguintes. Os elevados preços das </w:t>
      </w:r>
      <w:r w:rsidRPr="00502F56">
        <w:rPr>
          <w:rFonts w:ascii="Times New Roman" w:hAnsi="Times New Roman"/>
          <w:i/>
          <w:sz w:val="24"/>
          <w:szCs w:val="24"/>
        </w:rPr>
        <w:t>commodities</w:t>
      </w:r>
      <w:r>
        <w:rPr>
          <w:rFonts w:ascii="Times New Roman" w:hAnsi="Times New Roman"/>
          <w:sz w:val="24"/>
          <w:szCs w:val="24"/>
        </w:rPr>
        <w:t xml:space="preserve"> no mercado internacional implicam uma maior rentabilidade para os seus produtores, induzindo uma realocação de recursos da economia dos setores produtores de bens manufaturados para a produção e exportação de bens intensivos em recursos naturais. </w:t>
      </w:r>
    </w:p>
    <w:p w:rsidR="00502F56" w:rsidRDefault="00C72EEC" w:rsidP="00C72EEC">
      <w:pPr>
        <w:spacing w:after="0" w:line="240" w:lineRule="auto"/>
        <w:ind w:firstLine="708"/>
        <w:jc w:val="both"/>
        <w:rPr>
          <w:rFonts w:ascii="Times New Roman" w:hAnsi="Times New Roman"/>
          <w:sz w:val="24"/>
          <w:szCs w:val="24"/>
        </w:rPr>
      </w:pPr>
      <w:r>
        <w:rPr>
          <w:rFonts w:ascii="Times New Roman" w:hAnsi="Times New Roman"/>
          <w:sz w:val="24"/>
          <w:szCs w:val="24"/>
        </w:rPr>
        <w:t xml:space="preserve">  </w:t>
      </w:r>
    </w:p>
    <w:p w:rsidR="002B6269" w:rsidRDefault="00A10E32" w:rsidP="00A10E32">
      <w:pPr>
        <w:spacing w:after="0" w:line="240" w:lineRule="auto"/>
        <w:jc w:val="center"/>
        <w:rPr>
          <w:rFonts w:ascii="Times New Roman" w:hAnsi="Times New Roman"/>
          <w:b/>
          <w:sz w:val="24"/>
          <w:szCs w:val="24"/>
        </w:rPr>
      </w:pPr>
      <w:r w:rsidRPr="00A10E32">
        <w:rPr>
          <w:rFonts w:ascii="Times New Roman" w:hAnsi="Times New Roman"/>
          <w:b/>
          <w:sz w:val="24"/>
          <w:szCs w:val="24"/>
        </w:rPr>
        <w:t xml:space="preserve">Gráfico 3: </w:t>
      </w:r>
      <w:r w:rsidR="005F55E1" w:rsidRPr="00A10E32">
        <w:rPr>
          <w:rFonts w:ascii="Times New Roman" w:hAnsi="Times New Roman"/>
          <w:b/>
          <w:sz w:val="24"/>
          <w:szCs w:val="24"/>
        </w:rPr>
        <w:t xml:space="preserve">Preços </w:t>
      </w:r>
      <w:r w:rsidR="009D4B0C">
        <w:rPr>
          <w:rFonts w:ascii="Times New Roman" w:hAnsi="Times New Roman"/>
          <w:b/>
          <w:sz w:val="24"/>
          <w:szCs w:val="24"/>
        </w:rPr>
        <w:t xml:space="preserve">Internacionais </w:t>
      </w:r>
      <w:r w:rsidR="005F55E1" w:rsidRPr="00A10E32">
        <w:rPr>
          <w:rFonts w:ascii="Times New Roman" w:hAnsi="Times New Roman"/>
          <w:b/>
          <w:sz w:val="24"/>
          <w:szCs w:val="24"/>
        </w:rPr>
        <w:t xml:space="preserve">das </w:t>
      </w:r>
      <w:r w:rsidR="009D4B0C">
        <w:rPr>
          <w:rFonts w:ascii="Times New Roman" w:hAnsi="Times New Roman"/>
          <w:b/>
          <w:i/>
          <w:sz w:val="24"/>
          <w:szCs w:val="24"/>
        </w:rPr>
        <w:t>C</w:t>
      </w:r>
      <w:r w:rsidR="005F55E1" w:rsidRPr="00A10E32">
        <w:rPr>
          <w:rFonts w:ascii="Times New Roman" w:hAnsi="Times New Roman"/>
          <w:b/>
          <w:i/>
          <w:sz w:val="24"/>
          <w:szCs w:val="24"/>
        </w:rPr>
        <w:t>ommodities</w:t>
      </w:r>
      <w:r w:rsidRPr="00A10E32">
        <w:rPr>
          <w:rFonts w:ascii="Times New Roman" w:hAnsi="Times New Roman"/>
          <w:b/>
          <w:sz w:val="24"/>
          <w:szCs w:val="24"/>
        </w:rPr>
        <w:t xml:space="preserve"> </w:t>
      </w:r>
    </w:p>
    <w:p w:rsidR="005F55E1" w:rsidRPr="00A10E32" w:rsidRDefault="009D4B0C" w:rsidP="00A10E32">
      <w:pPr>
        <w:spacing w:after="0" w:line="240" w:lineRule="auto"/>
        <w:jc w:val="center"/>
        <w:rPr>
          <w:rFonts w:ascii="Times New Roman" w:hAnsi="Times New Roman"/>
          <w:b/>
          <w:sz w:val="24"/>
          <w:szCs w:val="24"/>
        </w:rPr>
      </w:pPr>
      <w:r>
        <w:rPr>
          <w:rFonts w:ascii="Times New Roman" w:hAnsi="Times New Roman"/>
          <w:b/>
          <w:sz w:val="24"/>
          <w:szCs w:val="24"/>
        </w:rPr>
        <w:t>–</w:t>
      </w:r>
      <w:r w:rsidR="00A10E32" w:rsidRPr="00A10E32">
        <w:rPr>
          <w:rFonts w:ascii="Times New Roman" w:hAnsi="Times New Roman"/>
          <w:b/>
          <w:sz w:val="24"/>
          <w:szCs w:val="24"/>
        </w:rPr>
        <w:t xml:space="preserve"> 2000</w:t>
      </w:r>
      <w:r>
        <w:rPr>
          <w:rFonts w:ascii="Times New Roman" w:hAnsi="Times New Roman"/>
          <w:b/>
          <w:sz w:val="24"/>
          <w:szCs w:val="24"/>
        </w:rPr>
        <w:t xml:space="preserve"> a </w:t>
      </w:r>
      <w:r w:rsidR="00A10E32" w:rsidRPr="00A10E32">
        <w:rPr>
          <w:rFonts w:ascii="Times New Roman" w:hAnsi="Times New Roman"/>
          <w:b/>
          <w:sz w:val="24"/>
          <w:szCs w:val="24"/>
        </w:rPr>
        <w:t>2012</w:t>
      </w:r>
      <w:r w:rsidR="00BD35BF">
        <w:rPr>
          <w:rFonts w:ascii="Times New Roman" w:hAnsi="Times New Roman"/>
          <w:b/>
          <w:sz w:val="24"/>
          <w:szCs w:val="24"/>
        </w:rPr>
        <w:t xml:space="preserve"> (Índice 2005 = 100)</w:t>
      </w:r>
    </w:p>
    <w:p w:rsidR="005F55E1" w:rsidRDefault="00894B44" w:rsidP="00C46526">
      <w:pPr>
        <w:spacing w:after="0" w:line="240" w:lineRule="auto"/>
        <w:jc w:val="center"/>
        <w:rPr>
          <w:rFonts w:ascii="Times New Roman" w:hAnsi="Times New Roman"/>
          <w:sz w:val="24"/>
          <w:szCs w:val="24"/>
        </w:rPr>
      </w:pPr>
      <w:r>
        <w:rPr>
          <w:noProof/>
          <w:szCs w:val="24"/>
          <w:lang w:eastAsia="pt-BR"/>
        </w:rPr>
        <w:drawing>
          <wp:inline distT="0" distB="0" distL="0" distR="0">
            <wp:extent cx="3268345" cy="1965325"/>
            <wp:effectExtent l="19050" t="0" r="825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2" cstate="print"/>
                    <a:srcRect/>
                    <a:stretch>
                      <a:fillRect/>
                    </a:stretch>
                  </pic:blipFill>
                  <pic:spPr bwMode="auto">
                    <a:xfrm>
                      <a:off x="0" y="0"/>
                      <a:ext cx="3268345" cy="1965325"/>
                    </a:xfrm>
                    <a:prstGeom prst="rect">
                      <a:avLst/>
                    </a:prstGeom>
                    <a:noFill/>
                    <a:ln w="9525">
                      <a:noFill/>
                      <a:miter lim="800000"/>
                      <a:headEnd/>
                      <a:tailEnd/>
                    </a:ln>
                  </pic:spPr>
                </pic:pic>
              </a:graphicData>
            </a:graphic>
          </wp:inline>
        </w:drawing>
      </w:r>
    </w:p>
    <w:p w:rsidR="00023907" w:rsidRPr="00023907" w:rsidRDefault="00023907" w:rsidP="00023907">
      <w:pPr>
        <w:spacing w:after="0" w:line="240" w:lineRule="auto"/>
        <w:jc w:val="center"/>
        <w:rPr>
          <w:rFonts w:ascii="Times New Roman" w:hAnsi="Times New Roman"/>
          <w:sz w:val="24"/>
          <w:szCs w:val="24"/>
        </w:rPr>
      </w:pPr>
      <w:r w:rsidRPr="00023907">
        <w:rPr>
          <w:rFonts w:ascii="Times New Roman" w:hAnsi="Times New Roman"/>
          <w:i/>
          <w:sz w:val="20"/>
          <w:szCs w:val="20"/>
        </w:rPr>
        <w:t>Fonte:</w:t>
      </w:r>
      <w:r w:rsidRPr="002469AD">
        <w:rPr>
          <w:rFonts w:ascii="Times New Roman" w:hAnsi="Times New Roman"/>
          <w:sz w:val="20"/>
          <w:szCs w:val="20"/>
        </w:rPr>
        <w:t xml:space="preserve"> </w:t>
      </w:r>
      <w:r w:rsidRPr="00074F3D">
        <w:rPr>
          <w:rFonts w:ascii="Times New Roman" w:hAnsi="Times New Roman"/>
          <w:sz w:val="20"/>
          <w:szCs w:val="20"/>
        </w:rPr>
        <w:t xml:space="preserve">Elaboração própria a partir dos dados do </w:t>
      </w:r>
      <w:r>
        <w:rPr>
          <w:rFonts w:ascii="Times New Roman" w:hAnsi="Times New Roman"/>
          <w:sz w:val="20"/>
          <w:szCs w:val="20"/>
        </w:rPr>
        <w:t>I</w:t>
      </w:r>
      <w:r w:rsidR="003076F6">
        <w:rPr>
          <w:rFonts w:ascii="Times New Roman" w:hAnsi="Times New Roman"/>
          <w:sz w:val="20"/>
          <w:szCs w:val="20"/>
        </w:rPr>
        <w:t>FS</w:t>
      </w:r>
      <w:r>
        <w:rPr>
          <w:rFonts w:ascii="Times New Roman" w:hAnsi="Times New Roman"/>
          <w:sz w:val="20"/>
          <w:szCs w:val="20"/>
        </w:rPr>
        <w:t xml:space="preserve">. </w:t>
      </w:r>
    </w:p>
    <w:p w:rsidR="00C72EEC" w:rsidRDefault="00C72EEC" w:rsidP="00C72EEC">
      <w:pPr>
        <w:spacing w:after="0" w:line="240" w:lineRule="auto"/>
        <w:ind w:firstLine="708"/>
        <w:jc w:val="both"/>
        <w:rPr>
          <w:rFonts w:ascii="Times New Roman" w:hAnsi="Times New Roman"/>
          <w:sz w:val="24"/>
          <w:szCs w:val="24"/>
        </w:rPr>
      </w:pPr>
    </w:p>
    <w:p w:rsidR="00C72EEC" w:rsidRDefault="00C72EEC" w:rsidP="00C72EEC">
      <w:pPr>
        <w:spacing w:after="0" w:line="240" w:lineRule="auto"/>
        <w:ind w:firstLine="708"/>
        <w:jc w:val="both"/>
        <w:rPr>
          <w:rFonts w:ascii="Times New Roman" w:hAnsi="Times New Roman"/>
          <w:sz w:val="24"/>
          <w:szCs w:val="24"/>
        </w:rPr>
      </w:pPr>
      <w:r>
        <w:rPr>
          <w:rFonts w:ascii="Times New Roman" w:hAnsi="Times New Roman"/>
          <w:sz w:val="24"/>
          <w:szCs w:val="24"/>
        </w:rPr>
        <w:t xml:space="preserve">Em adição, o gráfico 4 mostra a relação entre a razão entre as exportações de produtos manufaturados e as exportações de </w:t>
      </w:r>
      <w:r w:rsidRPr="001D40A4">
        <w:rPr>
          <w:rFonts w:ascii="Times New Roman" w:hAnsi="Times New Roman"/>
          <w:i/>
          <w:sz w:val="24"/>
          <w:szCs w:val="24"/>
        </w:rPr>
        <w:t>commodities</w:t>
      </w:r>
      <w:r>
        <w:rPr>
          <w:rFonts w:ascii="Times New Roman" w:hAnsi="Times New Roman"/>
          <w:sz w:val="24"/>
          <w:szCs w:val="24"/>
        </w:rPr>
        <w:t xml:space="preserve"> e o comportamento da taxa de câmbio real efetiva no período 2000-2012. Os dados sugerem que ao tempo em que ocorreu um decréscimo da participação dos produtos manufaturados relativa às exportações de </w:t>
      </w:r>
      <w:r w:rsidRPr="00D5397C">
        <w:rPr>
          <w:rFonts w:ascii="Times New Roman" w:hAnsi="Times New Roman"/>
          <w:i/>
          <w:sz w:val="24"/>
          <w:szCs w:val="24"/>
        </w:rPr>
        <w:t>commodities</w:t>
      </w:r>
      <w:r>
        <w:rPr>
          <w:rFonts w:ascii="Times New Roman" w:hAnsi="Times New Roman"/>
          <w:sz w:val="24"/>
          <w:szCs w:val="24"/>
        </w:rPr>
        <w:t xml:space="preserve">, é possível observar uma tendência de apreciação da taxa de câmbio real efetiva brasileira. Destaca-se que este comportamento somente foi interrompido em 2011 e 2012, em que se verificou uma depreciação </w:t>
      </w:r>
      <w:r>
        <w:rPr>
          <w:rFonts w:ascii="Times New Roman" w:hAnsi="Times New Roman"/>
          <w:sz w:val="24"/>
          <w:szCs w:val="24"/>
        </w:rPr>
        <w:lastRenderedPageBreak/>
        <w:t>real do câmbio, embora este ainda tenha permanecido em patamares ligeiramente inferiores (apreciados) aos observados no ano de 2000.</w:t>
      </w:r>
    </w:p>
    <w:p w:rsidR="001D40A4" w:rsidRDefault="001D40A4" w:rsidP="006E41E7">
      <w:pPr>
        <w:spacing w:after="0" w:line="240" w:lineRule="auto"/>
        <w:ind w:firstLine="708"/>
        <w:jc w:val="both"/>
        <w:rPr>
          <w:rFonts w:ascii="Times New Roman" w:hAnsi="Times New Roman"/>
          <w:sz w:val="24"/>
          <w:szCs w:val="24"/>
        </w:rPr>
      </w:pPr>
    </w:p>
    <w:p w:rsidR="002B6269" w:rsidRDefault="00795B98" w:rsidP="00403574">
      <w:pPr>
        <w:spacing w:after="0" w:line="240" w:lineRule="auto"/>
        <w:jc w:val="center"/>
        <w:rPr>
          <w:rFonts w:ascii="Times New Roman" w:hAnsi="Times New Roman"/>
          <w:b/>
          <w:sz w:val="24"/>
          <w:szCs w:val="24"/>
        </w:rPr>
      </w:pPr>
      <w:r w:rsidRPr="00403574">
        <w:rPr>
          <w:rFonts w:ascii="Times New Roman" w:hAnsi="Times New Roman"/>
          <w:b/>
          <w:sz w:val="24"/>
          <w:szCs w:val="24"/>
        </w:rPr>
        <w:t xml:space="preserve">Gráfico 4: </w:t>
      </w:r>
      <w:r w:rsidR="00C6392A">
        <w:rPr>
          <w:rFonts w:ascii="Times New Roman" w:hAnsi="Times New Roman"/>
          <w:b/>
          <w:sz w:val="24"/>
          <w:szCs w:val="24"/>
        </w:rPr>
        <w:t xml:space="preserve">Razão </w:t>
      </w:r>
      <w:r w:rsidR="00C6392A" w:rsidRPr="00403574">
        <w:rPr>
          <w:rFonts w:ascii="Times New Roman" w:hAnsi="Times New Roman"/>
          <w:b/>
          <w:sz w:val="24"/>
          <w:szCs w:val="24"/>
        </w:rPr>
        <w:t xml:space="preserve">Exportações </w:t>
      </w:r>
      <w:r w:rsidR="00C6392A">
        <w:rPr>
          <w:rFonts w:ascii="Times New Roman" w:hAnsi="Times New Roman"/>
          <w:b/>
          <w:sz w:val="24"/>
          <w:szCs w:val="24"/>
        </w:rPr>
        <w:t>d</w:t>
      </w:r>
      <w:r w:rsidR="00C6392A" w:rsidRPr="00403574">
        <w:rPr>
          <w:rFonts w:ascii="Times New Roman" w:hAnsi="Times New Roman"/>
          <w:b/>
          <w:sz w:val="24"/>
          <w:szCs w:val="24"/>
        </w:rPr>
        <w:t xml:space="preserve">e Produtos Manufaturados / </w:t>
      </w:r>
      <w:r w:rsidR="00C6392A" w:rsidRPr="00403574">
        <w:rPr>
          <w:rFonts w:ascii="Times New Roman" w:hAnsi="Times New Roman"/>
          <w:b/>
          <w:i/>
          <w:sz w:val="24"/>
          <w:szCs w:val="24"/>
        </w:rPr>
        <w:t>Commodities</w:t>
      </w:r>
      <w:r w:rsidR="00C6392A" w:rsidRPr="00403574">
        <w:rPr>
          <w:rFonts w:ascii="Times New Roman" w:hAnsi="Times New Roman"/>
          <w:b/>
          <w:sz w:val="24"/>
          <w:szCs w:val="24"/>
        </w:rPr>
        <w:t xml:space="preserve"> </w:t>
      </w:r>
    </w:p>
    <w:p w:rsidR="001F3851" w:rsidRPr="00403574" w:rsidRDefault="00C6392A" w:rsidP="00403574">
      <w:pPr>
        <w:spacing w:after="0" w:line="240" w:lineRule="auto"/>
        <w:jc w:val="center"/>
        <w:rPr>
          <w:rFonts w:ascii="Times New Roman" w:hAnsi="Times New Roman"/>
          <w:b/>
          <w:sz w:val="24"/>
          <w:szCs w:val="24"/>
        </w:rPr>
      </w:pPr>
      <w:r>
        <w:rPr>
          <w:rFonts w:ascii="Times New Roman" w:hAnsi="Times New Roman"/>
          <w:b/>
          <w:sz w:val="24"/>
          <w:szCs w:val="24"/>
        </w:rPr>
        <w:t xml:space="preserve">e </w:t>
      </w:r>
      <w:r w:rsidRPr="00403574">
        <w:rPr>
          <w:rFonts w:ascii="Times New Roman" w:hAnsi="Times New Roman"/>
          <w:b/>
          <w:sz w:val="24"/>
          <w:szCs w:val="24"/>
        </w:rPr>
        <w:t xml:space="preserve">Taxa </w:t>
      </w:r>
      <w:r>
        <w:rPr>
          <w:rFonts w:ascii="Times New Roman" w:hAnsi="Times New Roman"/>
          <w:b/>
          <w:sz w:val="24"/>
          <w:szCs w:val="24"/>
        </w:rPr>
        <w:t>d</w:t>
      </w:r>
      <w:r w:rsidRPr="00403574">
        <w:rPr>
          <w:rFonts w:ascii="Times New Roman" w:hAnsi="Times New Roman"/>
          <w:b/>
          <w:sz w:val="24"/>
          <w:szCs w:val="24"/>
        </w:rPr>
        <w:t>e Câmbio Real</w:t>
      </w:r>
      <w:r>
        <w:rPr>
          <w:rFonts w:ascii="Times New Roman" w:hAnsi="Times New Roman"/>
          <w:b/>
          <w:sz w:val="24"/>
          <w:szCs w:val="24"/>
        </w:rPr>
        <w:t xml:space="preserve"> Efetiva</w:t>
      </w:r>
      <w:r w:rsidRPr="00403574">
        <w:rPr>
          <w:rFonts w:ascii="Times New Roman" w:hAnsi="Times New Roman"/>
          <w:b/>
          <w:sz w:val="24"/>
          <w:szCs w:val="24"/>
        </w:rPr>
        <w:t xml:space="preserve"> </w:t>
      </w:r>
      <w:r>
        <w:rPr>
          <w:rFonts w:ascii="Times New Roman" w:hAnsi="Times New Roman"/>
          <w:b/>
          <w:sz w:val="24"/>
          <w:szCs w:val="24"/>
        </w:rPr>
        <w:t xml:space="preserve">– </w:t>
      </w:r>
      <w:r w:rsidRPr="00403574">
        <w:rPr>
          <w:rFonts w:ascii="Times New Roman" w:hAnsi="Times New Roman"/>
          <w:b/>
          <w:sz w:val="24"/>
          <w:szCs w:val="24"/>
        </w:rPr>
        <w:t>2000</w:t>
      </w:r>
      <w:r>
        <w:rPr>
          <w:rFonts w:ascii="Times New Roman" w:hAnsi="Times New Roman"/>
          <w:b/>
          <w:sz w:val="24"/>
          <w:szCs w:val="24"/>
        </w:rPr>
        <w:t xml:space="preserve"> a </w:t>
      </w:r>
      <w:r w:rsidRPr="00403574">
        <w:rPr>
          <w:rFonts w:ascii="Times New Roman" w:hAnsi="Times New Roman"/>
          <w:b/>
          <w:sz w:val="24"/>
          <w:szCs w:val="24"/>
        </w:rPr>
        <w:t>2012 (</w:t>
      </w:r>
      <w:r w:rsidR="00403574" w:rsidRPr="00403574">
        <w:rPr>
          <w:rFonts w:ascii="Times New Roman" w:hAnsi="Times New Roman"/>
          <w:b/>
          <w:sz w:val="24"/>
          <w:szCs w:val="24"/>
        </w:rPr>
        <w:t xml:space="preserve">Índice </w:t>
      </w:r>
      <w:r w:rsidRPr="00403574">
        <w:rPr>
          <w:rFonts w:ascii="Times New Roman" w:hAnsi="Times New Roman"/>
          <w:b/>
          <w:sz w:val="24"/>
          <w:szCs w:val="24"/>
        </w:rPr>
        <w:t>2005 = 100)</w:t>
      </w:r>
    </w:p>
    <w:p w:rsidR="001947F5" w:rsidRDefault="00894B44" w:rsidP="00027D12">
      <w:pPr>
        <w:spacing w:after="0" w:line="240" w:lineRule="auto"/>
        <w:jc w:val="center"/>
        <w:rPr>
          <w:szCs w:val="24"/>
        </w:rPr>
      </w:pPr>
      <w:r>
        <w:rPr>
          <w:noProof/>
          <w:szCs w:val="24"/>
          <w:lang w:eastAsia="pt-BR"/>
        </w:rPr>
        <w:drawing>
          <wp:inline distT="0" distB="0" distL="0" distR="0">
            <wp:extent cx="3289300" cy="1985645"/>
            <wp:effectExtent l="19050" t="0" r="635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3" cstate="print"/>
                    <a:srcRect/>
                    <a:stretch>
                      <a:fillRect/>
                    </a:stretch>
                  </pic:blipFill>
                  <pic:spPr bwMode="auto">
                    <a:xfrm>
                      <a:off x="0" y="0"/>
                      <a:ext cx="3289300" cy="1985645"/>
                    </a:xfrm>
                    <a:prstGeom prst="rect">
                      <a:avLst/>
                    </a:prstGeom>
                    <a:noFill/>
                    <a:ln w="9525">
                      <a:noFill/>
                      <a:miter lim="800000"/>
                      <a:headEnd/>
                      <a:tailEnd/>
                    </a:ln>
                  </pic:spPr>
                </pic:pic>
              </a:graphicData>
            </a:graphic>
          </wp:inline>
        </w:drawing>
      </w:r>
    </w:p>
    <w:p w:rsidR="00023907" w:rsidRPr="00023907" w:rsidRDefault="00023907" w:rsidP="00023907">
      <w:pPr>
        <w:spacing w:after="0" w:line="240" w:lineRule="auto"/>
        <w:jc w:val="center"/>
        <w:rPr>
          <w:rFonts w:ascii="Times New Roman" w:hAnsi="Times New Roman"/>
          <w:sz w:val="24"/>
          <w:szCs w:val="24"/>
        </w:rPr>
      </w:pPr>
      <w:r w:rsidRPr="00023907">
        <w:rPr>
          <w:rFonts w:ascii="Times New Roman" w:hAnsi="Times New Roman"/>
          <w:i/>
          <w:sz w:val="20"/>
          <w:szCs w:val="20"/>
        </w:rPr>
        <w:t>Fonte:</w:t>
      </w:r>
      <w:r w:rsidRPr="002469AD">
        <w:rPr>
          <w:rFonts w:ascii="Times New Roman" w:hAnsi="Times New Roman"/>
          <w:sz w:val="20"/>
          <w:szCs w:val="20"/>
        </w:rPr>
        <w:t xml:space="preserve"> </w:t>
      </w:r>
      <w:r w:rsidRPr="00074F3D">
        <w:rPr>
          <w:rFonts w:ascii="Times New Roman" w:hAnsi="Times New Roman"/>
          <w:sz w:val="20"/>
          <w:szCs w:val="20"/>
        </w:rPr>
        <w:t xml:space="preserve">Elaboração própria a partir dos dados do </w:t>
      </w:r>
      <w:r>
        <w:rPr>
          <w:rFonts w:ascii="Times New Roman" w:hAnsi="Times New Roman"/>
          <w:sz w:val="20"/>
          <w:szCs w:val="20"/>
        </w:rPr>
        <w:t>B</w:t>
      </w:r>
      <w:r w:rsidR="003076F6">
        <w:rPr>
          <w:rFonts w:ascii="Times New Roman" w:hAnsi="Times New Roman"/>
          <w:sz w:val="20"/>
          <w:szCs w:val="20"/>
        </w:rPr>
        <w:t>CB</w:t>
      </w:r>
      <w:r>
        <w:rPr>
          <w:rFonts w:ascii="Times New Roman" w:hAnsi="Times New Roman"/>
          <w:sz w:val="20"/>
          <w:szCs w:val="20"/>
        </w:rPr>
        <w:t xml:space="preserve"> e do </w:t>
      </w:r>
      <w:r w:rsidRPr="002469AD">
        <w:rPr>
          <w:rFonts w:ascii="Times New Roman" w:hAnsi="Times New Roman"/>
          <w:sz w:val="20"/>
          <w:szCs w:val="20"/>
        </w:rPr>
        <w:t>M</w:t>
      </w:r>
      <w:r w:rsidR="003076F6">
        <w:rPr>
          <w:rFonts w:ascii="Times New Roman" w:hAnsi="Times New Roman"/>
          <w:sz w:val="20"/>
          <w:szCs w:val="20"/>
        </w:rPr>
        <w:t>DIC</w:t>
      </w:r>
      <w:r>
        <w:rPr>
          <w:rFonts w:ascii="Times New Roman" w:hAnsi="Times New Roman"/>
          <w:sz w:val="20"/>
          <w:szCs w:val="20"/>
        </w:rPr>
        <w:t xml:space="preserve">. </w:t>
      </w:r>
    </w:p>
    <w:p w:rsidR="00F75D54" w:rsidRPr="00337619" w:rsidRDefault="00F75D54" w:rsidP="001947F5">
      <w:pPr>
        <w:spacing w:after="0" w:line="240" w:lineRule="auto"/>
        <w:jc w:val="both"/>
        <w:rPr>
          <w:rFonts w:ascii="Times New Roman" w:hAnsi="Times New Roman"/>
          <w:sz w:val="24"/>
          <w:szCs w:val="24"/>
        </w:rPr>
      </w:pPr>
    </w:p>
    <w:p w:rsidR="00C72EEC" w:rsidRDefault="00C72EEC" w:rsidP="00C72EEC">
      <w:pPr>
        <w:spacing w:after="0" w:line="240" w:lineRule="auto"/>
        <w:ind w:firstLine="708"/>
        <w:jc w:val="both"/>
        <w:rPr>
          <w:rFonts w:ascii="Times New Roman" w:hAnsi="Times New Roman"/>
          <w:sz w:val="24"/>
          <w:szCs w:val="24"/>
        </w:rPr>
      </w:pPr>
      <w:r>
        <w:rPr>
          <w:rFonts w:ascii="Times New Roman" w:hAnsi="Times New Roman"/>
          <w:sz w:val="24"/>
          <w:szCs w:val="24"/>
        </w:rPr>
        <w:t>Por fim, o</w:t>
      </w:r>
      <w:r w:rsidRPr="00337619">
        <w:rPr>
          <w:rFonts w:ascii="Times New Roman" w:hAnsi="Times New Roman"/>
          <w:sz w:val="24"/>
          <w:szCs w:val="24"/>
        </w:rPr>
        <w:t xml:space="preserve"> gráfico 5 </w:t>
      </w:r>
      <w:r>
        <w:rPr>
          <w:rFonts w:ascii="Times New Roman" w:hAnsi="Times New Roman"/>
          <w:sz w:val="24"/>
          <w:szCs w:val="24"/>
        </w:rPr>
        <w:t xml:space="preserve">ilustra a relação entre a participação da indústria de transformação na geração de produto e a taxa de câmbio real efetiva no período 2000-2012. Observa-se que a indústria de transformação perdeu participação no PIB de forma quase contínua ao longo do período (de 15% em 2000 para 11,25% em 2012), exceto entre 2003-2004, cujo peso da indústria de transformação no PIB atingiu em média 16%, reflexo de uma taxa de câmbio real mais competitiva (depreciada) nos primeiros anos da década de 2000. A partir de 2004, é evidente a perda de participação da indústria de transformação na geração de produto em um contexto de apreciação cambial. Estas evidências podem ser sinalizadoras de um processo de desindustrialização relativa da economia brasileira ao longo dos últimos anos. </w:t>
      </w:r>
    </w:p>
    <w:p w:rsidR="00D64F42" w:rsidRPr="00337619" w:rsidRDefault="00D64F42" w:rsidP="001947F5">
      <w:pPr>
        <w:spacing w:after="0" w:line="240" w:lineRule="auto"/>
        <w:jc w:val="both"/>
        <w:rPr>
          <w:rFonts w:ascii="Times New Roman" w:hAnsi="Times New Roman"/>
          <w:sz w:val="24"/>
          <w:szCs w:val="24"/>
        </w:rPr>
      </w:pPr>
    </w:p>
    <w:p w:rsidR="002B6269" w:rsidRDefault="00403574" w:rsidP="00403574">
      <w:pPr>
        <w:spacing w:after="0" w:line="240" w:lineRule="auto"/>
        <w:jc w:val="center"/>
        <w:rPr>
          <w:rFonts w:ascii="Times New Roman" w:hAnsi="Times New Roman"/>
          <w:b/>
          <w:sz w:val="24"/>
          <w:szCs w:val="24"/>
        </w:rPr>
      </w:pPr>
      <w:r w:rsidRPr="00403574">
        <w:rPr>
          <w:rFonts w:ascii="Times New Roman" w:hAnsi="Times New Roman"/>
          <w:b/>
          <w:sz w:val="24"/>
          <w:szCs w:val="24"/>
        </w:rPr>
        <w:t>Gr</w:t>
      </w:r>
      <w:r>
        <w:rPr>
          <w:rFonts w:ascii="Times New Roman" w:hAnsi="Times New Roman"/>
          <w:b/>
          <w:sz w:val="24"/>
          <w:szCs w:val="24"/>
        </w:rPr>
        <w:t>áfico 5</w:t>
      </w:r>
      <w:r w:rsidRPr="00403574">
        <w:rPr>
          <w:rFonts w:ascii="Times New Roman" w:hAnsi="Times New Roman"/>
          <w:b/>
          <w:sz w:val="24"/>
          <w:szCs w:val="24"/>
        </w:rPr>
        <w:t xml:space="preserve">: </w:t>
      </w:r>
      <w:r w:rsidR="00C6392A" w:rsidRPr="00403574">
        <w:rPr>
          <w:rFonts w:ascii="Times New Roman" w:hAnsi="Times New Roman"/>
          <w:b/>
          <w:sz w:val="24"/>
          <w:szCs w:val="24"/>
        </w:rPr>
        <w:t xml:space="preserve">Participação </w:t>
      </w:r>
      <w:r w:rsidR="00C6392A">
        <w:rPr>
          <w:rFonts w:ascii="Times New Roman" w:hAnsi="Times New Roman"/>
          <w:b/>
          <w:sz w:val="24"/>
          <w:szCs w:val="24"/>
        </w:rPr>
        <w:t>d</w:t>
      </w:r>
      <w:r w:rsidR="00C6392A" w:rsidRPr="00403574">
        <w:rPr>
          <w:rFonts w:ascii="Times New Roman" w:hAnsi="Times New Roman"/>
          <w:b/>
          <w:sz w:val="24"/>
          <w:szCs w:val="24"/>
        </w:rPr>
        <w:t xml:space="preserve">a Indústria </w:t>
      </w:r>
      <w:r w:rsidR="00C6392A">
        <w:rPr>
          <w:rFonts w:ascii="Times New Roman" w:hAnsi="Times New Roman"/>
          <w:b/>
          <w:sz w:val="24"/>
          <w:szCs w:val="24"/>
        </w:rPr>
        <w:t>d</w:t>
      </w:r>
      <w:r w:rsidR="00C6392A" w:rsidRPr="00403574">
        <w:rPr>
          <w:rFonts w:ascii="Times New Roman" w:hAnsi="Times New Roman"/>
          <w:b/>
          <w:sz w:val="24"/>
          <w:szCs w:val="24"/>
        </w:rPr>
        <w:t xml:space="preserve">e Transformação </w:t>
      </w:r>
      <w:r w:rsidR="00C6392A">
        <w:rPr>
          <w:rFonts w:ascii="Times New Roman" w:hAnsi="Times New Roman"/>
          <w:b/>
          <w:sz w:val="24"/>
          <w:szCs w:val="24"/>
        </w:rPr>
        <w:t>n</w:t>
      </w:r>
      <w:r w:rsidR="00C6392A" w:rsidRPr="00403574">
        <w:rPr>
          <w:rFonts w:ascii="Times New Roman" w:hAnsi="Times New Roman"/>
          <w:b/>
          <w:sz w:val="24"/>
          <w:szCs w:val="24"/>
        </w:rPr>
        <w:t>o PIB</w:t>
      </w:r>
    </w:p>
    <w:p w:rsidR="00C92CF1" w:rsidRDefault="00C6392A" w:rsidP="00403574">
      <w:pPr>
        <w:spacing w:after="0" w:line="240" w:lineRule="auto"/>
        <w:jc w:val="center"/>
        <w:rPr>
          <w:rFonts w:ascii="Times New Roman" w:hAnsi="Times New Roman"/>
          <w:b/>
          <w:sz w:val="24"/>
          <w:szCs w:val="24"/>
        </w:rPr>
      </w:pPr>
      <w:r w:rsidRPr="00403574">
        <w:rPr>
          <w:rFonts w:ascii="Times New Roman" w:hAnsi="Times New Roman"/>
          <w:b/>
          <w:sz w:val="24"/>
          <w:szCs w:val="24"/>
        </w:rPr>
        <w:t xml:space="preserve"> </w:t>
      </w:r>
      <w:r>
        <w:rPr>
          <w:rFonts w:ascii="Times New Roman" w:hAnsi="Times New Roman"/>
          <w:b/>
          <w:sz w:val="24"/>
          <w:szCs w:val="24"/>
        </w:rPr>
        <w:t xml:space="preserve">e </w:t>
      </w:r>
      <w:r w:rsidR="00C92CF1" w:rsidRPr="00403574">
        <w:rPr>
          <w:rFonts w:ascii="Times New Roman" w:hAnsi="Times New Roman"/>
          <w:b/>
          <w:sz w:val="24"/>
          <w:szCs w:val="24"/>
        </w:rPr>
        <w:t xml:space="preserve">Taxa de </w:t>
      </w:r>
      <w:r>
        <w:rPr>
          <w:rFonts w:ascii="Times New Roman" w:hAnsi="Times New Roman"/>
          <w:b/>
          <w:sz w:val="24"/>
          <w:szCs w:val="24"/>
        </w:rPr>
        <w:t>C</w:t>
      </w:r>
      <w:r w:rsidR="00C92CF1" w:rsidRPr="00403574">
        <w:rPr>
          <w:rFonts w:ascii="Times New Roman" w:hAnsi="Times New Roman"/>
          <w:b/>
          <w:sz w:val="24"/>
          <w:szCs w:val="24"/>
        </w:rPr>
        <w:t xml:space="preserve">âmbio </w:t>
      </w:r>
      <w:r>
        <w:rPr>
          <w:rFonts w:ascii="Times New Roman" w:hAnsi="Times New Roman"/>
          <w:b/>
          <w:sz w:val="24"/>
          <w:szCs w:val="24"/>
        </w:rPr>
        <w:t>R</w:t>
      </w:r>
      <w:r w:rsidR="00C92CF1" w:rsidRPr="00403574">
        <w:rPr>
          <w:rFonts w:ascii="Times New Roman" w:hAnsi="Times New Roman"/>
          <w:b/>
          <w:sz w:val="24"/>
          <w:szCs w:val="24"/>
        </w:rPr>
        <w:t xml:space="preserve">eal </w:t>
      </w:r>
      <w:r>
        <w:rPr>
          <w:rFonts w:ascii="Times New Roman" w:hAnsi="Times New Roman"/>
          <w:b/>
          <w:sz w:val="24"/>
          <w:szCs w:val="24"/>
        </w:rPr>
        <w:t xml:space="preserve">Efetiva – 2000 a 2012 </w:t>
      </w:r>
      <w:r w:rsidR="00403574" w:rsidRPr="00403574">
        <w:rPr>
          <w:rFonts w:ascii="Times New Roman" w:hAnsi="Times New Roman"/>
          <w:b/>
          <w:sz w:val="24"/>
          <w:szCs w:val="24"/>
        </w:rPr>
        <w:t>(Índice 2005 = 100)</w:t>
      </w:r>
    </w:p>
    <w:p w:rsidR="00C92CF1" w:rsidRDefault="00894B44" w:rsidP="00A04C14">
      <w:pPr>
        <w:spacing w:after="0" w:line="240" w:lineRule="auto"/>
        <w:jc w:val="center"/>
        <w:rPr>
          <w:szCs w:val="24"/>
        </w:rPr>
      </w:pPr>
      <w:r>
        <w:rPr>
          <w:noProof/>
          <w:szCs w:val="24"/>
          <w:lang w:eastAsia="pt-BR"/>
        </w:rPr>
        <w:drawing>
          <wp:inline distT="0" distB="0" distL="0" distR="0">
            <wp:extent cx="3295650" cy="197866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4" cstate="print"/>
                    <a:srcRect/>
                    <a:stretch>
                      <a:fillRect/>
                    </a:stretch>
                  </pic:blipFill>
                  <pic:spPr bwMode="auto">
                    <a:xfrm>
                      <a:off x="0" y="0"/>
                      <a:ext cx="3295650" cy="1978660"/>
                    </a:xfrm>
                    <a:prstGeom prst="rect">
                      <a:avLst/>
                    </a:prstGeom>
                    <a:noFill/>
                    <a:ln w="9525">
                      <a:noFill/>
                      <a:miter lim="800000"/>
                      <a:headEnd/>
                      <a:tailEnd/>
                    </a:ln>
                  </pic:spPr>
                </pic:pic>
              </a:graphicData>
            </a:graphic>
          </wp:inline>
        </w:drawing>
      </w:r>
    </w:p>
    <w:p w:rsidR="00023907" w:rsidRPr="00023907" w:rsidRDefault="00023907" w:rsidP="00023907">
      <w:pPr>
        <w:spacing w:after="0" w:line="240" w:lineRule="auto"/>
        <w:jc w:val="center"/>
        <w:rPr>
          <w:rFonts w:ascii="Times New Roman" w:hAnsi="Times New Roman"/>
          <w:sz w:val="24"/>
          <w:szCs w:val="24"/>
        </w:rPr>
      </w:pPr>
      <w:r w:rsidRPr="00023907">
        <w:rPr>
          <w:rFonts w:ascii="Times New Roman" w:hAnsi="Times New Roman"/>
          <w:i/>
          <w:sz w:val="20"/>
          <w:szCs w:val="20"/>
        </w:rPr>
        <w:t>Fonte:</w:t>
      </w:r>
      <w:r w:rsidRPr="002469AD">
        <w:rPr>
          <w:rFonts w:ascii="Times New Roman" w:hAnsi="Times New Roman"/>
          <w:sz w:val="20"/>
          <w:szCs w:val="20"/>
        </w:rPr>
        <w:t xml:space="preserve"> </w:t>
      </w:r>
      <w:r w:rsidRPr="00074F3D">
        <w:rPr>
          <w:rFonts w:ascii="Times New Roman" w:hAnsi="Times New Roman"/>
          <w:sz w:val="20"/>
          <w:szCs w:val="20"/>
        </w:rPr>
        <w:t xml:space="preserve">Elaboração própria a partir dos dados do </w:t>
      </w:r>
      <w:r>
        <w:rPr>
          <w:rFonts w:ascii="Times New Roman" w:hAnsi="Times New Roman"/>
          <w:sz w:val="20"/>
          <w:szCs w:val="20"/>
        </w:rPr>
        <w:t>B</w:t>
      </w:r>
      <w:r w:rsidR="001312DA">
        <w:rPr>
          <w:rFonts w:ascii="Times New Roman" w:hAnsi="Times New Roman"/>
          <w:sz w:val="20"/>
          <w:szCs w:val="20"/>
        </w:rPr>
        <w:t>CB</w:t>
      </w:r>
      <w:r>
        <w:rPr>
          <w:rFonts w:ascii="Times New Roman" w:hAnsi="Times New Roman"/>
          <w:sz w:val="20"/>
          <w:szCs w:val="20"/>
        </w:rPr>
        <w:t xml:space="preserve"> e do I</w:t>
      </w:r>
      <w:r w:rsidR="001312DA">
        <w:rPr>
          <w:rFonts w:ascii="Times New Roman" w:hAnsi="Times New Roman"/>
          <w:sz w:val="20"/>
          <w:szCs w:val="20"/>
        </w:rPr>
        <w:t>BGE</w:t>
      </w:r>
      <w:r>
        <w:rPr>
          <w:rFonts w:ascii="Times New Roman" w:hAnsi="Times New Roman"/>
          <w:sz w:val="20"/>
          <w:szCs w:val="20"/>
        </w:rPr>
        <w:t xml:space="preserve">. </w:t>
      </w:r>
    </w:p>
    <w:p w:rsidR="00027D12" w:rsidRDefault="00027D12" w:rsidP="001947F5">
      <w:pPr>
        <w:spacing w:after="0" w:line="240" w:lineRule="auto"/>
        <w:jc w:val="both"/>
        <w:rPr>
          <w:rFonts w:ascii="Times New Roman" w:hAnsi="Times New Roman"/>
          <w:b/>
          <w:sz w:val="24"/>
          <w:szCs w:val="24"/>
        </w:rPr>
      </w:pPr>
    </w:p>
    <w:p w:rsidR="00BD35BF" w:rsidRDefault="00B21ED5" w:rsidP="00BD35BF">
      <w:pPr>
        <w:spacing w:after="0" w:line="240" w:lineRule="auto"/>
        <w:ind w:firstLine="708"/>
        <w:jc w:val="both"/>
        <w:rPr>
          <w:rFonts w:ascii="Times New Roman" w:hAnsi="Times New Roman"/>
          <w:sz w:val="24"/>
          <w:szCs w:val="24"/>
        </w:rPr>
      </w:pPr>
      <w:r w:rsidRPr="00B21ED5">
        <w:rPr>
          <w:rFonts w:ascii="Times New Roman" w:hAnsi="Times New Roman"/>
          <w:sz w:val="24"/>
          <w:szCs w:val="24"/>
        </w:rPr>
        <w:t xml:space="preserve">Em síntese, </w:t>
      </w:r>
      <w:r>
        <w:rPr>
          <w:rFonts w:ascii="Times New Roman" w:hAnsi="Times New Roman"/>
          <w:sz w:val="24"/>
          <w:szCs w:val="24"/>
        </w:rPr>
        <w:t>est</w:t>
      </w:r>
      <w:r w:rsidRPr="00B21ED5">
        <w:rPr>
          <w:rFonts w:ascii="Times New Roman" w:hAnsi="Times New Roman"/>
          <w:sz w:val="24"/>
          <w:szCs w:val="24"/>
        </w:rPr>
        <w:t>a análise breve e preliminar dos dados de comércio internacional da economia brasileira nos últimos anos sugere uma</w:t>
      </w:r>
      <w:r w:rsidR="00BD35BF" w:rsidRPr="00B21ED5">
        <w:rPr>
          <w:rFonts w:ascii="Times New Roman" w:hAnsi="Times New Roman"/>
          <w:sz w:val="24"/>
          <w:szCs w:val="24"/>
        </w:rPr>
        <w:t xml:space="preserve"> significativa entrada de divisas </w:t>
      </w:r>
      <w:r w:rsidRPr="00B21ED5">
        <w:rPr>
          <w:rFonts w:ascii="Times New Roman" w:hAnsi="Times New Roman"/>
          <w:sz w:val="24"/>
          <w:szCs w:val="24"/>
        </w:rPr>
        <w:t xml:space="preserve">no país </w:t>
      </w:r>
      <w:r w:rsidR="00BD35BF" w:rsidRPr="00B21ED5">
        <w:rPr>
          <w:rFonts w:ascii="Times New Roman" w:hAnsi="Times New Roman"/>
          <w:sz w:val="24"/>
          <w:szCs w:val="24"/>
        </w:rPr>
        <w:t xml:space="preserve">em função do </w:t>
      </w:r>
      <w:r w:rsidRPr="00B21ED5">
        <w:rPr>
          <w:rFonts w:ascii="Times New Roman" w:hAnsi="Times New Roman"/>
          <w:sz w:val="24"/>
          <w:szCs w:val="24"/>
        </w:rPr>
        <w:t xml:space="preserve">ótimo </w:t>
      </w:r>
      <w:r w:rsidR="00BD35BF" w:rsidRPr="00B21ED5">
        <w:rPr>
          <w:rFonts w:ascii="Times New Roman" w:hAnsi="Times New Roman"/>
          <w:sz w:val="24"/>
          <w:szCs w:val="24"/>
        </w:rPr>
        <w:t>desempenho comercial dos produtos intensivos em recursos naturais</w:t>
      </w:r>
      <w:r w:rsidRPr="00B21ED5">
        <w:rPr>
          <w:rFonts w:ascii="Times New Roman" w:hAnsi="Times New Roman"/>
          <w:sz w:val="24"/>
          <w:szCs w:val="24"/>
        </w:rPr>
        <w:t>,</w:t>
      </w:r>
      <w:r w:rsidR="00BD35BF" w:rsidRPr="00B21ED5">
        <w:rPr>
          <w:rFonts w:ascii="Times New Roman" w:hAnsi="Times New Roman"/>
          <w:sz w:val="24"/>
          <w:szCs w:val="24"/>
        </w:rPr>
        <w:t xml:space="preserve"> </w:t>
      </w:r>
      <w:r w:rsidRPr="00B21ED5">
        <w:rPr>
          <w:rFonts w:ascii="Times New Roman" w:hAnsi="Times New Roman"/>
          <w:sz w:val="24"/>
          <w:szCs w:val="24"/>
        </w:rPr>
        <w:t xml:space="preserve">em um contexto de preços internacionais elevados e de demanda externa favorável para os produtos primários. Em consonância, os produtos manufaturados têm perdido participação nas exportações e na geração do produto nacional. Estes fatos se mostram em linha com os argumentos da Doença Holandesa, </w:t>
      </w:r>
      <w:r w:rsidR="00BD35BF" w:rsidRPr="00B21ED5">
        <w:rPr>
          <w:rFonts w:ascii="Times New Roman" w:hAnsi="Times New Roman"/>
          <w:sz w:val="24"/>
          <w:szCs w:val="24"/>
        </w:rPr>
        <w:t>pode</w:t>
      </w:r>
      <w:r w:rsidRPr="00B21ED5">
        <w:rPr>
          <w:rFonts w:ascii="Times New Roman" w:hAnsi="Times New Roman"/>
          <w:sz w:val="24"/>
          <w:szCs w:val="24"/>
        </w:rPr>
        <w:t>ndo</w:t>
      </w:r>
      <w:r w:rsidR="00BD35BF" w:rsidRPr="00B21ED5">
        <w:rPr>
          <w:rFonts w:ascii="Times New Roman" w:hAnsi="Times New Roman"/>
          <w:sz w:val="24"/>
          <w:szCs w:val="24"/>
        </w:rPr>
        <w:t xml:space="preserve"> ter contribuído para a apreciação cambial verificada n</w:t>
      </w:r>
      <w:r w:rsidR="00DB00BA">
        <w:rPr>
          <w:rFonts w:ascii="Times New Roman" w:hAnsi="Times New Roman"/>
          <w:sz w:val="24"/>
          <w:szCs w:val="24"/>
        </w:rPr>
        <w:t>o decorrer d</w:t>
      </w:r>
      <w:r w:rsidRPr="00B21ED5">
        <w:rPr>
          <w:rFonts w:ascii="Times New Roman" w:hAnsi="Times New Roman"/>
          <w:sz w:val="24"/>
          <w:szCs w:val="24"/>
        </w:rPr>
        <w:t xml:space="preserve">a década de 2000. </w:t>
      </w:r>
    </w:p>
    <w:p w:rsidR="00943616" w:rsidRPr="00F62B95" w:rsidRDefault="00943616" w:rsidP="00F65787">
      <w:pPr>
        <w:numPr>
          <w:ilvl w:val="0"/>
          <w:numId w:val="1"/>
        </w:numPr>
        <w:spacing w:after="0" w:line="240" w:lineRule="auto"/>
        <w:jc w:val="both"/>
        <w:rPr>
          <w:rFonts w:ascii="Times New Roman" w:hAnsi="Times New Roman"/>
          <w:b/>
          <w:sz w:val="24"/>
          <w:szCs w:val="24"/>
        </w:rPr>
      </w:pPr>
      <w:r w:rsidRPr="00F62B95">
        <w:rPr>
          <w:rFonts w:ascii="Times New Roman" w:hAnsi="Times New Roman"/>
          <w:b/>
          <w:sz w:val="24"/>
          <w:szCs w:val="24"/>
        </w:rPr>
        <w:lastRenderedPageBreak/>
        <w:t xml:space="preserve">Os Fluxos de Capitais para a Economia Brasileira no </w:t>
      </w:r>
      <w:r w:rsidR="00CF0548" w:rsidRPr="00F62B95">
        <w:rPr>
          <w:rFonts w:ascii="Times New Roman" w:hAnsi="Times New Roman"/>
          <w:b/>
          <w:sz w:val="24"/>
          <w:szCs w:val="24"/>
        </w:rPr>
        <w:t>Período</w:t>
      </w:r>
      <w:r w:rsidRPr="00F62B95">
        <w:rPr>
          <w:rFonts w:ascii="Times New Roman" w:hAnsi="Times New Roman"/>
          <w:b/>
          <w:sz w:val="24"/>
          <w:szCs w:val="24"/>
        </w:rPr>
        <w:t xml:space="preserve"> 2000-2012</w:t>
      </w:r>
    </w:p>
    <w:p w:rsidR="00943616" w:rsidRPr="00074F3D" w:rsidRDefault="00943616" w:rsidP="00074F3D">
      <w:pPr>
        <w:spacing w:after="0" w:line="240" w:lineRule="auto"/>
        <w:ind w:left="360"/>
        <w:jc w:val="both"/>
        <w:rPr>
          <w:rFonts w:ascii="Times New Roman" w:hAnsi="Times New Roman"/>
          <w:sz w:val="24"/>
          <w:szCs w:val="24"/>
        </w:rPr>
      </w:pPr>
    </w:p>
    <w:p w:rsidR="005545C1" w:rsidRPr="00074F3D" w:rsidRDefault="005D654A" w:rsidP="00074F3D">
      <w:pPr>
        <w:spacing w:after="0" w:line="240" w:lineRule="auto"/>
        <w:ind w:firstLine="708"/>
        <w:jc w:val="both"/>
        <w:rPr>
          <w:rFonts w:ascii="Times New Roman" w:hAnsi="Times New Roman"/>
          <w:sz w:val="24"/>
          <w:szCs w:val="24"/>
        </w:rPr>
      </w:pPr>
      <w:r w:rsidRPr="00074F3D">
        <w:rPr>
          <w:rFonts w:ascii="Times New Roman" w:hAnsi="Times New Roman"/>
          <w:sz w:val="24"/>
          <w:szCs w:val="24"/>
        </w:rPr>
        <w:t xml:space="preserve">Após recorrentes dificuldades de financiamento externo e crises cambiais nos anos 1990, o cenário que se apresenta atualmente no país é o de forte abundância de fluxos de capitais estrangeiros. Depois do </w:t>
      </w:r>
      <w:r w:rsidRPr="00074F3D">
        <w:rPr>
          <w:rFonts w:ascii="Times New Roman" w:hAnsi="Times New Roman"/>
          <w:i/>
          <w:sz w:val="24"/>
          <w:szCs w:val="24"/>
        </w:rPr>
        <w:t>sudden stop</w:t>
      </w:r>
      <w:r w:rsidRPr="00074F3D">
        <w:rPr>
          <w:rFonts w:ascii="Times New Roman" w:hAnsi="Times New Roman"/>
          <w:sz w:val="24"/>
          <w:szCs w:val="24"/>
        </w:rPr>
        <w:t xml:space="preserve"> (termo denominado por Calvo &amp; Reinhart (2000) para representar as paradas súbitas de influxos capitais), entre 2007 e início de 2009, o Brasil tem recebido uma onda forte e persistente de fluxos de capitais estrangeiros. </w:t>
      </w:r>
    </w:p>
    <w:p w:rsidR="00074F3D" w:rsidRPr="00074F3D" w:rsidRDefault="00074F3D" w:rsidP="00074F3D">
      <w:pPr>
        <w:spacing w:after="0" w:line="240" w:lineRule="auto"/>
        <w:ind w:firstLine="708"/>
        <w:jc w:val="both"/>
        <w:rPr>
          <w:rFonts w:ascii="Times New Roman" w:hAnsi="Times New Roman"/>
          <w:sz w:val="24"/>
          <w:szCs w:val="24"/>
        </w:rPr>
      </w:pPr>
      <w:r w:rsidRPr="00074F3D">
        <w:rPr>
          <w:rFonts w:ascii="Times New Roman" w:hAnsi="Times New Roman"/>
          <w:sz w:val="24"/>
          <w:szCs w:val="24"/>
        </w:rPr>
        <w:t>Em virtude do elevado grau de abertura financeira da economia brasileira, que desde 1992 permite a livre entrada de fluxos de capitais e a remessa de recursos ao exterior via conta de não residentes (contas CC5), a dinâmica dos fluxos de capitais direcionados ao Brasil está diretamente associada aos ciclos de liquidez internacional. Assim, após a fase de longa escassez de capitais nos anos 1980, o país se beneficiou do cenário externo favorável e acumulou reservas internacionais até a reversão deste ciclo internacional de liquidez</w:t>
      </w:r>
      <w:r w:rsidR="001709D5">
        <w:rPr>
          <w:rFonts w:ascii="Times New Roman" w:hAnsi="Times New Roman"/>
          <w:sz w:val="24"/>
          <w:szCs w:val="24"/>
        </w:rPr>
        <w:t>,</w:t>
      </w:r>
      <w:r w:rsidRPr="00074F3D">
        <w:rPr>
          <w:rFonts w:ascii="Times New Roman" w:hAnsi="Times New Roman"/>
          <w:sz w:val="24"/>
          <w:szCs w:val="24"/>
        </w:rPr>
        <w:t xml:space="preserve"> a partir das crises financeiras que marcaram as economias no final da década de 1990. </w:t>
      </w:r>
    </w:p>
    <w:p w:rsidR="00074F3D" w:rsidRPr="00074F3D" w:rsidRDefault="00074F3D" w:rsidP="00074F3D">
      <w:pPr>
        <w:spacing w:after="0" w:line="240" w:lineRule="auto"/>
        <w:ind w:firstLine="708"/>
        <w:jc w:val="both"/>
        <w:rPr>
          <w:rFonts w:ascii="Times New Roman" w:hAnsi="Times New Roman"/>
          <w:sz w:val="24"/>
          <w:szCs w:val="24"/>
        </w:rPr>
      </w:pPr>
      <w:r w:rsidRPr="00074F3D">
        <w:rPr>
          <w:rFonts w:ascii="Times New Roman" w:hAnsi="Times New Roman"/>
          <w:sz w:val="24"/>
          <w:szCs w:val="24"/>
        </w:rPr>
        <w:t xml:space="preserve">O início dos anos 2000 </w:t>
      </w:r>
      <w:r w:rsidR="00F52685">
        <w:rPr>
          <w:rFonts w:ascii="Times New Roman" w:hAnsi="Times New Roman"/>
          <w:sz w:val="24"/>
          <w:szCs w:val="24"/>
        </w:rPr>
        <w:t>foi</w:t>
      </w:r>
      <w:r w:rsidRPr="00074F3D">
        <w:rPr>
          <w:rFonts w:ascii="Times New Roman" w:hAnsi="Times New Roman"/>
          <w:sz w:val="24"/>
          <w:szCs w:val="24"/>
        </w:rPr>
        <w:t xml:space="preserve"> marcado por uma fase de escassez dos fluxos de capitais em decorrência do período de turbulência financeira mundial iniciada com a crise da Ásia em 1997, </w:t>
      </w:r>
      <w:r w:rsidR="00F52685">
        <w:rPr>
          <w:rFonts w:ascii="Times New Roman" w:hAnsi="Times New Roman"/>
          <w:sz w:val="24"/>
          <w:szCs w:val="24"/>
        </w:rPr>
        <w:t xml:space="preserve">com </w:t>
      </w:r>
      <w:r w:rsidRPr="00074F3D">
        <w:rPr>
          <w:rFonts w:ascii="Times New Roman" w:hAnsi="Times New Roman"/>
          <w:sz w:val="24"/>
          <w:szCs w:val="24"/>
        </w:rPr>
        <w:t xml:space="preserve">duração até 2002. Entre </w:t>
      </w:r>
      <w:r w:rsidR="001709D5">
        <w:rPr>
          <w:rFonts w:ascii="Times New Roman" w:hAnsi="Times New Roman"/>
          <w:sz w:val="24"/>
          <w:szCs w:val="24"/>
        </w:rPr>
        <w:t>2000</w:t>
      </w:r>
      <w:r w:rsidRPr="00074F3D">
        <w:rPr>
          <w:rFonts w:ascii="Times New Roman" w:hAnsi="Times New Roman"/>
          <w:sz w:val="24"/>
          <w:szCs w:val="24"/>
        </w:rPr>
        <w:t xml:space="preserve"> e 2002</w:t>
      </w:r>
      <w:r w:rsidR="00F52685">
        <w:rPr>
          <w:rFonts w:ascii="Times New Roman" w:hAnsi="Times New Roman"/>
          <w:sz w:val="24"/>
          <w:szCs w:val="24"/>
        </w:rPr>
        <w:t>,</w:t>
      </w:r>
      <w:r w:rsidRPr="00074F3D">
        <w:rPr>
          <w:rFonts w:ascii="Times New Roman" w:hAnsi="Times New Roman"/>
          <w:sz w:val="24"/>
          <w:szCs w:val="24"/>
        </w:rPr>
        <w:t xml:space="preserve"> os mercados financeiros internacionais passam a se caracterizar por uma dinâmica de “</w:t>
      </w:r>
      <w:r w:rsidRPr="00074F3D">
        <w:rPr>
          <w:rFonts w:ascii="Times New Roman" w:hAnsi="Times New Roman"/>
          <w:i/>
          <w:sz w:val="24"/>
          <w:szCs w:val="24"/>
        </w:rPr>
        <w:t>feast or famine</w:t>
      </w:r>
      <w:r w:rsidRPr="00074F3D">
        <w:rPr>
          <w:rFonts w:ascii="Times New Roman" w:hAnsi="Times New Roman"/>
          <w:sz w:val="24"/>
          <w:szCs w:val="24"/>
        </w:rPr>
        <w:t xml:space="preserve">”, o que quer dizer que se alternam momentos de abundância e escassez de recursos (IMF, 2003; Prates, 2005).  Entre 1998 e 2002, os movimentos de volatilidade nos países periféricos estiveram associados à gestão da política monetária dos Estados Unidos, ou a fatos ocorridos nos países centrais que geraram reversão de expectativas. Assim, </w:t>
      </w:r>
      <w:r w:rsidR="001709D5">
        <w:rPr>
          <w:rFonts w:ascii="Times New Roman" w:hAnsi="Times New Roman"/>
          <w:sz w:val="24"/>
          <w:szCs w:val="24"/>
        </w:rPr>
        <w:t>neste</w:t>
      </w:r>
      <w:r w:rsidRPr="00074F3D">
        <w:rPr>
          <w:rFonts w:ascii="Times New Roman" w:hAnsi="Times New Roman"/>
          <w:sz w:val="24"/>
          <w:szCs w:val="24"/>
        </w:rPr>
        <w:t xml:space="preserve"> ciclo de fluxos de capitais </w:t>
      </w:r>
      <w:r w:rsidR="00D4509F">
        <w:rPr>
          <w:rFonts w:ascii="Times New Roman" w:hAnsi="Times New Roman"/>
          <w:sz w:val="24"/>
          <w:szCs w:val="24"/>
        </w:rPr>
        <w:t xml:space="preserve">para </w:t>
      </w:r>
      <w:r w:rsidRPr="00074F3D">
        <w:rPr>
          <w:rFonts w:ascii="Times New Roman" w:hAnsi="Times New Roman"/>
          <w:sz w:val="24"/>
          <w:szCs w:val="24"/>
        </w:rPr>
        <w:t xml:space="preserve">as economias emergentes (a partir de 2002) a onda de influxos foi ajudada pela disposição dos países emergentes em investir em reservas internacionais, sobretudo em títulos do tesouro norte-americano. </w:t>
      </w:r>
    </w:p>
    <w:p w:rsidR="00BA37DA" w:rsidRPr="00074F3D" w:rsidRDefault="00BA37DA" w:rsidP="00074F3D">
      <w:pPr>
        <w:spacing w:after="0" w:line="240" w:lineRule="auto"/>
        <w:ind w:firstLine="708"/>
        <w:jc w:val="both"/>
        <w:rPr>
          <w:rFonts w:ascii="Times New Roman" w:hAnsi="Times New Roman"/>
          <w:sz w:val="24"/>
        </w:rPr>
      </w:pPr>
    </w:p>
    <w:p w:rsidR="00074F3D" w:rsidRPr="00074F3D" w:rsidRDefault="00074F3D" w:rsidP="009E4B48">
      <w:pPr>
        <w:tabs>
          <w:tab w:val="left" w:pos="426"/>
        </w:tabs>
        <w:spacing w:after="0" w:line="240" w:lineRule="auto"/>
        <w:jc w:val="center"/>
        <w:rPr>
          <w:rFonts w:ascii="Times New Roman" w:hAnsi="Times New Roman"/>
          <w:b/>
          <w:sz w:val="24"/>
          <w:szCs w:val="24"/>
        </w:rPr>
      </w:pPr>
      <w:r w:rsidRPr="00074F3D">
        <w:rPr>
          <w:rFonts w:ascii="Times New Roman" w:hAnsi="Times New Roman"/>
          <w:b/>
          <w:sz w:val="24"/>
          <w:szCs w:val="24"/>
        </w:rPr>
        <w:t>Tabela 1: Participação das Sub-contas na Conta Financeira Total, 2000 a 2006 (%)</w:t>
      </w:r>
    </w:p>
    <w:tbl>
      <w:tblPr>
        <w:tblW w:w="9034" w:type="dxa"/>
        <w:jc w:val="center"/>
        <w:tblInd w:w="-469" w:type="dxa"/>
        <w:tblBorders>
          <w:top w:val="double" w:sz="4" w:space="0" w:color="auto"/>
          <w:bottom w:val="double" w:sz="4" w:space="0" w:color="auto"/>
          <w:insideH w:val="single" w:sz="4" w:space="0" w:color="auto"/>
          <w:insideV w:val="single" w:sz="4" w:space="0" w:color="auto"/>
        </w:tblBorders>
        <w:tblLayout w:type="fixed"/>
        <w:tblCellMar>
          <w:left w:w="70" w:type="dxa"/>
          <w:right w:w="70" w:type="dxa"/>
        </w:tblCellMar>
        <w:tblLook w:val="04A0"/>
      </w:tblPr>
      <w:tblGrid>
        <w:gridCol w:w="3608"/>
        <w:gridCol w:w="769"/>
        <w:gridCol w:w="769"/>
        <w:gridCol w:w="770"/>
        <w:gridCol w:w="769"/>
        <w:gridCol w:w="770"/>
        <w:gridCol w:w="769"/>
        <w:gridCol w:w="810"/>
      </w:tblGrid>
      <w:tr w:rsidR="00074F3D" w:rsidRPr="00074F3D" w:rsidTr="00DF148A">
        <w:trPr>
          <w:trHeight w:val="57"/>
          <w:jc w:val="center"/>
        </w:trPr>
        <w:tc>
          <w:tcPr>
            <w:tcW w:w="3608" w:type="dxa"/>
            <w:shd w:val="clear" w:color="auto" w:fill="auto"/>
            <w:noWrap/>
            <w:vAlign w:val="bottom"/>
          </w:tcPr>
          <w:p w:rsidR="00074F3D" w:rsidRPr="00074F3D" w:rsidRDefault="00074F3D" w:rsidP="00074F3D">
            <w:pPr>
              <w:spacing w:after="0" w:line="240" w:lineRule="auto"/>
              <w:rPr>
                <w:rFonts w:ascii="Times New Roman" w:eastAsia="Times New Roman" w:hAnsi="Times New Roman"/>
                <w:b/>
                <w:bCs/>
                <w:color w:val="000000"/>
                <w:sz w:val="20"/>
                <w:szCs w:val="20"/>
                <w:lang w:eastAsia="pt-BR"/>
              </w:rPr>
            </w:pPr>
            <w:r w:rsidRPr="00074F3D">
              <w:rPr>
                <w:rFonts w:ascii="Times New Roman" w:eastAsia="Times New Roman" w:hAnsi="Times New Roman"/>
                <w:b/>
                <w:bCs/>
                <w:color w:val="000000"/>
                <w:sz w:val="20"/>
                <w:szCs w:val="20"/>
                <w:lang w:eastAsia="pt-BR"/>
              </w:rPr>
              <w:t>Discriminação</w:t>
            </w:r>
          </w:p>
        </w:tc>
        <w:tc>
          <w:tcPr>
            <w:tcW w:w="769" w:type="dxa"/>
            <w:shd w:val="clear" w:color="auto" w:fill="auto"/>
            <w:noWrap/>
            <w:vAlign w:val="bottom"/>
          </w:tcPr>
          <w:p w:rsidR="00074F3D" w:rsidRPr="00074F3D" w:rsidRDefault="00074F3D" w:rsidP="00074F3D">
            <w:pPr>
              <w:spacing w:after="0" w:line="240" w:lineRule="auto"/>
              <w:rPr>
                <w:rFonts w:ascii="Times New Roman" w:eastAsia="Times New Roman" w:hAnsi="Times New Roman"/>
                <w:b/>
                <w:bCs/>
                <w:color w:val="000000"/>
                <w:sz w:val="20"/>
                <w:szCs w:val="20"/>
                <w:lang w:eastAsia="pt-BR"/>
              </w:rPr>
            </w:pPr>
            <w:r w:rsidRPr="00074F3D">
              <w:rPr>
                <w:rFonts w:ascii="Times New Roman" w:eastAsia="Times New Roman" w:hAnsi="Times New Roman"/>
                <w:b/>
                <w:bCs/>
                <w:color w:val="000000"/>
                <w:sz w:val="20"/>
                <w:szCs w:val="20"/>
                <w:lang w:eastAsia="pt-BR"/>
              </w:rPr>
              <w:t>2000</w:t>
            </w:r>
          </w:p>
        </w:tc>
        <w:tc>
          <w:tcPr>
            <w:tcW w:w="769" w:type="dxa"/>
            <w:shd w:val="clear" w:color="auto" w:fill="auto"/>
            <w:noWrap/>
            <w:vAlign w:val="bottom"/>
          </w:tcPr>
          <w:p w:rsidR="00074F3D" w:rsidRPr="00074F3D" w:rsidRDefault="00074F3D" w:rsidP="00074F3D">
            <w:pPr>
              <w:spacing w:after="0" w:line="240" w:lineRule="auto"/>
              <w:rPr>
                <w:rFonts w:ascii="Times New Roman" w:eastAsia="Times New Roman" w:hAnsi="Times New Roman"/>
                <w:b/>
                <w:bCs/>
                <w:color w:val="000000"/>
                <w:sz w:val="20"/>
                <w:szCs w:val="20"/>
                <w:lang w:eastAsia="pt-BR"/>
              </w:rPr>
            </w:pPr>
            <w:r w:rsidRPr="00074F3D">
              <w:rPr>
                <w:rFonts w:ascii="Times New Roman" w:eastAsia="Times New Roman" w:hAnsi="Times New Roman"/>
                <w:b/>
                <w:bCs/>
                <w:color w:val="000000"/>
                <w:sz w:val="20"/>
                <w:szCs w:val="20"/>
                <w:lang w:eastAsia="pt-BR"/>
              </w:rPr>
              <w:t>2001</w:t>
            </w:r>
          </w:p>
        </w:tc>
        <w:tc>
          <w:tcPr>
            <w:tcW w:w="770" w:type="dxa"/>
            <w:shd w:val="clear" w:color="auto" w:fill="auto"/>
            <w:noWrap/>
            <w:vAlign w:val="bottom"/>
          </w:tcPr>
          <w:p w:rsidR="00074F3D" w:rsidRPr="00074F3D" w:rsidRDefault="00074F3D" w:rsidP="00074F3D">
            <w:pPr>
              <w:spacing w:after="0" w:line="240" w:lineRule="auto"/>
              <w:rPr>
                <w:rFonts w:ascii="Times New Roman" w:eastAsia="Times New Roman" w:hAnsi="Times New Roman"/>
                <w:b/>
                <w:bCs/>
                <w:color w:val="000000"/>
                <w:sz w:val="20"/>
                <w:szCs w:val="20"/>
                <w:lang w:eastAsia="pt-BR"/>
              </w:rPr>
            </w:pPr>
            <w:r w:rsidRPr="00074F3D">
              <w:rPr>
                <w:rFonts w:ascii="Times New Roman" w:eastAsia="Times New Roman" w:hAnsi="Times New Roman"/>
                <w:b/>
                <w:bCs/>
                <w:color w:val="000000"/>
                <w:sz w:val="20"/>
                <w:szCs w:val="20"/>
                <w:lang w:eastAsia="pt-BR"/>
              </w:rPr>
              <w:t>2002</w:t>
            </w:r>
          </w:p>
        </w:tc>
        <w:tc>
          <w:tcPr>
            <w:tcW w:w="769" w:type="dxa"/>
          </w:tcPr>
          <w:p w:rsidR="00074F3D" w:rsidRPr="00074F3D" w:rsidRDefault="00074F3D" w:rsidP="00074F3D">
            <w:pPr>
              <w:spacing w:after="0" w:line="240" w:lineRule="auto"/>
              <w:rPr>
                <w:rFonts w:ascii="Times New Roman" w:eastAsia="Times New Roman" w:hAnsi="Times New Roman"/>
                <w:b/>
                <w:bCs/>
                <w:color w:val="000000"/>
                <w:sz w:val="20"/>
                <w:szCs w:val="20"/>
                <w:lang w:eastAsia="pt-BR"/>
              </w:rPr>
            </w:pPr>
            <w:r w:rsidRPr="00074F3D">
              <w:rPr>
                <w:rFonts w:ascii="Times New Roman" w:eastAsia="Times New Roman" w:hAnsi="Times New Roman"/>
                <w:b/>
                <w:bCs/>
                <w:color w:val="000000"/>
                <w:sz w:val="20"/>
                <w:szCs w:val="20"/>
                <w:lang w:eastAsia="pt-BR"/>
              </w:rPr>
              <w:t>2003</w:t>
            </w:r>
          </w:p>
        </w:tc>
        <w:tc>
          <w:tcPr>
            <w:tcW w:w="770" w:type="dxa"/>
          </w:tcPr>
          <w:p w:rsidR="00074F3D" w:rsidRPr="00074F3D" w:rsidRDefault="00074F3D" w:rsidP="00074F3D">
            <w:pPr>
              <w:spacing w:after="0" w:line="240" w:lineRule="auto"/>
              <w:rPr>
                <w:rFonts w:ascii="Times New Roman" w:eastAsia="Times New Roman" w:hAnsi="Times New Roman"/>
                <w:b/>
                <w:bCs/>
                <w:color w:val="000000"/>
                <w:sz w:val="20"/>
                <w:szCs w:val="20"/>
                <w:lang w:eastAsia="pt-BR"/>
              </w:rPr>
            </w:pPr>
            <w:r w:rsidRPr="00074F3D">
              <w:rPr>
                <w:rFonts w:ascii="Times New Roman" w:eastAsia="Times New Roman" w:hAnsi="Times New Roman"/>
                <w:b/>
                <w:bCs/>
                <w:color w:val="000000"/>
                <w:sz w:val="20"/>
                <w:szCs w:val="20"/>
                <w:lang w:eastAsia="pt-BR"/>
              </w:rPr>
              <w:t>2004</w:t>
            </w:r>
          </w:p>
        </w:tc>
        <w:tc>
          <w:tcPr>
            <w:tcW w:w="769" w:type="dxa"/>
          </w:tcPr>
          <w:p w:rsidR="00074F3D" w:rsidRPr="00074F3D" w:rsidRDefault="00074F3D" w:rsidP="00074F3D">
            <w:pPr>
              <w:spacing w:after="0" w:line="240" w:lineRule="auto"/>
              <w:rPr>
                <w:rFonts w:ascii="Times New Roman" w:eastAsia="Times New Roman" w:hAnsi="Times New Roman"/>
                <w:b/>
                <w:bCs/>
                <w:color w:val="000000"/>
                <w:sz w:val="20"/>
                <w:szCs w:val="20"/>
                <w:lang w:eastAsia="pt-BR"/>
              </w:rPr>
            </w:pPr>
            <w:r w:rsidRPr="00074F3D">
              <w:rPr>
                <w:rFonts w:ascii="Times New Roman" w:eastAsia="Times New Roman" w:hAnsi="Times New Roman"/>
                <w:b/>
                <w:bCs/>
                <w:color w:val="000000"/>
                <w:sz w:val="20"/>
                <w:szCs w:val="20"/>
                <w:lang w:eastAsia="pt-BR"/>
              </w:rPr>
              <w:t>2005</w:t>
            </w:r>
          </w:p>
        </w:tc>
        <w:tc>
          <w:tcPr>
            <w:tcW w:w="810" w:type="dxa"/>
          </w:tcPr>
          <w:p w:rsidR="00074F3D" w:rsidRPr="00074F3D" w:rsidRDefault="00074F3D" w:rsidP="00074F3D">
            <w:pPr>
              <w:spacing w:after="0" w:line="240" w:lineRule="auto"/>
              <w:rPr>
                <w:rFonts w:ascii="Times New Roman" w:eastAsia="Times New Roman" w:hAnsi="Times New Roman"/>
                <w:b/>
                <w:bCs/>
                <w:color w:val="000000"/>
                <w:sz w:val="20"/>
                <w:szCs w:val="20"/>
                <w:lang w:eastAsia="pt-BR"/>
              </w:rPr>
            </w:pPr>
            <w:r w:rsidRPr="00074F3D">
              <w:rPr>
                <w:rFonts w:ascii="Times New Roman" w:eastAsia="Times New Roman" w:hAnsi="Times New Roman"/>
                <w:b/>
                <w:bCs/>
                <w:color w:val="000000"/>
                <w:sz w:val="20"/>
                <w:szCs w:val="20"/>
                <w:lang w:eastAsia="pt-BR"/>
              </w:rPr>
              <w:t>2006</w:t>
            </w:r>
          </w:p>
        </w:tc>
      </w:tr>
      <w:tr w:rsidR="00074F3D" w:rsidRPr="00074F3D" w:rsidTr="00DF148A">
        <w:trPr>
          <w:trHeight w:hRule="exact" w:val="227"/>
          <w:jc w:val="center"/>
        </w:trPr>
        <w:tc>
          <w:tcPr>
            <w:tcW w:w="3608" w:type="dxa"/>
            <w:shd w:val="clear" w:color="auto" w:fill="auto"/>
            <w:vAlign w:val="center"/>
          </w:tcPr>
          <w:p w:rsidR="00074F3D" w:rsidRPr="00074F3D" w:rsidRDefault="00074F3D" w:rsidP="00074F3D">
            <w:pPr>
              <w:spacing w:after="0" w:line="240" w:lineRule="auto"/>
              <w:rPr>
                <w:rFonts w:ascii="Times New Roman" w:eastAsia="Times New Roman" w:hAnsi="Times New Roman"/>
                <w:b/>
                <w:bCs/>
                <w:color w:val="000000"/>
                <w:sz w:val="20"/>
                <w:szCs w:val="20"/>
                <w:lang w:eastAsia="pt-BR"/>
              </w:rPr>
            </w:pPr>
            <w:r w:rsidRPr="00074F3D">
              <w:rPr>
                <w:rFonts w:ascii="Times New Roman" w:eastAsia="Times New Roman" w:hAnsi="Times New Roman"/>
                <w:b/>
                <w:bCs/>
                <w:color w:val="000000"/>
                <w:sz w:val="20"/>
                <w:szCs w:val="20"/>
                <w:lang w:eastAsia="pt-BR"/>
              </w:rPr>
              <w:t>Conta Financeira</w:t>
            </w:r>
          </w:p>
        </w:tc>
        <w:tc>
          <w:tcPr>
            <w:tcW w:w="769" w:type="dxa"/>
            <w:shd w:val="clear" w:color="auto" w:fill="auto"/>
            <w:noWrap/>
            <w:vAlign w:val="center"/>
          </w:tcPr>
          <w:p w:rsidR="00074F3D" w:rsidRPr="00074F3D" w:rsidRDefault="00074F3D" w:rsidP="00074F3D">
            <w:pPr>
              <w:spacing w:after="0" w:line="240" w:lineRule="auto"/>
              <w:rPr>
                <w:rFonts w:ascii="Times New Roman" w:hAnsi="Times New Roman"/>
                <w:b/>
                <w:color w:val="000000"/>
                <w:sz w:val="20"/>
                <w:szCs w:val="20"/>
              </w:rPr>
            </w:pPr>
            <w:r w:rsidRPr="00074F3D">
              <w:rPr>
                <w:rFonts w:ascii="Times New Roman" w:hAnsi="Times New Roman"/>
                <w:b/>
                <w:color w:val="000000"/>
                <w:sz w:val="20"/>
                <w:szCs w:val="20"/>
              </w:rPr>
              <w:t>100,00</w:t>
            </w:r>
          </w:p>
        </w:tc>
        <w:tc>
          <w:tcPr>
            <w:tcW w:w="769" w:type="dxa"/>
            <w:shd w:val="clear" w:color="auto" w:fill="auto"/>
            <w:noWrap/>
            <w:vAlign w:val="center"/>
          </w:tcPr>
          <w:p w:rsidR="00074F3D" w:rsidRPr="00074F3D" w:rsidRDefault="00074F3D" w:rsidP="00074F3D">
            <w:pPr>
              <w:spacing w:after="0" w:line="240" w:lineRule="auto"/>
              <w:rPr>
                <w:rFonts w:ascii="Times New Roman" w:hAnsi="Times New Roman"/>
                <w:b/>
                <w:color w:val="000000"/>
                <w:sz w:val="20"/>
                <w:szCs w:val="20"/>
              </w:rPr>
            </w:pPr>
            <w:r w:rsidRPr="00074F3D">
              <w:rPr>
                <w:rFonts w:ascii="Times New Roman" w:hAnsi="Times New Roman"/>
                <w:b/>
                <w:color w:val="000000"/>
                <w:sz w:val="20"/>
                <w:szCs w:val="20"/>
              </w:rPr>
              <w:t>100,00</w:t>
            </w:r>
          </w:p>
        </w:tc>
        <w:tc>
          <w:tcPr>
            <w:tcW w:w="770" w:type="dxa"/>
            <w:shd w:val="clear" w:color="auto" w:fill="auto"/>
            <w:noWrap/>
            <w:vAlign w:val="center"/>
          </w:tcPr>
          <w:p w:rsidR="00074F3D" w:rsidRPr="00074F3D" w:rsidRDefault="00074F3D" w:rsidP="00074F3D">
            <w:pPr>
              <w:spacing w:after="0" w:line="240" w:lineRule="auto"/>
              <w:rPr>
                <w:rFonts w:ascii="Times New Roman" w:hAnsi="Times New Roman"/>
                <w:b/>
                <w:color w:val="000000"/>
                <w:sz w:val="20"/>
                <w:szCs w:val="20"/>
              </w:rPr>
            </w:pPr>
            <w:r w:rsidRPr="00074F3D">
              <w:rPr>
                <w:rFonts w:ascii="Times New Roman" w:hAnsi="Times New Roman"/>
                <w:b/>
                <w:color w:val="000000"/>
                <w:sz w:val="20"/>
                <w:szCs w:val="20"/>
              </w:rPr>
              <w:t>100,00</w:t>
            </w:r>
          </w:p>
        </w:tc>
        <w:tc>
          <w:tcPr>
            <w:tcW w:w="769" w:type="dxa"/>
            <w:vAlign w:val="center"/>
          </w:tcPr>
          <w:p w:rsidR="00074F3D" w:rsidRPr="00074F3D" w:rsidRDefault="00074F3D" w:rsidP="00074F3D">
            <w:pPr>
              <w:spacing w:after="0" w:line="240" w:lineRule="auto"/>
              <w:rPr>
                <w:rFonts w:ascii="Times New Roman" w:hAnsi="Times New Roman"/>
                <w:b/>
                <w:color w:val="000000"/>
                <w:sz w:val="20"/>
                <w:szCs w:val="20"/>
              </w:rPr>
            </w:pPr>
            <w:r w:rsidRPr="00074F3D">
              <w:rPr>
                <w:rFonts w:ascii="Times New Roman" w:hAnsi="Times New Roman"/>
                <w:b/>
                <w:color w:val="000000"/>
                <w:sz w:val="20"/>
                <w:szCs w:val="20"/>
              </w:rPr>
              <w:t>100,00</w:t>
            </w:r>
          </w:p>
        </w:tc>
        <w:tc>
          <w:tcPr>
            <w:tcW w:w="770" w:type="dxa"/>
            <w:vAlign w:val="center"/>
          </w:tcPr>
          <w:p w:rsidR="00074F3D" w:rsidRPr="00074F3D" w:rsidRDefault="00074F3D" w:rsidP="00074F3D">
            <w:pPr>
              <w:spacing w:after="0" w:line="240" w:lineRule="auto"/>
              <w:rPr>
                <w:rFonts w:ascii="Times New Roman" w:hAnsi="Times New Roman"/>
                <w:b/>
                <w:color w:val="000000"/>
                <w:sz w:val="20"/>
                <w:szCs w:val="20"/>
              </w:rPr>
            </w:pPr>
            <w:r w:rsidRPr="00074F3D">
              <w:rPr>
                <w:rFonts w:ascii="Times New Roman" w:hAnsi="Times New Roman"/>
                <w:b/>
                <w:color w:val="000000"/>
                <w:sz w:val="20"/>
                <w:szCs w:val="20"/>
              </w:rPr>
              <w:t>100,00</w:t>
            </w:r>
          </w:p>
        </w:tc>
        <w:tc>
          <w:tcPr>
            <w:tcW w:w="769" w:type="dxa"/>
            <w:vAlign w:val="center"/>
          </w:tcPr>
          <w:p w:rsidR="00074F3D" w:rsidRPr="00074F3D" w:rsidRDefault="00074F3D" w:rsidP="00074F3D">
            <w:pPr>
              <w:spacing w:after="0" w:line="240" w:lineRule="auto"/>
              <w:rPr>
                <w:rFonts w:ascii="Times New Roman" w:hAnsi="Times New Roman"/>
                <w:b/>
                <w:color w:val="000000"/>
                <w:sz w:val="20"/>
                <w:szCs w:val="20"/>
              </w:rPr>
            </w:pPr>
            <w:r w:rsidRPr="00074F3D">
              <w:rPr>
                <w:rFonts w:ascii="Times New Roman" w:hAnsi="Times New Roman"/>
                <w:b/>
                <w:color w:val="000000"/>
                <w:sz w:val="20"/>
                <w:szCs w:val="20"/>
              </w:rPr>
              <w:t>100,00</w:t>
            </w:r>
          </w:p>
        </w:tc>
        <w:tc>
          <w:tcPr>
            <w:tcW w:w="810" w:type="dxa"/>
            <w:vAlign w:val="center"/>
          </w:tcPr>
          <w:p w:rsidR="00074F3D" w:rsidRPr="00074F3D" w:rsidRDefault="00074F3D" w:rsidP="00074F3D">
            <w:pPr>
              <w:spacing w:after="0" w:line="240" w:lineRule="auto"/>
              <w:rPr>
                <w:rFonts w:ascii="Times New Roman" w:hAnsi="Times New Roman"/>
                <w:b/>
                <w:color w:val="000000"/>
                <w:sz w:val="20"/>
                <w:szCs w:val="20"/>
              </w:rPr>
            </w:pPr>
            <w:r w:rsidRPr="00074F3D">
              <w:rPr>
                <w:rFonts w:ascii="Times New Roman" w:hAnsi="Times New Roman"/>
                <w:b/>
                <w:color w:val="000000"/>
                <w:sz w:val="20"/>
                <w:szCs w:val="20"/>
              </w:rPr>
              <w:t>100,00</w:t>
            </w:r>
          </w:p>
        </w:tc>
      </w:tr>
      <w:tr w:rsidR="00074F3D" w:rsidRPr="00074F3D" w:rsidTr="00DF148A">
        <w:trPr>
          <w:trHeight w:hRule="exact" w:val="227"/>
          <w:jc w:val="center"/>
        </w:trPr>
        <w:tc>
          <w:tcPr>
            <w:tcW w:w="3608" w:type="dxa"/>
            <w:shd w:val="clear" w:color="auto" w:fill="auto"/>
            <w:vAlign w:val="center"/>
          </w:tcPr>
          <w:p w:rsidR="00074F3D" w:rsidRPr="00074F3D" w:rsidRDefault="00074F3D" w:rsidP="00074F3D">
            <w:pPr>
              <w:spacing w:after="0" w:line="240" w:lineRule="auto"/>
              <w:rPr>
                <w:rFonts w:ascii="Times New Roman" w:eastAsia="Times New Roman" w:hAnsi="Times New Roman"/>
                <w:i/>
                <w:iCs/>
                <w:color w:val="000000"/>
                <w:sz w:val="20"/>
                <w:szCs w:val="20"/>
                <w:lang w:eastAsia="pt-BR"/>
              </w:rPr>
            </w:pPr>
            <w:r w:rsidRPr="00074F3D">
              <w:rPr>
                <w:rFonts w:ascii="Times New Roman" w:eastAsia="Times New Roman" w:hAnsi="Times New Roman"/>
                <w:i/>
                <w:iCs/>
                <w:color w:val="000000"/>
                <w:sz w:val="20"/>
                <w:szCs w:val="20"/>
                <w:lang w:eastAsia="pt-BR"/>
              </w:rPr>
              <w:t xml:space="preserve">  Investimento Direto - Total</w:t>
            </w:r>
          </w:p>
        </w:tc>
        <w:tc>
          <w:tcPr>
            <w:tcW w:w="769" w:type="dxa"/>
            <w:shd w:val="clear" w:color="auto" w:fill="auto"/>
            <w:noWrap/>
            <w:vAlign w:val="center"/>
          </w:tcPr>
          <w:p w:rsidR="00074F3D" w:rsidRPr="00074F3D" w:rsidRDefault="00074F3D" w:rsidP="00074F3D">
            <w:pPr>
              <w:spacing w:after="0" w:line="240" w:lineRule="auto"/>
              <w:rPr>
                <w:rFonts w:ascii="Times New Roman" w:hAnsi="Times New Roman"/>
                <w:i/>
                <w:color w:val="000000"/>
                <w:sz w:val="20"/>
                <w:szCs w:val="20"/>
              </w:rPr>
            </w:pPr>
            <w:r w:rsidRPr="00074F3D">
              <w:rPr>
                <w:rFonts w:ascii="Times New Roman" w:hAnsi="Times New Roman"/>
                <w:i/>
                <w:color w:val="000000"/>
                <w:sz w:val="20"/>
                <w:szCs w:val="20"/>
              </w:rPr>
              <w:t>55,00</w:t>
            </w:r>
          </w:p>
        </w:tc>
        <w:tc>
          <w:tcPr>
            <w:tcW w:w="769" w:type="dxa"/>
            <w:shd w:val="clear" w:color="auto" w:fill="auto"/>
            <w:noWrap/>
            <w:vAlign w:val="center"/>
          </w:tcPr>
          <w:p w:rsidR="00074F3D" w:rsidRPr="00074F3D" w:rsidRDefault="00074F3D" w:rsidP="00074F3D">
            <w:pPr>
              <w:spacing w:after="0" w:line="240" w:lineRule="auto"/>
              <w:rPr>
                <w:rFonts w:ascii="Times New Roman" w:hAnsi="Times New Roman"/>
                <w:i/>
                <w:color w:val="000000"/>
                <w:sz w:val="20"/>
                <w:szCs w:val="20"/>
              </w:rPr>
            </w:pPr>
            <w:r w:rsidRPr="00074F3D">
              <w:rPr>
                <w:rFonts w:ascii="Times New Roman" w:hAnsi="Times New Roman"/>
                <w:i/>
                <w:color w:val="000000"/>
                <w:sz w:val="20"/>
                <w:szCs w:val="20"/>
              </w:rPr>
              <w:t>88,00</w:t>
            </w:r>
          </w:p>
        </w:tc>
        <w:tc>
          <w:tcPr>
            <w:tcW w:w="770" w:type="dxa"/>
            <w:shd w:val="clear" w:color="auto" w:fill="auto"/>
            <w:noWrap/>
            <w:vAlign w:val="center"/>
          </w:tcPr>
          <w:p w:rsidR="00074F3D" w:rsidRPr="00074F3D" w:rsidRDefault="00074F3D" w:rsidP="00074F3D">
            <w:pPr>
              <w:spacing w:after="0" w:line="240" w:lineRule="auto"/>
              <w:rPr>
                <w:rFonts w:ascii="Times New Roman" w:hAnsi="Times New Roman"/>
                <w:i/>
                <w:color w:val="000000"/>
                <w:sz w:val="20"/>
                <w:szCs w:val="20"/>
              </w:rPr>
            </w:pPr>
            <w:r w:rsidRPr="00074F3D">
              <w:rPr>
                <w:rFonts w:ascii="Times New Roman" w:hAnsi="Times New Roman"/>
                <w:i/>
                <w:color w:val="000000"/>
                <w:sz w:val="20"/>
                <w:szCs w:val="20"/>
              </w:rPr>
              <w:t>68,00</w:t>
            </w:r>
          </w:p>
        </w:tc>
        <w:tc>
          <w:tcPr>
            <w:tcW w:w="769" w:type="dxa"/>
            <w:vAlign w:val="center"/>
          </w:tcPr>
          <w:p w:rsidR="00074F3D" w:rsidRPr="00074F3D" w:rsidRDefault="00074F3D" w:rsidP="00074F3D">
            <w:pPr>
              <w:spacing w:after="0" w:line="240" w:lineRule="auto"/>
              <w:rPr>
                <w:rFonts w:ascii="Times New Roman" w:hAnsi="Times New Roman"/>
                <w:i/>
                <w:color w:val="000000"/>
                <w:sz w:val="20"/>
                <w:szCs w:val="20"/>
              </w:rPr>
            </w:pPr>
            <w:r w:rsidRPr="00074F3D">
              <w:rPr>
                <w:rFonts w:ascii="Times New Roman" w:hAnsi="Times New Roman"/>
                <w:i/>
                <w:color w:val="000000"/>
                <w:sz w:val="20"/>
                <w:szCs w:val="20"/>
              </w:rPr>
              <w:t>38,00</w:t>
            </w:r>
          </w:p>
        </w:tc>
        <w:tc>
          <w:tcPr>
            <w:tcW w:w="770" w:type="dxa"/>
            <w:vAlign w:val="center"/>
          </w:tcPr>
          <w:p w:rsidR="00074F3D" w:rsidRPr="00074F3D" w:rsidRDefault="00074F3D" w:rsidP="00074F3D">
            <w:pPr>
              <w:spacing w:after="0" w:line="240" w:lineRule="auto"/>
              <w:rPr>
                <w:rFonts w:ascii="Times New Roman" w:hAnsi="Times New Roman"/>
                <w:i/>
                <w:color w:val="000000"/>
                <w:sz w:val="20"/>
                <w:szCs w:val="20"/>
              </w:rPr>
            </w:pPr>
            <w:r w:rsidRPr="00074F3D">
              <w:rPr>
                <w:rFonts w:ascii="Times New Roman" w:hAnsi="Times New Roman"/>
                <w:i/>
                <w:color w:val="000000"/>
                <w:sz w:val="20"/>
                <w:szCs w:val="20"/>
              </w:rPr>
              <w:t>34,00</w:t>
            </w:r>
          </w:p>
        </w:tc>
        <w:tc>
          <w:tcPr>
            <w:tcW w:w="769" w:type="dxa"/>
            <w:vAlign w:val="center"/>
          </w:tcPr>
          <w:p w:rsidR="00074F3D" w:rsidRPr="00074F3D" w:rsidRDefault="00074F3D" w:rsidP="00074F3D">
            <w:pPr>
              <w:spacing w:after="0" w:line="240" w:lineRule="auto"/>
              <w:rPr>
                <w:rFonts w:ascii="Times New Roman" w:hAnsi="Times New Roman"/>
                <w:i/>
                <w:color w:val="000000"/>
                <w:sz w:val="20"/>
                <w:szCs w:val="20"/>
              </w:rPr>
            </w:pPr>
            <w:r w:rsidRPr="00074F3D">
              <w:rPr>
                <w:rFonts w:ascii="Times New Roman" w:hAnsi="Times New Roman"/>
                <w:i/>
                <w:color w:val="000000"/>
                <w:sz w:val="20"/>
                <w:szCs w:val="20"/>
              </w:rPr>
              <w:t>28,00</w:t>
            </w:r>
          </w:p>
        </w:tc>
        <w:tc>
          <w:tcPr>
            <w:tcW w:w="810" w:type="dxa"/>
            <w:vAlign w:val="center"/>
          </w:tcPr>
          <w:p w:rsidR="00074F3D" w:rsidRPr="00074F3D" w:rsidRDefault="00074F3D" w:rsidP="00074F3D">
            <w:pPr>
              <w:spacing w:after="0" w:line="240" w:lineRule="auto"/>
              <w:rPr>
                <w:rFonts w:ascii="Times New Roman" w:hAnsi="Times New Roman"/>
                <w:i/>
                <w:color w:val="000000"/>
                <w:sz w:val="20"/>
                <w:szCs w:val="20"/>
              </w:rPr>
            </w:pPr>
            <w:r w:rsidRPr="00074F3D">
              <w:rPr>
                <w:rFonts w:ascii="Times New Roman" w:hAnsi="Times New Roman"/>
                <w:i/>
                <w:color w:val="000000"/>
                <w:sz w:val="20"/>
                <w:szCs w:val="20"/>
              </w:rPr>
              <w:t>27,00</w:t>
            </w:r>
          </w:p>
        </w:tc>
      </w:tr>
      <w:tr w:rsidR="00074F3D" w:rsidRPr="00074F3D" w:rsidTr="00DF148A">
        <w:trPr>
          <w:trHeight w:hRule="exact" w:val="227"/>
          <w:jc w:val="center"/>
        </w:trPr>
        <w:tc>
          <w:tcPr>
            <w:tcW w:w="3608" w:type="dxa"/>
            <w:shd w:val="clear" w:color="auto" w:fill="auto"/>
            <w:vAlign w:val="center"/>
          </w:tcPr>
          <w:p w:rsidR="00074F3D" w:rsidRPr="00074F3D" w:rsidRDefault="00074F3D" w:rsidP="00074F3D">
            <w:pPr>
              <w:spacing w:after="0" w:line="240" w:lineRule="auto"/>
              <w:rPr>
                <w:rFonts w:ascii="Times New Roman" w:eastAsia="Times New Roman" w:hAnsi="Times New Roman"/>
                <w:color w:val="000000"/>
                <w:sz w:val="20"/>
                <w:szCs w:val="20"/>
                <w:lang w:eastAsia="pt-BR"/>
              </w:rPr>
            </w:pPr>
            <w:r w:rsidRPr="00074F3D">
              <w:rPr>
                <w:rFonts w:ascii="Times New Roman" w:eastAsia="Times New Roman" w:hAnsi="Times New Roman"/>
                <w:color w:val="000000"/>
                <w:sz w:val="20"/>
                <w:szCs w:val="20"/>
                <w:lang w:eastAsia="pt-BR"/>
              </w:rPr>
              <w:t xml:space="preserve">    Investimento Brasileiro Direto</w:t>
            </w:r>
          </w:p>
        </w:tc>
        <w:tc>
          <w:tcPr>
            <w:tcW w:w="769" w:type="dxa"/>
            <w:shd w:val="clear" w:color="auto" w:fill="auto"/>
            <w:noWrap/>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6,00</w:t>
            </w:r>
          </w:p>
        </w:tc>
        <w:tc>
          <w:tcPr>
            <w:tcW w:w="769" w:type="dxa"/>
            <w:shd w:val="clear" w:color="auto" w:fill="auto"/>
            <w:noWrap/>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9,00</w:t>
            </w:r>
          </w:p>
        </w:tc>
        <w:tc>
          <w:tcPr>
            <w:tcW w:w="770" w:type="dxa"/>
            <w:shd w:val="clear" w:color="auto" w:fill="auto"/>
            <w:noWrap/>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13,00</w:t>
            </w:r>
          </w:p>
        </w:tc>
        <w:tc>
          <w:tcPr>
            <w:tcW w:w="769" w:type="dxa"/>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2,00</w:t>
            </w:r>
          </w:p>
        </w:tc>
        <w:tc>
          <w:tcPr>
            <w:tcW w:w="770" w:type="dxa"/>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35,00</w:t>
            </w:r>
          </w:p>
        </w:tc>
        <w:tc>
          <w:tcPr>
            <w:tcW w:w="769" w:type="dxa"/>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14,00</w:t>
            </w:r>
          </w:p>
        </w:tc>
        <w:tc>
          <w:tcPr>
            <w:tcW w:w="810" w:type="dxa"/>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59,00</w:t>
            </w:r>
          </w:p>
        </w:tc>
      </w:tr>
      <w:tr w:rsidR="00074F3D" w:rsidRPr="00074F3D" w:rsidTr="00DF148A">
        <w:trPr>
          <w:trHeight w:hRule="exact" w:val="227"/>
          <w:jc w:val="center"/>
        </w:trPr>
        <w:tc>
          <w:tcPr>
            <w:tcW w:w="3608" w:type="dxa"/>
            <w:shd w:val="clear" w:color="auto" w:fill="auto"/>
            <w:vAlign w:val="center"/>
          </w:tcPr>
          <w:p w:rsidR="00074F3D" w:rsidRPr="00074F3D" w:rsidRDefault="00074F3D" w:rsidP="00074F3D">
            <w:pPr>
              <w:spacing w:after="0" w:line="240" w:lineRule="auto"/>
              <w:rPr>
                <w:rFonts w:ascii="Times New Roman" w:eastAsia="Times New Roman" w:hAnsi="Times New Roman"/>
                <w:color w:val="000000"/>
                <w:sz w:val="20"/>
                <w:szCs w:val="20"/>
                <w:lang w:eastAsia="pt-BR"/>
              </w:rPr>
            </w:pPr>
            <w:r w:rsidRPr="00074F3D">
              <w:rPr>
                <w:rFonts w:ascii="Times New Roman" w:eastAsia="Times New Roman" w:hAnsi="Times New Roman"/>
                <w:color w:val="000000"/>
                <w:sz w:val="20"/>
                <w:szCs w:val="20"/>
                <w:lang w:eastAsia="pt-BR"/>
              </w:rPr>
              <w:t xml:space="preserve">    Investimento Estrangeiro Direto</w:t>
            </w:r>
          </w:p>
        </w:tc>
        <w:tc>
          <w:tcPr>
            <w:tcW w:w="769" w:type="dxa"/>
            <w:shd w:val="clear" w:color="auto" w:fill="auto"/>
            <w:noWrap/>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93,00</w:t>
            </w:r>
          </w:p>
        </w:tc>
        <w:tc>
          <w:tcPr>
            <w:tcW w:w="769" w:type="dxa"/>
            <w:shd w:val="clear" w:color="auto" w:fill="auto"/>
            <w:noWrap/>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90,00</w:t>
            </w:r>
          </w:p>
        </w:tc>
        <w:tc>
          <w:tcPr>
            <w:tcW w:w="770" w:type="dxa"/>
            <w:shd w:val="clear" w:color="auto" w:fill="auto"/>
            <w:noWrap/>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87,00</w:t>
            </w:r>
          </w:p>
        </w:tc>
        <w:tc>
          <w:tcPr>
            <w:tcW w:w="769" w:type="dxa"/>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97,00</w:t>
            </w:r>
          </w:p>
        </w:tc>
        <w:tc>
          <w:tcPr>
            <w:tcW w:w="770" w:type="dxa"/>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65,00</w:t>
            </w:r>
          </w:p>
        </w:tc>
        <w:tc>
          <w:tcPr>
            <w:tcW w:w="769" w:type="dxa"/>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85,00</w:t>
            </w:r>
          </w:p>
        </w:tc>
        <w:tc>
          <w:tcPr>
            <w:tcW w:w="810" w:type="dxa"/>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40,00</w:t>
            </w:r>
          </w:p>
        </w:tc>
      </w:tr>
      <w:tr w:rsidR="00074F3D" w:rsidRPr="00074F3D" w:rsidTr="00DF148A">
        <w:trPr>
          <w:trHeight w:hRule="exact" w:val="227"/>
          <w:jc w:val="center"/>
        </w:trPr>
        <w:tc>
          <w:tcPr>
            <w:tcW w:w="3608" w:type="dxa"/>
            <w:shd w:val="clear" w:color="auto" w:fill="auto"/>
            <w:vAlign w:val="center"/>
          </w:tcPr>
          <w:p w:rsidR="00074F3D" w:rsidRPr="00074F3D" w:rsidRDefault="00074F3D" w:rsidP="00074F3D">
            <w:pPr>
              <w:spacing w:after="0" w:line="240" w:lineRule="auto"/>
              <w:rPr>
                <w:rFonts w:ascii="Times New Roman" w:eastAsia="Times New Roman" w:hAnsi="Times New Roman"/>
                <w:i/>
                <w:iCs/>
                <w:color w:val="000000"/>
                <w:sz w:val="20"/>
                <w:szCs w:val="20"/>
                <w:lang w:eastAsia="pt-BR"/>
              </w:rPr>
            </w:pPr>
            <w:r w:rsidRPr="00074F3D">
              <w:rPr>
                <w:rFonts w:ascii="Times New Roman" w:eastAsia="Times New Roman" w:hAnsi="Times New Roman"/>
                <w:i/>
                <w:iCs/>
                <w:color w:val="000000"/>
                <w:sz w:val="20"/>
                <w:szCs w:val="20"/>
                <w:lang w:eastAsia="pt-BR"/>
              </w:rPr>
              <w:t xml:space="preserve">  Investimento em Carteira - Total</w:t>
            </w:r>
          </w:p>
        </w:tc>
        <w:tc>
          <w:tcPr>
            <w:tcW w:w="769" w:type="dxa"/>
            <w:shd w:val="clear" w:color="auto" w:fill="auto"/>
            <w:noWrap/>
            <w:vAlign w:val="center"/>
          </w:tcPr>
          <w:p w:rsidR="00074F3D" w:rsidRPr="00074F3D" w:rsidRDefault="00074F3D" w:rsidP="00074F3D">
            <w:pPr>
              <w:spacing w:after="0" w:line="240" w:lineRule="auto"/>
              <w:rPr>
                <w:rFonts w:ascii="Times New Roman" w:hAnsi="Times New Roman"/>
                <w:i/>
                <w:color w:val="000000"/>
                <w:sz w:val="20"/>
                <w:szCs w:val="20"/>
              </w:rPr>
            </w:pPr>
            <w:r w:rsidRPr="00074F3D">
              <w:rPr>
                <w:rFonts w:ascii="Times New Roman" w:hAnsi="Times New Roman"/>
                <w:i/>
                <w:color w:val="000000"/>
                <w:sz w:val="20"/>
                <w:szCs w:val="20"/>
              </w:rPr>
              <w:t>12,00</w:t>
            </w:r>
          </w:p>
        </w:tc>
        <w:tc>
          <w:tcPr>
            <w:tcW w:w="769" w:type="dxa"/>
            <w:shd w:val="clear" w:color="auto" w:fill="auto"/>
            <w:noWrap/>
            <w:vAlign w:val="center"/>
          </w:tcPr>
          <w:p w:rsidR="00074F3D" w:rsidRPr="00074F3D" w:rsidRDefault="00074F3D" w:rsidP="00074F3D">
            <w:pPr>
              <w:spacing w:after="0" w:line="240" w:lineRule="auto"/>
              <w:rPr>
                <w:rFonts w:ascii="Times New Roman" w:hAnsi="Times New Roman"/>
                <w:i/>
                <w:color w:val="000000"/>
                <w:sz w:val="20"/>
                <w:szCs w:val="20"/>
              </w:rPr>
            </w:pPr>
            <w:r w:rsidRPr="00074F3D">
              <w:rPr>
                <w:rFonts w:ascii="Times New Roman" w:hAnsi="Times New Roman"/>
                <w:i/>
                <w:color w:val="000000"/>
                <w:sz w:val="20"/>
                <w:szCs w:val="20"/>
              </w:rPr>
              <w:t>0,00</w:t>
            </w:r>
          </w:p>
        </w:tc>
        <w:tc>
          <w:tcPr>
            <w:tcW w:w="770" w:type="dxa"/>
            <w:shd w:val="clear" w:color="auto" w:fill="auto"/>
            <w:noWrap/>
            <w:vAlign w:val="center"/>
          </w:tcPr>
          <w:p w:rsidR="00074F3D" w:rsidRPr="00074F3D" w:rsidRDefault="00074F3D" w:rsidP="00074F3D">
            <w:pPr>
              <w:spacing w:after="0" w:line="240" w:lineRule="auto"/>
              <w:rPr>
                <w:rFonts w:ascii="Times New Roman" w:hAnsi="Times New Roman"/>
                <w:i/>
                <w:color w:val="000000"/>
                <w:sz w:val="20"/>
                <w:szCs w:val="20"/>
              </w:rPr>
            </w:pPr>
            <w:r w:rsidRPr="00074F3D">
              <w:rPr>
                <w:rFonts w:ascii="Times New Roman" w:hAnsi="Times New Roman"/>
                <w:i/>
                <w:color w:val="000000"/>
                <w:sz w:val="20"/>
                <w:szCs w:val="20"/>
              </w:rPr>
              <w:t>25,00</w:t>
            </w:r>
          </w:p>
        </w:tc>
        <w:tc>
          <w:tcPr>
            <w:tcW w:w="769" w:type="dxa"/>
            <w:vAlign w:val="center"/>
          </w:tcPr>
          <w:p w:rsidR="00074F3D" w:rsidRPr="00074F3D" w:rsidRDefault="00074F3D" w:rsidP="00074F3D">
            <w:pPr>
              <w:spacing w:after="0" w:line="240" w:lineRule="auto"/>
              <w:rPr>
                <w:rFonts w:ascii="Times New Roman" w:hAnsi="Times New Roman"/>
                <w:i/>
                <w:color w:val="000000"/>
                <w:sz w:val="20"/>
                <w:szCs w:val="20"/>
              </w:rPr>
            </w:pPr>
            <w:r w:rsidRPr="00074F3D">
              <w:rPr>
                <w:rFonts w:ascii="Times New Roman" w:hAnsi="Times New Roman"/>
                <w:i/>
                <w:color w:val="000000"/>
                <w:sz w:val="20"/>
                <w:szCs w:val="20"/>
              </w:rPr>
              <w:t>20,00</w:t>
            </w:r>
          </w:p>
        </w:tc>
        <w:tc>
          <w:tcPr>
            <w:tcW w:w="770" w:type="dxa"/>
            <w:vAlign w:val="center"/>
          </w:tcPr>
          <w:p w:rsidR="00074F3D" w:rsidRPr="00074F3D" w:rsidRDefault="00074F3D" w:rsidP="00074F3D">
            <w:pPr>
              <w:spacing w:after="0" w:line="240" w:lineRule="auto"/>
              <w:rPr>
                <w:rFonts w:ascii="Times New Roman" w:hAnsi="Times New Roman"/>
                <w:i/>
                <w:color w:val="000000"/>
                <w:sz w:val="20"/>
                <w:szCs w:val="20"/>
              </w:rPr>
            </w:pPr>
            <w:r w:rsidRPr="00074F3D">
              <w:rPr>
                <w:rFonts w:ascii="Times New Roman" w:hAnsi="Times New Roman"/>
                <w:i/>
                <w:color w:val="000000"/>
                <w:sz w:val="20"/>
                <w:szCs w:val="20"/>
              </w:rPr>
              <w:t>19,00</w:t>
            </w:r>
          </w:p>
        </w:tc>
        <w:tc>
          <w:tcPr>
            <w:tcW w:w="769" w:type="dxa"/>
            <w:vAlign w:val="center"/>
          </w:tcPr>
          <w:p w:rsidR="00074F3D" w:rsidRPr="00074F3D" w:rsidRDefault="00074F3D" w:rsidP="00074F3D">
            <w:pPr>
              <w:spacing w:after="0" w:line="240" w:lineRule="auto"/>
              <w:rPr>
                <w:rFonts w:ascii="Times New Roman" w:hAnsi="Times New Roman"/>
                <w:i/>
                <w:color w:val="000000"/>
                <w:sz w:val="20"/>
                <w:szCs w:val="20"/>
              </w:rPr>
            </w:pPr>
            <w:r w:rsidRPr="00074F3D">
              <w:rPr>
                <w:rFonts w:ascii="Times New Roman" w:hAnsi="Times New Roman"/>
                <w:i/>
                <w:color w:val="000000"/>
                <w:sz w:val="20"/>
                <w:szCs w:val="20"/>
              </w:rPr>
              <w:t>11,00</w:t>
            </w:r>
          </w:p>
        </w:tc>
        <w:tc>
          <w:tcPr>
            <w:tcW w:w="810" w:type="dxa"/>
            <w:vAlign w:val="center"/>
          </w:tcPr>
          <w:p w:rsidR="00074F3D" w:rsidRPr="00074F3D" w:rsidRDefault="00074F3D" w:rsidP="00074F3D">
            <w:pPr>
              <w:spacing w:after="0" w:line="240" w:lineRule="auto"/>
              <w:rPr>
                <w:rFonts w:ascii="Times New Roman" w:hAnsi="Times New Roman"/>
                <w:i/>
                <w:color w:val="000000"/>
                <w:sz w:val="20"/>
                <w:szCs w:val="20"/>
              </w:rPr>
            </w:pPr>
            <w:r w:rsidRPr="00074F3D">
              <w:rPr>
                <w:rFonts w:ascii="Times New Roman" w:hAnsi="Times New Roman"/>
                <w:i/>
                <w:color w:val="000000"/>
                <w:sz w:val="20"/>
                <w:szCs w:val="20"/>
              </w:rPr>
              <w:t>26,00</w:t>
            </w:r>
          </w:p>
        </w:tc>
      </w:tr>
      <w:tr w:rsidR="00074F3D" w:rsidRPr="00074F3D" w:rsidTr="00DF148A">
        <w:trPr>
          <w:trHeight w:hRule="exact" w:val="227"/>
          <w:jc w:val="center"/>
        </w:trPr>
        <w:tc>
          <w:tcPr>
            <w:tcW w:w="3608" w:type="dxa"/>
            <w:shd w:val="clear" w:color="auto" w:fill="auto"/>
            <w:vAlign w:val="center"/>
          </w:tcPr>
          <w:p w:rsidR="00074F3D" w:rsidRPr="00074F3D" w:rsidRDefault="00074F3D" w:rsidP="00074F3D">
            <w:pPr>
              <w:spacing w:after="0" w:line="240" w:lineRule="auto"/>
              <w:rPr>
                <w:rFonts w:ascii="Times New Roman" w:eastAsia="Times New Roman" w:hAnsi="Times New Roman"/>
                <w:color w:val="000000"/>
                <w:sz w:val="20"/>
                <w:szCs w:val="20"/>
                <w:lang w:eastAsia="pt-BR"/>
              </w:rPr>
            </w:pPr>
            <w:r w:rsidRPr="00074F3D">
              <w:rPr>
                <w:rFonts w:ascii="Times New Roman" w:eastAsia="Times New Roman" w:hAnsi="Times New Roman"/>
                <w:color w:val="000000"/>
                <w:sz w:val="20"/>
                <w:szCs w:val="20"/>
                <w:lang w:eastAsia="pt-BR"/>
              </w:rPr>
              <w:t xml:space="preserve">    Investimento Brasileiro em Carteira</w:t>
            </w:r>
          </w:p>
        </w:tc>
        <w:tc>
          <w:tcPr>
            <w:tcW w:w="769" w:type="dxa"/>
            <w:shd w:val="clear" w:color="auto" w:fill="auto"/>
            <w:noWrap/>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16,00</w:t>
            </w:r>
          </w:p>
        </w:tc>
        <w:tc>
          <w:tcPr>
            <w:tcW w:w="769" w:type="dxa"/>
            <w:shd w:val="clear" w:color="auto" w:fill="auto"/>
            <w:noWrap/>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47,00</w:t>
            </w:r>
          </w:p>
        </w:tc>
        <w:tc>
          <w:tcPr>
            <w:tcW w:w="770" w:type="dxa"/>
            <w:shd w:val="clear" w:color="auto" w:fill="auto"/>
            <w:noWrap/>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6,00</w:t>
            </w:r>
          </w:p>
        </w:tc>
        <w:tc>
          <w:tcPr>
            <w:tcW w:w="769" w:type="dxa"/>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3,00</w:t>
            </w:r>
          </w:p>
        </w:tc>
        <w:tc>
          <w:tcPr>
            <w:tcW w:w="770" w:type="dxa"/>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15,00</w:t>
            </w:r>
          </w:p>
        </w:tc>
        <w:tc>
          <w:tcPr>
            <w:tcW w:w="769" w:type="dxa"/>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21,00</w:t>
            </w:r>
          </w:p>
        </w:tc>
        <w:tc>
          <w:tcPr>
            <w:tcW w:w="810" w:type="dxa"/>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1,00</w:t>
            </w:r>
          </w:p>
        </w:tc>
      </w:tr>
      <w:tr w:rsidR="00074F3D" w:rsidRPr="00074F3D" w:rsidTr="00DF148A">
        <w:trPr>
          <w:trHeight w:hRule="exact" w:val="227"/>
          <w:jc w:val="center"/>
        </w:trPr>
        <w:tc>
          <w:tcPr>
            <w:tcW w:w="3608" w:type="dxa"/>
            <w:shd w:val="clear" w:color="auto" w:fill="auto"/>
            <w:vAlign w:val="center"/>
          </w:tcPr>
          <w:p w:rsidR="00074F3D" w:rsidRPr="00074F3D" w:rsidRDefault="00074F3D" w:rsidP="00074F3D">
            <w:pPr>
              <w:spacing w:after="0" w:line="240" w:lineRule="auto"/>
              <w:rPr>
                <w:rFonts w:ascii="Times New Roman" w:eastAsia="Times New Roman" w:hAnsi="Times New Roman"/>
                <w:color w:val="000000"/>
                <w:sz w:val="20"/>
                <w:szCs w:val="20"/>
                <w:lang w:eastAsia="pt-BR"/>
              </w:rPr>
            </w:pPr>
            <w:r w:rsidRPr="00074F3D">
              <w:rPr>
                <w:rFonts w:ascii="Times New Roman" w:eastAsia="Times New Roman" w:hAnsi="Times New Roman"/>
                <w:color w:val="000000"/>
                <w:sz w:val="20"/>
                <w:szCs w:val="20"/>
                <w:lang w:eastAsia="pt-BR"/>
              </w:rPr>
              <w:t xml:space="preserve">    Investimento Estrangeiro em Carteira CaCarteirCarteira</w:t>
            </w:r>
          </w:p>
        </w:tc>
        <w:tc>
          <w:tcPr>
            <w:tcW w:w="769" w:type="dxa"/>
            <w:shd w:val="clear" w:color="auto" w:fill="auto"/>
            <w:noWrap/>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83,00</w:t>
            </w:r>
          </w:p>
        </w:tc>
        <w:tc>
          <w:tcPr>
            <w:tcW w:w="769" w:type="dxa"/>
            <w:shd w:val="clear" w:color="auto" w:fill="auto"/>
            <w:noWrap/>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52,00</w:t>
            </w:r>
          </w:p>
        </w:tc>
        <w:tc>
          <w:tcPr>
            <w:tcW w:w="770" w:type="dxa"/>
            <w:shd w:val="clear" w:color="auto" w:fill="auto"/>
            <w:noWrap/>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94,00</w:t>
            </w:r>
          </w:p>
        </w:tc>
        <w:tc>
          <w:tcPr>
            <w:tcW w:w="769" w:type="dxa"/>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97,00</w:t>
            </w:r>
          </w:p>
        </w:tc>
        <w:tc>
          <w:tcPr>
            <w:tcW w:w="770" w:type="dxa"/>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84,00</w:t>
            </w:r>
          </w:p>
        </w:tc>
        <w:tc>
          <w:tcPr>
            <w:tcW w:w="769" w:type="dxa"/>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79,00</w:t>
            </w:r>
          </w:p>
        </w:tc>
        <w:tc>
          <w:tcPr>
            <w:tcW w:w="810" w:type="dxa"/>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99,00</w:t>
            </w:r>
          </w:p>
        </w:tc>
      </w:tr>
      <w:tr w:rsidR="00074F3D" w:rsidRPr="00074F3D" w:rsidTr="00DF148A">
        <w:trPr>
          <w:trHeight w:hRule="exact" w:val="227"/>
          <w:jc w:val="center"/>
        </w:trPr>
        <w:tc>
          <w:tcPr>
            <w:tcW w:w="3608" w:type="dxa"/>
            <w:shd w:val="clear" w:color="auto" w:fill="auto"/>
            <w:vAlign w:val="center"/>
          </w:tcPr>
          <w:p w:rsidR="00074F3D" w:rsidRPr="00074F3D" w:rsidRDefault="00074F3D" w:rsidP="00074F3D">
            <w:pPr>
              <w:spacing w:after="0" w:line="240" w:lineRule="auto"/>
              <w:rPr>
                <w:rFonts w:ascii="Times New Roman" w:eastAsia="Times New Roman" w:hAnsi="Times New Roman"/>
                <w:i/>
                <w:iCs/>
                <w:color w:val="000000"/>
                <w:sz w:val="20"/>
                <w:szCs w:val="20"/>
                <w:lang w:eastAsia="pt-BR"/>
              </w:rPr>
            </w:pPr>
            <w:r w:rsidRPr="00074F3D">
              <w:rPr>
                <w:rFonts w:ascii="Times New Roman" w:eastAsia="Times New Roman" w:hAnsi="Times New Roman"/>
                <w:i/>
                <w:iCs/>
                <w:color w:val="000000"/>
                <w:sz w:val="20"/>
                <w:szCs w:val="20"/>
                <w:lang w:eastAsia="pt-BR"/>
              </w:rPr>
              <w:t xml:space="preserve">  Derivativos - Total</w:t>
            </w:r>
          </w:p>
        </w:tc>
        <w:tc>
          <w:tcPr>
            <w:tcW w:w="769" w:type="dxa"/>
            <w:shd w:val="clear" w:color="auto" w:fill="auto"/>
            <w:noWrap/>
            <w:vAlign w:val="center"/>
          </w:tcPr>
          <w:p w:rsidR="00074F3D" w:rsidRPr="00074F3D" w:rsidRDefault="00074F3D" w:rsidP="00074F3D">
            <w:pPr>
              <w:spacing w:after="0" w:line="240" w:lineRule="auto"/>
              <w:rPr>
                <w:rFonts w:ascii="Times New Roman" w:hAnsi="Times New Roman"/>
                <w:i/>
                <w:color w:val="000000"/>
                <w:sz w:val="20"/>
                <w:szCs w:val="20"/>
              </w:rPr>
            </w:pPr>
            <w:r w:rsidRPr="00074F3D">
              <w:rPr>
                <w:rFonts w:ascii="Times New Roman" w:hAnsi="Times New Roman"/>
                <w:i/>
                <w:color w:val="000000"/>
                <w:sz w:val="20"/>
                <w:szCs w:val="20"/>
              </w:rPr>
              <w:t>0,00</w:t>
            </w:r>
          </w:p>
        </w:tc>
        <w:tc>
          <w:tcPr>
            <w:tcW w:w="769" w:type="dxa"/>
            <w:shd w:val="clear" w:color="auto" w:fill="auto"/>
            <w:noWrap/>
            <w:vAlign w:val="center"/>
          </w:tcPr>
          <w:p w:rsidR="00074F3D" w:rsidRPr="00074F3D" w:rsidRDefault="00074F3D" w:rsidP="00074F3D">
            <w:pPr>
              <w:spacing w:after="0" w:line="240" w:lineRule="auto"/>
              <w:rPr>
                <w:rFonts w:ascii="Times New Roman" w:hAnsi="Times New Roman"/>
                <w:i/>
                <w:color w:val="000000"/>
                <w:sz w:val="20"/>
                <w:szCs w:val="20"/>
              </w:rPr>
            </w:pPr>
            <w:r w:rsidRPr="00074F3D">
              <w:rPr>
                <w:rFonts w:ascii="Times New Roman" w:hAnsi="Times New Roman"/>
                <w:i/>
                <w:color w:val="000000"/>
                <w:sz w:val="20"/>
                <w:szCs w:val="20"/>
              </w:rPr>
              <w:t>1,00</w:t>
            </w:r>
          </w:p>
        </w:tc>
        <w:tc>
          <w:tcPr>
            <w:tcW w:w="770" w:type="dxa"/>
            <w:shd w:val="clear" w:color="auto" w:fill="auto"/>
            <w:noWrap/>
            <w:vAlign w:val="center"/>
          </w:tcPr>
          <w:p w:rsidR="00074F3D" w:rsidRPr="00074F3D" w:rsidRDefault="00074F3D" w:rsidP="00074F3D">
            <w:pPr>
              <w:spacing w:after="0" w:line="240" w:lineRule="auto"/>
              <w:rPr>
                <w:rFonts w:ascii="Times New Roman" w:hAnsi="Times New Roman"/>
                <w:i/>
                <w:color w:val="000000"/>
                <w:sz w:val="20"/>
                <w:szCs w:val="20"/>
              </w:rPr>
            </w:pPr>
            <w:r w:rsidRPr="00074F3D">
              <w:rPr>
                <w:rFonts w:ascii="Times New Roman" w:hAnsi="Times New Roman"/>
                <w:i/>
                <w:color w:val="000000"/>
                <w:sz w:val="20"/>
                <w:szCs w:val="20"/>
              </w:rPr>
              <w:t>2,00</w:t>
            </w:r>
          </w:p>
        </w:tc>
        <w:tc>
          <w:tcPr>
            <w:tcW w:w="769" w:type="dxa"/>
            <w:vAlign w:val="center"/>
          </w:tcPr>
          <w:p w:rsidR="00074F3D" w:rsidRPr="00074F3D" w:rsidRDefault="00074F3D" w:rsidP="00074F3D">
            <w:pPr>
              <w:spacing w:after="0" w:line="240" w:lineRule="auto"/>
              <w:rPr>
                <w:rFonts w:ascii="Times New Roman" w:hAnsi="Times New Roman"/>
                <w:i/>
                <w:color w:val="000000"/>
                <w:sz w:val="20"/>
                <w:szCs w:val="20"/>
              </w:rPr>
            </w:pPr>
            <w:r w:rsidRPr="00074F3D">
              <w:rPr>
                <w:rFonts w:ascii="Times New Roman" w:hAnsi="Times New Roman"/>
                <w:i/>
                <w:color w:val="000000"/>
                <w:sz w:val="20"/>
                <w:szCs w:val="20"/>
              </w:rPr>
              <w:t>1,00</w:t>
            </w:r>
          </w:p>
        </w:tc>
        <w:tc>
          <w:tcPr>
            <w:tcW w:w="770" w:type="dxa"/>
            <w:vAlign w:val="center"/>
          </w:tcPr>
          <w:p w:rsidR="00074F3D" w:rsidRPr="00074F3D" w:rsidRDefault="00074F3D" w:rsidP="00074F3D">
            <w:pPr>
              <w:spacing w:after="0" w:line="240" w:lineRule="auto"/>
              <w:rPr>
                <w:rFonts w:ascii="Times New Roman" w:hAnsi="Times New Roman"/>
                <w:i/>
                <w:color w:val="000000"/>
                <w:sz w:val="20"/>
                <w:szCs w:val="20"/>
              </w:rPr>
            </w:pPr>
            <w:r w:rsidRPr="00074F3D">
              <w:rPr>
                <w:rFonts w:ascii="Times New Roman" w:hAnsi="Times New Roman"/>
                <w:i/>
                <w:color w:val="000000"/>
                <w:sz w:val="20"/>
                <w:szCs w:val="20"/>
              </w:rPr>
              <w:t>3,00</w:t>
            </w:r>
          </w:p>
        </w:tc>
        <w:tc>
          <w:tcPr>
            <w:tcW w:w="769" w:type="dxa"/>
            <w:vAlign w:val="center"/>
          </w:tcPr>
          <w:p w:rsidR="00074F3D" w:rsidRPr="00074F3D" w:rsidRDefault="00074F3D" w:rsidP="00074F3D">
            <w:pPr>
              <w:spacing w:after="0" w:line="240" w:lineRule="auto"/>
              <w:rPr>
                <w:rFonts w:ascii="Times New Roman" w:hAnsi="Times New Roman"/>
                <w:i/>
                <w:color w:val="000000"/>
                <w:sz w:val="20"/>
                <w:szCs w:val="20"/>
              </w:rPr>
            </w:pPr>
            <w:r w:rsidRPr="00074F3D">
              <w:rPr>
                <w:rFonts w:ascii="Times New Roman" w:hAnsi="Times New Roman"/>
                <w:i/>
                <w:color w:val="000000"/>
                <w:sz w:val="20"/>
                <w:szCs w:val="20"/>
              </w:rPr>
              <w:t>0,00</w:t>
            </w:r>
          </w:p>
        </w:tc>
        <w:tc>
          <w:tcPr>
            <w:tcW w:w="810" w:type="dxa"/>
            <w:vAlign w:val="center"/>
          </w:tcPr>
          <w:p w:rsidR="00074F3D" w:rsidRPr="00074F3D" w:rsidRDefault="00074F3D" w:rsidP="00074F3D">
            <w:pPr>
              <w:spacing w:after="0" w:line="240" w:lineRule="auto"/>
              <w:rPr>
                <w:rFonts w:ascii="Times New Roman" w:hAnsi="Times New Roman"/>
                <w:i/>
                <w:color w:val="000000"/>
                <w:sz w:val="20"/>
                <w:szCs w:val="20"/>
              </w:rPr>
            </w:pPr>
            <w:r w:rsidRPr="00074F3D">
              <w:rPr>
                <w:rFonts w:ascii="Times New Roman" w:hAnsi="Times New Roman"/>
                <w:i/>
                <w:color w:val="000000"/>
                <w:sz w:val="20"/>
                <w:szCs w:val="20"/>
              </w:rPr>
              <w:t>0,00</w:t>
            </w:r>
          </w:p>
        </w:tc>
      </w:tr>
      <w:tr w:rsidR="00074F3D" w:rsidRPr="00074F3D" w:rsidTr="00DF148A">
        <w:trPr>
          <w:trHeight w:hRule="exact" w:val="227"/>
          <w:jc w:val="center"/>
        </w:trPr>
        <w:tc>
          <w:tcPr>
            <w:tcW w:w="3608" w:type="dxa"/>
            <w:shd w:val="clear" w:color="auto" w:fill="auto"/>
            <w:vAlign w:val="center"/>
          </w:tcPr>
          <w:p w:rsidR="00074F3D" w:rsidRPr="00074F3D" w:rsidRDefault="00074F3D" w:rsidP="00074F3D">
            <w:pPr>
              <w:spacing w:after="0" w:line="240" w:lineRule="auto"/>
              <w:rPr>
                <w:rFonts w:ascii="Times New Roman" w:eastAsia="Times New Roman" w:hAnsi="Times New Roman"/>
                <w:i/>
                <w:iCs/>
                <w:color w:val="000000"/>
                <w:sz w:val="20"/>
                <w:szCs w:val="20"/>
                <w:lang w:eastAsia="pt-BR"/>
              </w:rPr>
            </w:pPr>
            <w:r w:rsidRPr="00074F3D">
              <w:rPr>
                <w:rFonts w:ascii="Times New Roman" w:eastAsia="Times New Roman" w:hAnsi="Times New Roman"/>
                <w:i/>
                <w:iCs/>
                <w:color w:val="000000"/>
                <w:sz w:val="20"/>
                <w:szCs w:val="20"/>
                <w:lang w:eastAsia="pt-BR"/>
              </w:rPr>
              <w:t xml:space="preserve">  Outros Investimentos - Total</w:t>
            </w:r>
          </w:p>
        </w:tc>
        <w:tc>
          <w:tcPr>
            <w:tcW w:w="769" w:type="dxa"/>
            <w:shd w:val="clear" w:color="auto" w:fill="auto"/>
            <w:noWrap/>
            <w:vAlign w:val="center"/>
          </w:tcPr>
          <w:p w:rsidR="00074F3D" w:rsidRPr="00074F3D" w:rsidRDefault="00074F3D" w:rsidP="00074F3D">
            <w:pPr>
              <w:spacing w:after="0" w:line="240" w:lineRule="auto"/>
              <w:rPr>
                <w:rFonts w:ascii="Times New Roman" w:hAnsi="Times New Roman"/>
                <w:i/>
                <w:color w:val="000000"/>
                <w:sz w:val="20"/>
                <w:szCs w:val="20"/>
              </w:rPr>
            </w:pPr>
            <w:r w:rsidRPr="00074F3D">
              <w:rPr>
                <w:rFonts w:ascii="Times New Roman" w:hAnsi="Times New Roman"/>
                <w:i/>
                <w:color w:val="000000"/>
                <w:sz w:val="20"/>
                <w:szCs w:val="20"/>
              </w:rPr>
              <w:t>32,00</w:t>
            </w:r>
          </w:p>
        </w:tc>
        <w:tc>
          <w:tcPr>
            <w:tcW w:w="769" w:type="dxa"/>
            <w:shd w:val="clear" w:color="auto" w:fill="auto"/>
            <w:noWrap/>
            <w:vAlign w:val="center"/>
          </w:tcPr>
          <w:p w:rsidR="00074F3D" w:rsidRPr="00074F3D" w:rsidRDefault="00074F3D" w:rsidP="00074F3D">
            <w:pPr>
              <w:spacing w:after="0" w:line="240" w:lineRule="auto"/>
              <w:rPr>
                <w:rFonts w:ascii="Times New Roman" w:hAnsi="Times New Roman"/>
                <w:i/>
                <w:color w:val="000000"/>
                <w:sz w:val="20"/>
                <w:szCs w:val="20"/>
              </w:rPr>
            </w:pPr>
            <w:r w:rsidRPr="00074F3D">
              <w:rPr>
                <w:rFonts w:ascii="Times New Roman" w:hAnsi="Times New Roman"/>
                <w:i/>
                <w:color w:val="000000"/>
                <w:sz w:val="20"/>
                <w:szCs w:val="20"/>
              </w:rPr>
              <w:t>10,00</w:t>
            </w:r>
          </w:p>
        </w:tc>
        <w:tc>
          <w:tcPr>
            <w:tcW w:w="770" w:type="dxa"/>
            <w:shd w:val="clear" w:color="auto" w:fill="auto"/>
            <w:noWrap/>
            <w:vAlign w:val="center"/>
          </w:tcPr>
          <w:p w:rsidR="00074F3D" w:rsidRPr="00074F3D" w:rsidRDefault="00074F3D" w:rsidP="00074F3D">
            <w:pPr>
              <w:spacing w:after="0" w:line="240" w:lineRule="auto"/>
              <w:rPr>
                <w:rFonts w:ascii="Times New Roman" w:hAnsi="Times New Roman"/>
                <w:i/>
                <w:color w:val="000000"/>
                <w:sz w:val="20"/>
                <w:szCs w:val="20"/>
              </w:rPr>
            </w:pPr>
            <w:r w:rsidRPr="00074F3D">
              <w:rPr>
                <w:rFonts w:ascii="Times New Roman" w:hAnsi="Times New Roman"/>
                <w:i/>
                <w:color w:val="000000"/>
                <w:sz w:val="20"/>
                <w:szCs w:val="20"/>
              </w:rPr>
              <w:t>5,00</w:t>
            </w:r>
          </w:p>
        </w:tc>
        <w:tc>
          <w:tcPr>
            <w:tcW w:w="769" w:type="dxa"/>
            <w:vAlign w:val="center"/>
          </w:tcPr>
          <w:p w:rsidR="00074F3D" w:rsidRPr="00074F3D" w:rsidRDefault="00074F3D" w:rsidP="00074F3D">
            <w:pPr>
              <w:spacing w:after="0" w:line="240" w:lineRule="auto"/>
              <w:rPr>
                <w:rFonts w:ascii="Times New Roman" w:hAnsi="Times New Roman"/>
                <w:i/>
                <w:color w:val="000000"/>
                <w:sz w:val="20"/>
                <w:szCs w:val="20"/>
              </w:rPr>
            </w:pPr>
            <w:r w:rsidRPr="00074F3D">
              <w:rPr>
                <w:rFonts w:ascii="Times New Roman" w:hAnsi="Times New Roman"/>
                <w:i/>
                <w:color w:val="000000"/>
                <w:sz w:val="20"/>
                <w:szCs w:val="20"/>
              </w:rPr>
              <w:t>40,00</w:t>
            </w:r>
          </w:p>
        </w:tc>
        <w:tc>
          <w:tcPr>
            <w:tcW w:w="770" w:type="dxa"/>
            <w:vAlign w:val="center"/>
          </w:tcPr>
          <w:p w:rsidR="00074F3D" w:rsidRPr="00074F3D" w:rsidRDefault="00074F3D" w:rsidP="00074F3D">
            <w:pPr>
              <w:spacing w:after="0" w:line="240" w:lineRule="auto"/>
              <w:rPr>
                <w:rFonts w:ascii="Times New Roman" w:hAnsi="Times New Roman"/>
                <w:i/>
                <w:color w:val="000000"/>
                <w:sz w:val="20"/>
                <w:szCs w:val="20"/>
              </w:rPr>
            </w:pPr>
            <w:r w:rsidRPr="00074F3D">
              <w:rPr>
                <w:rFonts w:ascii="Times New Roman" w:hAnsi="Times New Roman"/>
                <w:i/>
                <w:color w:val="000000"/>
                <w:sz w:val="20"/>
                <w:szCs w:val="20"/>
              </w:rPr>
              <w:t>43,00</w:t>
            </w:r>
          </w:p>
        </w:tc>
        <w:tc>
          <w:tcPr>
            <w:tcW w:w="769" w:type="dxa"/>
            <w:vAlign w:val="center"/>
          </w:tcPr>
          <w:p w:rsidR="00074F3D" w:rsidRPr="00074F3D" w:rsidRDefault="00074F3D" w:rsidP="00074F3D">
            <w:pPr>
              <w:spacing w:after="0" w:line="240" w:lineRule="auto"/>
              <w:rPr>
                <w:rFonts w:ascii="Times New Roman" w:hAnsi="Times New Roman"/>
                <w:i/>
                <w:color w:val="000000"/>
                <w:sz w:val="20"/>
                <w:szCs w:val="20"/>
              </w:rPr>
            </w:pPr>
            <w:r w:rsidRPr="00074F3D">
              <w:rPr>
                <w:rFonts w:ascii="Times New Roman" w:hAnsi="Times New Roman"/>
                <w:i/>
                <w:color w:val="000000"/>
                <w:sz w:val="20"/>
                <w:szCs w:val="20"/>
              </w:rPr>
              <w:t>61,00</w:t>
            </w:r>
          </w:p>
        </w:tc>
        <w:tc>
          <w:tcPr>
            <w:tcW w:w="810" w:type="dxa"/>
            <w:vAlign w:val="center"/>
          </w:tcPr>
          <w:p w:rsidR="00074F3D" w:rsidRPr="00074F3D" w:rsidRDefault="00074F3D" w:rsidP="00074F3D">
            <w:pPr>
              <w:spacing w:after="0" w:line="240" w:lineRule="auto"/>
              <w:rPr>
                <w:rFonts w:ascii="Times New Roman" w:hAnsi="Times New Roman"/>
                <w:i/>
                <w:color w:val="000000"/>
                <w:sz w:val="20"/>
                <w:szCs w:val="20"/>
              </w:rPr>
            </w:pPr>
            <w:r w:rsidRPr="00074F3D">
              <w:rPr>
                <w:rFonts w:ascii="Times New Roman" w:hAnsi="Times New Roman"/>
                <w:i/>
                <w:color w:val="000000"/>
                <w:sz w:val="20"/>
                <w:szCs w:val="20"/>
              </w:rPr>
              <w:t>45,00</w:t>
            </w:r>
          </w:p>
        </w:tc>
      </w:tr>
      <w:tr w:rsidR="00074F3D" w:rsidRPr="00074F3D" w:rsidTr="00DF148A">
        <w:trPr>
          <w:trHeight w:hRule="exact" w:val="227"/>
          <w:jc w:val="center"/>
        </w:trPr>
        <w:tc>
          <w:tcPr>
            <w:tcW w:w="3608" w:type="dxa"/>
            <w:shd w:val="clear" w:color="auto" w:fill="auto"/>
            <w:vAlign w:val="center"/>
          </w:tcPr>
          <w:p w:rsidR="00074F3D" w:rsidRPr="00074F3D" w:rsidRDefault="00074F3D" w:rsidP="00074F3D">
            <w:pPr>
              <w:spacing w:after="0" w:line="240" w:lineRule="auto"/>
              <w:rPr>
                <w:rFonts w:ascii="Times New Roman" w:eastAsia="Times New Roman" w:hAnsi="Times New Roman"/>
                <w:color w:val="000000"/>
                <w:sz w:val="20"/>
                <w:szCs w:val="20"/>
                <w:lang w:eastAsia="pt-BR"/>
              </w:rPr>
            </w:pPr>
            <w:r w:rsidRPr="00074F3D">
              <w:rPr>
                <w:rFonts w:ascii="Times New Roman" w:eastAsia="Times New Roman" w:hAnsi="Times New Roman"/>
                <w:color w:val="000000"/>
                <w:sz w:val="20"/>
                <w:szCs w:val="20"/>
                <w:lang w:eastAsia="pt-BR"/>
              </w:rPr>
              <w:t xml:space="preserve">    Outros Investimentos Brasileiros</w:t>
            </w:r>
          </w:p>
        </w:tc>
        <w:tc>
          <w:tcPr>
            <w:tcW w:w="769" w:type="dxa"/>
            <w:shd w:val="clear" w:color="auto" w:fill="auto"/>
            <w:noWrap/>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16,00</w:t>
            </w:r>
          </w:p>
        </w:tc>
        <w:tc>
          <w:tcPr>
            <w:tcW w:w="769" w:type="dxa"/>
            <w:shd w:val="clear" w:color="auto" w:fill="auto"/>
            <w:noWrap/>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41,00</w:t>
            </w:r>
          </w:p>
        </w:tc>
        <w:tc>
          <w:tcPr>
            <w:tcW w:w="770" w:type="dxa"/>
            <w:shd w:val="clear" w:color="auto" w:fill="auto"/>
            <w:noWrap/>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60,00</w:t>
            </w:r>
          </w:p>
        </w:tc>
        <w:tc>
          <w:tcPr>
            <w:tcW w:w="769" w:type="dxa"/>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90,00</w:t>
            </w:r>
          </w:p>
        </w:tc>
        <w:tc>
          <w:tcPr>
            <w:tcW w:w="770" w:type="dxa"/>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20,00</w:t>
            </w:r>
          </w:p>
        </w:tc>
        <w:tc>
          <w:tcPr>
            <w:tcW w:w="769" w:type="dxa"/>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18,00</w:t>
            </w:r>
          </w:p>
        </w:tc>
        <w:tc>
          <w:tcPr>
            <w:tcW w:w="810" w:type="dxa"/>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25,00</w:t>
            </w:r>
          </w:p>
        </w:tc>
      </w:tr>
      <w:tr w:rsidR="00074F3D" w:rsidRPr="00074F3D" w:rsidTr="00DF148A">
        <w:trPr>
          <w:trHeight w:hRule="exact" w:val="227"/>
          <w:jc w:val="center"/>
        </w:trPr>
        <w:tc>
          <w:tcPr>
            <w:tcW w:w="3608" w:type="dxa"/>
            <w:shd w:val="clear" w:color="auto" w:fill="auto"/>
            <w:vAlign w:val="center"/>
          </w:tcPr>
          <w:p w:rsidR="00074F3D" w:rsidRPr="00074F3D" w:rsidRDefault="00074F3D" w:rsidP="00074F3D">
            <w:pPr>
              <w:spacing w:after="0" w:line="240" w:lineRule="auto"/>
              <w:rPr>
                <w:rFonts w:ascii="Times New Roman" w:eastAsia="Times New Roman" w:hAnsi="Times New Roman"/>
                <w:color w:val="000000"/>
                <w:sz w:val="20"/>
                <w:szCs w:val="20"/>
                <w:lang w:eastAsia="pt-BR"/>
              </w:rPr>
            </w:pPr>
            <w:r w:rsidRPr="00074F3D">
              <w:rPr>
                <w:rFonts w:ascii="Times New Roman" w:eastAsia="Times New Roman" w:hAnsi="Times New Roman"/>
                <w:color w:val="000000"/>
                <w:sz w:val="20"/>
                <w:szCs w:val="20"/>
                <w:lang w:eastAsia="pt-BR"/>
              </w:rPr>
              <w:t xml:space="preserve">    Outros Investimentos Estrangeiros</w:t>
            </w:r>
          </w:p>
        </w:tc>
        <w:tc>
          <w:tcPr>
            <w:tcW w:w="769" w:type="dxa"/>
            <w:shd w:val="clear" w:color="auto" w:fill="auto"/>
            <w:noWrap/>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83,00</w:t>
            </w:r>
          </w:p>
        </w:tc>
        <w:tc>
          <w:tcPr>
            <w:tcW w:w="769" w:type="dxa"/>
            <w:shd w:val="clear" w:color="auto" w:fill="auto"/>
            <w:noWrap/>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58,00</w:t>
            </w:r>
          </w:p>
        </w:tc>
        <w:tc>
          <w:tcPr>
            <w:tcW w:w="770" w:type="dxa"/>
            <w:shd w:val="clear" w:color="auto" w:fill="auto"/>
            <w:noWrap/>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40,00</w:t>
            </w:r>
          </w:p>
        </w:tc>
        <w:tc>
          <w:tcPr>
            <w:tcW w:w="769" w:type="dxa"/>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10,00</w:t>
            </w:r>
          </w:p>
        </w:tc>
        <w:tc>
          <w:tcPr>
            <w:tcW w:w="770" w:type="dxa"/>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80,00</w:t>
            </w:r>
          </w:p>
        </w:tc>
        <w:tc>
          <w:tcPr>
            <w:tcW w:w="769" w:type="dxa"/>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82,00</w:t>
            </w:r>
          </w:p>
        </w:tc>
        <w:tc>
          <w:tcPr>
            <w:tcW w:w="810" w:type="dxa"/>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75,00</w:t>
            </w:r>
          </w:p>
        </w:tc>
      </w:tr>
    </w:tbl>
    <w:p w:rsidR="00074F3D" w:rsidRDefault="00074F3D" w:rsidP="009E4B48">
      <w:pPr>
        <w:tabs>
          <w:tab w:val="left" w:pos="426"/>
        </w:tabs>
        <w:spacing w:after="0" w:line="240" w:lineRule="auto"/>
        <w:jc w:val="both"/>
        <w:rPr>
          <w:rFonts w:ascii="Times New Roman" w:hAnsi="Times New Roman"/>
          <w:sz w:val="20"/>
          <w:szCs w:val="20"/>
        </w:rPr>
      </w:pPr>
      <w:r w:rsidRPr="00074F3D">
        <w:rPr>
          <w:rFonts w:ascii="Times New Roman" w:hAnsi="Times New Roman"/>
          <w:i/>
          <w:sz w:val="20"/>
          <w:szCs w:val="20"/>
        </w:rPr>
        <w:t>Fonte:</w:t>
      </w:r>
      <w:r w:rsidRPr="00074F3D">
        <w:rPr>
          <w:rFonts w:ascii="Times New Roman" w:hAnsi="Times New Roman"/>
          <w:sz w:val="20"/>
          <w:szCs w:val="20"/>
        </w:rPr>
        <w:t xml:space="preserve"> Elaboração própria a partir dos dados do B</w:t>
      </w:r>
      <w:r w:rsidR="00F52685">
        <w:rPr>
          <w:rFonts w:ascii="Times New Roman" w:hAnsi="Times New Roman"/>
          <w:sz w:val="20"/>
          <w:szCs w:val="20"/>
        </w:rPr>
        <w:t>CB</w:t>
      </w:r>
      <w:r w:rsidRPr="00074F3D">
        <w:rPr>
          <w:rFonts w:ascii="Times New Roman" w:hAnsi="Times New Roman"/>
          <w:sz w:val="20"/>
          <w:szCs w:val="20"/>
        </w:rPr>
        <w:t>.</w:t>
      </w:r>
    </w:p>
    <w:p w:rsidR="00074F3D" w:rsidRPr="00074F3D" w:rsidRDefault="00074F3D" w:rsidP="00074F3D">
      <w:pPr>
        <w:spacing w:after="0" w:line="240" w:lineRule="auto"/>
        <w:ind w:firstLine="708"/>
        <w:jc w:val="both"/>
        <w:rPr>
          <w:rFonts w:ascii="Times New Roman" w:hAnsi="Times New Roman"/>
          <w:sz w:val="24"/>
        </w:rPr>
      </w:pPr>
    </w:p>
    <w:p w:rsidR="00F52685" w:rsidRDefault="00F52685" w:rsidP="00F52685">
      <w:pPr>
        <w:spacing w:after="0" w:line="240" w:lineRule="auto"/>
        <w:ind w:firstLine="708"/>
        <w:jc w:val="both"/>
        <w:rPr>
          <w:rFonts w:ascii="Times New Roman" w:hAnsi="Times New Roman"/>
          <w:sz w:val="24"/>
        </w:rPr>
      </w:pPr>
      <w:r w:rsidRPr="00074F3D">
        <w:rPr>
          <w:rFonts w:ascii="Times New Roman" w:hAnsi="Times New Roman"/>
          <w:sz w:val="24"/>
          <w:szCs w:val="24"/>
        </w:rPr>
        <w:t>Sob este contexto, a</w:t>
      </w:r>
      <w:r w:rsidRPr="00074F3D">
        <w:rPr>
          <w:rFonts w:ascii="Times New Roman" w:hAnsi="Times New Roman"/>
          <w:sz w:val="24"/>
        </w:rPr>
        <w:t xml:space="preserve">pós um período de forte instabilidade, nota-se que, a partir do final de 2003, ocorre um retorno dos fluxos de Investimentos em Carteira ao Brasil e mesmo de empréstimos bancários. </w:t>
      </w:r>
      <w:r w:rsidRPr="00074F3D">
        <w:rPr>
          <w:rFonts w:ascii="Times New Roman" w:hAnsi="Times New Roman"/>
          <w:sz w:val="24"/>
          <w:szCs w:val="24"/>
        </w:rPr>
        <w:t xml:space="preserve">Entre 2000 e 2002, </w:t>
      </w:r>
      <w:r>
        <w:rPr>
          <w:rFonts w:ascii="Times New Roman" w:eastAsia="Times New Roman" w:hAnsi="Times New Roman"/>
          <w:sz w:val="24"/>
          <w:szCs w:val="24"/>
          <w:lang w:eastAsia="pt-BR"/>
        </w:rPr>
        <w:t>houve</w:t>
      </w:r>
      <w:r w:rsidRPr="00074F3D">
        <w:rPr>
          <w:rFonts w:ascii="Times New Roman" w:eastAsia="Times New Roman" w:hAnsi="Times New Roman"/>
          <w:sz w:val="24"/>
          <w:szCs w:val="24"/>
          <w:lang w:eastAsia="pt-BR"/>
        </w:rPr>
        <w:t xml:space="preserve"> uma redução da participação dos Investimentos em Carteira no total da conta financeira do BP, ao passo que os Investimentos Diretos passaram a desempenhar um importante papel (Tabela 1). </w:t>
      </w:r>
      <w:r w:rsidRPr="00074F3D">
        <w:rPr>
          <w:rFonts w:ascii="Times New Roman" w:hAnsi="Times New Roman"/>
          <w:sz w:val="24"/>
        </w:rPr>
        <w:t xml:space="preserve"> Já o período entre 2003 e 2005 é relativo a um cenário de expansão da liquidez internacional, observando-se que entre esses anos o resultado da balança comercial e das transações correntes brasileiras passa a ser fortemente favorável, ocorrendo uma melhora substantiva nas contas externas.</w:t>
      </w:r>
    </w:p>
    <w:p w:rsidR="00074F3D" w:rsidRPr="00074F3D" w:rsidRDefault="00074F3D" w:rsidP="00074F3D">
      <w:pPr>
        <w:spacing w:after="0" w:line="240" w:lineRule="auto"/>
        <w:ind w:firstLine="708"/>
        <w:jc w:val="both"/>
        <w:rPr>
          <w:rFonts w:ascii="Times New Roman" w:hAnsi="Times New Roman"/>
          <w:sz w:val="24"/>
        </w:rPr>
      </w:pPr>
      <w:r w:rsidRPr="00074F3D">
        <w:rPr>
          <w:rFonts w:ascii="Times New Roman" w:hAnsi="Times New Roman"/>
          <w:sz w:val="24"/>
          <w:szCs w:val="24"/>
        </w:rPr>
        <w:t xml:space="preserve">Além dessa fase favorável do ciclo de liquidez internacional, o governo Lula deu continuidade ao processo de abertura financeira, iniciado nos anos 1990, com a adoção de algumas medidas liberalizantes, seguindo a mesma estratégia dos governos anteriores. </w:t>
      </w:r>
      <w:r w:rsidR="00D4509F">
        <w:rPr>
          <w:rFonts w:ascii="Times New Roman" w:hAnsi="Times New Roman"/>
          <w:sz w:val="24"/>
          <w:szCs w:val="24"/>
        </w:rPr>
        <w:t>Deste modo, aumenta-</w:t>
      </w:r>
      <w:r w:rsidR="00D4509F">
        <w:rPr>
          <w:rFonts w:ascii="Times New Roman" w:hAnsi="Times New Roman"/>
          <w:sz w:val="24"/>
          <w:szCs w:val="24"/>
        </w:rPr>
        <w:lastRenderedPageBreak/>
        <w:t>se</w:t>
      </w:r>
      <w:r w:rsidRPr="00074F3D">
        <w:rPr>
          <w:rFonts w:ascii="Times New Roman" w:hAnsi="Times New Roman"/>
          <w:sz w:val="24"/>
          <w:szCs w:val="24"/>
        </w:rPr>
        <w:t xml:space="preserve"> o grau de abertura</w:t>
      </w:r>
      <w:r w:rsidR="00D4509F">
        <w:rPr>
          <w:rFonts w:ascii="Times New Roman" w:hAnsi="Times New Roman"/>
          <w:sz w:val="24"/>
          <w:szCs w:val="24"/>
        </w:rPr>
        <w:t xml:space="preserve">, condicionando </w:t>
      </w:r>
      <w:r w:rsidRPr="00074F3D">
        <w:rPr>
          <w:rFonts w:ascii="Times New Roman" w:hAnsi="Times New Roman"/>
          <w:sz w:val="24"/>
          <w:szCs w:val="24"/>
        </w:rPr>
        <w:t>o</w:t>
      </w:r>
      <w:r w:rsidR="00D4509F">
        <w:rPr>
          <w:rFonts w:ascii="Times New Roman" w:hAnsi="Times New Roman"/>
          <w:sz w:val="24"/>
          <w:szCs w:val="24"/>
        </w:rPr>
        <w:t xml:space="preserve"> melhor</w:t>
      </w:r>
      <w:r w:rsidRPr="00074F3D">
        <w:rPr>
          <w:rFonts w:ascii="Times New Roman" w:hAnsi="Times New Roman"/>
          <w:sz w:val="24"/>
          <w:szCs w:val="24"/>
        </w:rPr>
        <w:t xml:space="preserve"> desempenho da conta financeira do Balanço de Pagamentos brasileiro entre os anos 2003 e 2006.</w:t>
      </w:r>
    </w:p>
    <w:p w:rsidR="00074F3D" w:rsidRPr="00074F3D" w:rsidRDefault="00074F3D" w:rsidP="00074F3D">
      <w:pPr>
        <w:tabs>
          <w:tab w:val="left" w:pos="426"/>
        </w:tabs>
        <w:spacing w:after="0" w:line="240" w:lineRule="auto"/>
        <w:ind w:firstLine="709"/>
        <w:jc w:val="both"/>
        <w:rPr>
          <w:rFonts w:ascii="Times New Roman" w:hAnsi="Times New Roman"/>
          <w:sz w:val="24"/>
          <w:szCs w:val="24"/>
        </w:rPr>
      </w:pPr>
      <w:r w:rsidRPr="00074F3D">
        <w:rPr>
          <w:rFonts w:ascii="Times New Roman" w:hAnsi="Times New Roman"/>
          <w:sz w:val="24"/>
          <w:szCs w:val="24"/>
        </w:rPr>
        <w:t xml:space="preserve">O auge deste período de fortes influxos de capitais para os países em desenvolvimento e para o Brasil, em particular, se deu no ano de 2007. O total de </w:t>
      </w:r>
      <w:r w:rsidRPr="00074F3D">
        <w:rPr>
          <w:rFonts w:ascii="Times New Roman" w:hAnsi="Times New Roman"/>
          <w:iCs/>
          <w:sz w:val="24"/>
          <w:szCs w:val="24"/>
        </w:rPr>
        <w:t>entrada de capitais pela conta financeira</w:t>
      </w:r>
      <w:r w:rsidRPr="00074F3D">
        <w:rPr>
          <w:rFonts w:ascii="Times New Roman" w:hAnsi="Times New Roman"/>
          <w:i/>
          <w:iCs/>
          <w:sz w:val="24"/>
          <w:szCs w:val="24"/>
        </w:rPr>
        <w:t xml:space="preserve"> </w:t>
      </w:r>
      <w:r w:rsidRPr="00074F3D">
        <w:rPr>
          <w:rFonts w:ascii="Times New Roman" w:hAnsi="Times New Roman"/>
          <w:sz w:val="24"/>
          <w:szCs w:val="24"/>
        </w:rPr>
        <w:t xml:space="preserve">é um recorde absoluto, atingindo cerca de US$ 88,4 bilhões, conforme </w:t>
      </w:r>
      <w:r w:rsidR="00F52685">
        <w:rPr>
          <w:rFonts w:ascii="Times New Roman" w:hAnsi="Times New Roman"/>
          <w:sz w:val="24"/>
          <w:szCs w:val="24"/>
        </w:rPr>
        <w:t>g</w:t>
      </w:r>
      <w:r w:rsidRPr="00074F3D">
        <w:rPr>
          <w:rFonts w:ascii="Times New Roman" w:hAnsi="Times New Roman"/>
          <w:sz w:val="24"/>
          <w:szCs w:val="24"/>
        </w:rPr>
        <w:t xml:space="preserve">ráfico </w:t>
      </w:r>
      <w:r w:rsidR="00AD7D94">
        <w:rPr>
          <w:rFonts w:ascii="Times New Roman" w:hAnsi="Times New Roman"/>
          <w:sz w:val="24"/>
          <w:szCs w:val="24"/>
        </w:rPr>
        <w:t>6</w:t>
      </w:r>
      <w:r w:rsidRPr="00074F3D">
        <w:rPr>
          <w:rFonts w:ascii="Times New Roman" w:hAnsi="Times New Roman"/>
          <w:sz w:val="24"/>
          <w:szCs w:val="24"/>
        </w:rPr>
        <w:t>, e só não foi ainda maior devido à eclosão da crise S</w:t>
      </w:r>
      <w:r w:rsidRPr="00074F3D">
        <w:rPr>
          <w:rFonts w:ascii="Times New Roman" w:hAnsi="Times New Roman"/>
          <w:i/>
          <w:sz w:val="24"/>
          <w:szCs w:val="24"/>
        </w:rPr>
        <w:t>ubprime</w:t>
      </w:r>
      <w:r w:rsidRPr="00074F3D">
        <w:rPr>
          <w:rFonts w:ascii="Times New Roman" w:hAnsi="Times New Roman"/>
          <w:sz w:val="24"/>
          <w:szCs w:val="24"/>
        </w:rPr>
        <w:t xml:space="preserve"> no final de julho. Houve, especificamente, uma decisiva escalada dos Investimentos em Carteira e de Outros Investimentos. Além dos fatores externos (</w:t>
      </w:r>
      <w:r w:rsidRPr="00074F3D">
        <w:rPr>
          <w:rFonts w:ascii="Times New Roman" w:hAnsi="Times New Roman"/>
          <w:i/>
          <w:sz w:val="24"/>
          <w:szCs w:val="24"/>
        </w:rPr>
        <w:t>push factors</w:t>
      </w:r>
      <w:r w:rsidRPr="00074F3D">
        <w:rPr>
          <w:rFonts w:ascii="Times New Roman" w:hAnsi="Times New Roman"/>
          <w:sz w:val="24"/>
          <w:szCs w:val="24"/>
        </w:rPr>
        <w:t>), os fatores internos (</w:t>
      </w:r>
      <w:r w:rsidRPr="00074F3D">
        <w:rPr>
          <w:rFonts w:ascii="Times New Roman" w:hAnsi="Times New Roman"/>
          <w:i/>
          <w:sz w:val="24"/>
          <w:szCs w:val="24"/>
        </w:rPr>
        <w:t>pull factors</w:t>
      </w:r>
      <w:r w:rsidRPr="00074F3D">
        <w:rPr>
          <w:rFonts w:ascii="Times New Roman" w:hAnsi="Times New Roman"/>
          <w:sz w:val="24"/>
          <w:szCs w:val="24"/>
        </w:rPr>
        <w:t>) também tiveram sua influência e estimularam tanto a aplicação de não residentes em títulos e ações emitidas por residentes no país ou no exterior, como a contração de créditos comerciais e empréstimos de curto prazo junto aos bancos no exterior. Não obstante, ao auge se seguiram saídas pronunciadas e rápidas de capitais, que também foram lideradas por estas duas modalidades de investimentos (Investimentos Estrangeiros em Carteira – IEC – e Outros Investimentos Estrangeiros – OIE). Ou seja, são esses os capitais mais voláteis, em detrimento da menor volatilidade dos fluxos de investimento estrangeiro direto (IED).</w:t>
      </w:r>
    </w:p>
    <w:p w:rsidR="00074F3D" w:rsidRPr="00074F3D" w:rsidRDefault="00074F3D" w:rsidP="00074F3D">
      <w:pPr>
        <w:spacing w:after="0" w:line="240" w:lineRule="auto"/>
        <w:jc w:val="both"/>
        <w:rPr>
          <w:rFonts w:ascii="Times New Roman" w:hAnsi="Times New Roman"/>
          <w:sz w:val="24"/>
          <w:szCs w:val="24"/>
        </w:rPr>
      </w:pPr>
    </w:p>
    <w:p w:rsidR="00074F3D" w:rsidRPr="00074F3D" w:rsidRDefault="00074F3D" w:rsidP="00DF148A">
      <w:pPr>
        <w:tabs>
          <w:tab w:val="left" w:pos="426"/>
        </w:tabs>
        <w:spacing w:after="0" w:line="240" w:lineRule="auto"/>
        <w:jc w:val="center"/>
        <w:rPr>
          <w:rFonts w:ascii="Times New Roman" w:hAnsi="Times New Roman"/>
          <w:b/>
          <w:sz w:val="24"/>
          <w:szCs w:val="24"/>
        </w:rPr>
      </w:pPr>
      <w:r w:rsidRPr="00074F3D">
        <w:rPr>
          <w:rFonts w:ascii="Times New Roman" w:hAnsi="Times New Roman"/>
          <w:b/>
          <w:sz w:val="24"/>
          <w:szCs w:val="24"/>
        </w:rPr>
        <w:t xml:space="preserve">Gráfico </w:t>
      </w:r>
      <w:r w:rsidR="00AD7D94">
        <w:rPr>
          <w:rFonts w:ascii="Times New Roman" w:hAnsi="Times New Roman"/>
          <w:b/>
          <w:sz w:val="24"/>
          <w:szCs w:val="24"/>
        </w:rPr>
        <w:t>6</w:t>
      </w:r>
      <w:r w:rsidRPr="00074F3D">
        <w:rPr>
          <w:rFonts w:ascii="Times New Roman" w:hAnsi="Times New Roman"/>
          <w:b/>
          <w:sz w:val="24"/>
          <w:szCs w:val="24"/>
        </w:rPr>
        <w:t>: Evolução da Conta Financeira e Sub-contas – 2000 a 2012 (US$ Milhões)</w:t>
      </w:r>
    </w:p>
    <w:p w:rsidR="00074F3D" w:rsidRPr="00074F3D" w:rsidRDefault="00894B44" w:rsidP="00AD7D94">
      <w:pPr>
        <w:spacing w:after="0" w:line="240" w:lineRule="auto"/>
        <w:jc w:val="center"/>
        <w:rPr>
          <w:rFonts w:ascii="Times New Roman" w:hAnsi="Times New Roman"/>
          <w:sz w:val="24"/>
          <w:szCs w:val="24"/>
        </w:rPr>
      </w:pPr>
      <w:r>
        <w:rPr>
          <w:rFonts w:ascii="Times New Roman" w:hAnsi="Times New Roman"/>
          <w:noProof/>
          <w:sz w:val="24"/>
          <w:szCs w:val="24"/>
          <w:lang w:eastAsia="pt-BR"/>
        </w:rPr>
        <w:drawing>
          <wp:inline distT="0" distB="0" distL="0" distR="0">
            <wp:extent cx="4401185" cy="2347595"/>
            <wp:effectExtent l="0" t="0" r="0" b="0"/>
            <wp:docPr id="6" name="Objet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to 6"/>
                    <pic:cNvPicPr>
                      <a:picLocks noChangeAspect="1" noChangeArrowheads="1"/>
                    </pic:cNvPicPr>
                  </pic:nvPicPr>
                  <pic:blipFill>
                    <a:blip r:embed="rId15" cstate="print"/>
                    <a:srcRect/>
                    <a:stretch>
                      <a:fillRect/>
                    </a:stretch>
                  </pic:blipFill>
                  <pic:spPr bwMode="auto">
                    <a:xfrm>
                      <a:off x="0" y="0"/>
                      <a:ext cx="4401185" cy="2347595"/>
                    </a:xfrm>
                    <a:prstGeom prst="rect">
                      <a:avLst/>
                    </a:prstGeom>
                    <a:noFill/>
                    <a:ln w="9525">
                      <a:noFill/>
                      <a:miter lim="800000"/>
                      <a:headEnd/>
                      <a:tailEnd/>
                    </a:ln>
                  </pic:spPr>
                </pic:pic>
              </a:graphicData>
            </a:graphic>
          </wp:inline>
        </w:drawing>
      </w:r>
    </w:p>
    <w:p w:rsidR="00074F3D" w:rsidRPr="00074F3D" w:rsidRDefault="00074F3D" w:rsidP="00074F3D">
      <w:pPr>
        <w:tabs>
          <w:tab w:val="left" w:pos="426"/>
        </w:tabs>
        <w:spacing w:after="0" w:line="240" w:lineRule="auto"/>
        <w:jc w:val="both"/>
        <w:rPr>
          <w:rFonts w:ascii="Times New Roman" w:hAnsi="Times New Roman"/>
          <w:sz w:val="24"/>
          <w:szCs w:val="24"/>
        </w:rPr>
      </w:pPr>
      <w:r w:rsidRPr="00074F3D">
        <w:rPr>
          <w:rFonts w:ascii="Times New Roman" w:hAnsi="Times New Roman"/>
          <w:i/>
          <w:sz w:val="20"/>
          <w:szCs w:val="20"/>
        </w:rPr>
        <w:tab/>
        <w:t xml:space="preserve"> </w:t>
      </w:r>
      <w:r w:rsidR="00AD7D94">
        <w:rPr>
          <w:rFonts w:ascii="Times New Roman" w:hAnsi="Times New Roman"/>
          <w:i/>
          <w:sz w:val="20"/>
          <w:szCs w:val="20"/>
        </w:rPr>
        <w:tab/>
        <w:t xml:space="preserve">   </w:t>
      </w:r>
      <w:r w:rsidRPr="00074F3D">
        <w:rPr>
          <w:rFonts w:ascii="Times New Roman" w:hAnsi="Times New Roman"/>
          <w:i/>
          <w:sz w:val="20"/>
          <w:szCs w:val="20"/>
        </w:rPr>
        <w:t xml:space="preserve">Fonte: </w:t>
      </w:r>
      <w:r w:rsidRPr="00074F3D">
        <w:rPr>
          <w:rFonts w:ascii="Times New Roman" w:hAnsi="Times New Roman"/>
          <w:sz w:val="20"/>
          <w:szCs w:val="20"/>
        </w:rPr>
        <w:t>Elaboração própria a partir dos dados do Banco Central do Brasil.</w:t>
      </w:r>
      <w:r w:rsidRPr="00074F3D">
        <w:rPr>
          <w:rFonts w:ascii="Times New Roman" w:hAnsi="Times New Roman"/>
          <w:sz w:val="24"/>
          <w:szCs w:val="24"/>
        </w:rPr>
        <w:tab/>
      </w:r>
    </w:p>
    <w:p w:rsidR="00AD7D94" w:rsidRDefault="00AD7D94" w:rsidP="00074F3D">
      <w:pPr>
        <w:spacing w:after="0" w:line="240" w:lineRule="auto"/>
        <w:ind w:firstLine="708"/>
        <w:jc w:val="both"/>
        <w:rPr>
          <w:rFonts w:ascii="Times New Roman" w:hAnsi="Times New Roman"/>
          <w:sz w:val="24"/>
          <w:szCs w:val="24"/>
        </w:rPr>
      </w:pPr>
    </w:p>
    <w:p w:rsidR="00074F3D" w:rsidRPr="00074F3D" w:rsidRDefault="00074F3D" w:rsidP="00074F3D">
      <w:pPr>
        <w:spacing w:after="0" w:line="240" w:lineRule="auto"/>
        <w:ind w:firstLine="708"/>
        <w:jc w:val="both"/>
        <w:rPr>
          <w:rFonts w:ascii="Times New Roman" w:hAnsi="Times New Roman"/>
          <w:sz w:val="24"/>
          <w:szCs w:val="24"/>
        </w:rPr>
      </w:pPr>
      <w:r w:rsidRPr="00074F3D">
        <w:rPr>
          <w:rFonts w:ascii="Times New Roman" w:hAnsi="Times New Roman"/>
          <w:sz w:val="24"/>
          <w:szCs w:val="24"/>
        </w:rPr>
        <w:t xml:space="preserve">Houve, assim, uma “parada súbita” – o </w:t>
      </w:r>
      <w:r w:rsidRPr="00074F3D">
        <w:rPr>
          <w:rFonts w:ascii="Times New Roman" w:hAnsi="Times New Roman"/>
          <w:i/>
          <w:sz w:val="24"/>
          <w:szCs w:val="24"/>
        </w:rPr>
        <w:t>sudden stop</w:t>
      </w:r>
      <w:r w:rsidRPr="00074F3D">
        <w:rPr>
          <w:rFonts w:ascii="Times New Roman" w:hAnsi="Times New Roman"/>
          <w:sz w:val="24"/>
          <w:szCs w:val="24"/>
        </w:rPr>
        <w:t xml:space="preserve"> – que pode ser explicada exclusivamente, neste caso, por fatores externos decorrentes da crise </w:t>
      </w:r>
      <w:r w:rsidRPr="00074F3D">
        <w:rPr>
          <w:rFonts w:ascii="Times New Roman" w:hAnsi="Times New Roman"/>
          <w:i/>
          <w:iCs/>
          <w:sz w:val="24"/>
          <w:szCs w:val="24"/>
        </w:rPr>
        <w:t xml:space="preserve">subprime </w:t>
      </w:r>
      <w:r w:rsidRPr="00074F3D">
        <w:rPr>
          <w:rFonts w:ascii="Times New Roman" w:hAnsi="Times New Roman"/>
          <w:sz w:val="24"/>
          <w:szCs w:val="24"/>
        </w:rPr>
        <w:t>nos Estados Unidos, que se espalhou por boa parte do sistema financeiro global.</w:t>
      </w:r>
      <w:r w:rsidR="00F554C6">
        <w:rPr>
          <w:rFonts w:ascii="Times New Roman" w:hAnsi="Times New Roman"/>
          <w:sz w:val="24"/>
          <w:szCs w:val="24"/>
        </w:rPr>
        <w:t xml:space="preserve"> Ademais, a</w:t>
      </w:r>
      <w:r w:rsidRPr="00074F3D">
        <w:rPr>
          <w:rFonts w:ascii="Times New Roman" w:hAnsi="Times New Roman"/>
          <w:sz w:val="24"/>
          <w:szCs w:val="24"/>
        </w:rPr>
        <w:t xml:space="preserve"> predominância da influência externa nessa reversão dos capitais fica clara </w:t>
      </w:r>
      <w:r w:rsidR="00F554C6">
        <w:rPr>
          <w:rFonts w:ascii="Times New Roman" w:hAnsi="Times New Roman"/>
          <w:sz w:val="24"/>
          <w:szCs w:val="24"/>
        </w:rPr>
        <w:t xml:space="preserve">quando </w:t>
      </w:r>
      <w:r w:rsidR="00F52685">
        <w:rPr>
          <w:rFonts w:ascii="Times New Roman" w:hAnsi="Times New Roman"/>
          <w:sz w:val="24"/>
          <w:szCs w:val="24"/>
        </w:rPr>
        <w:t xml:space="preserve">se </w:t>
      </w:r>
      <w:r w:rsidR="00F554C6">
        <w:rPr>
          <w:rFonts w:ascii="Times New Roman" w:hAnsi="Times New Roman"/>
          <w:sz w:val="24"/>
          <w:szCs w:val="24"/>
        </w:rPr>
        <w:t xml:space="preserve">observa o cenário doméstico daquele ano. Havia uma </w:t>
      </w:r>
      <w:r w:rsidRPr="00074F3D">
        <w:rPr>
          <w:rFonts w:ascii="Times New Roman" w:hAnsi="Times New Roman"/>
          <w:sz w:val="24"/>
          <w:szCs w:val="24"/>
        </w:rPr>
        <w:t xml:space="preserve">retomada do crescimento e novas oportunidades de investimentos, </w:t>
      </w:r>
      <w:r w:rsidR="00F554C6">
        <w:rPr>
          <w:rFonts w:ascii="Times New Roman" w:hAnsi="Times New Roman"/>
          <w:sz w:val="24"/>
          <w:szCs w:val="24"/>
        </w:rPr>
        <w:t xml:space="preserve">gerando </w:t>
      </w:r>
      <w:r w:rsidRPr="00074F3D">
        <w:rPr>
          <w:rFonts w:ascii="Times New Roman" w:hAnsi="Times New Roman"/>
          <w:sz w:val="24"/>
          <w:szCs w:val="24"/>
        </w:rPr>
        <w:t>valorização d</w:t>
      </w:r>
      <w:r w:rsidR="00F554C6">
        <w:rPr>
          <w:rFonts w:ascii="Times New Roman" w:hAnsi="Times New Roman"/>
          <w:sz w:val="24"/>
          <w:szCs w:val="24"/>
        </w:rPr>
        <w:t xml:space="preserve">os mercados de títulos e ações e, por conseguinte, </w:t>
      </w:r>
      <w:r w:rsidRPr="00074F3D">
        <w:rPr>
          <w:rFonts w:ascii="Times New Roman" w:hAnsi="Times New Roman"/>
          <w:sz w:val="24"/>
          <w:szCs w:val="24"/>
        </w:rPr>
        <w:t>apreciação cambial</w:t>
      </w:r>
      <w:r w:rsidR="00F554C6">
        <w:rPr>
          <w:rFonts w:ascii="Times New Roman" w:hAnsi="Times New Roman"/>
          <w:sz w:val="24"/>
          <w:szCs w:val="24"/>
        </w:rPr>
        <w:t>.</w:t>
      </w:r>
    </w:p>
    <w:p w:rsidR="00074F3D" w:rsidRPr="00074F3D" w:rsidRDefault="00074F3D" w:rsidP="00074F3D">
      <w:pPr>
        <w:spacing w:after="0" w:line="240" w:lineRule="auto"/>
        <w:jc w:val="both"/>
        <w:rPr>
          <w:rFonts w:ascii="Times New Roman" w:eastAsia="Times New Roman" w:hAnsi="Times New Roman"/>
          <w:bCs/>
          <w:color w:val="000000"/>
          <w:sz w:val="24"/>
          <w:szCs w:val="24"/>
          <w:lang w:eastAsia="pt-BR"/>
        </w:rPr>
      </w:pPr>
      <w:r w:rsidRPr="00074F3D">
        <w:rPr>
          <w:rFonts w:ascii="Times New Roman" w:hAnsi="Times New Roman"/>
          <w:sz w:val="24"/>
          <w:szCs w:val="24"/>
        </w:rPr>
        <w:tab/>
        <w:t>Em 2008</w:t>
      </w:r>
      <w:r w:rsidR="00B348CE">
        <w:rPr>
          <w:rFonts w:ascii="Times New Roman" w:hAnsi="Times New Roman"/>
          <w:sz w:val="24"/>
          <w:szCs w:val="24"/>
        </w:rPr>
        <w:t>,</w:t>
      </w:r>
      <w:r w:rsidRPr="00074F3D">
        <w:rPr>
          <w:rFonts w:ascii="Times New Roman" w:hAnsi="Times New Roman"/>
          <w:sz w:val="24"/>
          <w:szCs w:val="24"/>
        </w:rPr>
        <w:t xml:space="preserve"> a conta financeira apresentou um superávit de US$ </w:t>
      </w:r>
      <w:r w:rsidRPr="00074F3D">
        <w:rPr>
          <w:rFonts w:ascii="Times New Roman" w:eastAsia="Times New Roman" w:hAnsi="Times New Roman"/>
          <w:bCs/>
          <w:color w:val="000000"/>
          <w:sz w:val="24"/>
          <w:szCs w:val="24"/>
          <w:lang w:eastAsia="pt-BR"/>
        </w:rPr>
        <w:t xml:space="preserve">28.296,50 milhões. Na verdade, um conjunto de fatores externos e internos contribuiu para atenuar a retração dos fluxos de capitais estrangeiros para o país, no contexto de aprofundamento da crise financeira internacional. Um desses fatores foi o desempenho excepcional do IED, que atingiu valor de cerca de US$ 45 bilhões, estimulados pelas perspectivas de lucro nos setores produtores de </w:t>
      </w:r>
      <w:r w:rsidRPr="00074F3D">
        <w:rPr>
          <w:rFonts w:ascii="Times New Roman" w:eastAsia="Times New Roman" w:hAnsi="Times New Roman"/>
          <w:bCs/>
          <w:i/>
          <w:color w:val="000000"/>
          <w:sz w:val="24"/>
          <w:szCs w:val="24"/>
          <w:lang w:eastAsia="pt-BR"/>
        </w:rPr>
        <w:t>commodities</w:t>
      </w:r>
      <w:r w:rsidRPr="00074F3D">
        <w:rPr>
          <w:rFonts w:ascii="Times New Roman" w:eastAsia="Times New Roman" w:hAnsi="Times New Roman"/>
          <w:bCs/>
          <w:color w:val="000000"/>
          <w:sz w:val="24"/>
          <w:szCs w:val="24"/>
          <w:lang w:eastAsia="pt-BR"/>
        </w:rPr>
        <w:t xml:space="preserve"> e nas indústrias baseadas em recursos naturais, bem como pelo maior dinamismo do mercado interno.</w:t>
      </w:r>
    </w:p>
    <w:p w:rsidR="00074F3D" w:rsidRPr="00074F3D" w:rsidRDefault="00074F3D" w:rsidP="00074F3D">
      <w:pPr>
        <w:spacing w:after="0" w:line="240" w:lineRule="auto"/>
        <w:ind w:firstLine="708"/>
        <w:jc w:val="both"/>
        <w:rPr>
          <w:rFonts w:ascii="Times New Roman" w:eastAsia="Times New Roman" w:hAnsi="Times New Roman"/>
          <w:bCs/>
          <w:color w:val="000000"/>
          <w:sz w:val="24"/>
          <w:szCs w:val="24"/>
          <w:lang w:eastAsia="pt-BR"/>
        </w:rPr>
      </w:pPr>
      <w:r w:rsidRPr="00074F3D">
        <w:rPr>
          <w:rFonts w:ascii="Times New Roman" w:eastAsia="Times New Roman" w:hAnsi="Times New Roman"/>
          <w:bCs/>
          <w:color w:val="000000"/>
          <w:sz w:val="24"/>
          <w:szCs w:val="24"/>
          <w:lang w:eastAsia="pt-BR"/>
        </w:rPr>
        <w:t xml:space="preserve">Ademais, a alta dos preços das </w:t>
      </w:r>
      <w:r w:rsidRPr="00074F3D">
        <w:rPr>
          <w:rFonts w:ascii="Times New Roman" w:eastAsia="Times New Roman" w:hAnsi="Times New Roman"/>
          <w:bCs/>
          <w:i/>
          <w:color w:val="000000"/>
          <w:sz w:val="24"/>
          <w:szCs w:val="24"/>
          <w:lang w:eastAsia="pt-BR"/>
        </w:rPr>
        <w:t>commodities</w:t>
      </w:r>
      <w:r w:rsidRPr="00074F3D">
        <w:rPr>
          <w:rFonts w:ascii="Times New Roman" w:eastAsia="Times New Roman" w:hAnsi="Times New Roman"/>
          <w:bCs/>
          <w:color w:val="000000"/>
          <w:sz w:val="24"/>
          <w:szCs w:val="24"/>
          <w:lang w:eastAsia="pt-BR"/>
        </w:rPr>
        <w:t xml:space="preserve"> e a elevação da classificação do risco de crédito soberano do Brasil para “grau de investimento” pelas agências internacionais de </w:t>
      </w:r>
      <w:r w:rsidRPr="00074F3D">
        <w:rPr>
          <w:rFonts w:ascii="Times New Roman" w:eastAsia="Times New Roman" w:hAnsi="Times New Roman"/>
          <w:bCs/>
          <w:i/>
          <w:color w:val="000000"/>
          <w:sz w:val="24"/>
          <w:szCs w:val="24"/>
          <w:lang w:eastAsia="pt-BR"/>
        </w:rPr>
        <w:t>rating</w:t>
      </w:r>
      <w:r w:rsidRPr="00074F3D">
        <w:rPr>
          <w:rFonts w:ascii="Times New Roman" w:eastAsia="Times New Roman" w:hAnsi="Times New Roman"/>
          <w:bCs/>
          <w:i/>
          <w:sz w:val="24"/>
          <w:szCs w:val="24"/>
          <w:lang w:eastAsia="pt-BR"/>
        </w:rPr>
        <w:t xml:space="preserve"> </w:t>
      </w:r>
      <w:r w:rsidRPr="00074F3D">
        <w:rPr>
          <w:rFonts w:ascii="Times New Roman" w:eastAsia="Times New Roman" w:hAnsi="Times New Roman"/>
          <w:bCs/>
          <w:sz w:val="24"/>
          <w:szCs w:val="24"/>
          <w:lang w:eastAsia="pt-BR"/>
        </w:rPr>
        <w:t>favoreceram</w:t>
      </w:r>
      <w:r w:rsidRPr="00074F3D">
        <w:rPr>
          <w:rFonts w:ascii="Times New Roman" w:eastAsia="Times New Roman" w:hAnsi="Times New Roman"/>
          <w:bCs/>
          <w:color w:val="000000"/>
          <w:sz w:val="24"/>
          <w:szCs w:val="24"/>
          <w:lang w:eastAsia="pt-BR"/>
        </w:rPr>
        <w:t xml:space="preserve"> os Investimentos de Portfólio em ações. Verifica-se, também, que o diferencial entre a taxa de juros interna e externa estimulou as aplicações em títulos públicos de renda fixa no país e as captações de empréstimos de curto prazo no exterior.</w:t>
      </w:r>
    </w:p>
    <w:p w:rsidR="00074F3D" w:rsidRPr="00074F3D" w:rsidRDefault="00074F3D" w:rsidP="00074F3D">
      <w:pPr>
        <w:tabs>
          <w:tab w:val="left" w:pos="426"/>
        </w:tabs>
        <w:spacing w:after="0" w:line="240" w:lineRule="auto"/>
        <w:ind w:firstLine="709"/>
        <w:jc w:val="both"/>
        <w:rPr>
          <w:rFonts w:ascii="Times New Roman" w:eastAsia="Times New Roman" w:hAnsi="Times New Roman"/>
          <w:bCs/>
          <w:color w:val="000000"/>
          <w:sz w:val="24"/>
          <w:szCs w:val="24"/>
          <w:lang w:eastAsia="pt-BR"/>
        </w:rPr>
      </w:pPr>
      <w:r w:rsidRPr="00074F3D">
        <w:rPr>
          <w:rFonts w:ascii="Times New Roman" w:eastAsia="Times New Roman" w:hAnsi="Times New Roman"/>
          <w:bCs/>
          <w:color w:val="000000"/>
          <w:sz w:val="24"/>
          <w:szCs w:val="24"/>
          <w:lang w:eastAsia="pt-BR"/>
        </w:rPr>
        <w:lastRenderedPageBreak/>
        <w:t>Com relação a 2009, temos além da melhora no ingresso líquido dos fluxos de capitais estrangeiros, uma mudança na composição desse ingresso. Enquanto, no ano anterior os IED corresponderam à maior parte dos recursos, em 2009 essa participação se reduziu, mas volta a aumentar em 2010 e 2011. Em 2009 e 2010 os Investimentos Estrangeiros em Carteira passaram a ter a maior participação na Conta Financeira, conforme Tabela 2.</w:t>
      </w:r>
    </w:p>
    <w:p w:rsidR="00074F3D" w:rsidRPr="00074F3D" w:rsidRDefault="00074F3D" w:rsidP="00074F3D">
      <w:pPr>
        <w:tabs>
          <w:tab w:val="left" w:pos="426"/>
        </w:tabs>
        <w:spacing w:after="0" w:line="240" w:lineRule="auto"/>
        <w:ind w:firstLine="709"/>
        <w:jc w:val="both"/>
        <w:rPr>
          <w:rFonts w:ascii="Times New Roman" w:eastAsia="Times New Roman" w:hAnsi="Times New Roman"/>
          <w:bCs/>
          <w:color w:val="000000"/>
          <w:sz w:val="24"/>
          <w:szCs w:val="24"/>
          <w:lang w:eastAsia="pt-BR"/>
        </w:rPr>
      </w:pPr>
    </w:p>
    <w:p w:rsidR="00074F3D" w:rsidRPr="00074F3D" w:rsidRDefault="00074F3D" w:rsidP="00DF148A">
      <w:pPr>
        <w:tabs>
          <w:tab w:val="left" w:pos="426"/>
          <w:tab w:val="left" w:pos="2370"/>
        </w:tabs>
        <w:spacing w:after="0" w:line="240" w:lineRule="auto"/>
        <w:jc w:val="center"/>
        <w:rPr>
          <w:rFonts w:ascii="Times New Roman" w:hAnsi="Times New Roman"/>
          <w:b/>
          <w:sz w:val="24"/>
          <w:szCs w:val="24"/>
        </w:rPr>
      </w:pPr>
      <w:r w:rsidRPr="00074F3D">
        <w:rPr>
          <w:rFonts w:ascii="Times New Roman" w:hAnsi="Times New Roman"/>
          <w:b/>
          <w:sz w:val="24"/>
          <w:szCs w:val="24"/>
        </w:rPr>
        <w:t>Tabela 2: Participação das Sub-contas na Conta Financeira, 2007 a 2012 (%)</w:t>
      </w:r>
    </w:p>
    <w:tbl>
      <w:tblPr>
        <w:tblW w:w="9258" w:type="dxa"/>
        <w:jc w:val="center"/>
        <w:tblInd w:w="-1138" w:type="dxa"/>
        <w:tblLayout w:type="fixed"/>
        <w:tblCellMar>
          <w:left w:w="70" w:type="dxa"/>
          <w:right w:w="70" w:type="dxa"/>
        </w:tblCellMar>
        <w:tblLook w:val="04A0"/>
      </w:tblPr>
      <w:tblGrid>
        <w:gridCol w:w="3638"/>
        <w:gridCol w:w="936"/>
        <w:gridCol w:w="937"/>
        <w:gridCol w:w="937"/>
        <w:gridCol w:w="936"/>
        <w:gridCol w:w="937"/>
        <w:gridCol w:w="937"/>
      </w:tblGrid>
      <w:tr w:rsidR="00074F3D" w:rsidRPr="00074F3D" w:rsidTr="00B348CE">
        <w:trPr>
          <w:trHeight w:val="57"/>
          <w:jc w:val="center"/>
        </w:trPr>
        <w:tc>
          <w:tcPr>
            <w:tcW w:w="3638" w:type="dxa"/>
            <w:tcBorders>
              <w:top w:val="double" w:sz="4" w:space="0" w:color="auto"/>
              <w:left w:val="nil"/>
              <w:bottom w:val="single" w:sz="8" w:space="0" w:color="auto"/>
              <w:right w:val="single" w:sz="4" w:space="0" w:color="auto"/>
            </w:tcBorders>
            <w:shd w:val="clear" w:color="auto" w:fill="auto"/>
            <w:noWrap/>
            <w:vAlign w:val="bottom"/>
          </w:tcPr>
          <w:p w:rsidR="00074F3D" w:rsidRPr="00074F3D" w:rsidRDefault="00074F3D" w:rsidP="00074F3D">
            <w:pPr>
              <w:spacing w:after="0" w:line="240" w:lineRule="auto"/>
              <w:rPr>
                <w:rFonts w:ascii="Times New Roman" w:eastAsia="Times New Roman" w:hAnsi="Times New Roman"/>
                <w:b/>
                <w:bCs/>
                <w:color w:val="000000"/>
                <w:sz w:val="20"/>
                <w:szCs w:val="20"/>
                <w:lang w:eastAsia="pt-BR"/>
              </w:rPr>
            </w:pPr>
            <w:r w:rsidRPr="00074F3D">
              <w:rPr>
                <w:rFonts w:ascii="Times New Roman" w:eastAsia="Times New Roman" w:hAnsi="Times New Roman"/>
                <w:b/>
                <w:bCs/>
                <w:color w:val="000000"/>
                <w:sz w:val="20"/>
                <w:szCs w:val="20"/>
                <w:lang w:eastAsia="pt-BR"/>
              </w:rPr>
              <w:t>Discriminação</w:t>
            </w:r>
          </w:p>
        </w:tc>
        <w:tc>
          <w:tcPr>
            <w:tcW w:w="936" w:type="dxa"/>
            <w:tcBorders>
              <w:top w:val="double" w:sz="4" w:space="0" w:color="auto"/>
              <w:left w:val="single" w:sz="4" w:space="0" w:color="auto"/>
              <w:bottom w:val="single" w:sz="8" w:space="0" w:color="auto"/>
              <w:right w:val="single" w:sz="4" w:space="0" w:color="auto"/>
            </w:tcBorders>
            <w:shd w:val="clear" w:color="auto" w:fill="auto"/>
            <w:noWrap/>
            <w:vAlign w:val="bottom"/>
          </w:tcPr>
          <w:p w:rsidR="00074F3D" w:rsidRPr="00074F3D" w:rsidRDefault="00074F3D" w:rsidP="00074F3D">
            <w:pPr>
              <w:spacing w:after="0" w:line="240" w:lineRule="auto"/>
              <w:rPr>
                <w:rFonts w:ascii="Times New Roman" w:eastAsia="Times New Roman" w:hAnsi="Times New Roman"/>
                <w:b/>
                <w:bCs/>
                <w:color w:val="000000"/>
                <w:sz w:val="20"/>
                <w:szCs w:val="20"/>
                <w:lang w:eastAsia="pt-BR"/>
              </w:rPr>
            </w:pPr>
            <w:r w:rsidRPr="00074F3D">
              <w:rPr>
                <w:rFonts w:ascii="Times New Roman" w:eastAsia="Times New Roman" w:hAnsi="Times New Roman"/>
                <w:b/>
                <w:bCs/>
                <w:color w:val="000000"/>
                <w:sz w:val="20"/>
                <w:szCs w:val="20"/>
                <w:lang w:eastAsia="pt-BR"/>
              </w:rPr>
              <w:t>2007</w:t>
            </w:r>
          </w:p>
        </w:tc>
        <w:tc>
          <w:tcPr>
            <w:tcW w:w="937" w:type="dxa"/>
            <w:tcBorders>
              <w:top w:val="double" w:sz="4" w:space="0" w:color="auto"/>
              <w:left w:val="single" w:sz="4" w:space="0" w:color="auto"/>
              <w:bottom w:val="single" w:sz="8" w:space="0" w:color="auto"/>
              <w:right w:val="single" w:sz="4" w:space="0" w:color="auto"/>
            </w:tcBorders>
            <w:shd w:val="clear" w:color="auto" w:fill="auto"/>
            <w:noWrap/>
            <w:vAlign w:val="bottom"/>
          </w:tcPr>
          <w:p w:rsidR="00074F3D" w:rsidRPr="00074F3D" w:rsidRDefault="00074F3D" w:rsidP="00074F3D">
            <w:pPr>
              <w:spacing w:after="0" w:line="240" w:lineRule="auto"/>
              <w:rPr>
                <w:rFonts w:ascii="Times New Roman" w:eastAsia="Times New Roman" w:hAnsi="Times New Roman"/>
                <w:b/>
                <w:bCs/>
                <w:color w:val="000000"/>
                <w:sz w:val="20"/>
                <w:szCs w:val="20"/>
                <w:lang w:eastAsia="pt-BR"/>
              </w:rPr>
            </w:pPr>
            <w:r w:rsidRPr="00074F3D">
              <w:rPr>
                <w:rFonts w:ascii="Times New Roman" w:eastAsia="Times New Roman" w:hAnsi="Times New Roman"/>
                <w:b/>
                <w:bCs/>
                <w:color w:val="000000"/>
                <w:sz w:val="20"/>
                <w:szCs w:val="20"/>
                <w:lang w:eastAsia="pt-BR"/>
              </w:rPr>
              <w:t>2008</w:t>
            </w:r>
          </w:p>
        </w:tc>
        <w:tc>
          <w:tcPr>
            <w:tcW w:w="937" w:type="dxa"/>
            <w:tcBorders>
              <w:top w:val="double" w:sz="4" w:space="0" w:color="auto"/>
              <w:left w:val="single" w:sz="4" w:space="0" w:color="auto"/>
              <w:bottom w:val="single" w:sz="8" w:space="0" w:color="auto"/>
              <w:right w:val="single" w:sz="4" w:space="0" w:color="auto"/>
            </w:tcBorders>
            <w:shd w:val="clear" w:color="auto" w:fill="auto"/>
            <w:noWrap/>
            <w:vAlign w:val="bottom"/>
          </w:tcPr>
          <w:p w:rsidR="00074F3D" w:rsidRPr="00074F3D" w:rsidRDefault="00074F3D" w:rsidP="00074F3D">
            <w:pPr>
              <w:spacing w:after="0" w:line="240" w:lineRule="auto"/>
              <w:rPr>
                <w:rFonts w:ascii="Times New Roman" w:eastAsia="Times New Roman" w:hAnsi="Times New Roman"/>
                <w:b/>
                <w:bCs/>
                <w:color w:val="000000"/>
                <w:sz w:val="20"/>
                <w:szCs w:val="20"/>
                <w:lang w:eastAsia="pt-BR"/>
              </w:rPr>
            </w:pPr>
            <w:r w:rsidRPr="00074F3D">
              <w:rPr>
                <w:rFonts w:ascii="Times New Roman" w:eastAsia="Times New Roman" w:hAnsi="Times New Roman"/>
                <w:b/>
                <w:bCs/>
                <w:color w:val="000000"/>
                <w:sz w:val="20"/>
                <w:szCs w:val="20"/>
                <w:lang w:eastAsia="pt-BR"/>
              </w:rPr>
              <w:t>2009</w:t>
            </w:r>
          </w:p>
        </w:tc>
        <w:tc>
          <w:tcPr>
            <w:tcW w:w="936" w:type="dxa"/>
            <w:tcBorders>
              <w:top w:val="double" w:sz="4" w:space="0" w:color="auto"/>
              <w:left w:val="single" w:sz="4" w:space="0" w:color="auto"/>
              <w:bottom w:val="single" w:sz="8" w:space="0" w:color="auto"/>
              <w:right w:val="single" w:sz="4" w:space="0" w:color="auto"/>
            </w:tcBorders>
          </w:tcPr>
          <w:p w:rsidR="00074F3D" w:rsidRPr="00074F3D" w:rsidRDefault="00074F3D" w:rsidP="00074F3D">
            <w:pPr>
              <w:spacing w:after="0" w:line="240" w:lineRule="auto"/>
              <w:rPr>
                <w:rFonts w:ascii="Times New Roman" w:eastAsia="Times New Roman" w:hAnsi="Times New Roman"/>
                <w:b/>
                <w:bCs/>
                <w:color w:val="000000"/>
                <w:sz w:val="20"/>
                <w:szCs w:val="20"/>
                <w:lang w:eastAsia="pt-BR"/>
              </w:rPr>
            </w:pPr>
            <w:r w:rsidRPr="00074F3D">
              <w:rPr>
                <w:rFonts w:ascii="Times New Roman" w:eastAsia="Times New Roman" w:hAnsi="Times New Roman"/>
                <w:b/>
                <w:bCs/>
                <w:color w:val="000000"/>
                <w:sz w:val="20"/>
                <w:szCs w:val="20"/>
                <w:lang w:eastAsia="pt-BR"/>
              </w:rPr>
              <w:t>2010</w:t>
            </w:r>
          </w:p>
        </w:tc>
        <w:tc>
          <w:tcPr>
            <w:tcW w:w="937" w:type="dxa"/>
            <w:tcBorders>
              <w:top w:val="double" w:sz="4" w:space="0" w:color="auto"/>
              <w:left w:val="single" w:sz="4" w:space="0" w:color="auto"/>
              <w:bottom w:val="single" w:sz="8" w:space="0" w:color="auto"/>
              <w:right w:val="nil"/>
            </w:tcBorders>
          </w:tcPr>
          <w:p w:rsidR="00074F3D" w:rsidRPr="00074F3D" w:rsidRDefault="00074F3D" w:rsidP="00074F3D">
            <w:pPr>
              <w:spacing w:after="0" w:line="240" w:lineRule="auto"/>
              <w:rPr>
                <w:rFonts w:ascii="Times New Roman" w:eastAsia="Times New Roman" w:hAnsi="Times New Roman"/>
                <w:b/>
                <w:bCs/>
                <w:color w:val="000000"/>
                <w:sz w:val="20"/>
                <w:szCs w:val="20"/>
                <w:lang w:eastAsia="pt-BR"/>
              </w:rPr>
            </w:pPr>
            <w:r w:rsidRPr="00074F3D">
              <w:rPr>
                <w:rFonts w:ascii="Times New Roman" w:eastAsia="Times New Roman" w:hAnsi="Times New Roman"/>
                <w:b/>
                <w:bCs/>
                <w:color w:val="000000"/>
                <w:sz w:val="20"/>
                <w:szCs w:val="20"/>
                <w:lang w:eastAsia="pt-BR"/>
              </w:rPr>
              <w:t>2011</w:t>
            </w:r>
          </w:p>
        </w:tc>
        <w:tc>
          <w:tcPr>
            <w:tcW w:w="937" w:type="dxa"/>
            <w:tcBorders>
              <w:top w:val="double" w:sz="4" w:space="0" w:color="auto"/>
              <w:left w:val="single" w:sz="4" w:space="0" w:color="auto"/>
              <w:bottom w:val="single" w:sz="8" w:space="0" w:color="auto"/>
              <w:right w:val="nil"/>
            </w:tcBorders>
          </w:tcPr>
          <w:p w:rsidR="00074F3D" w:rsidRPr="00074F3D" w:rsidRDefault="00074F3D" w:rsidP="00074F3D">
            <w:pPr>
              <w:spacing w:after="0" w:line="240" w:lineRule="auto"/>
              <w:rPr>
                <w:rFonts w:ascii="Times New Roman" w:eastAsia="Times New Roman" w:hAnsi="Times New Roman"/>
                <w:b/>
                <w:bCs/>
                <w:color w:val="000000"/>
                <w:sz w:val="20"/>
                <w:szCs w:val="20"/>
                <w:lang w:eastAsia="pt-BR"/>
              </w:rPr>
            </w:pPr>
            <w:r w:rsidRPr="00074F3D">
              <w:rPr>
                <w:rFonts w:ascii="Times New Roman" w:eastAsia="Times New Roman" w:hAnsi="Times New Roman"/>
                <w:b/>
                <w:bCs/>
                <w:color w:val="000000"/>
                <w:sz w:val="20"/>
                <w:szCs w:val="20"/>
                <w:lang w:eastAsia="pt-BR"/>
              </w:rPr>
              <w:t>2012</w:t>
            </w:r>
          </w:p>
        </w:tc>
      </w:tr>
      <w:tr w:rsidR="00074F3D" w:rsidRPr="00074F3D" w:rsidTr="00B348CE">
        <w:trPr>
          <w:trHeight w:val="57"/>
          <w:jc w:val="center"/>
        </w:trPr>
        <w:tc>
          <w:tcPr>
            <w:tcW w:w="3638" w:type="dxa"/>
            <w:tcBorders>
              <w:top w:val="nil"/>
              <w:left w:val="nil"/>
              <w:bottom w:val="single" w:sz="4" w:space="0" w:color="auto"/>
              <w:right w:val="single" w:sz="4" w:space="0" w:color="auto"/>
            </w:tcBorders>
            <w:shd w:val="clear" w:color="auto" w:fill="auto"/>
            <w:vAlign w:val="bottom"/>
          </w:tcPr>
          <w:p w:rsidR="00074F3D" w:rsidRPr="00074F3D" w:rsidRDefault="00074F3D" w:rsidP="00074F3D">
            <w:pPr>
              <w:spacing w:after="0" w:line="240" w:lineRule="auto"/>
              <w:rPr>
                <w:rFonts w:ascii="Times New Roman" w:eastAsia="Times New Roman" w:hAnsi="Times New Roman"/>
                <w:b/>
                <w:bCs/>
                <w:color w:val="000000"/>
                <w:sz w:val="20"/>
                <w:szCs w:val="20"/>
                <w:lang w:eastAsia="pt-BR"/>
              </w:rPr>
            </w:pPr>
            <w:r w:rsidRPr="00074F3D">
              <w:rPr>
                <w:rFonts w:ascii="Times New Roman" w:eastAsia="Times New Roman" w:hAnsi="Times New Roman"/>
                <w:b/>
                <w:bCs/>
                <w:color w:val="000000"/>
                <w:sz w:val="20"/>
                <w:szCs w:val="20"/>
                <w:lang w:eastAsia="pt-BR"/>
              </w:rPr>
              <w:t xml:space="preserve">Conta financeira </w:t>
            </w:r>
          </w:p>
        </w:tc>
        <w:tc>
          <w:tcPr>
            <w:tcW w:w="936" w:type="dxa"/>
            <w:tcBorders>
              <w:top w:val="nil"/>
              <w:left w:val="single" w:sz="4" w:space="0" w:color="auto"/>
              <w:bottom w:val="single" w:sz="4" w:space="0" w:color="auto"/>
              <w:right w:val="single" w:sz="4" w:space="0" w:color="auto"/>
            </w:tcBorders>
            <w:shd w:val="clear" w:color="auto" w:fill="auto"/>
            <w:noWrap/>
            <w:vAlign w:val="bottom"/>
          </w:tcPr>
          <w:p w:rsidR="00074F3D" w:rsidRPr="00074F3D" w:rsidRDefault="00074F3D" w:rsidP="00074F3D">
            <w:pPr>
              <w:spacing w:after="0" w:line="240" w:lineRule="auto"/>
              <w:rPr>
                <w:rFonts w:ascii="Times New Roman" w:eastAsia="Times New Roman" w:hAnsi="Times New Roman"/>
                <w:b/>
                <w:bCs/>
                <w:color w:val="000000"/>
                <w:sz w:val="20"/>
                <w:szCs w:val="20"/>
                <w:lang w:eastAsia="pt-BR"/>
              </w:rPr>
            </w:pPr>
            <w:r w:rsidRPr="00074F3D">
              <w:rPr>
                <w:rFonts w:ascii="Times New Roman" w:eastAsia="Times New Roman" w:hAnsi="Times New Roman"/>
                <w:b/>
                <w:bCs/>
                <w:color w:val="000000"/>
                <w:sz w:val="20"/>
                <w:szCs w:val="20"/>
                <w:lang w:eastAsia="pt-BR"/>
              </w:rPr>
              <w:t>100,00</w:t>
            </w:r>
          </w:p>
        </w:tc>
        <w:tc>
          <w:tcPr>
            <w:tcW w:w="937" w:type="dxa"/>
            <w:tcBorders>
              <w:top w:val="nil"/>
              <w:left w:val="single" w:sz="4" w:space="0" w:color="auto"/>
              <w:bottom w:val="single" w:sz="4" w:space="0" w:color="auto"/>
              <w:right w:val="single" w:sz="4" w:space="0" w:color="auto"/>
            </w:tcBorders>
            <w:shd w:val="clear" w:color="auto" w:fill="auto"/>
            <w:noWrap/>
            <w:vAlign w:val="bottom"/>
          </w:tcPr>
          <w:p w:rsidR="00074F3D" w:rsidRPr="00074F3D" w:rsidRDefault="00074F3D" w:rsidP="00074F3D">
            <w:pPr>
              <w:spacing w:after="0" w:line="240" w:lineRule="auto"/>
              <w:rPr>
                <w:rFonts w:ascii="Times New Roman" w:eastAsia="Times New Roman" w:hAnsi="Times New Roman"/>
                <w:b/>
                <w:bCs/>
                <w:color w:val="000000"/>
                <w:sz w:val="20"/>
                <w:szCs w:val="20"/>
                <w:lang w:eastAsia="pt-BR"/>
              </w:rPr>
            </w:pPr>
            <w:r w:rsidRPr="00074F3D">
              <w:rPr>
                <w:rFonts w:ascii="Times New Roman" w:eastAsia="Times New Roman" w:hAnsi="Times New Roman"/>
                <w:b/>
                <w:bCs/>
                <w:color w:val="000000"/>
                <w:sz w:val="20"/>
                <w:szCs w:val="20"/>
                <w:lang w:eastAsia="pt-BR"/>
              </w:rPr>
              <w:t>100,00</w:t>
            </w:r>
          </w:p>
        </w:tc>
        <w:tc>
          <w:tcPr>
            <w:tcW w:w="937" w:type="dxa"/>
            <w:tcBorders>
              <w:top w:val="nil"/>
              <w:left w:val="single" w:sz="4" w:space="0" w:color="auto"/>
              <w:bottom w:val="single" w:sz="4" w:space="0" w:color="auto"/>
              <w:right w:val="single" w:sz="4" w:space="0" w:color="auto"/>
            </w:tcBorders>
            <w:shd w:val="clear" w:color="auto" w:fill="auto"/>
            <w:noWrap/>
            <w:vAlign w:val="bottom"/>
          </w:tcPr>
          <w:p w:rsidR="00074F3D" w:rsidRPr="00074F3D" w:rsidRDefault="00074F3D" w:rsidP="00074F3D">
            <w:pPr>
              <w:spacing w:after="0" w:line="240" w:lineRule="auto"/>
              <w:rPr>
                <w:rFonts w:ascii="Times New Roman" w:eastAsia="Times New Roman" w:hAnsi="Times New Roman"/>
                <w:b/>
                <w:bCs/>
                <w:color w:val="000000"/>
                <w:sz w:val="20"/>
                <w:szCs w:val="20"/>
                <w:lang w:eastAsia="pt-BR"/>
              </w:rPr>
            </w:pPr>
            <w:r w:rsidRPr="00074F3D">
              <w:rPr>
                <w:rFonts w:ascii="Times New Roman" w:eastAsia="Times New Roman" w:hAnsi="Times New Roman"/>
                <w:b/>
                <w:bCs/>
                <w:color w:val="000000"/>
                <w:sz w:val="20"/>
                <w:szCs w:val="20"/>
                <w:lang w:eastAsia="pt-BR"/>
              </w:rPr>
              <w:t>100,00</w:t>
            </w:r>
          </w:p>
        </w:tc>
        <w:tc>
          <w:tcPr>
            <w:tcW w:w="936" w:type="dxa"/>
            <w:tcBorders>
              <w:top w:val="nil"/>
              <w:left w:val="single" w:sz="4" w:space="0" w:color="auto"/>
              <w:bottom w:val="single" w:sz="4" w:space="0" w:color="auto"/>
              <w:right w:val="single" w:sz="4" w:space="0" w:color="auto"/>
            </w:tcBorders>
            <w:vAlign w:val="bottom"/>
          </w:tcPr>
          <w:p w:rsidR="00074F3D" w:rsidRPr="00074F3D" w:rsidRDefault="00074F3D" w:rsidP="00074F3D">
            <w:pPr>
              <w:spacing w:after="0" w:line="240" w:lineRule="auto"/>
              <w:rPr>
                <w:rFonts w:ascii="Times New Roman" w:eastAsia="Times New Roman" w:hAnsi="Times New Roman"/>
                <w:b/>
                <w:bCs/>
                <w:color w:val="000000"/>
                <w:sz w:val="20"/>
                <w:szCs w:val="20"/>
                <w:lang w:eastAsia="pt-BR"/>
              </w:rPr>
            </w:pPr>
            <w:r w:rsidRPr="00074F3D">
              <w:rPr>
                <w:rFonts w:ascii="Times New Roman" w:eastAsia="Times New Roman" w:hAnsi="Times New Roman"/>
                <w:b/>
                <w:bCs/>
                <w:color w:val="000000"/>
                <w:sz w:val="20"/>
                <w:szCs w:val="20"/>
                <w:lang w:eastAsia="pt-BR"/>
              </w:rPr>
              <w:t>100,00</w:t>
            </w:r>
          </w:p>
        </w:tc>
        <w:tc>
          <w:tcPr>
            <w:tcW w:w="937" w:type="dxa"/>
            <w:tcBorders>
              <w:top w:val="nil"/>
              <w:left w:val="single" w:sz="4" w:space="0" w:color="auto"/>
              <w:bottom w:val="single" w:sz="4" w:space="0" w:color="auto"/>
              <w:right w:val="nil"/>
            </w:tcBorders>
            <w:vAlign w:val="bottom"/>
          </w:tcPr>
          <w:p w:rsidR="00074F3D" w:rsidRPr="00074F3D" w:rsidRDefault="00074F3D" w:rsidP="00074F3D">
            <w:pPr>
              <w:spacing w:after="0" w:line="240" w:lineRule="auto"/>
              <w:rPr>
                <w:rFonts w:ascii="Times New Roman" w:eastAsia="Times New Roman" w:hAnsi="Times New Roman"/>
                <w:b/>
                <w:bCs/>
                <w:color w:val="000000"/>
                <w:sz w:val="20"/>
                <w:szCs w:val="20"/>
                <w:lang w:eastAsia="pt-BR"/>
              </w:rPr>
            </w:pPr>
            <w:r w:rsidRPr="00074F3D">
              <w:rPr>
                <w:rFonts w:ascii="Times New Roman" w:eastAsia="Times New Roman" w:hAnsi="Times New Roman"/>
                <w:b/>
                <w:bCs/>
                <w:color w:val="000000"/>
                <w:sz w:val="20"/>
                <w:szCs w:val="20"/>
                <w:lang w:eastAsia="pt-BR"/>
              </w:rPr>
              <w:t>100,00</w:t>
            </w:r>
          </w:p>
        </w:tc>
        <w:tc>
          <w:tcPr>
            <w:tcW w:w="937" w:type="dxa"/>
            <w:tcBorders>
              <w:top w:val="nil"/>
              <w:left w:val="single" w:sz="4" w:space="0" w:color="auto"/>
              <w:bottom w:val="single" w:sz="4" w:space="0" w:color="auto"/>
              <w:right w:val="nil"/>
            </w:tcBorders>
          </w:tcPr>
          <w:p w:rsidR="00074F3D" w:rsidRPr="00074F3D" w:rsidRDefault="00074F3D" w:rsidP="00074F3D">
            <w:pPr>
              <w:spacing w:after="0" w:line="240" w:lineRule="auto"/>
              <w:rPr>
                <w:rFonts w:ascii="Times New Roman" w:eastAsia="Times New Roman" w:hAnsi="Times New Roman"/>
                <w:b/>
                <w:bCs/>
                <w:color w:val="000000"/>
                <w:sz w:val="20"/>
                <w:szCs w:val="20"/>
                <w:lang w:eastAsia="pt-BR"/>
              </w:rPr>
            </w:pPr>
            <w:r w:rsidRPr="00074F3D">
              <w:rPr>
                <w:rFonts w:ascii="Times New Roman" w:eastAsia="Times New Roman" w:hAnsi="Times New Roman"/>
                <w:b/>
                <w:bCs/>
                <w:color w:val="000000"/>
                <w:sz w:val="20"/>
                <w:szCs w:val="20"/>
                <w:lang w:eastAsia="pt-BR"/>
              </w:rPr>
              <w:t>100,00</w:t>
            </w:r>
          </w:p>
        </w:tc>
      </w:tr>
      <w:tr w:rsidR="00074F3D" w:rsidRPr="00074F3D" w:rsidTr="00B348CE">
        <w:trPr>
          <w:trHeight w:val="57"/>
          <w:jc w:val="center"/>
        </w:trPr>
        <w:tc>
          <w:tcPr>
            <w:tcW w:w="3638" w:type="dxa"/>
            <w:tcBorders>
              <w:top w:val="nil"/>
              <w:left w:val="nil"/>
              <w:bottom w:val="single" w:sz="4" w:space="0" w:color="auto"/>
              <w:right w:val="single" w:sz="4" w:space="0" w:color="auto"/>
            </w:tcBorders>
            <w:shd w:val="clear" w:color="auto" w:fill="auto"/>
            <w:vAlign w:val="bottom"/>
          </w:tcPr>
          <w:p w:rsidR="00074F3D" w:rsidRPr="00074F3D" w:rsidRDefault="00074F3D" w:rsidP="00074F3D">
            <w:pPr>
              <w:spacing w:after="0" w:line="240" w:lineRule="auto"/>
              <w:rPr>
                <w:rFonts w:ascii="Times New Roman" w:eastAsia="Times New Roman" w:hAnsi="Times New Roman"/>
                <w:i/>
                <w:iCs/>
                <w:color w:val="000000"/>
                <w:sz w:val="20"/>
                <w:szCs w:val="20"/>
                <w:lang w:eastAsia="pt-BR"/>
              </w:rPr>
            </w:pPr>
            <w:r w:rsidRPr="00074F3D">
              <w:rPr>
                <w:rFonts w:ascii="Times New Roman" w:eastAsia="Times New Roman" w:hAnsi="Times New Roman"/>
                <w:i/>
                <w:iCs/>
                <w:color w:val="000000"/>
                <w:sz w:val="20"/>
                <w:szCs w:val="20"/>
                <w:lang w:eastAsia="pt-BR"/>
              </w:rPr>
              <w:t xml:space="preserve">   Investimento Direto - Total </w:t>
            </w:r>
          </w:p>
        </w:tc>
        <w:tc>
          <w:tcPr>
            <w:tcW w:w="936" w:type="dxa"/>
            <w:tcBorders>
              <w:top w:val="nil"/>
              <w:left w:val="single" w:sz="4" w:space="0" w:color="auto"/>
              <w:bottom w:val="single" w:sz="4" w:space="0" w:color="auto"/>
              <w:right w:val="single" w:sz="4" w:space="0" w:color="auto"/>
            </w:tcBorders>
            <w:shd w:val="clear" w:color="auto" w:fill="auto"/>
            <w:noWrap/>
            <w:vAlign w:val="bottom"/>
          </w:tcPr>
          <w:p w:rsidR="00074F3D" w:rsidRPr="00074F3D" w:rsidRDefault="00074F3D" w:rsidP="00074F3D">
            <w:pPr>
              <w:spacing w:after="0" w:line="240" w:lineRule="auto"/>
              <w:rPr>
                <w:rFonts w:ascii="Times New Roman" w:eastAsia="Times New Roman" w:hAnsi="Times New Roman"/>
                <w:i/>
                <w:iCs/>
                <w:color w:val="000000"/>
                <w:sz w:val="20"/>
                <w:szCs w:val="20"/>
                <w:lang w:eastAsia="pt-BR"/>
              </w:rPr>
            </w:pPr>
            <w:r w:rsidRPr="00074F3D">
              <w:rPr>
                <w:rFonts w:ascii="Times New Roman" w:eastAsia="Times New Roman" w:hAnsi="Times New Roman"/>
                <w:i/>
                <w:iCs/>
                <w:color w:val="000000"/>
                <w:sz w:val="20"/>
                <w:szCs w:val="20"/>
                <w:lang w:eastAsia="pt-BR"/>
              </w:rPr>
              <w:t>30,65</w:t>
            </w:r>
          </w:p>
        </w:tc>
        <w:tc>
          <w:tcPr>
            <w:tcW w:w="937" w:type="dxa"/>
            <w:tcBorders>
              <w:top w:val="nil"/>
              <w:left w:val="single" w:sz="4" w:space="0" w:color="auto"/>
              <w:bottom w:val="single" w:sz="4" w:space="0" w:color="auto"/>
              <w:right w:val="single" w:sz="4" w:space="0" w:color="auto"/>
            </w:tcBorders>
            <w:shd w:val="clear" w:color="auto" w:fill="auto"/>
            <w:noWrap/>
            <w:vAlign w:val="bottom"/>
          </w:tcPr>
          <w:p w:rsidR="00074F3D" w:rsidRPr="00074F3D" w:rsidRDefault="00074F3D" w:rsidP="00074F3D">
            <w:pPr>
              <w:spacing w:after="0" w:line="240" w:lineRule="auto"/>
              <w:rPr>
                <w:rFonts w:ascii="Times New Roman" w:eastAsia="Times New Roman" w:hAnsi="Times New Roman"/>
                <w:i/>
                <w:iCs/>
                <w:color w:val="000000"/>
                <w:sz w:val="20"/>
                <w:szCs w:val="20"/>
                <w:lang w:eastAsia="pt-BR"/>
              </w:rPr>
            </w:pPr>
            <w:r w:rsidRPr="00074F3D">
              <w:rPr>
                <w:rFonts w:ascii="Times New Roman" w:eastAsia="Times New Roman" w:hAnsi="Times New Roman"/>
                <w:i/>
                <w:iCs/>
                <w:color w:val="000000"/>
                <w:sz w:val="20"/>
                <w:szCs w:val="20"/>
                <w:lang w:eastAsia="pt-BR"/>
              </w:rPr>
              <w:t>85,05</w:t>
            </w:r>
          </w:p>
        </w:tc>
        <w:tc>
          <w:tcPr>
            <w:tcW w:w="937" w:type="dxa"/>
            <w:tcBorders>
              <w:top w:val="nil"/>
              <w:left w:val="single" w:sz="4" w:space="0" w:color="auto"/>
              <w:bottom w:val="single" w:sz="4" w:space="0" w:color="auto"/>
              <w:right w:val="single" w:sz="4" w:space="0" w:color="auto"/>
            </w:tcBorders>
            <w:shd w:val="clear" w:color="auto" w:fill="auto"/>
            <w:noWrap/>
            <w:vAlign w:val="bottom"/>
          </w:tcPr>
          <w:p w:rsidR="00074F3D" w:rsidRPr="00074F3D" w:rsidRDefault="00074F3D" w:rsidP="00074F3D">
            <w:pPr>
              <w:spacing w:after="0" w:line="240" w:lineRule="auto"/>
              <w:rPr>
                <w:rFonts w:ascii="Times New Roman" w:eastAsia="Times New Roman" w:hAnsi="Times New Roman"/>
                <w:i/>
                <w:iCs/>
                <w:color w:val="000000"/>
                <w:sz w:val="20"/>
                <w:szCs w:val="20"/>
                <w:lang w:eastAsia="pt-BR"/>
              </w:rPr>
            </w:pPr>
            <w:r w:rsidRPr="00074F3D">
              <w:rPr>
                <w:rFonts w:ascii="Times New Roman" w:eastAsia="Times New Roman" w:hAnsi="Times New Roman"/>
                <w:i/>
                <w:iCs/>
                <w:color w:val="000000"/>
                <w:sz w:val="20"/>
                <w:szCs w:val="20"/>
                <w:lang w:eastAsia="pt-BR"/>
              </w:rPr>
              <w:t>35,06</w:t>
            </w:r>
          </w:p>
        </w:tc>
        <w:tc>
          <w:tcPr>
            <w:tcW w:w="936" w:type="dxa"/>
            <w:tcBorders>
              <w:top w:val="nil"/>
              <w:left w:val="single" w:sz="4" w:space="0" w:color="auto"/>
              <w:bottom w:val="single" w:sz="4" w:space="0" w:color="auto"/>
              <w:right w:val="single" w:sz="4" w:space="0" w:color="auto"/>
            </w:tcBorders>
          </w:tcPr>
          <w:p w:rsidR="00074F3D" w:rsidRPr="00074F3D" w:rsidRDefault="00074F3D" w:rsidP="00074F3D">
            <w:pPr>
              <w:spacing w:after="0" w:line="240" w:lineRule="auto"/>
              <w:rPr>
                <w:rFonts w:ascii="Times New Roman" w:eastAsia="Times New Roman" w:hAnsi="Times New Roman"/>
                <w:i/>
                <w:iCs/>
                <w:color w:val="000000"/>
                <w:sz w:val="20"/>
                <w:szCs w:val="20"/>
                <w:lang w:eastAsia="pt-BR"/>
              </w:rPr>
            </w:pPr>
            <w:r w:rsidRPr="00074F3D">
              <w:rPr>
                <w:rFonts w:ascii="Times New Roman" w:eastAsia="Times New Roman" w:hAnsi="Times New Roman"/>
                <w:i/>
                <w:iCs/>
                <w:color w:val="000000"/>
                <w:sz w:val="20"/>
                <w:szCs w:val="20"/>
                <w:lang w:eastAsia="pt-BR"/>
              </w:rPr>
              <w:t>36,53</w:t>
            </w:r>
          </w:p>
        </w:tc>
        <w:tc>
          <w:tcPr>
            <w:tcW w:w="937" w:type="dxa"/>
            <w:tcBorders>
              <w:top w:val="nil"/>
              <w:left w:val="single" w:sz="4" w:space="0" w:color="auto"/>
              <w:bottom w:val="single" w:sz="4" w:space="0" w:color="auto"/>
              <w:right w:val="nil"/>
            </w:tcBorders>
          </w:tcPr>
          <w:p w:rsidR="00074F3D" w:rsidRPr="00074F3D" w:rsidRDefault="00074F3D" w:rsidP="00074F3D">
            <w:pPr>
              <w:spacing w:after="0" w:line="240" w:lineRule="auto"/>
              <w:rPr>
                <w:rFonts w:ascii="Times New Roman" w:hAnsi="Times New Roman"/>
                <w:bCs/>
                <w:i/>
                <w:color w:val="000000"/>
                <w:sz w:val="20"/>
                <w:szCs w:val="20"/>
              </w:rPr>
            </w:pPr>
            <w:r w:rsidRPr="00074F3D">
              <w:rPr>
                <w:rFonts w:ascii="Times New Roman" w:hAnsi="Times New Roman"/>
                <w:bCs/>
                <w:i/>
                <w:color w:val="000000"/>
                <w:sz w:val="20"/>
                <w:szCs w:val="20"/>
              </w:rPr>
              <w:t>35,85</w:t>
            </w:r>
          </w:p>
        </w:tc>
        <w:tc>
          <w:tcPr>
            <w:tcW w:w="937" w:type="dxa"/>
            <w:tcBorders>
              <w:top w:val="nil"/>
              <w:left w:val="single" w:sz="4" w:space="0" w:color="auto"/>
              <w:bottom w:val="single" w:sz="4" w:space="0" w:color="auto"/>
              <w:right w:val="nil"/>
            </w:tcBorders>
          </w:tcPr>
          <w:p w:rsidR="00074F3D" w:rsidRPr="00074F3D" w:rsidRDefault="00074F3D" w:rsidP="00074F3D">
            <w:pPr>
              <w:spacing w:after="0" w:line="240" w:lineRule="auto"/>
              <w:rPr>
                <w:rFonts w:ascii="Times New Roman" w:hAnsi="Times New Roman"/>
                <w:bCs/>
                <w:i/>
                <w:color w:val="000000"/>
                <w:sz w:val="20"/>
                <w:szCs w:val="20"/>
              </w:rPr>
            </w:pPr>
            <w:r w:rsidRPr="00074F3D">
              <w:rPr>
                <w:rFonts w:ascii="Times New Roman" w:hAnsi="Times New Roman"/>
                <w:bCs/>
                <w:i/>
                <w:color w:val="000000"/>
                <w:sz w:val="20"/>
                <w:szCs w:val="20"/>
              </w:rPr>
              <w:t>49,83</w:t>
            </w:r>
          </w:p>
        </w:tc>
      </w:tr>
      <w:tr w:rsidR="00074F3D" w:rsidRPr="00074F3D" w:rsidTr="00B348CE">
        <w:trPr>
          <w:trHeight w:val="57"/>
          <w:jc w:val="center"/>
        </w:trPr>
        <w:tc>
          <w:tcPr>
            <w:tcW w:w="3638" w:type="dxa"/>
            <w:tcBorders>
              <w:top w:val="nil"/>
              <w:left w:val="nil"/>
              <w:bottom w:val="single" w:sz="4" w:space="0" w:color="auto"/>
              <w:right w:val="single" w:sz="4" w:space="0" w:color="auto"/>
            </w:tcBorders>
            <w:shd w:val="clear" w:color="auto" w:fill="auto"/>
            <w:vAlign w:val="bottom"/>
          </w:tcPr>
          <w:p w:rsidR="00074F3D" w:rsidRPr="00074F3D" w:rsidRDefault="00074F3D" w:rsidP="00074F3D">
            <w:pPr>
              <w:spacing w:after="0" w:line="240" w:lineRule="auto"/>
              <w:rPr>
                <w:rFonts w:ascii="Times New Roman" w:eastAsia="Times New Roman" w:hAnsi="Times New Roman"/>
                <w:color w:val="000000"/>
                <w:sz w:val="20"/>
                <w:szCs w:val="20"/>
                <w:lang w:eastAsia="pt-BR"/>
              </w:rPr>
            </w:pPr>
            <w:r w:rsidRPr="00074F3D">
              <w:rPr>
                <w:rFonts w:ascii="Times New Roman" w:eastAsia="Times New Roman" w:hAnsi="Times New Roman"/>
                <w:color w:val="000000"/>
                <w:sz w:val="20"/>
                <w:szCs w:val="20"/>
                <w:lang w:eastAsia="pt-BR"/>
              </w:rPr>
              <w:t xml:space="preserve">      Investimento Brasileiro Direto</w:t>
            </w:r>
          </w:p>
        </w:tc>
        <w:tc>
          <w:tcPr>
            <w:tcW w:w="936" w:type="dxa"/>
            <w:tcBorders>
              <w:top w:val="nil"/>
              <w:left w:val="single" w:sz="4" w:space="0" w:color="auto"/>
              <w:bottom w:val="single" w:sz="4" w:space="0" w:color="auto"/>
              <w:right w:val="single" w:sz="4" w:space="0" w:color="auto"/>
            </w:tcBorders>
            <w:shd w:val="clear" w:color="auto" w:fill="auto"/>
            <w:noWrap/>
            <w:vAlign w:val="bottom"/>
          </w:tcPr>
          <w:p w:rsidR="00074F3D" w:rsidRPr="00074F3D" w:rsidRDefault="00074F3D" w:rsidP="00074F3D">
            <w:pPr>
              <w:spacing w:after="0" w:line="240" w:lineRule="auto"/>
              <w:rPr>
                <w:rFonts w:ascii="Times New Roman" w:eastAsia="Times New Roman" w:hAnsi="Times New Roman"/>
                <w:color w:val="000000"/>
                <w:sz w:val="20"/>
                <w:szCs w:val="20"/>
                <w:lang w:eastAsia="pt-BR"/>
              </w:rPr>
            </w:pPr>
            <w:r w:rsidRPr="00074F3D">
              <w:rPr>
                <w:rFonts w:ascii="Times New Roman" w:eastAsia="Times New Roman" w:hAnsi="Times New Roman"/>
                <w:color w:val="000000"/>
                <w:sz w:val="20"/>
                <w:szCs w:val="20"/>
                <w:lang w:eastAsia="pt-BR"/>
              </w:rPr>
              <w:t>16,96</w:t>
            </w:r>
          </w:p>
        </w:tc>
        <w:tc>
          <w:tcPr>
            <w:tcW w:w="937" w:type="dxa"/>
            <w:tcBorders>
              <w:top w:val="nil"/>
              <w:left w:val="single" w:sz="4" w:space="0" w:color="auto"/>
              <w:bottom w:val="single" w:sz="4" w:space="0" w:color="auto"/>
              <w:right w:val="single" w:sz="4" w:space="0" w:color="auto"/>
            </w:tcBorders>
            <w:shd w:val="clear" w:color="auto" w:fill="auto"/>
            <w:noWrap/>
            <w:vAlign w:val="bottom"/>
          </w:tcPr>
          <w:p w:rsidR="00074F3D" w:rsidRPr="00074F3D" w:rsidRDefault="00074F3D" w:rsidP="00074F3D">
            <w:pPr>
              <w:spacing w:after="0" w:line="240" w:lineRule="auto"/>
              <w:rPr>
                <w:rFonts w:ascii="Times New Roman" w:eastAsia="Times New Roman" w:hAnsi="Times New Roman"/>
                <w:color w:val="000000"/>
                <w:sz w:val="20"/>
                <w:szCs w:val="20"/>
                <w:lang w:eastAsia="pt-BR"/>
              </w:rPr>
            </w:pPr>
            <w:r w:rsidRPr="00074F3D">
              <w:rPr>
                <w:rFonts w:ascii="Times New Roman" w:eastAsia="Times New Roman" w:hAnsi="Times New Roman"/>
                <w:color w:val="000000"/>
                <w:sz w:val="20"/>
                <w:szCs w:val="20"/>
                <w:lang w:eastAsia="pt-BR"/>
              </w:rPr>
              <w:t>31,22</w:t>
            </w:r>
          </w:p>
        </w:tc>
        <w:tc>
          <w:tcPr>
            <w:tcW w:w="937" w:type="dxa"/>
            <w:tcBorders>
              <w:top w:val="nil"/>
              <w:left w:val="single" w:sz="4" w:space="0" w:color="auto"/>
              <w:bottom w:val="single" w:sz="4" w:space="0" w:color="auto"/>
              <w:right w:val="single" w:sz="4" w:space="0" w:color="auto"/>
            </w:tcBorders>
            <w:shd w:val="clear" w:color="auto" w:fill="auto"/>
            <w:noWrap/>
            <w:vAlign w:val="bottom"/>
          </w:tcPr>
          <w:p w:rsidR="00074F3D" w:rsidRPr="00074F3D" w:rsidRDefault="00074F3D" w:rsidP="00074F3D">
            <w:pPr>
              <w:spacing w:after="0" w:line="240" w:lineRule="auto"/>
              <w:rPr>
                <w:rFonts w:ascii="Times New Roman" w:eastAsia="Times New Roman" w:hAnsi="Times New Roman"/>
                <w:color w:val="000000"/>
                <w:sz w:val="20"/>
                <w:szCs w:val="20"/>
                <w:lang w:eastAsia="pt-BR"/>
              </w:rPr>
            </w:pPr>
            <w:r w:rsidRPr="00074F3D">
              <w:rPr>
                <w:rFonts w:ascii="Times New Roman" w:eastAsia="Times New Roman" w:hAnsi="Times New Roman"/>
                <w:color w:val="000000"/>
                <w:sz w:val="20"/>
                <w:szCs w:val="20"/>
                <w:lang w:eastAsia="pt-BR"/>
              </w:rPr>
              <w:t>27,98</w:t>
            </w:r>
          </w:p>
        </w:tc>
        <w:tc>
          <w:tcPr>
            <w:tcW w:w="936" w:type="dxa"/>
            <w:tcBorders>
              <w:top w:val="nil"/>
              <w:left w:val="single" w:sz="4" w:space="0" w:color="auto"/>
              <w:bottom w:val="single" w:sz="4" w:space="0" w:color="auto"/>
              <w:right w:val="single" w:sz="4" w:space="0" w:color="auto"/>
            </w:tcBorders>
          </w:tcPr>
          <w:p w:rsidR="00074F3D" w:rsidRPr="00074F3D" w:rsidRDefault="00074F3D" w:rsidP="00074F3D">
            <w:pPr>
              <w:spacing w:after="0" w:line="240" w:lineRule="auto"/>
              <w:rPr>
                <w:rFonts w:ascii="Times New Roman" w:eastAsia="Times New Roman" w:hAnsi="Times New Roman"/>
                <w:color w:val="000000"/>
                <w:sz w:val="20"/>
                <w:szCs w:val="20"/>
                <w:lang w:eastAsia="pt-BR"/>
              </w:rPr>
            </w:pPr>
            <w:r w:rsidRPr="00074F3D">
              <w:rPr>
                <w:rFonts w:ascii="Times New Roman" w:eastAsia="Times New Roman" w:hAnsi="Times New Roman"/>
                <w:color w:val="000000"/>
                <w:sz w:val="20"/>
                <w:szCs w:val="20"/>
                <w:lang w:eastAsia="pt-BR"/>
              </w:rPr>
              <w:t>19,28</w:t>
            </w:r>
          </w:p>
        </w:tc>
        <w:tc>
          <w:tcPr>
            <w:tcW w:w="937" w:type="dxa"/>
            <w:tcBorders>
              <w:top w:val="nil"/>
              <w:left w:val="single" w:sz="4" w:space="0" w:color="auto"/>
              <w:bottom w:val="single" w:sz="4" w:space="0" w:color="auto"/>
              <w:right w:val="nil"/>
            </w:tcBorders>
          </w:tcPr>
          <w:p w:rsidR="00074F3D" w:rsidRPr="00074F3D" w:rsidRDefault="00074F3D" w:rsidP="00074F3D">
            <w:pPr>
              <w:spacing w:after="0" w:line="240" w:lineRule="auto"/>
              <w:rPr>
                <w:rFonts w:ascii="Times New Roman" w:eastAsia="Times New Roman" w:hAnsi="Times New Roman"/>
                <w:color w:val="000000"/>
                <w:sz w:val="20"/>
                <w:szCs w:val="20"/>
                <w:lang w:eastAsia="pt-BR"/>
              </w:rPr>
            </w:pPr>
            <w:r w:rsidRPr="00074F3D">
              <w:rPr>
                <w:rFonts w:ascii="Times New Roman" w:eastAsia="Times New Roman" w:hAnsi="Times New Roman"/>
                <w:color w:val="000000"/>
                <w:sz w:val="20"/>
                <w:szCs w:val="20"/>
                <w:lang w:eastAsia="pt-BR"/>
              </w:rPr>
              <w:t>1,52</w:t>
            </w:r>
          </w:p>
        </w:tc>
        <w:tc>
          <w:tcPr>
            <w:tcW w:w="937" w:type="dxa"/>
            <w:tcBorders>
              <w:top w:val="nil"/>
              <w:left w:val="single" w:sz="4" w:space="0" w:color="auto"/>
              <w:bottom w:val="single" w:sz="4" w:space="0" w:color="auto"/>
              <w:right w:val="nil"/>
            </w:tcBorders>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4,14</w:t>
            </w:r>
          </w:p>
        </w:tc>
      </w:tr>
      <w:tr w:rsidR="00074F3D" w:rsidRPr="00074F3D" w:rsidTr="00B348CE">
        <w:trPr>
          <w:trHeight w:val="57"/>
          <w:jc w:val="center"/>
        </w:trPr>
        <w:tc>
          <w:tcPr>
            <w:tcW w:w="3638" w:type="dxa"/>
            <w:tcBorders>
              <w:top w:val="nil"/>
              <w:left w:val="nil"/>
              <w:bottom w:val="single" w:sz="4" w:space="0" w:color="auto"/>
              <w:right w:val="single" w:sz="4" w:space="0" w:color="auto"/>
            </w:tcBorders>
            <w:shd w:val="clear" w:color="auto" w:fill="auto"/>
            <w:vAlign w:val="bottom"/>
          </w:tcPr>
          <w:p w:rsidR="00074F3D" w:rsidRPr="00074F3D" w:rsidRDefault="00074F3D" w:rsidP="00074F3D">
            <w:pPr>
              <w:spacing w:after="0" w:line="240" w:lineRule="auto"/>
              <w:rPr>
                <w:rFonts w:ascii="Times New Roman" w:eastAsia="Times New Roman" w:hAnsi="Times New Roman"/>
                <w:color w:val="000000"/>
                <w:sz w:val="20"/>
                <w:szCs w:val="20"/>
                <w:lang w:eastAsia="pt-BR"/>
              </w:rPr>
            </w:pPr>
            <w:r w:rsidRPr="00074F3D">
              <w:rPr>
                <w:rFonts w:ascii="Times New Roman" w:eastAsia="Times New Roman" w:hAnsi="Times New Roman"/>
                <w:color w:val="000000"/>
                <w:sz w:val="20"/>
                <w:szCs w:val="20"/>
                <w:lang w:eastAsia="pt-BR"/>
              </w:rPr>
              <w:t xml:space="preserve">      Investimento Estrangeiro Direto</w:t>
            </w:r>
          </w:p>
        </w:tc>
        <w:tc>
          <w:tcPr>
            <w:tcW w:w="936" w:type="dxa"/>
            <w:tcBorders>
              <w:top w:val="nil"/>
              <w:left w:val="single" w:sz="4" w:space="0" w:color="auto"/>
              <w:bottom w:val="single" w:sz="4" w:space="0" w:color="auto"/>
              <w:right w:val="single" w:sz="4" w:space="0" w:color="auto"/>
            </w:tcBorders>
            <w:shd w:val="clear" w:color="auto" w:fill="auto"/>
            <w:noWrap/>
            <w:vAlign w:val="bottom"/>
          </w:tcPr>
          <w:p w:rsidR="00074F3D" w:rsidRPr="00074F3D" w:rsidRDefault="00074F3D" w:rsidP="00074F3D">
            <w:pPr>
              <w:spacing w:after="0" w:line="240" w:lineRule="auto"/>
              <w:rPr>
                <w:rFonts w:ascii="Times New Roman" w:eastAsia="Times New Roman" w:hAnsi="Times New Roman"/>
                <w:color w:val="000000"/>
                <w:sz w:val="20"/>
                <w:szCs w:val="20"/>
                <w:lang w:eastAsia="pt-BR"/>
              </w:rPr>
            </w:pPr>
            <w:r w:rsidRPr="00074F3D">
              <w:rPr>
                <w:rFonts w:ascii="Times New Roman" w:eastAsia="Times New Roman" w:hAnsi="Times New Roman"/>
                <w:color w:val="000000"/>
                <w:sz w:val="20"/>
                <w:szCs w:val="20"/>
                <w:lang w:eastAsia="pt-BR"/>
              </w:rPr>
              <w:t>83,03</w:t>
            </w:r>
          </w:p>
        </w:tc>
        <w:tc>
          <w:tcPr>
            <w:tcW w:w="937" w:type="dxa"/>
            <w:tcBorders>
              <w:top w:val="nil"/>
              <w:left w:val="single" w:sz="4" w:space="0" w:color="auto"/>
              <w:bottom w:val="single" w:sz="4" w:space="0" w:color="auto"/>
              <w:right w:val="single" w:sz="4" w:space="0" w:color="auto"/>
            </w:tcBorders>
            <w:shd w:val="clear" w:color="auto" w:fill="auto"/>
            <w:noWrap/>
            <w:vAlign w:val="bottom"/>
          </w:tcPr>
          <w:p w:rsidR="00074F3D" w:rsidRPr="00074F3D" w:rsidRDefault="00074F3D" w:rsidP="00074F3D">
            <w:pPr>
              <w:spacing w:after="0" w:line="240" w:lineRule="auto"/>
              <w:rPr>
                <w:rFonts w:ascii="Times New Roman" w:eastAsia="Times New Roman" w:hAnsi="Times New Roman"/>
                <w:color w:val="000000"/>
                <w:sz w:val="20"/>
                <w:szCs w:val="20"/>
                <w:lang w:eastAsia="pt-BR"/>
              </w:rPr>
            </w:pPr>
            <w:r w:rsidRPr="00074F3D">
              <w:rPr>
                <w:rFonts w:ascii="Times New Roman" w:eastAsia="Times New Roman" w:hAnsi="Times New Roman"/>
                <w:color w:val="000000"/>
                <w:sz w:val="20"/>
                <w:szCs w:val="20"/>
                <w:lang w:eastAsia="pt-BR"/>
              </w:rPr>
              <w:t>68,77</w:t>
            </w:r>
          </w:p>
        </w:tc>
        <w:tc>
          <w:tcPr>
            <w:tcW w:w="937" w:type="dxa"/>
            <w:tcBorders>
              <w:top w:val="nil"/>
              <w:left w:val="single" w:sz="4" w:space="0" w:color="auto"/>
              <w:bottom w:val="single" w:sz="4" w:space="0" w:color="auto"/>
              <w:right w:val="single" w:sz="4" w:space="0" w:color="auto"/>
            </w:tcBorders>
            <w:shd w:val="clear" w:color="auto" w:fill="auto"/>
            <w:noWrap/>
            <w:vAlign w:val="bottom"/>
          </w:tcPr>
          <w:p w:rsidR="00074F3D" w:rsidRPr="00074F3D" w:rsidRDefault="00074F3D" w:rsidP="00074F3D">
            <w:pPr>
              <w:spacing w:after="0" w:line="240" w:lineRule="auto"/>
              <w:rPr>
                <w:rFonts w:ascii="Times New Roman" w:eastAsia="Times New Roman" w:hAnsi="Times New Roman"/>
                <w:color w:val="000000"/>
                <w:sz w:val="20"/>
                <w:szCs w:val="20"/>
                <w:lang w:eastAsia="pt-BR"/>
              </w:rPr>
            </w:pPr>
            <w:r w:rsidRPr="00074F3D">
              <w:rPr>
                <w:rFonts w:ascii="Times New Roman" w:eastAsia="Times New Roman" w:hAnsi="Times New Roman"/>
                <w:color w:val="000000"/>
                <w:sz w:val="20"/>
                <w:szCs w:val="20"/>
                <w:lang w:eastAsia="pt-BR"/>
              </w:rPr>
              <w:t>72,01</w:t>
            </w:r>
          </w:p>
        </w:tc>
        <w:tc>
          <w:tcPr>
            <w:tcW w:w="936" w:type="dxa"/>
            <w:tcBorders>
              <w:top w:val="nil"/>
              <w:left w:val="single" w:sz="4" w:space="0" w:color="auto"/>
              <w:bottom w:val="single" w:sz="4" w:space="0" w:color="auto"/>
              <w:right w:val="single" w:sz="4" w:space="0" w:color="auto"/>
            </w:tcBorders>
          </w:tcPr>
          <w:p w:rsidR="00074F3D" w:rsidRPr="00074F3D" w:rsidRDefault="00074F3D" w:rsidP="00074F3D">
            <w:pPr>
              <w:spacing w:after="0" w:line="240" w:lineRule="auto"/>
              <w:rPr>
                <w:rFonts w:ascii="Times New Roman" w:eastAsia="Times New Roman" w:hAnsi="Times New Roman"/>
                <w:color w:val="000000"/>
                <w:sz w:val="20"/>
                <w:szCs w:val="20"/>
                <w:lang w:eastAsia="pt-BR"/>
              </w:rPr>
            </w:pPr>
            <w:r w:rsidRPr="00074F3D">
              <w:rPr>
                <w:rFonts w:ascii="Times New Roman" w:eastAsia="Times New Roman" w:hAnsi="Times New Roman"/>
                <w:color w:val="000000"/>
                <w:sz w:val="20"/>
                <w:szCs w:val="20"/>
                <w:lang w:eastAsia="pt-BR"/>
              </w:rPr>
              <w:t>80,71</w:t>
            </w:r>
          </w:p>
        </w:tc>
        <w:tc>
          <w:tcPr>
            <w:tcW w:w="937" w:type="dxa"/>
            <w:tcBorders>
              <w:top w:val="nil"/>
              <w:left w:val="single" w:sz="4" w:space="0" w:color="auto"/>
              <w:bottom w:val="single" w:sz="4" w:space="0" w:color="auto"/>
              <w:right w:val="nil"/>
            </w:tcBorders>
          </w:tcPr>
          <w:p w:rsidR="00074F3D" w:rsidRPr="00074F3D" w:rsidRDefault="00074F3D" w:rsidP="00074F3D">
            <w:pPr>
              <w:spacing w:after="0" w:line="240" w:lineRule="auto"/>
              <w:rPr>
                <w:rFonts w:ascii="Times New Roman" w:eastAsia="Times New Roman" w:hAnsi="Times New Roman"/>
                <w:color w:val="000000"/>
                <w:sz w:val="20"/>
                <w:szCs w:val="20"/>
                <w:lang w:eastAsia="pt-BR"/>
              </w:rPr>
            </w:pPr>
            <w:r w:rsidRPr="00074F3D">
              <w:rPr>
                <w:rFonts w:ascii="Times New Roman" w:eastAsia="Times New Roman" w:hAnsi="Times New Roman"/>
                <w:color w:val="000000"/>
                <w:sz w:val="20"/>
                <w:szCs w:val="20"/>
                <w:lang w:eastAsia="pt-BR"/>
              </w:rPr>
              <w:t>98,47</w:t>
            </w:r>
          </w:p>
        </w:tc>
        <w:tc>
          <w:tcPr>
            <w:tcW w:w="937" w:type="dxa"/>
            <w:tcBorders>
              <w:top w:val="nil"/>
              <w:left w:val="single" w:sz="4" w:space="0" w:color="auto"/>
              <w:bottom w:val="single" w:sz="4" w:space="0" w:color="auto"/>
              <w:right w:val="nil"/>
            </w:tcBorders>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95,86</w:t>
            </w:r>
          </w:p>
        </w:tc>
      </w:tr>
      <w:tr w:rsidR="00074F3D" w:rsidRPr="00074F3D" w:rsidTr="00B348CE">
        <w:trPr>
          <w:trHeight w:val="57"/>
          <w:jc w:val="center"/>
        </w:trPr>
        <w:tc>
          <w:tcPr>
            <w:tcW w:w="3638" w:type="dxa"/>
            <w:tcBorders>
              <w:top w:val="nil"/>
              <w:left w:val="nil"/>
              <w:bottom w:val="single" w:sz="4" w:space="0" w:color="auto"/>
              <w:right w:val="single" w:sz="4" w:space="0" w:color="auto"/>
            </w:tcBorders>
            <w:shd w:val="clear" w:color="auto" w:fill="auto"/>
            <w:vAlign w:val="bottom"/>
          </w:tcPr>
          <w:p w:rsidR="00074F3D" w:rsidRPr="00074F3D" w:rsidRDefault="00074F3D" w:rsidP="00074F3D">
            <w:pPr>
              <w:spacing w:after="0" w:line="240" w:lineRule="auto"/>
              <w:rPr>
                <w:rFonts w:ascii="Times New Roman" w:eastAsia="Times New Roman" w:hAnsi="Times New Roman"/>
                <w:i/>
                <w:iCs/>
                <w:color w:val="000000"/>
                <w:sz w:val="20"/>
                <w:szCs w:val="20"/>
                <w:lang w:eastAsia="pt-BR"/>
              </w:rPr>
            </w:pPr>
            <w:r w:rsidRPr="00074F3D">
              <w:rPr>
                <w:rFonts w:ascii="Times New Roman" w:eastAsia="Times New Roman" w:hAnsi="Times New Roman"/>
                <w:i/>
                <w:iCs/>
                <w:color w:val="000000"/>
                <w:sz w:val="20"/>
                <w:szCs w:val="20"/>
                <w:lang w:eastAsia="pt-BR"/>
              </w:rPr>
              <w:t xml:space="preserve">   Investimento em Carteira - Total </w:t>
            </w:r>
          </w:p>
        </w:tc>
        <w:tc>
          <w:tcPr>
            <w:tcW w:w="936" w:type="dxa"/>
            <w:tcBorders>
              <w:top w:val="nil"/>
              <w:left w:val="single" w:sz="4" w:space="0" w:color="auto"/>
              <w:bottom w:val="single" w:sz="4" w:space="0" w:color="auto"/>
              <w:right w:val="single" w:sz="4" w:space="0" w:color="auto"/>
            </w:tcBorders>
            <w:shd w:val="clear" w:color="auto" w:fill="auto"/>
            <w:noWrap/>
            <w:vAlign w:val="bottom"/>
          </w:tcPr>
          <w:p w:rsidR="00074F3D" w:rsidRPr="00074F3D" w:rsidRDefault="00074F3D" w:rsidP="00074F3D">
            <w:pPr>
              <w:spacing w:after="0" w:line="240" w:lineRule="auto"/>
              <w:rPr>
                <w:rFonts w:ascii="Times New Roman" w:eastAsia="Times New Roman" w:hAnsi="Times New Roman"/>
                <w:i/>
                <w:iCs/>
                <w:color w:val="000000"/>
                <w:sz w:val="20"/>
                <w:szCs w:val="20"/>
                <w:lang w:eastAsia="pt-BR"/>
              </w:rPr>
            </w:pPr>
            <w:r w:rsidRPr="00074F3D">
              <w:rPr>
                <w:rFonts w:ascii="Times New Roman" w:eastAsia="Times New Roman" w:hAnsi="Times New Roman"/>
                <w:i/>
                <w:iCs/>
                <w:color w:val="000000"/>
                <w:sz w:val="20"/>
                <w:szCs w:val="20"/>
                <w:lang w:eastAsia="pt-BR"/>
              </w:rPr>
              <w:t>53,91</w:t>
            </w:r>
          </w:p>
        </w:tc>
        <w:tc>
          <w:tcPr>
            <w:tcW w:w="937" w:type="dxa"/>
            <w:tcBorders>
              <w:top w:val="nil"/>
              <w:left w:val="single" w:sz="4" w:space="0" w:color="auto"/>
              <w:bottom w:val="single" w:sz="4" w:space="0" w:color="auto"/>
              <w:right w:val="single" w:sz="4" w:space="0" w:color="auto"/>
            </w:tcBorders>
            <w:shd w:val="clear" w:color="auto" w:fill="auto"/>
            <w:noWrap/>
            <w:vAlign w:val="bottom"/>
          </w:tcPr>
          <w:p w:rsidR="00074F3D" w:rsidRPr="00074F3D" w:rsidRDefault="00074F3D" w:rsidP="00074F3D">
            <w:pPr>
              <w:spacing w:after="0" w:line="240" w:lineRule="auto"/>
              <w:rPr>
                <w:rFonts w:ascii="Times New Roman" w:eastAsia="Times New Roman" w:hAnsi="Times New Roman"/>
                <w:i/>
                <w:iCs/>
                <w:color w:val="000000"/>
                <w:sz w:val="20"/>
                <w:szCs w:val="20"/>
                <w:lang w:eastAsia="pt-BR"/>
              </w:rPr>
            </w:pPr>
            <w:r w:rsidRPr="00074F3D">
              <w:rPr>
                <w:rFonts w:ascii="Times New Roman" w:eastAsia="Times New Roman" w:hAnsi="Times New Roman"/>
                <w:i/>
                <w:iCs/>
                <w:color w:val="000000"/>
                <w:sz w:val="20"/>
                <w:szCs w:val="20"/>
                <w:lang w:eastAsia="pt-BR"/>
              </w:rPr>
              <w:t>3,91</w:t>
            </w:r>
          </w:p>
        </w:tc>
        <w:tc>
          <w:tcPr>
            <w:tcW w:w="937" w:type="dxa"/>
            <w:tcBorders>
              <w:top w:val="nil"/>
              <w:left w:val="single" w:sz="4" w:space="0" w:color="auto"/>
              <w:bottom w:val="single" w:sz="4" w:space="0" w:color="auto"/>
              <w:right w:val="single" w:sz="4" w:space="0" w:color="auto"/>
            </w:tcBorders>
            <w:shd w:val="clear" w:color="auto" w:fill="auto"/>
            <w:noWrap/>
            <w:vAlign w:val="bottom"/>
          </w:tcPr>
          <w:p w:rsidR="00074F3D" w:rsidRPr="00074F3D" w:rsidRDefault="00074F3D" w:rsidP="00074F3D">
            <w:pPr>
              <w:spacing w:after="0" w:line="240" w:lineRule="auto"/>
              <w:rPr>
                <w:rFonts w:ascii="Times New Roman" w:eastAsia="Times New Roman" w:hAnsi="Times New Roman"/>
                <w:i/>
                <w:iCs/>
                <w:color w:val="000000"/>
                <w:sz w:val="20"/>
                <w:szCs w:val="20"/>
                <w:lang w:eastAsia="pt-BR"/>
              </w:rPr>
            </w:pPr>
            <w:r w:rsidRPr="00074F3D">
              <w:rPr>
                <w:rFonts w:ascii="Times New Roman" w:eastAsia="Times New Roman" w:hAnsi="Times New Roman"/>
                <w:i/>
                <w:iCs/>
                <w:color w:val="000000"/>
                <w:sz w:val="20"/>
                <w:szCs w:val="20"/>
                <w:lang w:eastAsia="pt-BR"/>
              </w:rPr>
              <w:t>48,93</w:t>
            </w:r>
          </w:p>
        </w:tc>
        <w:tc>
          <w:tcPr>
            <w:tcW w:w="936" w:type="dxa"/>
            <w:tcBorders>
              <w:top w:val="nil"/>
              <w:left w:val="single" w:sz="4" w:space="0" w:color="auto"/>
              <w:bottom w:val="single" w:sz="4" w:space="0" w:color="auto"/>
              <w:right w:val="single" w:sz="4" w:space="0" w:color="auto"/>
            </w:tcBorders>
          </w:tcPr>
          <w:p w:rsidR="00074F3D" w:rsidRPr="00074F3D" w:rsidRDefault="00074F3D" w:rsidP="00074F3D">
            <w:pPr>
              <w:spacing w:after="0" w:line="240" w:lineRule="auto"/>
              <w:rPr>
                <w:rFonts w:ascii="Times New Roman" w:eastAsia="Times New Roman" w:hAnsi="Times New Roman"/>
                <w:i/>
                <w:iCs/>
                <w:color w:val="000000"/>
                <w:sz w:val="20"/>
                <w:szCs w:val="20"/>
                <w:lang w:eastAsia="pt-BR"/>
              </w:rPr>
            </w:pPr>
            <w:r w:rsidRPr="00074F3D">
              <w:rPr>
                <w:rFonts w:ascii="Times New Roman" w:eastAsia="Times New Roman" w:hAnsi="Times New Roman"/>
                <w:i/>
                <w:iCs/>
                <w:color w:val="000000"/>
                <w:sz w:val="20"/>
                <w:szCs w:val="20"/>
                <w:lang w:eastAsia="pt-BR"/>
              </w:rPr>
              <w:t>62,34</w:t>
            </w:r>
          </w:p>
        </w:tc>
        <w:tc>
          <w:tcPr>
            <w:tcW w:w="937" w:type="dxa"/>
            <w:tcBorders>
              <w:top w:val="nil"/>
              <w:left w:val="single" w:sz="4" w:space="0" w:color="auto"/>
              <w:bottom w:val="single" w:sz="4" w:space="0" w:color="auto"/>
              <w:right w:val="nil"/>
            </w:tcBorders>
          </w:tcPr>
          <w:p w:rsidR="00074F3D" w:rsidRPr="00074F3D" w:rsidRDefault="00074F3D" w:rsidP="00074F3D">
            <w:pPr>
              <w:spacing w:after="0" w:line="240" w:lineRule="auto"/>
              <w:rPr>
                <w:rFonts w:ascii="Times New Roman" w:hAnsi="Times New Roman"/>
                <w:bCs/>
                <w:i/>
                <w:color w:val="000000"/>
                <w:sz w:val="20"/>
                <w:szCs w:val="20"/>
              </w:rPr>
            </w:pPr>
            <w:r w:rsidRPr="00074F3D">
              <w:rPr>
                <w:rFonts w:ascii="Times New Roman" w:hAnsi="Times New Roman"/>
                <w:bCs/>
                <w:i/>
                <w:color w:val="000000"/>
                <w:sz w:val="20"/>
                <w:szCs w:val="20"/>
              </w:rPr>
              <w:t>18,70</w:t>
            </w:r>
          </w:p>
        </w:tc>
        <w:tc>
          <w:tcPr>
            <w:tcW w:w="937" w:type="dxa"/>
            <w:tcBorders>
              <w:top w:val="nil"/>
              <w:left w:val="single" w:sz="4" w:space="0" w:color="auto"/>
              <w:bottom w:val="single" w:sz="4" w:space="0" w:color="auto"/>
              <w:right w:val="nil"/>
            </w:tcBorders>
          </w:tcPr>
          <w:p w:rsidR="00074F3D" w:rsidRPr="00074F3D" w:rsidRDefault="00074F3D" w:rsidP="00074F3D">
            <w:pPr>
              <w:spacing w:after="0" w:line="240" w:lineRule="auto"/>
              <w:rPr>
                <w:rFonts w:ascii="Times New Roman" w:hAnsi="Times New Roman"/>
                <w:bCs/>
                <w:i/>
                <w:color w:val="000000"/>
                <w:sz w:val="20"/>
                <w:szCs w:val="20"/>
              </w:rPr>
            </w:pPr>
            <w:r w:rsidRPr="00074F3D">
              <w:rPr>
                <w:rFonts w:ascii="Times New Roman" w:hAnsi="Times New Roman"/>
                <w:bCs/>
                <w:i/>
                <w:color w:val="000000"/>
                <w:sz w:val="20"/>
                <w:szCs w:val="20"/>
              </w:rPr>
              <w:t>17,78</w:t>
            </w:r>
          </w:p>
        </w:tc>
      </w:tr>
      <w:tr w:rsidR="00074F3D" w:rsidRPr="00074F3D" w:rsidTr="00B348CE">
        <w:trPr>
          <w:trHeight w:hRule="exact" w:val="227"/>
          <w:jc w:val="center"/>
        </w:trPr>
        <w:tc>
          <w:tcPr>
            <w:tcW w:w="3638" w:type="dxa"/>
            <w:tcBorders>
              <w:top w:val="nil"/>
              <w:left w:val="nil"/>
              <w:bottom w:val="single" w:sz="4" w:space="0" w:color="auto"/>
              <w:right w:val="single" w:sz="4" w:space="0" w:color="auto"/>
            </w:tcBorders>
            <w:shd w:val="clear" w:color="auto" w:fill="auto"/>
            <w:vAlign w:val="bottom"/>
          </w:tcPr>
          <w:p w:rsidR="00074F3D" w:rsidRPr="00074F3D" w:rsidRDefault="00074F3D" w:rsidP="00074F3D">
            <w:pPr>
              <w:spacing w:after="0" w:line="240" w:lineRule="auto"/>
              <w:rPr>
                <w:rFonts w:ascii="Times New Roman" w:eastAsia="Times New Roman" w:hAnsi="Times New Roman"/>
                <w:color w:val="000000"/>
                <w:sz w:val="20"/>
                <w:szCs w:val="20"/>
                <w:lang w:eastAsia="pt-BR"/>
              </w:rPr>
            </w:pPr>
            <w:r w:rsidRPr="00074F3D">
              <w:rPr>
                <w:rFonts w:ascii="Times New Roman" w:eastAsia="Times New Roman" w:hAnsi="Times New Roman"/>
                <w:color w:val="000000"/>
                <w:sz w:val="20"/>
                <w:szCs w:val="20"/>
                <w:lang w:eastAsia="pt-BR"/>
              </w:rPr>
              <w:t xml:space="preserve">      Investimento Brasileiro em Carteira</w:t>
            </w:r>
          </w:p>
        </w:tc>
        <w:tc>
          <w:tcPr>
            <w:tcW w:w="936" w:type="dxa"/>
            <w:tcBorders>
              <w:top w:val="nil"/>
              <w:left w:val="single" w:sz="4" w:space="0" w:color="auto"/>
              <w:bottom w:val="single" w:sz="4" w:space="0" w:color="auto"/>
              <w:right w:val="single" w:sz="4" w:space="0" w:color="auto"/>
            </w:tcBorders>
            <w:shd w:val="clear" w:color="auto" w:fill="auto"/>
            <w:noWrap/>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0,59</w:t>
            </w:r>
          </w:p>
        </w:tc>
        <w:tc>
          <w:tcPr>
            <w:tcW w:w="937" w:type="dxa"/>
            <w:tcBorders>
              <w:top w:val="nil"/>
              <w:left w:val="single" w:sz="4" w:space="0" w:color="auto"/>
              <w:bottom w:val="single" w:sz="4" w:space="0" w:color="auto"/>
              <w:right w:val="single" w:sz="4" w:space="0" w:color="auto"/>
            </w:tcBorders>
            <w:shd w:val="clear" w:color="auto" w:fill="auto"/>
            <w:noWrap/>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71,24</w:t>
            </w:r>
          </w:p>
        </w:tc>
        <w:tc>
          <w:tcPr>
            <w:tcW w:w="937" w:type="dxa"/>
            <w:tcBorders>
              <w:top w:val="nil"/>
              <w:left w:val="single" w:sz="4" w:space="0" w:color="auto"/>
              <w:bottom w:val="single" w:sz="4" w:space="0" w:color="auto"/>
              <w:right w:val="single" w:sz="4" w:space="0" w:color="auto"/>
            </w:tcBorders>
            <w:shd w:val="clear" w:color="auto" w:fill="auto"/>
            <w:noWrap/>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8,20</w:t>
            </w:r>
          </w:p>
        </w:tc>
        <w:tc>
          <w:tcPr>
            <w:tcW w:w="936" w:type="dxa"/>
            <w:tcBorders>
              <w:top w:val="nil"/>
              <w:left w:val="single" w:sz="4" w:space="0" w:color="auto"/>
              <w:bottom w:val="single" w:sz="4" w:space="0" w:color="auto"/>
              <w:right w:val="single" w:sz="4" w:space="0" w:color="auto"/>
            </w:tcBorders>
          </w:tcPr>
          <w:p w:rsidR="00074F3D" w:rsidRPr="00074F3D" w:rsidRDefault="00074F3D" w:rsidP="00074F3D">
            <w:pPr>
              <w:spacing w:after="0" w:line="240" w:lineRule="auto"/>
              <w:rPr>
                <w:rFonts w:ascii="Times New Roman" w:eastAsia="Times New Roman" w:hAnsi="Times New Roman"/>
                <w:color w:val="000000"/>
                <w:sz w:val="20"/>
                <w:szCs w:val="20"/>
                <w:lang w:eastAsia="pt-BR"/>
              </w:rPr>
            </w:pPr>
            <w:r w:rsidRPr="00074F3D">
              <w:rPr>
                <w:rFonts w:ascii="Times New Roman" w:eastAsia="Times New Roman" w:hAnsi="Times New Roman"/>
                <w:color w:val="000000"/>
                <w:sz w:val="20"/>
                <w:szCs w:val="20"/>
                <w:lang w:eastAsia="pt-BR"/>
              </w:rPr>
              <w:t>6,61</w:t>
            </w:r>
          </w:p>
        </w:tc>
        <w:tc>
          <w:tcPr>
            <w:tcW w:w="937" w:type="dxa"/>
            <w:tcBorders>
              <w:top w:val="nil"/>
              <w:left w:val="single" w:sz="4" w:space="0" w:color="auto"/>
              <w:bottom w:val="single" w:sz="4" w:space="0" w:color="auto"/>
              <w:right w:val="nil"/>
            </w:tcBorders>
          </w:tcPr>
          <w:p w:rsidR="00074F3D" w:rsidRPr="00074F3D" w:rsidRDefault="00074F3D" w:rsidP="00074F3D">
            <w:pPr>
              <w:spacing w:after="0" w:line="240" w:lineRule="auto"/>
              <w:rPr>
                <w:rFonts w:ascii="Times New Roman" w:eastAsia="Times New Roman" w:hAnsi="Times New Roman"/>
                <w:color w:val="000000"/>
                <w:sz w:val="20"/>
                <w:szCs w:val="20"/>
                <w:lang w:eastAsia="pt-BR"/>
              </w:rPr>
            </w:pPr>
            <w:r w:rsidRPr="00074F3D">
              <w:rPr>
                <w:rFonts w:ascii="Times New Roman" w:eastAsia="Times New Roman" w:hAnsi="Times New Roman"/>
                <w:color w:val="000000"/>
                <w:sz w:val="20"/>
                <w:szCs w:val="20"/>
                <w:lang w:eastAsia="pt-BR"/>
              </w:rPr>
              <w:t>47,74</w:t>
            </w:r>
          </w:p>
        </w:tc>
        <w:tc>
          <w:tcPr>
            <w:tcW w:w="937" w:type="dxa"/>
            <w:tcBorders>
              <w:top w:val="nil"/>
              <w:left w:val="single" w:sz="4" w:space="0" w:color="auto"/>
              <w:bottom w:val="single" w:sz="4" w:space="0" w:color="auto"/>
              <w:right w:val="nil"/>
            </w:tcBorders>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31,95</w:t>
            </w:r>
          </w:p>
        </w:tc>
      </w:tr>
      <w:tr w:rsidR="00074F3D" w:rsidRPr="00074F3D" w:rsidTr="00B348CE">
        <w:trPr>
          <w:trHeight w:hRule="exact" w:val="227"/>
          <w:jc w:val="center"/>
        </w:trPr>
        <w:tc>
          <w:tcPr>
            <w:tcW w:w="3638" w:type="dxa"/>
            <w:tcBorders>
              <w:top w:val="nil"/>
              <w:left w:val="nil"/>
              <w:bottom w:val="single" w:sz="4" w:space="0" w:color="auto"/>
              <w:right w:val="single" w:sz="4" w:space="0" w:color="auto"/>
            </w:tcBorders>
            <w:shd w:val="clear" w:color="auto" w:fill="auto"/>
            <w:vAlign w:val="bottom"/>
          </w:tcPr>
          <w:p w:rsidR="00074F3D" w:rsidRPr="00074F3D" w:rsidRDefault="00074F3D" w:rsidP="00074F3D">
            <w:pPr>
              <w:spacing w:after="0" w:line="240" w:lineRule="auto"/>
              <w:rPr>
                <w:rFonts w:ascii="Times New Roman" w:eastAsia="Times New Roman" w:hAnsi="Times New Roman"/>
                <w:color w:val="000000"/>
                <w:sz w:val="20"/>
                <w:szCs w:val="20"/>
                <w:lang w:eastAsia="pt-BR"/>
              </w:rPr>
            </w:pPr>
            <w:r w:rsidRPr="00074F3D">
              <w:rPr>
                <w:rFonts w:ascii="Times New Roman" w:eastAsia="Times New Roman" w:hAnsi="Times New Roman"/>
                <w:color w:val="000000"/>
                <w:sz w:val="20"/>
                <w:szCs w:val="20"/>
                <w:lang w:eastAsia="pt-BR"/>
              </w:rPr>
              <w:t xml:space="preserve">      Investimento Estrangeiro em Carteira</w:t>
            </w:r>
          </w:p>
        </w:tc>
        <w:tc>
          <w:tcPr>
            <w:tcW w:w="936" w:type="dxa"/>
            <w:tcBorders>
              <w:top w:val="nil"/>
              <w:left w:val="single" w:sz="4" w:space="0" w:color="auto"/>
              <w:bottom w:val="single" w:sz="4" w:space="0" w:color="auto"/>
              <w:right w:val="single" w:sz="4" w:space="0" w:color="auto"/>
            </w:tcBorders>
            <w:shd w:val="clear" w:color="auto" w:fill="auto"/>
            <w:noWrap/>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99,41</w:t>
            </w:r>
          </w:p>
        </w:tc>
        <w:tc>
          <w:tcPr>
            <w:tcW w:w="937" w:type="dxa"/>
            <w:tcBorders>
              <w:top w:val="nil"/>
              <w:left w:val="single" w:sz="4" w:space="0" w:color="auto"/>
              <w:bottom w:val="single" w:sz="4" w:space="0" w:color="auto"/>
              <w:right w:val="single" w:sz="4" w:space="0" w:color="auto"/>
            </w:tcBorders>
            <w:shd w:val="clear" w:color="auto" w:fill="auto"/>
            <w:noWrap/>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28,76</w:t>
            </w:r>
          </w:p>
        </w:tc>
        <w:tc>
          <w:tcPr>
            <w:tcW w:w="937" w:type="dxa"/>
            <w:tcBorders>
              <w:top w:val="nil"/>
              <w:left w:val="single" w:sz="4" w:space="0" w:color="auto"/>
              <w:bottom w:val="single" w:sz="4" w:space="0" w:color="auto"/>
              <w:right w:val="single" w:sz="4" w:space="0" w:color="auto"/>
            </w:tcBorders>
            <w:shd w:val="clear" w:color="auto" w:fill="auto"/>
            <w:noWrap/>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91,80</w:t>
            </w:r>
          </w:p>
        </w:tc>
        <w:tc>
          <w:tcPr>
            <w:tcW w:w="936" w:type="dxa"/>
            <w:tcBorders>
              <w:top w:val="nil"/>
              <w:left w:val="single" w:sz="4" w:space="0" w:color="auto"/>
              <w:bottom w:val="single" w:sz="4" w:space="0" w:color="auto"/>
              <w:right w:val="single" w:sz="4" w:space="0" w:color="auto"/>
            </w:tcBorders>
          </w:tcPr>
          <w:p w:rsidR="00074F3D" w:rsidRPr="00074F3D" w:rsidRDefault="00074F3D" w:rsidP="00074F3D">
            <w:pPr>
              <w:spacing w:after="0" w:line="240" w:lineRule="auto"/>
              <w:rPr>
                <w:rFonts w:ascii="Times New Roman" w:eastAsia="Times New Roman" w:hAnsi="Times New Roman"/>
                <w:color w:val="000000"/>
                <w:sz w:val="20"/>
                <w:szCs w:val="20"/>
                <w:lang w:eastAsia="pt-BR"/>
              </w:rPr>
            </w:pPr>
            <w:r w:rsidRPr="00074F3D">
              <w:rPr>
                <w:rFonts w:ascii="Times New Roman" w:eastAsia="Times New Roman" w:hAnsi="Times New Roman"/>
                <w:color w:val="000000"/>
                <w:sz w:val="20"/>
                <w:szCs w:val="20"/>
                <w:lang w:eastAsia="pt-BR"/>
              </w:rPr>
              <w:t>93,40</w:t>
            </w:r>
          </w:p>
        </w:tc>
        <w:tc>
          <w:tcPr>
            <w:tcW w:w="937" w:type="dxa"/>
            <w:tcBorders>
              <w:top w:val="nil"/>
              <w:left w:val="single" w:sz="4" w:space="0" w:color="auto"/>
              <w:bottom w:val="single" w:sz="4" w:space="0" w:color="auto"/>
              <w:right w:val="nil"/>
            </w:tcBorders>
          </w:tcPr>
          <w:p w:rsidR="00074F3D" w:rsidRPr="00074F3D" w:rsidRDefault="00074F3D" w:rsidP="00074F3D">
            <w:pPr>
              <w:spacing w:after="0" w:line="240" w:lineRule="auto"/>
              <w:rPr>
                <w:rFonts w:ascii="Times New Roman" w:eastAsia="Times New Roman" w:hAnsi="Times New Roman"/>
                <w:color w:val="000000"/>
                <w:sz w:val="20"/>
                <w:szCs w:val="20"/>
                <w:lang w:eastAsia="pt-BR"/>
              </w:rPr>
            </w:pPr>
            <w:r w:rsidRPr="00074F3D">
              <w:rPr>
                <w:rFonts w:ascii="Times New Roman" w:eastAsia="Times New Roman" w:hAnsi="Times New Roman"/>
                <w:color w:val="000000"/>
                <w:sz w:val="20"/>
                <w:szCs w:val="20"/>
                <w:lang w:eastAsia="pt-BR"/>
              </w:rPr>
              <w:t>52,25</w:t>
            </w:r>
          </w:p>
        </w:tc>
        <w:tc>
          <w:tcPr>
            <w:tcW w:w="937" w:type="dxa"/>
            <w:tcBorders>
              <w:top w:val="nil"/>
              <w:left w:val="single" w:sz="4" w:space="0" w:color="auto"/>
              <w:bottom w:val="single" w:sz="4" w:space="0" w:color="auto"/>
              <w:right w:val="nil"/>
            </w:tcBorders>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68,05</w:t>
            </w:r>
          </w:p>
        </w:tc>
      </w:tr>
      <w:tr w:rsidR="00074F3D" w:rsidRPr="00074F3D" w:rsidTr="00B348CE">
        <w:trPr>
          <w:trHeight w:val="57"/>
          <w:jc w:val="center"/>
        </w:trPr>
        <w:tc>
          <w:tcPr>
            <w:tcW w:w="3638" w:type="dxa"/>
            <w:tcBorders>
              <w:top w:val="nil"/>
              <w:left w:val="nil"/>
              <w:bottom w:val="single" w:sz="4" w:space="0" w:color="auto"/>
              <w:right w:val="single" w:sz="4" w:space="0" w:color="auto"/>
            </w:tcBorders>
            <w:shd w:val="clear" w:color="auto" w:fill="auto"/>
            <w:vAlign w:val="bottom"/>
          </w:tcPr>
          <w:p w:rsidR="00074F3D" w:rsidRPr="00074F3D" w:rsidRDefault="00074F3D" w:rsidP="00074F3D">
            <w:pPr>
              <w:spacing w:after="0" w:line="240" w:lineRule="auto"/>
              <w:rPr>
                <w:rFonts w:ascii="Times New Roman" w:eastAsia="Times New Roman" w:hAnsi="Times New Roman"/>
                <w:i/>
                <w:iCs/>
                <w:color w:val="000000"/>
                <w:sz w:val="20"/>
                <w:szCs w:val="20"/>
                <w:lang w:eastAsia="pt-BR"/>
              </w:rPr>
            </w:pPr>
            <w:r w:rsidRPr="00074F3D">
              <w:rPr>
                <w:rFonts w:ascii="Times New Roman" w:eastAsia="Times New Roman" w:hAnsi="Times New Roman"/>
                <w:i/>
                <w:iCs/>
                <w:color w:val="000000"/>
                <w:sz w:val="20"/>
                <w:szCs w:val="20"/>
                <w:lang w:eastAsia="pt-BR"/>
              </w:rPr>
              <w:t xml:space="preserve">   Derivativos - Total </w:t>
            </w:r>
          </w:p>
        </w:tc>
        <w:tc>
          <w:tcPr>
            <w:tcW w:w="936" w:type="dxa"/>
            <w:tcBorders>
              <w:top w:val="nil"/>
              <w:left w:val="single" w:sz="4" w:space="0" w:color="auto"/>
              <w:bottom w:val="single" w:sz="4" w:space="0" w:color="auto"/>
              <w:right w:val="single" w:sz="4" w:space="0" w:color="auto"/>
            </w:tcBorders>
            <w:shd w:val="clear" w:color="auto" w:fill="auto"/>
            <w:noWrap/>
            <w:vAlign w:val="bottom"/>
          </w:tcPr>
          <w:p w:rsidR="00074F3D" w:rsidRPr="00074F3D" w:rsidRDefault="00074F3D" w:rsidP="00074F3D">
            <w:pPr>
              <w:spacing w:after="0" w:line="240" w:lineRule="auto"/>
              <w:rPr>
                <w:rFonts w:ascii="Times New Roman" w:eastAsia="Times New Roman" w:hAnsi="Times New Roman"/>
                <w:i/>
                <w:iCs/>
                <w:color w:val="000000"/>
                <w:sz w:val="20"/>
                <w:szCs w:val="20"/>
                <w:lang w:eastAsia="pt-BR"/>
              </w:rPr>
            </w:pPr>
            <w:r w:rsidRPr="00074F3D">
              <w:rPr>
                <w:rFonts w:ascii="Times New Roman" w:eastAsia="Times New Roman" w:hAnsi="Times New Roman"/>
                <w:i/>
                <w:iCs/>
                <w:color w:val="000000"/>
                <w:sz w:val="20"/>
                <w:szCs w:val="20"/>
                <w:lang w:eastAsia="pt-BR"/>
              </w:rPr>
              <w:t>0,78</w:t>
            </w:r>
          </w:p>
        </w:tc>
        <w:tc>
          <w:tcPr>
            <w:tcW w:w="937" w:type="dxa"/>
            <w:tcBorders>
              <w:top w:val="nil"/>
              <w:left w:val="single" w:sz="4" w:space="0" w:color="auto"/>
              <w:bottom w:val="single" w:sz="4" w:space="0" w:color="auto"/>
              <w:right w:val="single" w:sz="4" w:space="0" w:color="auto"/>
            </w:tcBorders>
            <w:shd w:val="clear" w:color="auto" w:fill="auto"/>
            <w:noWrap/>
            <w:vAlign w:val="bottom"/>
          </w:tcPr>
          <w:p w:rsidR="00074F3D" w:rsidRPr="00074F3D" w:rsidRDefault="00074F3D" w:rsidP="00074F3D">
            <w:pPr>
              <w:spacing w:after="0" w:line="240" w:lineRule="auto"/>
              <w:rPr>
                <w:rFonts w:ascii="Times New Roman" w:eastAsia="Times New Roman" w:hAnsi="Times New Roman"/>
                <w:i/>
                <w:iCs/>
                <w:color w:val="000000"/>
                <w:sz w:val="20"/>
                <w:szCs w:val="20"/>
                <w:lang w:eastAsia="pt-BR"/>
              </w:rPr>
            </w:pPr>
            <w:r w:rsidRPr="00074F3D">
              <w:rPr>
                <w:rFonts w:ascii="Times New Roman" w:eastAsia="Times New Roman" w:hAnsi="Times New Roman"/>
                <w:i/>
                <w:iCs/>
                <w:color w:val="000000"/>
                <w:sz w:val="20"/>
                <w:szCs w:val="20"/>
                <w:lang w:eastAsia="pt-BR"/>
              </w:rPr>
              <w:t>1,07</w:t>
            </w:r>
          </w:p>
        </w:tc>
        <w:tc>
          <w:tcPr>
            <w:tcW w:w="937" w:type="dxa"/>
            <w:tcBorders>
              <w:top w:val="nil"/>
              <w:left w:val="single" w:sz="4" w:space="0" w:color="auto"/>
              <w:bottom w:val="single" w:sz="4" w:space="0" w:color="auto"/>
              <w:right w:val="single" w:sz="4" w:space="0" w:color="auto"/>
            </w:tcBorders>
            <w:shd w:val="clear" w:color="auto" w:fill="auto"/>
            <w:noWrap/>
            <w:vAlign w:val="bottom"/>
          </w:tcPr>
          <w:p w:rsidR="00074F3D" w:rsidRPr="00074F3D" w:rsidRDefault="00074F3D" w:rsidP="00074F3D">
            <w:pPr>
              <w:spacing w:after="0" w:line="240" w:lineRule="auto"/>
              <w:rPr>
                <w:rFonts w:ascii="Times New Roman" w:eastAsia="Times New Roman" w:hAnsi="Times New Roman"/>
                <w:i/>
                <w:iCs/>
                <w:color w:val="000000"/>
                <w:sz w:val="20"/>
                <w:szCs w:val="20"/>
                <w:lang w:eastAsia="pt-BR"/>
              </w:rPr>
            </w:pPr>
            <w:r w:rsidRPr="00074F3D">
              <w:rPr>
                <w:rFonts w:ascii="Times New Roman" w:eastAsia="Times New Roman" w:hAnsi="Times New Roman"/>
                <w:i/>
                <w:iCs/>
                <w:color w:val="000000"/>
                <w:sz w:val="20"/>
                <w:szCs w:val="20"/>
                <w:lang w:eastAsia="pt-BR"/>
              </w:rPr>
              <w:t>0,15</w:t>
            </w:r>
          </w:p>
        </w:tc>
        <w:tc>
          <w:tcPr>
            <w:tcW w:w="936" w:type="dxa"/>
            <w:tcBorders>
              <w:top w:val="nil"/>
              <w:left w:val="single" w:sz="4" w:space="0" w:color="auto"/>
              <w:bottom w:val="single" w:sz="4" w:space="0" w:color="auto"/>
              <w:right w:val="single" w:sz="4" w:space="0" w:color="auto"/>
            </w:tcBorders>
          </w:tcPr>
          <w:p w:rsidR="00074F3D" w:rsidRPr="00074F3D" w:rsidRDefault="00074F3D" w:rsidP="00074F3D">
            <w:pPr>
              <w:spacing w:after="0" w:line="240" w:lineRule="auto"/>
              <w:rPr>
                <w:rFonts w:ascii="Times New Roman" w:eastAsia="Times New Roman" w:hAnsi="Times New Roman"/>
                <w:i/>
                <w:iCs/>
                <w:color w:val="000000"/>
                <w:sz w:val="20"/>
                <w:szCs w:val="20"/>
                <w:lang w:eastAsia="pt-BR"/>
              </w:rPr>
            </w:pPr>
            <w:r w:rsidRPr="00074F3D">
              <w:rPr>
                <w:rFonts w:ascii="Times New Roman" w:eastAsia="Times New Roman" w:hAnsi="Times New Roman"/>
                <w:i/>
                <w:iCs/>
                <w:color w:val="000000"/>
                <w:sz w:val="20"/>
                <w:szCs w:val="20"/>
                <w:lang w:eastAsia="pt-BR"/>
              </w:rPr>
              <w:t>0,11</w:t>
            </w:r>
          </w:p>
        </w:tc>
        <w:tc>
          <w:tcPr>
            <w:tcW w:w="937" w:type="dxa"/>
            <w:tcBorders>
              <w:top w:val="nil"/>
              <w:left w:val="single" w:sz="4" w:space="0" w:color="auto"/>
              <w:bottom w:val="single" w:sz="4" w:space="0" w:color="auto"/>
              <w:right w:val="nil"/>
            </w:tcBorders>
          </w:tcPr>
          <w:p w:rsidR="00074F3D" w:rsidRPr="00074F3D" w:rsidRDefault="00074F3D" w:rsidP="00074F3D">
            <w:pPr>
              <w:spacing w:after="0" w:line="240" w:lineRule="auto"/>
              <w:rPr>
                <w:rFonts w:ascii="Times New Roman" w:eastAsia="Times New Roman" w:hAnsi="Times New Roman"/>
                <w:i/>
                <w:iCs/>
                <w:color w:val="000000"/>
                <w:sz w:val="20"/>
                <w:szCs w:val="20"/>
                <w:lang w:eastAsia="pt-BR"/>
              </w:rPr>
            </w:pPr>
            <w:r w:rsidRPr="00074F3D">
              <w:rPr>
                <w:rFonts w:ascii="Times New Roman" w:eastAsia="Times New Roman" w:hAnsi="Times New Roman"/>
                <w:i/>
                <w:iCs/>
                <w:color w:val="000000"/>
                <w:sz w:val="20"/>
                <w:szCs w:val="20"/>
                <w:lang w:eastAsia="pt-BR"/>
              </w:rPr>
              <w:t>0,00</w:t>
            </w:r>
          </w:p>
        </w:tc>
        <w:tc>
          <w:tcPr>
            <w:tcW w:w="937" w:type="dxa"/>
            <w:tcBorders>
              <w:top w:val="nil"/>
              <w:left w:val="single" w:sz="4" w:space="0" w:color="auto"/>
              <w:bottom w:val="single" w:sz="4" w:space="0" w:color="auto"/>
              <w:right w:val="nil"/>
            </w:tcBorders>
          </w:tcPr>
          <w:p w:rsidR="00074F3D" w:rsidRPr="00074F3D" w:rsidRDefault="00074F3D" w:rsidP="00074F3D">
            <w:pPr>
              <w:spacing w:after="0" w:line="240" w:lineRule="auto"/>
              <w:rPr>
                <w:rFonts w:ascii="Times New Roman" w:hAnsi="Times New Roman"/>
                <w:bCs/>
                <w:i/>
                <w:color w:val="000000"/>
                <w:sz w:val="20"/>
                <w:szCs w:val="20"/>
              </w:rPr>
            </w:pPr>
            <w:r w:rsidRPr="00074F3D">
              <w:rPr>
                <w:rFonts w:ascii="Times New Roman" w:hAnsi="Times New Roman"/>
                <w:bCs/>
                <w:i/>
                <w:color w:val="000000"/>
                <w:sz w:val="20"/>
                <w:szCs w:val="20"/>
              </w:rPr>
              <w:t>0,14</w:t>
            </w:r>
          </w:p>
        </w:tc>
      </w:tr>
      <w:tr w:rsidR="00074F3D" w:rsidRPr="00074F3D" w:rsidTr="00B348CE">
        <w:trPr>
          <w:trHeight w:val="57"/>
          <w:jc w:val="center"/>
        </w:trPr>
        <w:tc>
          <w:tcPr>
            <w:tcW w:w="3638" w:type="dxa"/>
            <w:tcBorders>
              <w:top w:val="nil"/>
              <w:left w:val="nil"/>
              <w:bottom w:val="single" w:sz="4" w:space="0" w:color="auto"/>
              <w:right w:val="single" w:sz="4" w:space="0" w:color="auto"/>
            </w:tcBorders>
            <w:shd w:val="clear" w:color="auto" w:fill="auto"/>
            <w:vAlign w:val="bottom"/>
          </w:tcPr>
          <w:p w:rsidR="00074F3D" w:rsidRPr="00074F3D" w:rsidRDefault="00074F3D" w:rsidP="00074F3D">
            <w:pPr>
              <w:spacing w:after="0" w:line="240" w:lineRule="auto"/>
              <w:rPr>
                <w:rFonts w:ascii="Times New Roman" w:eastAsia="Times New Roman" w:hAnsi="Times New Roman"/>
                <w:i/>
                <w:iCs/>
                <w:color w:val="000000"/>
                <w:sz w:val="20"/>
                <w:szCs w:val="20"/>
                <w:lang w:eastAsia="pt-BR"/>
              </w:rPr>
            </w:pPr>
            <w:r w:rsidRPr="00074F3D">
              <w:rPr>
                <w:rFonts w:ascii="Times New Roman" w:eastAsia="Times New Roman" w:hAnsi="Times New Roman"/>
                <w:i/>
                <w:iCs/>
                <w:color w:val="000000"/>
                <w:sz w:val="20"/>
                <w:szCs w:val="20"/>
                <w:lang w:eastAsia="pt-BR"/>
              </w:rPr>
              <w:t xml:space="preserve">   Outros Investimentos - Total </w:t>
            </w:r>
          </w:p>
        </w:tc>
        <w:tc>
          <w:tcPr>
            <w:tcW w:w="936" w:type="dxa"/>
            <w:tcBorders>
              <w:top w:val="nil"/>
              <w:left w:val="single" w:sz="4" w:space="0" w:color="auto"/>
              <w:bottom w:val="single" w:sz="4" w:space="0" w:color="auto"/>
              <w:right w:val="single" w:sz="4" w:space="0" w:color="auto"/>
            </w:tcBorders>
            <w:shd w:val="clear" w:color="auto" w:fill="auto"/>
            <w:noWrap/>
            <w:vAlign w:val="bottom"/>
          </w:tcPr>
          <w:p w:rsidR="00074F3D" w:rsidRPr="00074F3D" w:rsidRDefault="00074F3D" w:rsidP="00074F3D">
            <w:pPr>
              <w:spacing w:after="0" w:line="240" w:lineRule="auto"/>
              <w:rPr>
                <w:rFonts w:ascii="Times New Roman" w:eastAsia="Times New Roman" w:hAnsi="Times New Roman"/>
                <w:i/>
                <w:iCs/>
                <w:color w:val="000000"/>
                <w:sz w:val="20"/>
                <w:szCs w:val="20"/>
                <w:lang w:eastAsia="pt-BR"/>
              </w:rPr>
            </w:pPr>
            <w:r w:rsidRPr="00074F3D">
              <w:rPr>
                <w:rFonts w:ascii="Times New Roman" w:eastAsia="Times New Roman" w:hAnsi="Times New Roman"/>
                <w:i/>
                <w:iCs/>
                <w:color w:val="000000"/>
                <w:sz w:val="20"/>
                <w:szCs w:val="20"/>
                <w:lang w:eastAsia="pt-BR"/>
              </w:rPr>
              <w:t>14,63</w:t>
            </w:r>
          </w:p>
        </w:tc>
        <w:tc>
          <w:tcPr>
            <w:tcW w:w="937" w:type="dxa"/>
            <w:tcBorders>
              <w:top w:val="nil"/>
              <w:left w:val="single" w:sz="4" w:space="0" w:color="auto"/>
              <w:bottom w:val="single" w:sz="4" w:space="0" w:color="auto"/>
              <w:right w:val="single" w:sz="4" w:space="0" w:color="auto"/>
            </w:tcBorders>
            <w:shd w:val="clear" w:color="auto" w:fill="auto"/>
            <w:noWrap/>
            <w:vAlign w:val="bottom"/>
          </w:tcPr>
          <w:p w:rsidR="00074F3D" w:rsidRPr="00074F3D" w:rsidRDefault="00074F3D" w:rsidP="00074F3D">
            <w:pPr>
              <w:spacing w:after="0" w:line="240" w:lineRule="auto"/>
              <w:rPr>
                <w:rFonts w:ascii="Times New Roman" w:eastAsia="Times New Roman" w:hAnsi="Times New Roman"/>
                <w:i/>
                <w:iCs/>
                <w:color w:val="000000"/>
                <w:sz w:val="20"/>
                <w:szCs w:val="20"/>
                <w:lang w:eastAsia="pt-BR"/>
              </w:rPr>
            </w:pPr>
            <w:r w:rsidRPr="00074F3D">
              <w:rPr>
                <w:rFonts w:ascii="Times New Roman" w:eastAsia="Times New Roman" w:hAnsi="Times New Roman"/>
                <w:i/>
                <w:iCs/>
                <w:color w:val="000000"/>
                <w:sz w:val="20"/>
                <w:szCs w:val="20"/>
                <w:lang w:eastAsia="pt-BR"/>
              </w:rPr>
              <w:t>9,94</w:t>
            </w:r>
          </w:p>
        </w:tc>
        <w:tc>
          <w:tcPr>
            <w:tcW w:w="937" w:type="dxa"/>
            <w:tcBorders>
              <w:top w:val="nil"/>
              <w:left w:val="single" w:sz="4" w:space="0" w:color="auto"/>
              <w:bottom w:val="single" w:sz="4" w:space="0" w:color="auto"/>
              <w:right w:val="single" w:sz="4" w:space="0" w:color="auto"/>
            </w:tcBorders>
            <w:shd w:val="clear" w:color="auto" w:fill="auto"/>
            <w:noWrap/>
            <w:vAlign w:val="bottom"/>
          </w:tcPr>
          <w:p w:rsidR="00074F3D" w:rsidRPr="00074F3D" w:rsidRDefault="00074F3D" w:rsidP="00074F3D">
            <w:pPr>
              <w:spacing w:after="0" w:line="240" w:lineRule="auto"/>
              <w:rPr>
                <w:rFonts w:ascii="Times New Roman" w:eastAsia="Times New Roman" w:hAnsi="Times New Roman"/>
                <w:i/>
                <w:iCs/>
                <w:color w:val="000000"/>
                <w:sz w:val="20"/>
                <w:szCs w:val="20"/>
                <w:lang w:eastAsia="pt-BR"/>
              </w:rPr>
            </w:pPr>
            <w:r w:rsidRPr="00074F3D">
              <w:rPr>
                <w:rFonts w:ascii="Times New Roman" w:eastAsia="Times New Roman" w:hAnsi="Times New Roman"/>
                <w:i/>
                <w:iCs/>
                <w:color w:val="000000"/>
                <w:sz w:val="20"/>
                <w:szCs w:val="20"/>
                <w:lang w:eastAsia="pt-BR"/>
              </w:rPr>
              <w:t>15,86</w:t>
            </w:r>
          </w:p>
        </w:tc>
        <w:tc>
          <w:tcPr>
            <w:tcW w:w="936" w:type="dxa"/>
            <w:tcBorders>
              <w:top w:val="nil"/>
              <w:left w:val="single" w:sz="4" w:space="0" w:color="auto"/>
              <w:bottom w:val="single" w:sz="4" w:space="0" w:color="auto"/>
              <w:right w:val="single" w:sz="4" w:space="0" w:color="auto"/>
            </w:tcBorders>
          </w:tcPr>
          <w:p w:rsidR="00074F3D" w:rsidRPr="00074F3D" w:rsidRDefault="00074F3D" w:rsidP="00074F3D">
            <w:pPr>
              <w:spacing w:after="0" w:line="240" w:lineRule="auto"/>
              <w:rPr>
                <w:rFonts w:ascii="Times New Roman" w:eastAsia="Times New Roman" w:hAnsi="Times New Roman"/>
                <w:i/>
                <w:iCs/>
                <w:color w:val="000000"/>
                <w:sz w:val="20"/>
                <w:szCs w:val="20"/>
                <w:lang w:eastAsia="pt-BR"/>
              </w:rPr>
            </w:pPr>
            <w:r w:rsidRPr="00074F3D">
              <w:rPr>
                <w:rFonts w:ascii="Times New Roman" w:eastAsia="Times New Roman" w:hAnsi="Times New Roman"/>
                <w:i/>
                <w:iCs/>
                <w:color w:val="000000"/>
                <w:sz w:val="20"/>
                <w:szCs w:val="20"/>
                <w:lang w:eastAsia="pt-BR"/>
              </w:rPr>
              <w:t>1,01</w:t>
            </w:r>
          </w:p>
        </w:tc>
        <w:tc>
          <w:tcPr>
            <w:tcW w:w="937" w:type="dxa"/>
            <w:tcBorders>
              <w:top w:val="nil"/>
              <w:left w:val="single" w:sz="4" w:space="0" w:color="auto"/>
              <w:bottom w:val="single" w:sz="4" w:space="0" w:color="auto"/>
              <w:right w:val="nil"/>
            </w:tcBorders>
          </w:tcPr>
          <w:p w:rsidR="00074F3D" w:rsidRPr="00074F3D" w:rsidRDefault="00074F3D" w:rsidP="00074F3D">
            <w:pPr>
              <w:spacing w:after="0" w:line="240" w:lineRule="auto"/>
              <w:rPr>
                <w:rFonts w:ascii="Times New Roman" w:hAnsi="Times New Roman"/>
                <w:bCs/>
                <w:i/>
                <w:color w:val="000000"/>
                <w:sz w:val="20"/>
                <w:szCs w:val="20"/>
              </w:rPr>
            </w:pPr>
            <w:r w:rsidRPr="00074F3D">
              <w:rPr>
                <w:rFonts w:ascii="Times New Roman" w:hAnsi="Times New Roman"/>
                <w:bCs/>
                <w:i/>
                <w:color w:val="000000"/>
                <w:sz w:val="20"/>
                <w:szCs w:val="20"/>
              </w:rPr>
              <w:t>45,45</w:t>
            </w:r>
          </w:p>
        </w:tc>
        <w:tc>
          <w:tcPr>
            <w:tcW w:w="937" w:type="dxa"/>
            <w:tcBorders>
              <w:top w:val="nil"/>
              <w:left w:val="single" w:sz="4" w:space="0" w:color="auto"/>
              <w:bottom w:val="single" w:sz="4" w:space="0" w:color="auto"/>
              <w:right w:val="nil"/>
            </w:tcBorders>
          </w:tcPr>
          <w:p w:rsidR="00074F3D" w:rsidRPr="00074F3D" w:rsidRDefault="00074F3D" w:rsidP="00074F3D">
            <w:pPr>
              <w:spacing w:after="0" w:line="240" w:lineRule="auto"/>
              <w:rPr>
                <w:rFonts w:ascii="Times New Roman" w:hAnsi="Times New Roman"/>
                <w:bCs/>
                <w:i/>
                <w:color w:val="000000"/>
                <w:sz w:val="20"/>
                <w:szCs w:val="20"/>
              </w:rPr>
            </w:pPr>
            <w:r w:rsidRPr="00074F3D">
              <w:rPr>
                <w:rFonts w:ascii="Times New Roman" w:hAnsi="Times New Roman"/>
                <w:bCs/>
                <w:i/>
                <w:color w:val="000000"/>
                <w:sz w:val="20"/>
                <w:szCs w:val="20"/>
              </w:rPr>
              <w:t>32,25</w:t>
            </w:r>
          </w:p>
        </w:tc>
      </w:tr>
      <w:tr w:rsidR="00074F3D" w:rsidRPr="00074F3D" w:rsidTr="00B348CE">
        <w:trPr>
          <w:trHeight w:hRule="exact" w:val="227"/>
          <w:jc w:val="center"/>
        </w:trPr>
        <w:tc>
          <w:tcPr>
            <w:tcW w:w="3638" w:type="dxa"/>
            <w:tcBorders>
              <w:top w:val="nil"/>
              <w:left w:val="nil"/>
              <w:bottom w:val="single" w:sz="4" w:space="0" w:color="auto"/>
              <w:right w:val="single" w:sz="4" w:space="0" w:color="auto"/>
            </w:tcBorders>
            <w:shd w:val="clear" w:color="auto" w:fill="auto"/>
            <w:vAlign w:val="bottom"/>
          </w:tcPr>
          <w:p w:rsidR="00074F3D" w:rsidRPr="00074F3D" w:rsidRDefault="00074F3D" w:rsidP="00074F3D">
            <w:pPr>
              <w:spacing w:after="0" w:line="240" w:lineRule="auto"/>
              <w:rPr>
                <w:rFonts w:ascii="Times New Roman" w:eastAsia="Times New Roman" w:hAnsi="Times New Roman"/>
                <w:color w:val="000000"/>
                <w:sz w:val="20"/>
                <w:szCs w:val="20"/>
                <w:lang w:eastAsia="pt-BR"/>
              </w:rPr>
            </w:pPr>
            <w:r w:rsidRPr="00074F3D">
              <w:rPr>
                <w:rFonts w:ascii="Times New Roman" w:eastAsia="Times New Roman" w:hAnsi="Times New Roman"/>
                <w:color w:val="000000"/>
                <w:sz w:val="20"/>
                <w:szCs w:val="20"/>
                <w:lang w:eastAsia="pt-BR"/>
              </w:rPr>
              <w:t xml:space="preserve">      Outros Investimentos Brasileiros </w:t>
            </w:r>
          </w:p>
        </w:tc>
        <w:tc>
          <w:tcPr>
            <w:tcW w:w="936" w:type="dxa"/>
            <w:tcBorders>
              <w:top w:val="nil"/>
              <w:left w:val="single" w:sz="4" w:space="0" w:color="auto"/>
              <w:bottom w:val="single" w:sz="4" w:space="0" w:color="auto"/>
              <w:right w:val="single" w:sz="4" w:space="0" w:color="auto"/>
            </w:tcBorders>
            <w:shd w:val="clear" w:color="auto" w:fill="auto"/>
            <w:noWrap/>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36,93</w:t>
            </w:r>
          </w:p>
        </w:tc>
        <w:tc>
          <w:tcPr>
            <w:tcW w:w="937" w:type="dxa"/>
            <w:tcBorders>
              <w:top w:val="nil"/>
              <w:left w:val="single" w:sz="4" w:space="0" w:color="auto"/>
              <w:bottom w:val="single" w:sz="4" w:space="0" w:color="auto"/>
              <w:right w:val="single" w:sz="4" w:space="0" w:color="auto"/>
            </w:tcBorders>
            <w:shd w:val="clear" w:color="auto" w:fill="auto"/>
            <w:noWrap/>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39,28</w:t>
            </w:r>
          </w:p>
        </w:tc>
        <w:tc>
          <w:tcPr>
            <w:tcW w:w="937" w:type="dxa"/>
            <w:tcBorders>
              <w:top w:val="nil"/>
              <w:left w:val="single" w:sz="4" w:space="0" w:color="auto"/>
              <w:bottom w:val="single" w:sz="4" w:space="0" w:color="auto"/>
              <w:right w:val="single" w:sz="4" w:space="0" w:color="auto"/>
            </w:tcBorders>
            <w:shd w:val="clear" w:color="auto" w:fill="auto"/>
            <w:noWrap/>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68,33</w:t>
            </w:r>
          </w:p>
        </w:tc>
        <w:tc>
          <w:tcPr>
            <w:tcW w:w="936" w:type="dxa"/>
            <w:tcBorders>
              <w:top w:val="nil"/>
              <w:left w:val="single" w:sz="4" w:space="0" w:color="auto"/>
              <w:bottom w:val="single" w:sz="4" w:space="0" w:color="auto"/>
              <w:right w:val="single" w:sz="4" w:space="0" w:color="auto"/>
            </w:tcBorders>
          </w:tcPr>
          <w:p w:rsidR="00074F3D" w:rsidRPr="00074F3D" w:rsidRDefault="00074F3D" w:rsidP="00074F3D">
            <w:pPr>
              <w:spacing w:after="0" w:line="240" w:lineRule="auto"/>
              <w:rPr>
                <w:rFonts w:ascii="Times New Roman" w:eastAsia="Times New Roman" w:hAnsi="Times New Roman"/>
                <w:color w:val="000000"/>
                <w:sz w:val="20"/>
                <w:szCs w:val="20"/>
                <w:lang w:eastAsia="pt-BR"/>
              </w:rPr>
            </w:pPr>
            <w:r w:rsidRPr="00074F3D">
              <w:rPr>
                <w:rFonts w:ascii="Times New Roman" w:eastAsia="Times New Roman" w:hAnsi="Times New Roman"/>
                <w:color w:val="000000"/>
                <w:sz w:val="20"/>
                <w:szCs w:val="20"/>
                <w:lang w:eastAsia="pt-BR"/>
              </w:rPr>
              <w:t>50,60</w:t>
            </w:r>
          </w:p>
        </w:tc>
        <w:tc>
          <w:tcPr>
            <w:tcW w:w="937" w:type="dxa"/>
            <w:tcBorders>
              <w:top w:val="nil"/>
              <w:left w:val="single" w:sz="4" w:space="0" w:color="auto"/>
              <w:bottom w:val="single" w:sz="4" w:space="0" w:color="auto"/>
              <w:right w:val="nil"/>
            </w:tcBorders>
          </w:tcPr>
          <w:p w:rsidR="00074F3D" w:rsidRPr="00074F3D" w:rsidRDefault="00074F3D" w:rsidP="00074F3D">
            <w:pPr>
              <w:spacing w:after="0" w:line="240" w:lineRule="auto"/>
              <w:rPr>
                <w:rFonts w:ascii="Times New Roman" w:eastAsia="Times New Roman" w:hAnsi="Times New Roman"/>
                <w:color w:val="000000"/>
                <w:sz w:val="20"/>
                <w:szCs w:val="20"/>
                <w:lang w:eastAsia="pt-BR"/>
              </w:rPr>
            </w:pPr>
            <w:r w:rsidRPr="00074F3D">
              <w:rPr>
                <w:rFonts w:ascii="Times New Roman" w:eastAsia="Times New Roman" w:hAnsi="Times New Roman"/>
                <w:color w:val="000000"/>
                <w:sz w:val="20"/>
                <w:szCs w:val="20"/>
                <w:lang w:eastAsia="pt-BR"/>
              </w:rPr>
              <w:t>45,44</w:t>
            </w:r>
          </w:p>
        </w:tc>
        <w:tc>
          <w:tcPr>
            <w:tcW w:w="937" w:type="dxa"/>
            <w:tcBorders>
              <w:top w:val="nil"/>
              <w:left w:val="single" w:sz="4" w:space="0" w:color="auto"/>
              <w:bottom w:val="single" w:sz="4" w:space="0" w:color="auto"/>
              <w:right w:val="nil"/>
            </w:tcBorders>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55,69</w:t>
            </w:r>
          </w:p>
        </w:tc>
      </w:tr>
      <w:tr w:rsidR="00074F3D" w:rsidRPr="00074F3D" w:rsidTr="00B348CE">
        <w:trPr>
          <w:trHeight w:hRule="exact" w:val="227"/>
          <w:jc w:val="center"/>
        </w:trPr>
        <w:tc>
          <w:tcPr>
            <w:tcW w:w="3638" w:type="dxa"/>
            <w:tcBorders>
              <w:top w:val="nil"/>
              <w:left w:val="nil"/>
              <w:bottom w:val="double" w:sz="4" w:space="0" w:color="auto"/>
              <w:right w:val="single" w:sz="4" w:space="0" w:color="auto"/>
            </w:tcBorders>
            <w:shd w:val="clear" w:color="auto" w:fill="auto"/>
            <w:vAlign w:val="bottom"/>
          </w:tcPr>
          <w:p w:rsidR="00074F3D" w:rsidRPr="00074F3D" w:rsidRDefault="00074F3D" w:rsidP="00074F3D">
            <w:pPr>
              <w:spacing w:after="0" w:line="240" w:lineRule="auto"/>
              <w:rPr>
                <w:rFonts w:ascii="Times New Roman" w:eastAsia="Times New Roman" w:hAnsi="Times New Roman"/>
                <w:color w:val="000000"/>
                <w:sz w:val="20"/>
                <w:szCs w:val="20"/>
                <w:lang w:eastAsia="pt-BR"/>
              </w:rPr>
            </w:pPr>
            <w:r w:rsidRPr="00074F3D">
              <w:rPr>
                <w:rFonts w:ascii="Times New Roman" w:eastAsia="Times New Roman" w:hAnsi="Times New Roman"/>
                <w:color w:val="000000"/>
                <w:sz w:val="20"/>
                <w:szCs w:val="20"/>
                <w:lang w:eastAsia="pt-BR"/>
              </w:rPr>
              <w:t xml:space="preserve">      Outros Investimentos Estrangeiros </w:t>
            </w:r>
          </w:p>
        </w:tc>
        <w:tc>
          <w:tcPr>
            <w:tcW w:w="936" w:type="dxa"/>
            <w:tcBorders>
              <w:top w:val="nil"/>
              <w:left w:val="single" w:sz="4" w:space="0" w:color="auto"/>
              <w:bottom w:val="double" w:sz="4" w:space="0" w:color="auto"/>
              <w:right w:val="single" w:sz="4" w:space="0" w:color="auto"/>
            </w:tcBorders>
            <w:shd w:val="clear" w:color="auto" w:fill="auto"/>
            <w:noWrap/>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63,07</w:t>
            </w:r>
          </w:p>
        </w:tc>
        <w:tc>
          <w:tcPr>
            <w:tcW w:w="937" w:type="dxa"/>
            <w:tcBorders>
              <w:top w:val="nil"/>
              <w:left w:val="single" w:sz="4" w:space="0" w:color="auto"/>
              <w:bottom w:val="double" w:sz="4" w:space="0" w:color="auto"/>
              <w:right w:val="single" w:sz="4" w:space="0" w:color="auto"/>
            </w:tcBorders>
            <w:shd w:val="clear" w:color="auto" w:fill="auto"/>
            <w:noWrap/>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60,72</w:t>
            </w:r>
          </w:p>
        </w:tc>
        <w:tc>
          <w:tcPr>
            <w:tcW w:w="937" w:type="dxa"/>
            <w:tcBorders>
              <w:top w:val="nil"/>
              <w:left w:val="single" w:sz="4" w:space="0" w:color="auto"/>
              <w:bottom w:val="double" w:sz="4" w:space="0" w:color="auto"/>
              <w:right w:val="single" w:sz="4" w:space="0" w:color="auto"/>
            </w:tcBorders>
            <w:shd w:val="clear" w:color="auto" w:fill="auto"/>
            <w:noWrap/>
            <w:vAlign w:val="center"/>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31,67</w:t>
            </w:r>
          </w:p>
        </w:tc>
        <w:tc>
          <w:tcPr>
            <w:tcW w:w="936" w:type="dxa"/>
            <w:tcBorders>
              <w:top w:val="nil"/>
              <w:left w:val="single" w:sz="4" w:space="0" w:color="auto"/>
              <w:bottom w:val="double" w:sz="4" w:space="0" w:color="auto"/>
              <w:right w:val="single" w:sz="4" w:space="0" w:color="auto"/>
            </w:tcBorders>
          </w:tcPr>
          <w:p w:rsidR="00074F3D" w:rsidRPr="00074F3D" w:rsidRDefault="00074F3D" w:rsidP="00074F3D">
            <w:pPr>
              <w:spacing w:after="0" w:line="240" w:lineRule="auto"/>
              <w:rPr>
                <w:rFonts w:ascii="Times New Roman" w:eastAsia="Times New Roman" w:hAnsi="Times New Roman"/>
                <w:color w:val="000000"/>
                <w:sz w:val="20"/>
                <w:szCs w:val="20"/>
                <w:lang w:eastAsia="pt-BR"/>
              </w:rPr>
            </w:pPr>
            <w:r w:rsidRPr="00074F3D">
              <w:rPr>
                <w:rFonts w:ascii="Times New Roman" w:eastAsia="Times New Roman" w:hAnsi="Times New Roman"/>
                <w:color w:val="000000"/>
                <w:sz w:val="20"/>
                <w:szCs w:val="20"/>
                <w:lang w:eastAsia="pt-BR"/>
              </w:rPr>
              <w:t>49,40</w:t>
            </w:r>
          </w:p>
        </w:tc>
        <w:tc>
          <w:tcPr>
            <w:tcW w:w="937" w:type="dxa"/>
            <w:tcBorders>
              <w:top w:val="nil"/>
              <w:left w:val="single" w:sz="4" w:space="0" w:color="auto"/>
              <w:bottom w:val="double" w:sz="4" w:space="0" w:color="auto"/>
              <w:right w:val="nil"/>
            </w:tcBorders>
          </w:tcPr>
          <w:p w:rsidR="00074F3D" w:rsidRPr="00074F3D" w:rsidRDefault="00074F3D" w:rsidP="00074F3D">
            <w:pPr>
              <w:spacing w:after="0" w:line="240" w:lineRule="auto"/>
              <w:rPr>
                <w:rFonts w:ascii="Times New Roman" w:eastAsia="Times New Roman" w:hAnsi="Times New Roman"/>
                <w:color w:val="000000"/>
                <w:sz w:val="20"/>
                <w:szCs w:val="20"/>
                <w:lang w:eastAsia="pt-BR"/>
              </w:rPr>
            </w:pPr>
            <w:r w:rsidRPr="00074F3D">
              <w:rPr>
                <w:rFonts w:ascii="Times New Roman" w:eastAsia="Times New Roman" w:hAnsi="Times New Roman"/>
                <w:color w:val="000000"/>
                <w:sz w:val="20"/>
                <w:szCs w:val="20"/>
                <w:lang w:eastAsia="pt-BR"/>
              </w:rPr>
              <w:t>54,55</w:t>
            </w:r>
          </w:p>
        </w:tc>
        <w:tc>
          <w:tcPr>
            <w:tcW w:w="937" w:type="dxa"/>
            <w:tcBorders>
              <w:top w:val="nil"/>
              <w:left w:val="single" w:sz="4" w:space="0" w:color="auto"/>
              <w:bottom w:val="double" w:sz="4" w:space="0" w:color="auto"/>
              <w:right w:val="nil"/>
            </w:tcBorders>
          </w:tcPr>
          <w:p w:rsidR="00074F3D" w:rsidRPr="00074F3D" w:rsidRDefault="00074F3D" w:rsidP="00074F3D">
            <w:pPr>
              <w:spacing w:after="0" w:line="240" w:lineRule="auto"/>
              <w:rPr>
                <w:rFonts w:ascii="Times New Roman" w:hAnsi="Times New Roman"/>
                <w:color w:val="000000"/>
                <w:sz w:val="20"/>
                <w:szCs w:val="20"/>
              </w:rPr>
            </w:pPr>
            <w:r w:rsidRPr="00074F3D">
              <w:rPr>
                <w:rFonts w:ascii="Times New Roman" w:hAnsi="Times New Roman"/>
                <w:color w:val="000000"/>
                <w:sz w:val="20"/>
                <w:szCs w:val="20"/>
              </w:rPr>
              <w:t>44,31</w:t>
            </w:r>
          </w:p>
        </w:tc>
      </w:tr>
    </w:tbl>
    <w:p w:rsidR="00074F3D" w:rsidRPr="00074F3D" w:rsidRDefault="00074F3D" w:rsidP="00B348CE">
      <w:pPr>
        <w:tabs>
          <w:tab w:val="left" w:pos="284"/>
        </w:tabs>
        <w:spacing w:after="0" w:line="240" w:lineRule="auto"/>
        <w:ind w:right="-1"/>
        <w:jc w:val="both"/>
        <w:rPr>
          <w:rFonts w:ascii="Times New Roman" w:hAnsi="Times New Roman"/>
          <w:b/>
          <w:sz w:val="24"/>
          <w:szCs w:val="24"/>
        </w:rPr>
      </w:pPr>
      <w:r w:rsidRPr="00074F3D">
        <w:rPr>
          <w:rFonts w:ascii="Times New Roman" w:hAnsi="Times New Roman"/>
          <w:i/>
          <w:sz w:val="20"/>
          <w:szCs w:val="20"/>
        </w:rPr>
        <w:t>Fonte:</w:t>
      </w:r>
      <w:r w:rsidRPr="00074F3D">
        <w:rPr>
          <w:rFonts w:ascii="Times New Roman" w:hAnsi="Times New Roman"/>
          <w:sz w:val="20"/>
          <w:szCs w:val="20"/>
        </w:rPr>
        <w:t xml:space="preserve"> Elaboração própria a partir dos dados do Banco Central do Brasil.</w:t>
      </w:r>
    </w:p>
    <w:p w:rsidR="00074F3D" w:rsidRPr="00074F3D" w:rsidRDefault="00074F3D" w:rsidP="00074F3D">
      <w:pPr>
        <w:tabs>
          <w:tab w:val="left" w:pos="426"/>
        </w:tabs>
        <w:spacing w:after="0" w:line="240" w:lineRule="auto"/>
        <w:ind w:firstLine="709"/>
        <w:jc w:val="both"/>
        <w:rPr>
          <w:rFonts w:ascii="Times New Roman" w:eastAsia="Times New Roman" w:hAnsi="Times New Roman"/>
          <w:bCs/>
          <w:color w:val="000000"/>
          <w:sz w:val="24"/>
          <w:szCs w:val="24"/>
          <w:lang w:eastAsia="pt-BR"/>
        </w:rPr>
      </w:pPr>
    </w:p>
    <w:p w:rsidR="00074F3D" w:rsidRPr="00074F3D" w:rsidRDefault="00074F3D" w:rsidP="00074F3D">
      <w:pPr>
        <w:tabs>
          <w:tab w:val="left" w:pos="426"/>
        </w:tabs>
        <w:spacing w:after="0" w:line="240" w:lineRule="auto"/>
        <w:ind w:firstLine="709"/>
        <w:jc w:val="both"/>
        <w:rPr>
          <w:rFonts w:ascii="Times New Roman" w:eastAsia="Times New Roman" w:hAnsi="Times New Roman"/>
          <w:bCs/>
          <w:color w:val="000000"/>
          <w:sz w:val="24"/>
          <w:szCs w:val="24"/>
          <w:lang w:eastAsia="pt-BR"/>
        </w:rPr>
      </w:pPr>
      <w:r w:rsidRPr="00074F3D">
        <w:rPr>
          <w:rFonts w:ascii="Times New Roman" w:hAnsi="Times New Roman"/>
          <w:sz w:val="24"/>
          <w:szCs w:val="24"/>
        </w:rPr>
        <w:t xml:space="preserve">Esse movimento de retorno de capitais com caráter mais volátil deve-se a um novo movimento mais geral de retorno desses fluxos para as economias emergentes, ao longo dos últimos três anos, em um contexto de melhoria nas condições dos mercados financeiros internacionais. Todavia, um conjunto de características específicas da economia brasileira contribuiu para fomentar a volta desses recursos. Por um lado, os investimentos em ações foram estimulados pelas perspectivas de alta dos preços desses papéis, associadas à forte desvalorização no último trimestre de 2008 e, em um momento posterior, à recuperação dos preços das </w:t>
      </w:r>
      <w:r w:rsidRPr="00074F3D">
        <w:rPr>
          <w:rFonts w:ascii="Times New Roman" w:hAnsi="Times New Roman"/>
          <w:i/>
          <w:sz w:val="24"/>
          <w:szCs w:val="24"/>
        </w:rPr>
        <w:t xml:space="preserve">commodities </w:t>
      </w:r>
      <w:r w:rsidRPr="00074F3D">
        <w:rPr>
          <w:rFonts w:ascii="Times New Roman" w:hAnsi="Times New Roman"/>
          <w:sz w:val="24"/>
          <w:szCs w:val="24"/>
        </w:rPr>
        <w:t xml:space="preserve">e do amplo mercado de consumo doméstico. Por outro lado, as captações externas, assim como as aplicações em títulos públicos de renda fixa no país, foram estimuladas pela manutenção do elevado diferencial entre os juros interno e externo, em um contexto de taxas de juros historicamente baixas nos países centrais, sobretudo em virtude das políticas de </w:t>
      </w:r>
      <w:r w:rsidRPr="00074F3D">
        <w:rPr>
          <w:rFonts w:ascii="Times New Roman" w:hAnsi="Times New Roman"/>
          <w:i/>
          <w:sz w:val="24"/>
          <w:szCs w:val="24"/>
        </w:rPr>
        <w:t xml:space="preserve">quantitative easing </w:t>
      </w:r>
      <w:r w:rsidRPr="00074F3D">
        <w:rPr>
          <w:rFonts w:ascii="Times New Roman" w:hAnsi="Times New Roman"/>
          <w:sz w:val="24"/>
          <w:szCs w:val="24"/>
        </w:rPr>
        <w:t>dos Estados Unidos. A partir de 2010, a elevação da taxa de juros básica pelo Banco Central do Brasil, induziu operações de arbitragem. Assim, o país captou recursos no exterior, sobretudo, na modalidade de empréstimos (componente de OIE) e em títulos de renda fixa e ações (componente de IEC).</w:t>
      </w:r>
    </w:p>
    <w:p w:rsidR="00074F3D" w:rsidRPr="00074F3D" w:rsidRDefault="00074F3D" w:rsidP="00BF7B0B">
      <w:pPr>
        <w:tabs>
          <w:tab w:val="left" w:pos="426"/>
        </w:tabs>
        <w:spacing w:after="0" w:line="240" w:lineRule="auto"/>
        <w:ind w:firstLine="709"/>
        <w:jc w:val="both"/>
        <w:rPr>
          <w:rFonts w:ascii="Times New Roman" w:hAnsi="Times New Roman"/>
          <w:sz w:val="24"/>
          <w:szCs w:val="24"/>
        </w:rPr>
      </w:pPr>
      <w:r w:rsidRPr="00074F3D">
        <w:rPr>
          <w:rFonts w:ascii="Times New Roman" w:hAnsi="Times New Roman"/>
          <w:sz w:val="24"/>
          <w:szCs w:val="24"/>
        </w:rPr>
        <w:t>Outro fator que influenciou o forte crescimento do ingresso de recursos externos foi a menor saída de capitais brasileiros para o exterior</w:t>
      </w:r>
      <w:r w:rsidR="00BF7B0B">
        <w:rPr>
          <w:rFonts w:ascii="Times New Roman" w:hAnsi="Times New Roman"/>
          <w:sz w:val="24"/>
          <w:szCs w:val="24"/>
        </w:rPr>
        <w:t xml:space="preserve">, com exceção da sub-conta </w:t>
      </w:r>
      <w:r w:rsidR="00BF7B0B" w:rsidRPr="00074F3D">
        <w:rPr>
          <w:rFonts w:ascii="Times New Roman" w:hAnsi="Times New Roman"/>
          <w:sz w:val="24"/>
          <w:szCs w:val="24"/>
        </w:rPr>
        <w:t>Outros Investimentos Brasileiros (OIB)</w:t>
      </w:r>
      <w:r w:rsidR="00BF7B0B">
        <w:rPr>
          <w:rStyle w:val="Refdenotaderodap"/>
          <w:rFonts w:ascii="Times New Roman" w:hAnsi="Times New Roman"/>
          <w:sz w:val="24"/>
          <w:szCs w:val="24"/>
        </w:rPr>
        <w:footnoteReference w:id="5"/>
      </w:r>
      <w:r w:rsidR="00BF7B0B">
        <w:rPr>
          <w:rFonts w:ascii="Times New Roman" w:hAnsi="Times New Roman"/>
          <w:sz w:val="24"/>
          <w:szCs w:val="24"/>
        </w:rPr>
        <w:t>, conforme Gráfico 6</w:t>
      </w:r>
      <w:r w:rsidRPr="00074F3D">
        <w:rPr>
          <w:rFonts w:ascii="Times New Roman" w:hAnsi="Times New Roman"/>
          <w:sz w:val="24"/>
          <w:szCs w:val="24"/>
        </w:rPr>
        <w:t xml:space="preserve">. Isso se deu em virtude do retorno líquido de investimentos brasileiros (principalmente Diretos e, em menor medida, Investimentos em Carteira), em um contexto de baixas oportunidades de lucro nos países avançados, além de perspectivas favoráveis em relação à economia brasileira. </w:t>
      </w:r>
      <w:r w:rsidR="00BF7B0B">
        <w:rPr>
          <w:rFonts w:ascii="Times New Roman" w:hAnsi="Times New Roman"/>
          <w:sz w:val="24"/>
          <w:szCs w:val="24"/>
        </w:rPr>
        <w:t xml:space="preserve">Assim, </w:t>
      </w:r>
      <w:r w:rsidRPr="00074F3D">
        <w:rPr>
          <w:rFonts w:ascii="Times New Roman" w:hAnsi="Times New Roman"/>
          <w:bCs/>
          <w:color w:val="000000"/>
          <w:sz w:val="24"/>
          <w:szCs w:val="24"/>
        </w:rPr>
        <w:t>houve uma entrada muito forte de recursos estrangeiros no Brasil via Investimentos Estrangeiros em Carteira e Investimentos Diretos Estrangeiros em 2010 e 2011.</w:t>
      </w:r>
    </w:p>
    <w:p w:rsidR="00074F3D" w:rsidRPr="00074F3D" w:rsidRDefault="00074F3D" w:rsidP="00074F3D">
      <w:pPr>
        <w:spacing w:after="0" w:line="240" w:lineRule="auto"/>
        <w:jc w:val="both"/>
        <w:rPr>
          <w:rFonts w:ascii="Times New Roman" w:hAnsi="Times New Roman"/>
          <w:sz w:val="24"/>
          <w:szCs w:val="24"/>
          <w:lang w:eastAsia="pt-BR"/>
        </w:rPr>
      </w:pPr>
      <w:r w:rsidRPr="00074F3D">
        <w:rPr>
          <w:rFonts w:ascii="Times New Roman" w:hAnsi="Times New Roman"/>
          <w:sz w:val="24"/>
          <w:szCs w:val="24"/>
        </w:rPr>
        <w:tab/>
        <w:t xml:space="preserve">Uma nova fase dos fluxos de capitais é inaugurada em 2011. Desde meados daquele ano, o montante total de </w:t>
      </w:r>
      <w:r w:rsidRPr="00074F3D">
        <w:rPr>
          <w:rFonts w:ascii="Times New Roman" w:hAnsi="Times New Roman"/>
          <w:iCs/>
          <w:sz w:val="24"/>
          <w:szCs w:val="24"/>
        </w:rPr>
        <w:t xml:space="preserve">influxos de capitais </w:t>
      </w:r>
      <w:r w:rsidRPr="00074F3D">
        <w:rPr>
          <w:rFonts w:ascii="Times New Roman" w:hAnsi="Times New Roman"/>
          <w:sz w:val="24"/>
          <w:szCs w:val="24"/>
        </w:rPr>
        <w:t xml:space="preserve">sofre nítida redução. Todavia, o que merece destaque é a melhora qualitativa dos fluxos atraídos, com forte aumento do IED e também queda dos empréstimos bancários (componentes de OIE). Há uma considerável </w:t>
      </w:r>
      <w:r w:rsidR="00913058">
        <w:rPr>
          <w:rFonts w:ascii="Times New Roman" w:hAnsi="Times New Roman"/>
          <w:sz w:val="24"/>
          <w:szCs w:val="24"/>
        </w:rPr>
        <w:t>queda de IEC, conforme Gráfico 7</w:t>
      </w:r>
      <w:r w:rsidRPr="00074F3D">
        <w:rPr>
          <w:rFonts w:ascii="Times New Roman" w:hAnsi="Times New Roman"/>
          <w:sz w:val="24"/>
          <w:szCs w:val="24"/>
        </w:rPr>
        <w:t xml:space="preserve">, que parece responder à queda do diferencial de juros e da apreciação cambial. Na </w:t>
      </w:r>
      <w:r w:rsidRPr="00074F3D">
        <w:rPr>
          <w:rFonts w:ascii="Times New Roman" w:hAnsi="Times New Roman"/>
          <w:sz w:val="24"/>
          <w:szCs w:val="24"/>
        </w:rPr>
        <w:lastRenderedPageBreak/>
        <w:t xml:space="preserve">verdade, o Gráfico </w:t>
      </w:r>
      <w:r w:rsidR="00913058">
        <w:rPr>
          <w:rFonts w:ascii="Times New Roman" w:hAnsi="Times New Roman"/>
          <w:sz w:val="24"/>
          <w:szCs w:val="24"/>
        </w:rPr>
        <w:t>7</w:t>
      </w:r>
      <w:r w:rsidRPr="00074F3D">
        <w:rPr>
          <w:rFonts w:ascii="Times New Roman" w:hAnsi="Times New Roman"/>
          <w:sz w:val="24"/>
          <w:szCs w:val="24"/>
        </w:rPr>
        <w:t xml:space="preserve"> mostra que a volatilidade</w:t>
      </w:r>
      <w:r w:rsidR="00913058">
        <w:rPr>
          <w:rFonts w:ascii="Times New Roman" w:hAnsi="Times New Roman"/>
          <w:sz w:val="24"/>
          <w:szCs w:val="24"/>
        </w:rPr>
        <w:t xml:space="preserve"> </w:t>
      </w:r>
      <w:r w:rsidRPr="00074F3D">
        <w:rPr>
          <w:rFonts w:ascii="Times New Roman" w:hAnsi="Times New Roman"/>
          <w:sz w:val="24"/>
          <w:szCs w:val="24"/>
        </w:rPr>
        <w:t xml:space="preserve">dos fluxos de capitais de não residentes pela via do mercado acionários ou do mercado de títulos de renda fixa (Investimentos em Carteira) reduziu bastante a partir de 2011. </w:t>
      </w:r>
    </w:p>
    <w:p w:rsidR="00074F3D" w:rsidRPr="00074F3D" w:rsidRDefault="00074F3D" w:rsidP="00074F3D">
      <w:pPr>
        <w:spacing w:after="0" w:line="240" w:lineRule="auto"/>
        <w:jc w:val="both"/>
        <w:rPr>
          <w:rFonts w:ascii="Times New Roman" w:hAnsi="Times New Roman"/>
          <w:sz w:val="24"/>
          <w:szCs w:val="24"/>
        </w:rPr>
      </w:pPr>
    </w:p>
    <w:p w:rsidR="00074F3D" w:rsidRPr="00074F3D" w:rsidRDefault="00074F3D" w:rsidP="00DF148A">
      <w:pPr>
        <w:spacing w:after="0" w:line="240" w:lineRule="auto"/>
        <w:jc w:val="center"/>
        <w:rPr>
          <w:rFonts w:ascii="Times New Roman" w:hAnsi="Times New Roman"/>
          <w:sz w:val="24"/>
          <w:szCs w:val="24"/>
        </w:rPr>
      </w:pPr>
      <w:r w:rsidRPr="00074F3D">
        <w:rPr>
          <w:rFonts w:ascii="Times New Roman" w:hAnsi="Times New Roman"/>
          <w:b/>
          <w:sz w:val="24"/>
          <w:szCs w:val="24"/>
        </w:rPr>
        <w:t>Grá</w:t>
      </w:r>
      <w:r w:rsidR="00DF148A">
        <w:rPr>
          <w:rFonts w:ascii="Times New Roman" w:hAnsi="Times New Roman"/>
          <w:b/>
          <w:sz w:val="24"/>
          <w:szCs w:val="24"/>
        </w:rPr>
        <w:t>fico 7</w:t>
      </w:r>
      <w:r w:rsidRPr="00074F3D">
        <w:rPr>
          <w:rFonts w:ascii="Times New Roman" w:hAnsi="Times New Roman"/>
          <w:b/>
          <w:sz w:val="24"/>
          <w:szCs w:val="24"/>
        </w:rPr>
        <w:t>: Fluxos de capital de não residentes para o Brasil (U</w:t>
      </w:r>
      <w:r w:rsidR="00DF148A">
        <w:rPr>
          <w:rFonts w:ascii="Times New Roman" w:hAnsi="Times New Roman"/>
          <w:b/>
          <w:sz w:val="24"/>
          <w:szCs w:val="24"/>
        </w:rPr>
        <w:t>S</w:t>
      </w:r>
      <w:r w:rsidRPr="00074F3D">
        <w:rPr>
          <w:rFonts w:ascii="Times New Roman" w:hAnsi="Times New Roman"/>
          <w:b/>
          <w:sz w:val="24"/>
          <w:szCs w:val="24"/>
        </w:rPr>
        <w:t>$ Milhões)</w:t>
      </w:r>
    </w:p>
    <w:p w:rsidR="00074F3D" w:rsidRPr="00074F3D" w:rsidRDefault="00894B44" w:rsidP="00DF148A">
      <w:pPr>
        <w:spacing w:after="0" w:line="240" w:lineRule="auto"/>
        <w:jc w:val="center"/>
        <w:rPr>
          <w:rFonts w:ascii="Times New Roman" w:hAnsi="Times New Roman"/>
          <w:szCs w:val="24"/>
        </w:rPr>
      </w:pPr>
      <w:r>
        <w:rPr>
          <w:rFonts w:ascii="Times New Roman" w:hAnsi="Times New Roman"/>
          <w:noProof/>
          <w:szCs w:val="24"/>
          <w:lang w:eastAsia="pt-BR"/>
        </w:rPr>
        <w:drawing>
          <wp:inline distT="0" distB="0" distL="0" distR="0">
            <wp:extent cx="2661285" cy="1999615"/>
            <wp:effectExtent l="19050" t="0" r="5715" b="0"/>
            <wp:docPr id="7" name="Objeto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to 7"/>
                    <pic:cNvPicPr>
                      <a:picLocks noChangeAspect="1" noChangeArrowheads="1"/>
                    </pic:cNvPicPr>
                  </pic:nvPicPr>
                  <pic:blipFill>
                    <a:blip r:embed="rId16" cstate="print"/>
                    <a:srcRect/>
                    <a:stretch>
                      <a:fillRect/>
                    </a:stretch>
                  </pic:blipFill>
                  <pic:spPr bwMode="auto">
                    <a:xfrm>
                      <a:off x="0" y="0"/>
                      <a:ext cx="2661285" cy="1999615"/>
                    </a:xfrm>
                    <a:prstGeom prst="rect">
                      <a:avLst/>
                    </a:prstGeom>
                    <a:noFill/>
                    <a:ln w="9525">
                      <a:noFill/>
                      <a:miter lim="800000"/>
                      <a:headEnd/>
                      <a:tailEnd/>
                    </a:ln>
                  </pic:spPr>
                </pic:pic>
              </a:graphicData>
            </a:graphic>
          </wp:inline>
        </w:drawing>
      </w:r>
      <w:r>
        <w:rPr>
          <w:rFonts w:ascii="Times New Roman" w:hAnsi="Times New Roman"/>
          <w:noProof/>
          <w:szCs w:val="24"/>
          <w:lang w:eastAsia="pt-BR"/>
        </w:rPr>
        <w:drawing>
          <wp:inline distT="0" distB="0" distL="0" distR="0">
            <wp:extent cx="2715895" cy="1999615"/>
            <wp:effectExtent l="19050" t="0" r="8255" b="0"/>
            <wp:docPr id="8" name="Objet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to 8"/>
                    <pic:cNvPicPr>
                      <a:picLocks noChangeAspect="1" noChangeArrowheads="1"/>
                    </pic:cNvPicPr>
                  </pic:nvPicPr>
                  <pic:blipFill>
                    <a:blip r:embed="rId17" cstate="print"/>
                    <a:srcRect/>
                    <a:stretch>
                      <a:fillRect/>
                    </a:stretch>
                  </pic:blipFill>
                  <pic:spPr bwMode="auto">
                    <a:xfrm>
                      <a:off x="0" y="0"/>
                      <a:ext cx="2715895" cy="1999615"/>
                    </a:xfrm>
                    <a:prstGeom prst="rect">
                      <a:avLst/>
                    </a:prstGeom>
                    <a:noFill/>
                    <a:ln w="9525">
                      <a:noFill/>
                      <a:miter lim="800000"/>
                      <a:headEnd/>
                      <a:tailEnd/>
                    </a:ln>
                  </pic:spPr>
                </pic:pic>
              </a:graphicData>
            </a:graphic>
          </wp:inline>
        </w:drawing>
      </w:r>
    </w:p>
    <w:p w:rsidR="00074F3D" w:rsidRPr="00074F3D" w:rsidRDefault="00894B44" w:rsidP="00DF148A">
      <w:pPr>
        <w:spacing w:after="0" w:line="240" w:lineRule="auto"/>
        <w:jc w:val="center"/>
        <w:rPr>
          <w:rFonts w:ascii="Times New Roman" w:hAnsi="Times New Roman"/>
          <w:szCs w:val="24"/>
        </w:rPr>
      </w:pPr>
      <w:r>
        <w:rPr>
          <w:rFonts w:ascii="Times New Roman" w:hAnsi="Times New Roman"/>
          <w:noProof/>
          <w:szCs w:val="24"/>
          <w:lang w:eastAsia="pt-BR"/>
        </w:rPr>
        <w:drawing>
          <wp:inline distT="0" distB="0" distL="0" distR="0">
            <wp:extent cx="3568700" cy="1896745"/>
            <wp:effectExtent l="19050" t="0" r="0" b="0"/>
            <wp:docPr id="9" name="Objeto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to 9"/>
                    <pic:cNvPicPr>
                      <a:picLocks noChangeAspect="1" noChangeArrowheads="1"/>
                    </pic:cNvPicPr>
                  </pic:nvPicPr>
                  <pic:blipFill>
                    <a:blip r:embed="rId18" cstate="print"/>
                    <a:srcRect/>
                    <a:stretch>
                      <a:fillRect/>
                    </a:stretch>
                  </pic:blipFill>
                  <pic:spPr bwMode="auto">
                    <a:xfrm>
                      <a:off x="0" y="0"/>
                      <a:ext cx="3568700" cy="1896745"/>
                    </a:xfrm>
                    <a:prstGeom prst="rect">
                      <a:avLst/>
                    </a:prstGeom>
                    <a:noFill/>
                    <a:ln w="9525">
                      <a:noFill/>
                      <a:miter lim="800000"/>
                      <a:headEnd/>
                      <a:tailEnd/>
                    </a:ln>
                  </pic:spPr>
                </pic:pic>
              </a:graphicData>
            </a:graphic>
          </wp:inline>
        </w:drawing>
      </w:r>
    </w:p>
    <w:p w:rsidR="00074F3D" w:rsidRPr="00074F3D" w:rsidRDefault="00074F3D" w:rsidP="00074F3D">
      <w:pPr>
        <w:tabs>
          <w:tab w:val="left" w:pos="426"/>
        </w:tabs>
        <w:spacing w:after="0" w:line="240" w:lineRule="auto"/>
        <w:jc w:val="both"/>
        <w:rPr>
          <w:rFonts w:ascii="Times New Roman" w:hAnsi="Times New Roman"/>
          <w:sz w:val="24"/>
          <w:szCs w:val="24"/>
        </w:rPr>
      </w:pPr>
      <w:r w:rsidRPr="00074F3D">
        <w:rPr>
          <w:rFonts w:ascii="Times New Roman" w:hAnsi="Times New Roman"/>
          <w:i/>
          <w:sz w:val="20"/>
          <w:szCs w:val="20"/>
        </w:rPr>
        <w:tab/>
      </w:r>
      <w:r w:rsidR="00DF148A">
        <w:rPr>
          <w:rFonts w:ascii="Times New Roman" w:hAnsi="Times New Roman"/>
          <w:i/>
          <w:sz w:val="20"/>
          <w:szCs w:val="20"/>
        </w:rPr>
        <w:t xml:space="preserve">                       </w:t>
      </w:r>
      <w:r w:rsidRPr="00074F3D">
        <w:rPr>
          <w:rFonts w:ascii="Times New Roman" w:hAnsi="Times New Roman"/>
          <w:i/>
          <w:sz w:val="20"/>
          <w:szCs w:val="20"/>
        </w:rPr>
        <w:t xml:space="preserve"> Fonte: </w:t>
      </w:r>
      <w:r w:rsidRPr="00074F3D">
        <w:rPr>
          <w:rFonts w:ascii="Times New Roman" w:hAnsi="Times New Roman"/>
          <w:sz w:val="20"/>
          <w:szCs w:val="20"/>
        </w:rPr>
        <w:t>Elaboração própria a partir dos dados do Banco Central do Brasil.</w:t>
      </w:r>
      <w:r w:rsidRPr="00074F3D">
        <w:rPr>
          <w:rFonts w:ascii="Times New Roman" w:hAnsi="Times New Roman"/>
          <w:sz w:val="24"/>
          <w:szCs w:val="24"/>
        </w:rPr>
        <w:tab/>
      </w:r>
    </w:p>
    <w:p w:rsidR="00DF148A" w:rsidRDefault="00074F3D" w:rsidP="00074F3D">
      <w:pPr>
        <w:tabs>
          <w:tab w:val="left" w:pos="426"/>
        </w:tabs>
        <w:spacing w:after="0" w:line="240" w:lineRule="auto"/>
        <w:jc w:val="both"/>
        <w:rPr>
          <w:rFonts w:ascii="Times New Roman" w:hAnsi="Times New Roman"/>
          <w:sz w:val="24"/>
          <w:szCs w:val="24"/>
        </w:rPr>
      </w:pPr>
      <w:r w:rsidRPr="00074F3D">
        <w:rPr>
          <w:rFonts w:ascii="Times New Roman" w:hAnsi="Times New Roman"/>
          <w:sz w:val="24"/>
          <w:szCs w:val="24"/>
        </w:rPr>
        <w:tab/>
      </w:r>
    </w:p>
    <w:p w:rsidR="00074F3D" w:rsidRPr="00074F3D" w:rsidRDefault="00913058" w:rsidP="00074F3D">
      <w:pPr>
        <w:tabs>
          <w:tab w:val="left" w:pos="426"/>
        </w:tabs>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074F3D" w:rsidRPr="00074F3D">
        <w:rPr>
          <w:rFonts w:ascii="Times New Roman" w:hAnsi="Times New Roman"/>
          <w:sz w:val="24"/>
          <w:szCs w:val="24"/>
        </w:rPr>
        <w:t>A partir de 2011</w:t>
      </w:r>
      <w:r w:rsidR="006A3568">
        <w:rPr>
          <w:rFonts w:ascii="Times New Roman" w:hAnsi="Times New Roman"/>
          <w:sz w:val="24"/>
          <w:szCs w:val="24"/>
        </w:rPr>
        <w:t>,</w:t>
      </w:r>
      <w:r w:rsidR="00074F3D" w:rsidRPr="00074F3D">
        <w:rPr>
          <w:rFonts w:ascii="Times New Roman" w:hAnsi="Times New Roman"/>
          <w:sz w:val="24"/>
          <w:szCs w:val="24"/>
        </w:rPr>
        <w:t xml:space="preserve"> os fatores internos que estimulam ou desestimulam a entrada de capitais estrangeiros sofreram alterações relevantes. Isto decorreu de um aumento de mudanças na legislação cambial e de capitais estrangeiros no Brasil. Em 2011, foram seis alterações relevantes, ao passo que em 2012 esse número aumentou para nove. Assim, a regulação financeira tem ficado cada vez mais complexa na economia brasileira, haja vista uma série de medidas macroprudenciais (cujo principal instrumento é o requerimentos de reserva sobre as posições vendidas dos bancos no mercado de câmbio à vista), que vem sendo adotadas em conjunto com os controles de capitais e regulação no mercado de derivativos cambiais.</w:t>
      </w:r>
    </w:p>
    <w:p w:rsidR="00074F3D" w:rsidRPr="00074F3D" w:rsidRDefault="00074F3D" w:rsidP="00074F3D">
      <w:pPr>
        <w:tabs>
          <w:tab w:val="left" w:pos="426"/>
        </w:tabs>
        <w:spacing w:after="0" w:line="240" w:lineRule="auto"/>
        <w:jc w:val="both"/>
        <w:rPr>
          <w:rFonts w:ascii="Times New Roman" w:hAnsi="Times New Roman"/>
          <w:sz w:val="24"/>
          <w:szCs w:val="24"/>
        </w:rPr>
      </w:pPr>
      <w:r w:rsidRPr="00074F3D">
        <w:rPr>
          <w:rFonts w:ascii="Times New Roman" w:hAnsi="Times New Roman"/>
          <w:sz w:val="24"/>
          <w:szCs w:val="24"/>
        </w:rPr>
        <w:tab/>
      </w:r>
      <w:r w:rsidRPr="00074F3D">
        <w:rPr>
          <w:rFonts w:ascii="Times New Roman" w:hAnsi="Times New Roman"/>
          <w:sz w:val="24"/>
          <w:szCs w:val="24"/>
        </w:rPr>
        <w:tab/>
      </w:r>
      <w:r w:rsidR="0099668B">
        <w:rPr>
          <w:rFonts w:ascii="Times New Roman" w:hAnsi="Times New Roman"/>
          <w:sz w:val="24"/>
          <w:szCs w:val="24"/>
        </w:rPr>
        <w:t xml:space="preserve">É mister destacar </w:t>
      </w:r>
      <w:r w:rsidRPr="00074F3D">
        <w:rPr>
          <w:rFonts w:ascii="Times New Roman" w:hAnsi="Times New Roman"/>
          <w:sz w:val="24"/>
          <w:szCs w:val="24"/>
        </w:rPr>
        <w:t xml:space="preserve">que há no Brasil uma alta volatilidade de capitais não taxados via </w:t>
      </w:r>
      <w:r w:rsidR="0099668B">
        <w:rPr>
          <w:rFonts w:ascii="Times New Roman" w:hAnsi="Times New Roman"/>
          <w:sz w:val="24"/>
          <w:szCs w:val="24"/>
        </w:rPr>
        <w:t>Imposto sobre Operações Financeiras (</w:t>
      </w:r>
      <w:r w:rsidRPr="00074F3D">
        <w:rPr>
          <w:rFonts w:ascii="Times New Roman" w:hAnsi="Times New Roman"/>
          <w:sz w:val="24"/>
          <w:szCs w:val="24"/>
        </w:rPr>
        <w:t>IOF</w:t>
      </w:r>
      <w:r w:rsidR="0099668B">
        <w:rPr>
          <w:rFonts w:ascii="Times New Roman" w:hAnsi="Times New Roman"/>
          <w:sz w:val="24"/>
          <w:szCs w:val="24"/>
        </w:rPr>
        <w:t>)</w:t>
      </w:r>
      <w:r w:rsidRPr="00074F3D">
        <w:rPr>
          <w:rFonts w:ascii="Times New Roman" w:hAnsi="Times New Roman"/>
          <w:sz w:val="24"/>
          <w:szCs w:val="24"/>
        </w:rPr>
        <w:t>,</w:t>
      </w:r>
      <w:r w:rsidR="0099668B">
        <w:rPr>
          <w:rFonts w:ascii="Times New Roman" w:hAnsi="Times New Roman"/>
          <w:sz w:val="24"/>
          <w:szCs w:val="24"/>
        </w:rPr>
        <w:t xml:space="preserve"> o principal instrumento dos controles de capitais brasileiros,</w:t>
      </w:r>
      <w:r w:rsidRPr="00074F3D">
        <w:rPr>
          <w:rFonts w:ascii="Times New Roman" w:hAnsi="Times New Roman"/>
          <w:sz w:val="24"/>
          <w:szCs w:val="24"/>
        </w:rPr>
        <w:t xml:space="preserve"> como os Outros Investimentos.</w:t>
      </w:r>
      <w:r w:rsidR="0099668B">
        <w:rPr>
          <w:rFonts w:ascii="Times New Roman" w:hAnsi="Times New Roman"/>
          <w:sz w:val="24"/>
          <w:szCs w:val="24"/>
        </w:rPr>
        <w:t xml:space="preserve"> O G</w:t>
      </w:r>
      <w:r w:rsidRPr="00074F3D">
        <w:rPr>
          <w:rFonts w:ascii="Times New Roman" w:hAnsi="Times New Roman"/>
          <w:sz w:val="24"/>
          <w:szCs w:val="24"/>
        </w:rPr>
        <w:t xml:space="preserve">ráfico </w:t>
      </w:r>
      <w:r w:rsidR="006A3568">
        <w:rPr>
          <w:rFonts w:ascii="Times New Roman" w:hAnsi="Times New Roman"/>
          <w:sz w:val="24"/>
          <w:szCs w:val="24"/>
        </w:rPr>
        <w:t>7</w:t>
      </w:r>
      <w:r w:rsidRPr="00074F3D">
        <w:rPr>
          <w:rFonts w:ascii="Times New Roman" w:hAnsi="Times New Roman"/>
          <w:sz w:val="24"/>
          <w:szCs w:val="24"/>
        </w:rPr>
        <w:t xml:space="preserve"> mostra que a dinâmica desses fluxos não é alterada a partir de 2011, como se apresentou a dinâmica dos fluxos de IEC. Outro fato importante é que, no caso do Brasil, grande parte da apreciação cambial apresentada no período recente, de 2009 a 2011, sendo que só em 2010 o Real se apreciou</w:t>
      </w:r>
      <w:r w:rsidRPr="00074F3D">
        <w:rPr>
          <w:rStyle w:val="Refdenotaderodap"/>
          <w:rFonts w:ascii="Times New Roman" w:hAnsi="Times New Roman"/>
          <w:sz w:val="24"/>
          <w:szCs w:val="24"/>
        </w:rPr>
        <w:footnoteReference w:id="6"/>
      </w:r>
      <w:r w:rsidRPr="00074F3D">
        <w:rPr>
          <w:rFonts w:ascii="Times New Roman" w:hAnsi="Times New Roman"/>
          <w:sz w:val="24"/>
          <w:szCs w:val="24"/>
        </w:rPr>
        <w:t xml:space="preserve"> 30% em relação ao dólar, está associada às operações com </w:t>
      </w:r>
      <w:r w:rsidRPr="00074F3D">
        <w:rPr>
          <w:rFonts w:ascii="Times New Roman" w:hAnsi="Times New Roman"/>
          <w:i/>
          <w:sz w:val="24"/>
          <w:szCs w:val="24"/>
        </w:rPr>
        <w:t>carry trade.</w:t>
      </w:r>
      <w:r w:rsidRPr="00074F3D">
        <w:rPr>
          <w:rFonts w:ascii="Times New Roman" w:hAnsi="Times New Roman"/>
          <w:sz w:val="24"/>
          <w:szCs w:val="24"/>
        </w:rPr>
        <w:t xml:space="preserve"> Assim, os influxos de capitais podem ter sofrido efeito predominantemente pela queda no diferencial de juros e pelo agravamento do sentimento de mercado frente ao cenário de crise. </w:t>
      </w:r>
    </w:p>
    <w:p w:rsidR="00F7231F" w:rsidRDefault="00074F3D" w:rsidP="005956F7">
      <w:pPr>
        <w:tabs>
          <w:tab w:val="left" w:pos="426"/>
        </w:tabs>
        <w:spacing w:after="0" w:line="240" w:lineRule="auto"/>
        <w:jc w:val="both"/>
        <w:rPr>
          <w:rFonts w:ascii="Times New Roman" w:hAnsi="Times New Roman"/>
          <w:i/>
          <w:sz w:val="24"/>
          <w:szCs w:val="24"/>
        </w:rPr>
      </w:pPr>
      <w:r w:rsidRPr="00074F3D">
        <w:rPr>
          <w:rFonts w:ascii="Times New Roman" w:hAnsi="Times New Roman"/>
          <w:sz w:val="24"/>
          <w:szCs w:val="24"/>
        </w:rPr>
        <w:lastRenderedPageBreak/>
        <w:tab/>
      </w:r>
      <w:r w:rsidRPr="00074F3D">
        <w:rPr>
          <w:rFonts w:ascii="Times New Roman" w:hAnsi="Times New Roman"/>
          <w:sz w:val="24"/>
          <w:szCs w:val="24"/>
        </w:rPr>
        <w:tab/>
        <w:t>Assim, acredita-se que mesmo com uma melhora dos fatores internos, sentida a partir dos controles de capitais e da alteração na gestão macroeconômica</w:t>
      </w:r>
      <w:r w:rsidRPr="00074F3D">
        <w:rPr>
          <w:rStyle w:val="Refdenotaderodap"/>
          <w:rFonts w:ascii="Times New Roman" w:hAnsi="Times New Roman"/>
          <w:sz w:val="24"/>
          <w:szCs w:val="24"/>
        </w:rPr>
        <w:footnoteReference w:id="7"/>
      </w:r>
      <w:r w:rsidRPr="00074F3D">
        <w:rPr>
          <w:rFonts w:ascii="Times New Roman" w:hAnsi="Times New Roman"/>
          <w:sz w:val="24"/>
          <w:szCs w:val="24"/>
        </w:rPr>
        <w:t xml:space="preserve"> brasileira, os fatores externos são os determinantes sobrepujantes da dinâmica dos fluxos de capitais direcionados ao Brasil e de seu consequente impacto sobre a taxa de câmbio. </w:t>
      </w:r>
      <w:r w:rsidRPr="00074F3D">
        <w:rPr>
          <w:rFonts w:ascii="Times New Roman" w:hAnsi="Times New Roman"/>
          <w:i/>
          <w:sz w:val="24"/>
          <w:szCs w:val="24"/>
        </w:rPr>
        <w:t xml:space="preserve"> </w:t>
      </w:r>
    </w:p>
    <w:p w:rsidR="005956F7" w:rsidRDefault="00074F3D" w:rsidP="005956F7">
      <w:pPr>
        <w:tabs>
          <w:tab w:val="left" w:pos="426"/>
        </w:tabs>
        <w:spacing w:after="0" w:line="240" w:lineRule="auto"/>
        <w:jc w:val="both"/>
        <w:rPr>
          <w:rFonts w:ascii="Times New Roman" w:hAnsi="Times New Roman"/>
          <w:sz w:val="24"/>
          <w:szCs w:val="24"/>
        </w:rPr>
      </w:pPr>
      <w:r w:rsidRPr="00074F3D">
        <w:rPr>
          <w:rFonts w:ascii="Times New Roman" w:hAnsi="Times New Roman"/>
          <w:sz w:val="24"/>
          <w:szCs w:val="24"/>
        </w:rPr>
        <w:t xml:space="preserve">  </w:t>
      </w:r>
    </w:p>
    <w:p w:rsidR="00371EA8" w:rsidRPr="005744DF" w:rsidRDefault="00943616" w:rsidP="005744DF">
      <w:pPr>
        <w:numPr>
          <w:ilvl w:val="0"/>
          <w:numId w:val="1"/>
        </w:numPr>
        <w:spacing w:after="0" w:line="240" w:lineRule="auto"/>
        <w:jc w:val="both"/>
        <w:rPr>
          <w:rFonts w:ascii="Times New Roman" w:hAnsi="Times New Roman"/>
          <w:b/>
          <w:sz w:val="24"/>
          <w:szCs w:val="24"/>
        </w:rPr>
      </w:pPr>
      <w:r w:rsidRPr="00F62B95">
        <w:rPr>
          <w:rFonts w:ascii="Times New Roman" w:hAnsi="Times New Roman"/>
          <w:b/>
          <w:sz w:val="24"/>
          <w:szCs w:val="24"/>
        </w:rPr>
        <w:t>Metodologia</w:t>
      </w:r>
      <w:r w:rsidR="005744DF">
        <w:rPr>
          <w:rFonts w:ascii="Times New Roman" w:hAnsi="Times New Roman"/>
          <w:b/>
          <w:sz w:val="24"/>
          <w:szCs w:val="24"/>
        </w:rPr>
        <w:t>, b</w:t>
      </w:r>
      <w:r w:rsidR="00371EA8" w:rsidRPr="005744DF">
        <w:rPr>
          <w:rFonts w:ascii="Times New Roman" w:hAnsi="Times New Roman"/>
          <w:b/>
          <w:sz w:val="24"/>
          <w:szCs w:val="24"/>
        </w:rPr>
        <w:t>ase de dados</w:t>
      </w:r>
      <w:r w:rsidR="005744DF">
        <w:rPr>
          <w:rFonts w:ascii="Times New Roman" w:hAnsi="Times New Roman"/>
          <w:b/>
          <w:sz w:val="24"/>
          <w:szCs w:val="24"/>
        </w:rPr>
        <w:t xml:space="preserve"> e</w:t>
      </w:r>
      <w:r w:rsidR="00371EA8" w:rsidRPr="005744DF">
        <w:rPr>
          <w:rFonts w:ascii="Times New Roman" w:hAnsi="Times New Roman"/>
          <w:b/>
          <w:sz w:val="24"/>
          <w:szCs w:val="24"/>
        </w:rPr>
        <w:t xml:space="preserve"> estatísticas descritivas</w:t>
      </w:r>
      <w:r w:rsidR="005744DF" w:rsidRPr="005744DF">
        <w:rPr>
          <w:rFonts w:ascii="Times New Roman" w:hAnsi="Times New Roman"/>
          <w:b/>
          <w:sz w:val="24"/>
          <w:szCs w:val="24"/>
        </w:rPr>
        <w:t xml:space="preserve"> </w:t>
      </w:r>
    </w:p>
    <w:p w:rsidR="00371EA8" w:rsidRDefault="00371EA8" w:rsidP="00371EA8">
      <w:pPr>
        <w:pStyle w:val="PargrafodaLista"/>
        <w:spacing w:after="0" w:line="240" w:lineRule="auto"/>
        <w:ind w:left="360"/>
        <w:rPr>
          <w:rFonts w:ascii="Times New Roman" w:hAnsi="Times New Roman"/>
          <w:sz w:val="24"/>
          <w:szCs w:val="24"/>
        </w:rPr>
      </w:pPr>
    </w:p>
    <w:p w:rsidR="001B5FEE" w:rsidRPr="00164659" w:rsidRDefault="00EB3F03" w:rsidP="001B5FEE">
      <w:pPr>
        <w:spacing w:after="0" w:line="240" w:lineRule="auto"/>
        <w:ind w:firstLine="708"/>
        <w:jc w:val="both"/>
        <w:rPr>
          <w:rFonts w:ascii="Times New Roman" w:hAnsi="Times New Roman"/>
          <w:sz w:val="24"/>
          <w:szCs w:val="24"/>
        </w:rPr>
      </w:pPr>
      <w:r w:rsidRPr="00164659">
        <w:rPr>
          <w:rFonts w:ascii="Times New Roman" w:hAnsi="Times New Roman"/>
          <w:sz w:val="24"/>
          <w:szCs w:val="24"/>
        </w:rPr>
        <w:t>O</w:t>
      </w:r>
      <w:r w:rsidR="001B5FEE" w:rsidRPr="00164659">
        <w:rPr>
          <w:rFonts w:ascii="Times New Roman" w:hAnsi="Times New Roman"/>
          <w:sz w:val="24"/>
          <w:szCs w:val="24"/>
        </w:rPr>
        <w:t xml:space="preserve"> objetivo </w:t>
      </w:r>
      <w:r w:rsidRPr="00164659">
        <w:rPr>
          <w:rFonts w:ascii="Times New Roman" w:hAnsi="Times New Roman"/>
          <w:sz w:val="24"/>
          <w:szCs w:val="24"/>
        </w:rPr>
        <w:t xml:space="preserve">central </w:t>
      </w:r>
      <w:r w:rsidR="001B5FEE" w:rsidRPr="00164659">
        <w:rPr>
          <w:rFonts w:ascii="Times New Roman" w:hAnsi="Times New Roman"/>
          <w:sz w:val="24"/>
          <w:szCs w:val="24"/>
        </w:rPr>
        <w:t>deste trabalho consiste em investigar a relevância d</w:t>
      </w:r>
      <w:r w:rsidRPr="00164659">
        <w:rPr>
          <w:rFonts w:ascii="Times New Roman" w:hAnsi="Times New Roman"/>
          <w:sz w:val="24"/>
          <w:szCs w:val="24"/>
        </w:rPr>
        <w:t>as</w:t>
      </w:r>
      <w:r w:rsidR="001B5FEE" w:rsidRPr="00164659">
        <w:rPr>
          <w:rFonts w:ascii="Times New Roman" w:hAnsi="Times New Roman"/>
          <w:sz w:val="24"/>
          <w:szCs w:val="24"/>
        </w:rPr>
        <w:t xml:space="preserve"> variáveis </w:t>
      </w:r>
      <w:r w:rsidRPr="00164659">
        <w:rPr>
          <w:rFonts w:ascii="Times New Roman" w:hAnsi="Times New Roman"/>
          <w:sz w:val="24"/>
          <w:szCs w:val="24"/>
        </w:rPr>
        <w:t>relacionadas ao</w:t>
      </w:r>
      <w:r w:rsidR="001B5FEE" w:rsidRPr="00164659">
        <w:rPr>
          <w:rFonts w:ascii="Times New Roman" w:hAnsi="Times New Roman"/>
          <w:sz w:val="24"/>
          <w:szCs w:val="24"/>
        </w:rPr>
        <w:t xml:space="preserve"> comércio</w:t>
      </w:r>
      <w:r w:rsidRPr="00164659">
        <w:rPr>
          <w:rFonts w:ascii="Times New Roman" w:hAnsi="Times New Roman"/>
          <w:sz w:val="24"/>
          <w:szCs w:val="24"/>
        </w:rPr>
        <w:t xml:space="preserve"> de </w:t>
      </w:r>
      <w:r w:rsidRPr="00164659">
        <w:rPr>
          <w:rFonts w:ascii="Times New Roman" w:hAnsi="Times New Roman"/>
          <w:i/>
          <w:sz w:val="24"/>
          <w:szCs w:val="24"/>
        </w:rPr>
        <w:t>commodities</w:t>
      </w:r>
      <w:r w:rsidR="001B5FEE" w:rsidRPr="00164659">
        <w:rPr>
          <w:rFonts w:ascii="Times New Roman" w:hAnsi="Times New Roman"/>
          <w:sz w:val="24"/>
          <w:szCs w:val="24"/>
        </w:rPr>
        <w:t xml:space="preserve"> e d</w:t>
      </w:r>
      <w:r w:rsidRPr="00164659">
        <w:rPr>
          <w:rFonts w:ascii="Times New Roman" w:hAnsi="Times New Roman"/>
          <w:sz w:val="24"/>
          <w:szCs w:val="24"/>
        </w:rPr>
        <w:t>as</w:t>
      </w:r>
      <w:r w:rsidR="001B5FEE" w:rsidRPr="00164659">
        <w:rPr>
          <w:rFonts w:ascii="Times New Roman" w:hAnsi="Times New Roman"/>
          <w:sz w:val="24"/>
          <w:szCs w:val="24"/>
        </w:rPr>
        <w:t xml:space="preserve"> variáveis financeiras </w:t>
      </w:r>
      <w:r w:rsidRPr="00164659">
        <w:rPr>
          <w:rFonts w:ascii="Times New Roman" w:hAnsi="Times New Roman"/>
          <w:sz w:val="24"/>
          <w:szCs w:val="24"/>
        </w:rPr>
        <w:t xml:space="preserve">ligadas aos fluxos internacionais de capitais </w:t>
      </w:r>
      <w:r w:rsidR="001B5FEE" w:rsidRPr="00164659">
        <w:rPr>
          <w:rFonts w:ascii="Times New Roman" w:hAnsi="Times New Roman"/>
          <w:sz w:val="24"/>
          <w:szCs w:val="24"/>
        </w:rPr>
        <w:t>para explicar o comportamento da taxa de câmbio real brasileir</w:t>
      </w:r>
      <w:r w:rsidRPr="00164659">
        <w:rPr>
          <w:rFonts w:ascii="Times New Roman" w:hAnsi="Times New Roman"/>
          <w:sz w:val="24"/>
          <w:szCs w:val="24"/>
        </w:rPr>
        <w:t>a</w:t>
      </w:r>
      <w:r w:rsidR="001B5FEE" w:rsidRPr="00164659">
        <w:rPr>
          <w:rFonts w:ascii="Times New Roman" w:hAnsi="Times New Roman"/>
          <w:sz w:val="24"/>
          <w:szCs w:val="24"/>
        </w:rPr>
        <w:t xml:space="preserve"> </w:t>
      </w:r>
      <w:r w:rsidRPr="00164659">
        <w:rPr>
          <w:rFonts w:ascii="Times New Roman" w:hAnsi="Times New Roman"/>
          <w:sz w:val="24"/>
          <w:szCs w:val="24"/>
        </w:rPr>
        <w:t>ao longo dos anos 2000.</w:t>
      </w:r>
      <w:r w:rsidR="001B5FEE" w:rsidRPr="00164659">
        <w:rPr>
          <w:rFonts w:ascii="Times New Roman" w:hAnsi="Times New Roman"/>
          <w:sz w:val="24"/>
          <w:szCs w:val="24"/>
        </w:rPr>
        <w:t xml:space="preserve"> </w:t>
      </w:r>
    </w:p>
    <w:p w:rsidR="001B5FEE" w:rsidRPr="00164659" w:rsidRDefault="001B5FEE" w:rsidP="001B5FEE">
      <w:pPr>
        <w:spacing w:after="0" w:line="240" w:lineRule="auto"/>
        <w:ind w:firstLine="708"/>
        <w:jc w:val="both"/>
        <w:rPr>
          <w:rFonts w:ascii="Times New Roman" w:hAnsi="Times New Roman"/>
          <w:sz w:val="24"/>
          <w:szCs w:val="24"/>
        </w:rPr>
      </w:pPr>
      <w:r w:rsidRPr="00164659">
        <w:rPr>
          <w:rFonts w:ascii="Times New Roman" w:hAnsi="Times New Roman"/>
          <w:sz w:val="24"/>
          <w:szCs w:val="24"/>
        </w:rPr>
        <w:t xml:space="preserve">Para </w:t>
      </w:r>
      <w:r w:rsidR="00EB3F03" w:rsidRPr="00164659">
        <w:rPr>
          <w:rFonts w:ascii="Times New Roman" w:hAnsi="Times New Roman"/>
          <w:sz w:val="24"/>
          <w:szCs w:val="24"/>
        </w:rPr>
        <w:t xml:space="preserve">o cumprimento deste propósito, </w:t>
      </w:r>
      <w:r w:rsidRPr="00164659">
        <w:rPr>
          <w:rFonts w:ascii="Times New Roman" w:hAnsi="Times New Roman"/>
          <w:sz w:val="24"/>
          <w:szCs w:val="24"/>
        </w:rPr>
        <w:t xml:space="preserve">será </w:t>
      </w:r>
      <w:r w:rsidR="00EB3F03" w:rsidRPr="00164659">
        <w:rPr>
          <w:rFonts w:ascii="Times New Roman" w:hAnsi="Times New Roman"/>
          <w:sz w:val="24"/>
          <w:szCs w:val="24"/>
        </w:rPr>
        <w:t>empregada</w:t>
      </w:r>
      <w:r w:rsidRPr="00164659">
        <w:rPr>
          <w:rFonts w:ascii="Times New Roman" w:hAnsi="Times New Roman"/>
          <w:sz w:val="24"/>
          <w:szCs w:val="24"/>
        </w:rPr>
        <w:t xml:space="preserve"> a metodologia de Vetores Auto-Regressivos</w:t>
      </w:r>
      <w:r w:rsidR="003A4CEF" w:rsidRPr="00164659">
        <w:rPr>
          <w:rFonts w:ascii="Times New Roman" w:hAnsi="Times New Roman"/>
          <w:sz w:val="24"/>
          <w:szCs w:val="24"/>
        </w:rPr>
        <w:t xml:space="preserve"> (VAR).</w:t>
      </w:r>
      <w:r w:rsidRPr="00164659">
        <w:rPr>
          <w:rFonts w:ascii="Times New Roman" w:hAnsi="Times New Roman"/>
          <w:sz w:val="24"/>
          <w:szCs w:val="24"/>
        </w:rPr>
        <w:t xml:space="preserve"> </w:t>
      </w:r>
      <w:r w:rsidR="003A4CEF" w:rsidRPr="00164659">
        <w:rPr>
          <w:rFonts w:ascii="Times New Roman" w:hAnsi="Times New Roman"/>
          <w:sz w:val="24"/>
          <w:szCs w:val="24"/>
        </w:rPr>
        <w:t>Esta metodologia</w:t>
      </w:r>
      <w:r w:rsidRPr="00164659">
        <w:rPr>
          <w:rFonts w:ascii="Times New Roman" w:hAnsi="Times New Roman"/>
          <w:sz w:val="24"/>
          <w:szCs w:val="24"/>
        </w:rPr>
        <w:t xml:space="preserve"> é utilizada para a construção de sistemas de previsão de séries temporais inter-relacionadas e para a análise dos impactos dinâmicos dos distúrbios aleatórios sobre o sistema de variáveis que compõem o modelo. </w:t>
      </w:r>
      <w:r w:rsidR="003A4CEF" w:rsidRPr="00164659">
        <w:rPr>
          <w:rFonts w:ascii="Times New Roman" w:hAnsi="Times New Roman"/>
          <w:sz w:val="24"/>
          <w:szCs w:val="24"/>
        </w:rPr>
        <w:t>Nestes termos</w:t>
      </w:r>
      <w:r w:rsidRPr="00164659">
        <w:rPr>
          <w:rFonts w:ascii="Times New Roman" w:hAnsi="Times New Roman"/>
          <w:sz w:val="24"/>
          <w:szCs w:val="24"/>
        </w:rPr>
        <w:t xml:space="preserve">, o VAR trata todas as variáveis analisadas como endógenas, formando um sistema de equações estimadas por Mínimos Quadrados Ordinários (MQO), em que o valor de cada variável é expresso como uma função linear dos valores defasados dela mesma e de todas as outras variáveis incluídas no modelo. Tal metodologia se mostra útil para a averiguação das interações propostas por este trabalho, na medida em que possibilita a análise das relações dinâmicas entre as variáveis endógenas consideradas, sem a necessidade de se definir </w:t>
      </w:r>
      <w:r w:rsidR="003A4CEF" w:rsidRPr="00164659">
        <w:rPr>
          <w:rFonts w:ascii="Times New Roman" w:hAnsi="Times New Roman"/>
          <w:sz w:val="24"/>
          <w:szCs w:val="24"/>
        </w:rPr>
        <w:t>previamente</w:t>
      </w:r>
      <w:r w:rsidRPr="00164659">
        <w:rPr>
          <w:rFonts w:ascii="Times New Roman" w:hAnsi="Times New Roman"/>
          <w:sz w:val="24"/>
          <w:szCs w:val="24"/>
        </w:rPr>
        <w:t xml:space="preserve"> a causalidade entre elas. </w:t>
      </w:r>
    </w:p>
    <w:p w:rsidR="001B5FEE" w:rsidRPr="00164659" w:rsidRDefault="003A4CEF" w:rsidP="001B5FEE">
      <w:pPr>
        <w:spacing w:after="0" w:line="240" w:lineRule="auto"/>
        <w:ind w:firstLine="708"/>
        <w:jc w:val="both"/>
        <w:rPr>
          <w:rFonts w:ascii="Times New Roman" w:hAnsi="Times New Roman"/>
          <w:sz w:val="24"/>
          <w:szCs w:val="24"/>
        </w:rPr>
      </w:pPr>
      <w:r w:rsidRPr="00164659">
        <w:rPr>
          <w:rFonts w:ascii="Times New Roman" w:hAnsi="Times New Roman"/>
          <w:sz w:val="24"/>
          <w:szCs w:val="24"/>
        </w:rPr>
        <w:t>U</w:t>
      </w:r>
      <w:r w:rsidR="001B5FEE" w:rsidRPr="00164659">
        <w:rPr>
          <w:rFonts w:ascii="Times New Roman" w:hAnsi="Times New Roman"/>
          <w:sz w:val="24"/>
          <w:szCs w:val="24"/>
        </w:rPr>
        <w:t xml:space="preserve">ma análise mais detalhada das estimações do VAR é comumente realizada através de </w:t>
      </w:r>
      <w:r w:rsidR="00EB3F03" w:rsidRPr="00164659">
        <w:rPr>
          <w:rFonts w:ascii="Times New Roman" w:hAnsi="Times New Roman"/>
          <w:sz w:val="24"/>
          <w:szCs w:val="24"/>
        </w:rPr>
        <w:t>da estimação das</w:t>
      </w:r>
      <w:r w:rsidR="001B5FEE" w:rsidRPr="00164659">
        <w:rPr>
          <w:rFonts w:ascii="Times New Roman" w:hAnsi="Times New Roman"/>
          <w:sz w:val="24"/>
          <w:szCs w:val="24"/>
        </w:rPr>
        <w:t xml:space="preserve"> </w:t>
      </w:r>
      <w:r w:rsidR="007B0F62" w:rsidRPr="00164659">
        <w:rPr>
          <w:rFonts w:ascii="Times New Roman" w:hAnsi="Times New Roman"/>
          <w:sz w:val="24"/>
          <w:szCs w:val="24"/>
        </w:rPr>
        <w:t xml:space="preserve">Funções de Resposta aos Impulsos (FIR) e </w:t>
      </w:r>
      <w:r w:rsidR="00377256">
        <w:rPr>
          <w:rFonts w:ascii="Times New Roman" w:hAnsi="Times New Roman"/>
          <w:sz w:val="24"/>
          <w:szCs w:val="24"/>
        </w:rPr>
        <w:t xml:space="preserve">da </w:t>
      </w:r>
      <w:r w:rsidR="001B5FEE" w:rsidRPr="00164659">
        <w:rPr>
          <w:rFonts w:ascii="Times New Roman" w:hAnsi="Times New Roman"/>
          <w:sz w:val="24"/>
          <w:szCs w:val="24"/>
        </w:rPr>
        <w:t>Análise de Decomposição de Variância dos Erros</w:t>
      </w:r>
      <w:r w:rsidR="007B0F62" w:rsidRPr="00164659">
        <w:rPr>
          <w:rFonts w:ascii="Times New Roman" w:hAnsi="Times New Roman"/>
          <w:sz w:val="24"/>
          <w:szCs w:val="24"/>
        </w:rPr>
        <w:t xml:space="preserve"> de Previsão (ADV)</w:t>
      </w:r>
      <w:r w:rsidR="001B5FEE" w:rsidRPr="00164659">
        <w:rPr>
          <w:rFonts w:ascii="Times New Roman" w:hAnsi="Times New Roman"/>
          <w:sz w:val="24"/>
          <w:szCs w:val="24"/>
        </w:rPr>
        <w:t xml:space="preserve">. </w:t>
      </w:r>
      <w:r w:rsidR="007B0F62" w:rsidRPr="00164659">
        <w:rPr>
          <w:rFonts w:ascii="Times New Roman" w:hAnsi="Times New Roman"/>
          <w:sz w:val="24"/>
          <w:szCs w:val="24"/>
        </w:rPr>
        <w:t xml:space="preserve">A FIR traça o efeito de um choque no tempo </w:t>
      </w:r>
      <w:r w:rsidR="007B0F62" w:rsidRPr="00377256">
        <w:rPr>
          <w:rFonts w:ascii="Times New Roman" w:hAnsi="Times New Roman"/>
          <w:i/>
          <w:sz w:val="24"/>
          <w:szCs w:val="24"/>
        </w:rPr>
        <w:t>t</w:t>
      </w:r>
      <w:r w:rsidR="007B0F62" w:rsidRPr="00164659">
        <w:rPr>
          <w:rFonts w:ascii="Times New Roman" w:hAnsi="Times New Roman"/>
          <w:sz w:val="24"/>
          <w:szCs w:val="24"/>
        </w:rPr>
        <w:t xml:space="preserve"> dos termos de erro de uma variável particular sobre os valores correntes e futuros das variáveis do VAR, mantendo-se todos os outros choques constantes</w:t>
      </w:r>
      <w:r w:rsidR="00912146">
        <w:rPr>
          <w:rFonts w:ascii="Times New Roman" w:hAnsi="Times New Roman"/>
          <w:sz w:val="24"/>
          <w:szCs w:val="24"/>
        </w:rPr>
        <w:t xml:space="preserve"> </w:t>
      </w:r>
      <w:r w:rsidR="007B0F62" w:rsidRPr="00164659">
        <w:rPr>
          <w:rFonts w:ascii="Times New Roman" w:hAnsi="Times New Roman"/>
          <w:sz w:val="24"/>
          <w:szCs w:val="24"/>
        </w:rPr>
        <w:t xml:space="preserve">(Enders, 2004). </w:t>
      </w:r>
      <w:r w:rsidR="001B5FEE" w:rsidRPr="00164659">
        <w:rPr>
          <w:rFonts w:ascii="Times New Roman" w:hAnsi="Times New Roman"/>
          <w:sz w:val="24"/>
          <w:szCs w:val="24"/>
        </w:rPr>
        <w:t xml:space="preserve">A ADV informa a proporção (em %) dos movimentos de uma variável que é devida aos seus próprios choques e aos choques dos erros de previsão das outras variáveis do </w:t>
      </w:r>
      <w:r w:rsidR="007B0F62" w:rsidRPr="00164659">
        <w:rPr>
          <w:rFonts w:ascii="Times New Roman" w:hAnsi="Times New Roman"/>
          <w:sz w:val="24"/>
          <w:szCs w:val="24"/>
        </w:rPr>
        <w:t>modelo</w:t>
      </w:r>
      <w:r w:rsidR="001B5FEE" w:rsidRPr="00164659">
        <w:rPr>
          <w:rFonts w:ascii="Times New Roman" w:hAnsi="Times New Roman"/>
          <w:sz w:val="24"/>
          <w:szCs w:val="24"/>
        </w:rPr>
        <w:t>.</w:t>
      </w:r>
    </w:p>
    <w:p w:rsidR="003A4CEF" w:rsidRPr="00164659" w:rsidRDefault="007B0F62" w:rsidP="003A4CEF">
      <w:pPr>
        <w:spacing w:after="0" w:line="240" w:lineRule="auto"/>
        <w:ind w:firstLine="708"/>
        <w:jc w:val="both"/>
        <w:rPr>
          <w:rFonts w:ascii="Times New Roman" w:hAnsi="Times New Roman"/>
          <w:sz w:val="24"/>
          <w:szCs w:val="24"/>
        </w:rPr>
      </w:pPr>
      <w:r w:rsidRPr="00164659">
        <w:rPr>
          <w:rFonts w:ascii="Times New Roman" w:hAnsi="Times New Roman"/>
          <w:sz w:val="24"/>
          <w:szCs w:val="24"/>
        </w:rPr>
        <w:t>O</w:t>
      </w:r>
      <w:r w:rsidR="003A4CEF" w:rsidRPr="00164659">
        <w:rPr>
          <w:rFonts w:ascii="Times New Roman" w:hAnsi="Times New Roman"/>
          <w:sz w:val="24"/>
          <w:szCs w:val="24"/>
        </w:rPr>
        <w:t xml:space="preserve"> presente trabalho pretende estimar o</w:t>
      </w:r>
      <w:r w:rsidR="00F26E73">
        <w:rPr>
          <w:rFonts w:ascii="Times New Roman" w:hAnsi="Times New Roman"/>
          <w:sz w:val="24"/>
          <w:szCs w:val="24"/>
        </w:rPr>
        <w:t>s</w:t>
      </w:r>
      <w:r w:rsidR="003A4CEF" w:rsidRPr="00164659">
        <w:rPr>
          <w:rFonts w:ascii="Times New Roman" w:hAnsi="Times New Roman"/>
          <w:sz w:val="24"/>
          <w:szCs w:val="24"/>
        </w:rPr>
        <w:t xml:space="preserve"> seguinte</w:t>
      </w:r>
      <w:r w:rsidR="00F26E73">
        <w:rPr>
          <w:rFonts w:ascii="Times New Roman" w:hAnsi="Times New Roman"/>
          <w:sz w:val="24"/>
          <w:szCs w:val="24"/>
        </w:rPr>
        <w:t>s</w:t>
      </w:r>
      <w:r w:rsidR="003A4CEF" w:rsidRPr="00164659">
        <w:rPr>
          <w:rFonts w:ascii="Times New Roman" w:hAnsi="Times New Roman"/>
          <w:sz w:val="24"/>
          <w:szCs w:val="24"/>
        </w:rPr>
        <w:t xml:space="preserve"> modelo</w:t>
      </w:r>
      <w:r w:rsidR="00F26E73">
        <w:rPr>
          <w:rFonts w:ascii="Times New Roman" w:hAnsi="Times New Roman"/>
          <w:sz w:val="24"/>
          <w:szCs w:val="24"/>
        </w:rPr>
        <w:t>s</w:t>
      </w:r>
      <w:r w:rsidRPr="00164659">
        <w:rPr>
          <w:rFonts w:ascii="Times New Roman" w:hAnsi="Times New Roman"/>
          <w:sz w:val="24"/>
          <w:szCs w:val="24"/>
        </w:rPr>
        <w:t xml:space="preserve"> VAR</w:t>
      </w:r>
      <w:r w:rsidR="003A4CEF" w:rsidRPr="00164659">
        <w:rPr>
          <w:rFonts w:ascii="Times New Roman" w:hAnsi="Times New Roman"/>
          <w:sz w:val="24"/>
          <w:szCs w:val="24"/>
        </w:rPr>
        <w:t>:</w:t>
      </w:r>
      <w:r w:rsidRPr="00164659">
        <w:rPr>
          <w:rStyle w:val="Refdenotaderodap"/>
          <w:rFonts w:ascii="Times New Roman" w:hAnsi="Times New Roman"/>
          <w:sz w:val="24"/>
          <w:szCs w:val="24"/>
        </w:rPr>
        <w:footnoteReference w:id="8"/>
      </w:r>
      <w:r w:rsidR="003A4CEF" w:rsidRPr="00164659">
        <w:rPr>
          <w:rFonts w:ascii="Times New Roman" w:hAnsi="Times New Roman"/>
          <w:sz w:val="24"/>
          <w:szCs w:val="24"/>
        </w:rPr>
        <w:t xml:space="preserve"> </w:t>
      </w:r>
    </w:p>
    <w:p w:rsidR="003A4CEF" w:rsidRPr="00164659" w:rsidRDefault="003A4CEF" w:rsidP="003A4CEF">
      <w:pPr>
        <w:spacing w:after="0" w:line="240" w:lineRule="auto"/>
        <w:ind w:firstLine="708"/>
        <w:jc w:val="both"/>
        <w:rPr>
          <w:rFonts w:ascii="Times New Roman" w:hAnsi="Times New Roman"/>
          <w:sz w:val="24"/>
          <w:szCs w:val="24"/>
        </w:rPr>
      </w:pPr>
    </w:p>
    <w:p w:rsidR="003A4CEF" w:rsidRDefault="00E34532" w:rsidP="003A4CEF">
      <w:pPr>
        <w:spacing w:after="0" w:line="240" w:lineRule="auto"/>
        <w:jc w:val="both"/>
        <w:rPr>
          <w:rFonts w:ascii="Times New Roman" w:eastAsia="Batang" w:hAnsi="Times New Roman"/>
          <w:sz w:val="24"/>
          <w:szCs w:val="24"/>
          <w:shd w:val="clear" w:color="auto" w:fill="FFFFFF"/>
        </w:rPr>
      </w:pPr>
      <w:r w:rsidRPr="00164659">
        <w:rPr>
          <w:rFonts w:ascii="Times New Roman" w:eastAsia="Batang" w:hAnsi="Times New Roman"/>
          <w:sz w:val="24"/>
          <w:szCs w:val="24"/>
          <w:shd w:val="clear" w:color="auto" w:fill="FFFFFF"/>
        </w:rPr>
        <w:t xml:space="preserve">Modelo </w:t>
      </w:r>
      <w:r w:rsidR="00F26E73">
        <w:rPr>
          <w:rFonts w:ascii="Times New Roman" w:eastAsia="Batang" w:hAnsi="Times New Roman"/>
          <w:sz w:val="24"/>
          <w:szCs w:val="24"/>
          <w:shd w:val="clear" w:color="auto" w:fill="FFFFFF"/>
        </w:rPr>
        <w:t xml:space="preserve">1 – </w:t>
      </w:r>
      <w:r w:rsidRPr="00164659">
        <w:rPr>
          <w:rFonts w:ascii="Times New Roman" w:eastAsia="Batang" w:hAnsi="Times New Roman"/>
          <w:sz w:val="24"/>
          <w:szCs w:val="24"/>
          <w:shd w:val="clear" w:color="auto" w:fill="FFFFFF"/>
        </w:rPr>
        <w:t>VAR: TCR</w:t>
      </w:r>
      <w:r w:rsidR="003A4CEF" w:rsidRPr="00164659">
        <w:rPr>
          <w:rFonts w:ascii="Times New Roman" w:eastAsia="Batang" w:hAnsi="Times New Roman"/>
          <w:sz w:val="24"/>
          <w:szCs w:val="24"/>
          <w:shd w:val="clear" w:color="auto" w:fill="FFFFFF"/>
        </w:rPr>
        <w:t xml:space="preserve">, XCOM, IPCOM, IEC, JUROS, EMBI </w:t>
      </w:r>
    </w:p>
    <w:p w:rsidR="00F26E73" w:rsidRDefault="00F26E73" w:rsidP="003A4CEF">
      <w:pPr>
        <w:spacing w:after="0" w:line="240" w:lineRule="auto"/>
        <w:jc w:val="both"/>
        <w:rPr>
          <w:rFonts w:ascii="Times New Roman" w:eastAsia="Batang" w:hAnsi="Times New Roman"/>
          <w:sz w:val="24"/>
          <w:szCs w:val="24"/>
          <w:shd w:val="clear" w:color="auto" w:fill="FFFFFF"/>
        </w:rPr>
      </w:pPr>
    </w:p>
    <w:p w:rsidR="00F26E73" w:rsidRPr="00164659" w:rsidRDefault="00F26E73" w:rsidP="003A4CEF">
      <w:pPr>
        <w:spacing w:after="0" w:line="240" w:lineRule="auto"/>
        <w:jc w:val="both"/>
        <w:rPr>
          <w:rFonts w:ascii="Times New Roman" w:eastAsia="Batang" w:hAnsi="Times New Roman"/>
          <w:sz w:val="24"/>
          <w:szCs w:val="24"/>
          <w:shd w:val="clear" w:color="auto" w:fill="FFFFFF"/>
        </w:rPr>
      </w:pPr>
      <w:r>
        <w:rPr>
          <w:rFonts w:ascii="Times New Roman" w:eastAsia="Batang" w:hAnsi="Times New Roman"/>
          <w:sz w:val="24"/>
          <w:szCs w:val="24"/>
          <w:shd w:val="clear" w:color="auto" w:fill="FFFFFF"/>
        </w:rPr>
        <w:t xml:space="preserve">Modelo 2 – </w:t>
      </w:r>
      <w:r w:rsidRPr="00164659">
        <w:rPr>
          <w:rFonts w:ascii="Times New Roman" w:eastAsia="Batang" w:hAnsi="Times New Roman"/>
          <w:sz w:val="24"/>
          <w:szCs w:val="24"/>
          <w:shd w:val="clear" w:color="auto" w:fill="FFFFFF"/>
        </w:rPr>
        <w:t>VAR: TCR, X</w:t>
      </w:r>
      <w:r w:rsidR="00855EAC">
        <w:rPr>
          <w:rFonts w:ascii="Times New Roman" w:eastAsia="Batang" w:hAnsi="Times New Roman"/>
          <w:sz w:val="24"/>
          <w:szCs w:val="24"/>
          <w:shd w:val="clear" w:color="auto" w:fill="FFFFFF"/>
        </w:rPr>
        <w:t>AL</w:t>
      </w:r>
      <w:r w:rsidRPr="00164659">
        <w:rPr>
          <w:rFonts w:ascii="Times New Roman" w:eastAsia="Batang" w:hAnsi="Times New Roman"/>
          <w:sz w:val="24"/>
          <w:szCs w:val="24"/>
          <w:shd w:val="clear" w:color="auto" w:fill="FFFFFF"/>
        </w:rPr>
        <w:t xml:space="preserve">, </w:t>
      </w:r>
      <w:r w:rsidR="00855EAC">
        <w:rPr>
          <w:rFonts w:ascii="Times New Roman" w:eastAsia="Batang" w:hAnsi="Times New Roman"/>
          <w:sz w:val="24"/>
          <w:szCs w:val="24"/>
          <w:shd w:val="clear" w:color="auto" w:fill="FFFFFF"/>
        </w:rPr>
        <w:t>XMIN</w:t>
      </w:r>
      <w:r>
        <w:rPr>
          <w:rFonts w:ascii="Times New Roman" w:eastAsia="Batang" w:hAnsi="Times New Roman"/>
          <w:sz w:val="24"/>
          <w:szCs w:val="24"/>
          <w:shd w:val="clear" w:color="auto" w:fill="FFFFFF"/>
        </w:rPr>
        <w:t xml:space="preserve">, </w:t>
      </w:r>
      <w:r w:rsidRPr="00164659">
        <w:rPr>
          <w:rFonts w:ascii="Times New Roman" w:eastAsia="Batang" w:hAnsi="Times New Roman"/>
          <w:sz w:val="24"/>
          <w:szCs w:val="24"/>
          <w:shd w:val="clear" w:color="auto" w:fill="FFFFFF"/>
        </w:rPr>
        <w:t>IPCOM, IEC</w:t>
      </w:r>
      <w:r>
        <w:rPr>
          <w:rFonts w:ascii="Times New Roman" w:eastAsia="Batang" w:hAnsi="Times New Roman"/>
          <w:sz w:val="24"/>
          <w:szCs w:val="24"/>
          <w:shd w:val="clear" w:color="auto" w:fill="FFFFFF"/>
        </w:rPr>
        <w:t>AC</w:t>
      </w:r>
      <w:r w:rsidRPr="00164659">
        <w:rPr>
          <w:rFonts w:ascii="Times New Roman" w:eastAsia="Batang" w:hAnsi="Times New Roman"/>
          <w:sz w:val="24"/>
          <w:szCs w:val="24"/>
          <w:shd w:val="clear" w:color="auto" w:fill="FFFFFF"/>
        </w:rPr>
        <w:t xml:space="preserve">, </w:t>
      </w:r>
      <w:r w:rsidR="00855EAC">
        <w:rPr>
          <w:rFonts w:ascii="Times New Roman" w:eastAsia="Batang" w:hAnsi="Times New Roman"/>
          <w:sz w:val="24"/>
          <w:szCs w:val="24"/>
          <w:shd w:val="clear" w:color="auto" w:fill="FFFFFF"/>
        </w:rPr>
        <w:t>IECRF</w:t>
      </w:r>
      <w:r>
        <w:rPr>
          <w:rFonts w:ascii="Times New Roman" w:eastAsia="Batang" w:hAnsi="Times New Roman"/>
          <w:sz w:val="24"/>
          <w:szCs w:val="24"/>
          <w:shd w:val="clear" w:color="auto" w:fill="FFFFFF"/>
        </w:rPr>
        <w:t xml:space="preserve">, </w:t>
      </w:r>
      <w:r w:rsidRPr="00164659">
        <w:rPr>
          <w:rFonts w:ascii="Times New Roman" w:eastAsia="Batang" w:hAnsi="Times New Roman"/>
          <w:sz w:val="24"/>
          <w:szCs w:val="24"/>
          <w:shd w:val="clear" w:color="auto" w:fill="FFFFFF"/>
        </w:rPr>
        <w:t>JUROS, EMBI</w:t>
      </w:r>
    </w:p>
    <w:p w:rsidR="003A4CEF" w:rsidRPr="00164659" w:rsidRDefault="003A4CEF" w:rsidP="001B5FEE">
      <w:pPr>
        <w:spacing w:after="0" w:line="240" w:lineRule="auto"/>
        <w:ind w:firstLine="708"/>
        <w:jc w:val="both"/>
        <w:rPr>
          <w:rFonts w:ascii="Times New Roman" w:eastAsia="Batang" w:hAnsi="Times New Roman"/>
          <w:sz w:val="24"/>
          <w:szCs w:val="24"/>
          <w:shd w:val="clear" w:color="auto" w:fill="FFFFFF"/>
        </w:rPr>
      </w:pPr>
    </w:p>
    <w:p w:rsidR="00F8214B" w:rsidRPr="00164659" w:rsidRDefault="00371EA8" w:rsidP="00D112B3">
      <w:pPr>
        <w:spacing w:after="0" w:line="240" w:lineRule="auto"/>
        <w:jc w:val="both"/>
        <w:rPr>
          <w:rFonts w:ascii="Times New Roman" w:hAnsi="Times New Roman"/>
          <w:sz w:val="24"/>
          <w:szCs w:val="24"/>
        </w:rPr>
      </w:pPr>
      <w:r w:rsidRPr="00164659">
        <w:rPr>
          <w:rFonts w:ascii="Times New Roman" w:hAnsi="Times New Roman"/>
          <w:sz w:val="24"/>
          <w:szCs w:val="24"/>
        </w:rPr>
        <w:tab/>
        <w:t>Os da</w:t>
      </w:r>
      <w:r w:rsidR="00071EBF" w:rsidRPr="00164659">
        <w:rPr>
          <w:rFonts w:ascii="Times New Roman" w:hAnsi="Times New Roman"/>
          <w:sz w:val="24"/>
          <w:szCs w:val="24"/>
        </w:rPr>
        <w:t>dos utilizados tê</w:t>
      </w:r>
      <w:r w:rsidRPr="00164659">
        <w:rPr>
          <w:rFonts w:ascii="Times New Roman" w:hAnsi="Times New Roman"/>
          <w:sz w:val="24"/>
          <w:szCs w:val="24"/>
        </w:rPr>
        <w:t xml:space="preserve">m periodicidade trimestral, abarcando o período </w:t>
      </w:r>
      <w:r w:rsidR="00071EBF" w:rsidRPr="00164659">
        <w:rPr>
          <w:rFonts w:ascii="Times New Roman" w:hAnsi="Times New Roman"/>
          <w:sz w:val="24"/>
          <w:szCs w:val="24"/>
        </w:rPr>
        <w:t xml:space="preserve">que vai </w:t>
      </w:r>
      <w:r w:rsidRPr="00164659">
        <w:rPr>
          <w:rFonts w:ascii="Times New Roman" w:hAnsi="Times New Roman"/>
          <w:sz w:val="24"/>
          <w:szCs w:val="24"/>
        </w:rPr>
        <w:t xml:space="preserve">do 1° trimestre de 2000 ao 1° trimestre de 2013. </w:t>
      </w:r>
      <w:r w:rsidR="00F8214B" w:rsidRPr="00164659">
        <w:rPr>
          <w:rFonts w:ascii="Times New Roman" w:hAnsi="Times New Roman"/>
          <w:sz w:val="24"/>
          <w:szCs w:val="24"/>
        </w:rPr>
        <w:t xml:space="preserve">Para descrever as variáveis </w:t>
      </w:r>
      <w:r w:rsidR="00F8214B" w:rsidRPr="0091410D">
        <w:rPr>
          <w:rFonts w:ascii="Times New Roman" w:hAnsi="Times New Roman"/>
          <w:sz w:val="24"/>
          <w:szCs w:val="24"/>
        </w:rPr>
        <w:t xml:space="preserve">selecionadas </w:t>
      </w:r>
      <w:r w:rsidR="00FD452E" w:rsidRPr="0091410D">
        <w:rPr>
          <w:rFonts w:ascii="Times New Roman" w:hAnsi="Times New Roman"/>
          <w:sz w:val="24"/>
          <w:szCs w:val="24"/>
        </w:rPr>
        <w:t>para os dois modelos apontados</w:t>
      </w:r>
      <w:r w:rsidR="00F8214B" w:rsidRPr="0091410D">
        <w:rPr>
          <w:rFonts w:ascii="Times New Roman" w:hAnsi="Times New Roman"/>
          <w:sz w:val="24"/>
          <w:szCs w:val="24"/>
        </w:rPr>
        <w:t xml:space="preserve">, iniciaremos com as justificativas de </w:t>
      </w:r>
      <w:r w:rsidR="002359B3" w:rsidRPr="0091410D">
        <w:rPr>
          <w:rFonts w:ascii="Times New Roman" w:hAnsi="Times New Roman"/>
          <w:sz w:val="24"/>
          <w:szCs w:val="24"/>
        </w:rPr>
        <w:t>escolha</w:t>
      </w:r>
      <w:r w:rsidR="00F8214B" w:rsidRPr="0091410D">
        <w:rPr>
          <w:rFonts w:ascii="Times New Roman" w:hAnsi="Times New Roman"/>
          <w:sz w:val="24"/>
          <w:szCs w:val="24"/>
        </w:rPr>
        <w:t xml:space="preserve"> de cada var</w:t>
      </w:r>
      <w:r w:rsidR="00F8214B" w:rsidRPr="00164659">
        <w:rPr>
          <w:rFonts w:ascii="Times New Roman" w:hAnsi="Times New Roman"/>
          <w:sz w:val="24"/>
          <w:szCs w:val="24"/>
        </w:rPr>
        <w:t>iável.</w:t>
      </w:r>
    </w:p>
    <w:p w:rsidR="007B0F62" w:rsidRPr="00FD452E" w:rsidRDefault="007B0F62" w:rsidP="00D112B3">
      <w:pPr>
        <w:spacing w:after="0" w:line="240" w:lineRule="auto"/>
        <w:jc w:val="both"/>
        <w:rPr>
          <w:rFonts w:ascii="Times New Roman" w:hAnsi="Times New Roman"/>
          <w:sz w:val="24"/>
          <w:szCs w:val="24"/>
        </w:rPr>
      </w:pPr>
      <w:r w:rsidRPr="00164659">
        <w:rPr>
          <w:rFonts w:ascii="Times New Roman" w:hAnsi="Times New Roman"/>
          <w:sz w:val="24"/>
          <w:szCs w:val="24"/>
        </w:rPr>
        <w:tab/>
      </w:r>
      <w:r w:rsidR="0091410D" w:rsidRPr="00FD452E">
        <w:rPr>
          <w:rFonts w:ascii="Times New Roman" w:hAnsi="Times New Roman"/>
          <w:sz w:val="24"/>
          <w:szCs w:val="24"/>
        </w:rPr>
        <w:t>P</w:t>
      </w:r>
      <w:r w:rsidR="00F35449" w:rsidRPr="00FD452E">
        <w:rPr>
          <w:rFonts w:ascii="Times New Roman" w:hAnsi="Times New Roman"/>
          <w:sz w:val="24"/>
          <w:szCs w:val="24"/>
        </w:rPr>
        <w:t xml:space="preserve">ara retratar o desempenho cambial da economia brasileira no período </w:t>
      </w:r>
      <w:r w:rsidR="007F2332" w:rsidRPr="00FD452E">
        <w:rPr>
          <w:rFonts w:ascii="Times New Roman" w:hAnsi="Times New Roman"/>
          <w:sz w:val="24"/>
          <w:szCs w:val="24"/>
        </w:rPr>
        <w:t xml:space="preserve">analisado </w:t>
      </w:r>
      <w:r w:rsidR="00F35449" w:rsidRPr="00FD452E">
        <w:rPr>
          <w:rFonts w:ascii="Times New Roman" w:hAnsi="Times New Roman"/>
          <w:sz w:val="24"/>
          <w:szCs w:val="24"/>
        </w:rPr>
        <w:t xml:space="preserve">foi escolhida </w:t>
      </w:r>
      <w:r w:rsidR="00EB3F03" w:rsidRPr="00FD452E">
        <w:rPr>
          <w:rFonts w:ascii="Times New Roman" w:hAnsi="Times New Roman"/>
          <w:sz w:val="24"/>
          <w:szCs w:val="24"/>
        </w:rPr>
        <w:t xml:space="preserve">a </w:t>
      </w:r>
      <w:r w:rsidR="00F35449" w:rsidRPr="00FD452E">
        <w:rPr>
          <w:rFonts w:ascii="Times New Roman" w:hAnsi="Times New Roman"/>
          <w:sz w:val="24"/>
          <w:szCs w:val="24"/>
        </w:rPr>
        <w:t xml:space="preserve">taxa de </w:t>
      </w:r>
      <w:r w:rsidRPr="00FD452E">
        <w:rPr>
          <w:rFonts w:ascii="Times New Roman" w:hAnsi="Times New Roman"/>
          <w:sz w:val="24"/>
          <w:szCs w:val="24"/>
        </w:rPr>
        <w:t xml:space="preserve">câmbio real </w:t>
      </w:r>
      <w:r w:rsidR="000E4EE0" w:rsidRPr="00FD452E">
        <w:rPr>
          <w:rFonts w:ascii="Times New Roman" w:hAnsi="Times New Roman"/>
          <w:sz w:val="24"/>
          <w:szCs w:val="24"/>
        </w:rPr>
        <w:t xml:space="preserve"> </w:t>
      </w:r>
      <w:r w:rsidR="00EB3F03" w:rsidRPr="00FD452E">
        <w:rPr>
          <w:rFonts w:ascii="Times New Roman" w:hAnsi="Times New Roman"/>
          <w:sz w:val="24"/>
          <w:szCs w:val="24"/>
        </w:rPr>
        <w:t>IPCA</w:t>
      </w:r>
      <w:r w:rsidR="007F2332" w:rsidRPr="00FD452E">
        <w:rPr>
          <w:rFonts w:ascii="Times New Roman" w:hAnsi="Times New Roman"/>
          <w:sz w:val="24"/>
          <w:szCs w:val="24"/>
        </w:rPr>
        <w:t>-</w:t>
      </w:r>
      <w:r w:rsidR="00EB3F03" w:rsidRPr="00FD452E">
        <w:rPr>
          <w:rFonts w:ascii="Times New Roman" w:hAnsi="Times New Roman"/>
          <w:sz w:val="24"/>
          <w:szCs w:val="24"/>
        </w:rPr>
        <w:t>d</w:t>
      </w:r>
      <w:r w:rsidR="000E4EE0" w:rsidRPr="00FD452E">
        <w:rPr>
          <w:rFonts w:ascii="Times New Roman" w:hAnsi="Times New Roman"/>
          <w:sz w:val="24"/>
          <w:szCs w:val="24"/>
        </w:rPr>
        <w:t>ó</w:t>
      </w:r>
      <w:r w:rsidR="00EB3F03" w:rsidRPr="00FD452E">
        <w:rPr>
          <w:rFonts w:ascii="Times New Roman" w:hAnsi="Times New Roman"/>
          <w:sz w:val="24"/>
          <w:szCs w:val="24"/>
        </w:rPr>
        <w:t>lar americano</w:t>
      </w:r>
      <w:r w:rsidR="007F2332" w:rsidRPr="00FD452E">
        <w:rPr>
          <w:rFonts w:ascii="Times New Roman" w:hAnsi="Times New Roman"/>
          <w:sz w:val="24"/>
          <w:szCs w:val="24"/>
        </w:rPr>
        <w:t xml:space="preserve"> (TCR)</w:t>
      </w:r>
      <w:r w:rsidR="000E4EE0" w:rsidRPr="00FD452E">
        <w:rPr>
          <w:rFonts w:ascii="Times New Roman" w:hAnsi="Times New Roman"/>
          <w:sz w:val="24"/>
          <w:szCs w:val="24"/>
        </w:rPr>
        <w:t>, obtida no sistema gerenciador de séries temporais do Banco Central do Brasil (BCB)</w:t>
      </w:r>
      <w:r w:rsidR="007F2332" w:rsidRPr="00FD452E">
        <w:rPr>
          <w:rFonts w:ascii="Times New Roman" w:hAnsi="Times New Roman"/>
          <w:sz w:val="24"/>
          <w:szCs w:val="24"/>
        </w:rPr>
        <w:t>, série nº 11753</w:t>
      </w:r>
      <w:r w:rsidR="000E4EE0" w:rsidRPr="00FD452E">
        <w:rPr>
          <w:rFonts w:ascii="Times New Roman" w:hAnsi="Times New Roman"/>
          <w:sz w:val="24"/>
          <w:szCs w:val="24"/>
        </w:rPr>
        <w:t>, transformada para índice 2005=100.</w:t>
      </w:r>
    </w:p>
    <w:p w:rsidR="0033328A" w:rsidRPr="00164659" w:rsidRDefault="003A4CEF" w:rsidP="006C4208">
      <w:pPr>
        <w:spacing w:after="0" w:line="240" w:lineRule="auto"/>
        <w:ind w:firstLine="708"/>
        <w:jc w:val="both"/>
        <w:rPr>
          <w:rFonts w:ascii="Times New Roman" w:hAnsi="Times New Roman"/>
          <w:sz w:val="24"/>
          <w:szCs w:val="24"/>
        </w:rPr>
      </w:pPr>
      <w:r w:rsidRPr="00FD452E">
        <w:rPr>
          <w:rFonts w:ascii="Times New Roman" w:hAnsi="Times New Roman"/>
          <w:sz w:val="24"/>
          <w:szCs w:val="24"/>
        </w:rPr>
        <w:t>A</w:t>
      </w:r>
      <w:r w:rsidR="006C4208" w:rsidRPr="00FD452E">
        <w:rPr>
          <w:rFonts w:ascii="Times New Roman" w:hAnsi="Times New Roman"/>
          <w:sz w:val="24"/>
          <w:szCs w:val="24"/>
        </w:rPr>
        <w:t xml:space="preserve"> </w:t>
      </w:r>
      <w:r w:rsidR="00613864" w:rsidRPr="00FD452E">
        <w:rPr>
          <w:rFonts w:ascii="Times New Roman" w:hAnsi="Times New Roman"/>
          <w:sz w:val="24"/>
          <w:szCs w:val="24"/>
        </w:rPr>
        <w:t>seleção</w:t>
      </w:r>
      <w:r w:rsidR="006C4208" w:rsidRPr="00FD452E">
        <w:rPr>
          <w:rFonts w:ascii="Times New Roman" w:hAnsi="Times New Roman"/>
          <w:sz w:val="24"/>
          <w:szCs w:val="24"/>
        </w:rPr>
        <w:t xml:space="preserve"> das variáveis que afetam o desempenho comercial da economia se justifica </w:t>
      </w:r>
      <w:r w:rsidR="00A46EE5">
        <w:rPr>
          <w:rFonts w:ascii="Times New Roman" w:hAnsi="Times New Roman"/>
          <w:sz w:val="24"/>
          <w:szCs w:val="24"/>
        </w:rPr>
        <w:t>pelos</w:t>
      </w:r>
      <w:r w:rsidR="006C4208" w:rsidRPr="00FD452E">
        <w:rPr>
          <w:rFonts w:ascii="Times New Roman" w:hAnsi="Times New Roman"/>
          <w:sz w:val="24"/>
          <w:szCs w:val="24"/>
        </w:rPr>
        <w:t xml:space="preserve"> argumentos d</w:t>
      </w:r>
      <w:r w:rsidR="00BE74DF" w:rsidRPr="00FD452E">
        <w:rPr>
          <w:rFonts w:ascii="Times New Roman" w:hAnsi="Times New Roman"/>
          <w:sz w:val="24"/>
          <w:szCs w:val="24"/>
        </w:rPr>
        <w:t xml:space="preserve">a </w:t>
      </w:r>
      <w:r w:rsidR="0033328A" w:rsidRPr="00FD452E">
        <w:rPr>
          <w:rFonts w:ascii="Times New Roman" w:hAnsi="Times New Roman"/>
          <w:sz w:val="24"/>
          <w:szCs w:val="24"/>
        </w:rPr>
        <w:t xml:space="preserve">literatura sobre </w:t>
      </w:r>
      <w:r w:rsidR="00BE74DF" w:rsidRPr="00FD452E">
        <w:rPr>
          <w:rFonts w:ascii="Times New Roman" w:hAnsi="Times New Roman"/>
          <w:sz w:val="24"/>
          <w:szCs w:val="24"/>
        </w:rPr>
        <w:t xml:space="preserve">Doença Holandesa, </w:t>
      </w:r>
      <w:r w:rsidR="006C4208" w:rsidRPr="00FD452E">
        <w:rPr>
          <w:rFonts w:ascii="Times New Roman" w:hAnsi="Times New Roman"/>
          <w:sz w:val="24"/>
          <w:szCs w:val="24"/>
        </w:rPr>
        <w:t xml:space="preserve">em que </w:t>
      </w:r>
      <w:r w:rsidR="00BE74DF" w:rsidRPr="00FD452E">
        <w:rPr>
          <w:rFonts w:ascii="Times New Roman" w:hAnsi="Times New Roman"/>
          <w:sz w:val="24"/>
          <w:szCs w:val="24"/>
        </w:rPr>
        <w:t>a apreciação cambial é decorrente da entrada significativa de divisas proporcionada pel</w:t>
      </w:r>
      <w:r w:rsidR="000E4EE0" w:rsidRPr="00FD452E">
        <w:rPr>
          <w:rFonts w:ascii="Times New Roman" w:hAnsi="Times New Roman"/>
          <w:sz w:val="24"/>
          <w:szCs w:val="24"/>
        </w:rPr>
        <w:t>o aumento d</w:t>
      </w:r>
      <w:r w:rsidR="00BE74DF" w:rsidRPr="00FD452E">
        <w:rPr>
          <w:rFonts w:ascii="Times New Roman" w:hAnsi="Times New Roman"/>
          <w:sz w:val="24"/>
          <w:szCs w:val="24"/>
        </w:rPr>
        <w:t xml:space="preserve">as exportações de bens intensivos em </w:t>
      </w:r>
      <w:r w:rsidR="00BE74DF" w:rsidRPr="00FD452E">
        <w:rPr>
          <w:rFonts w:ascii="Times New Roman" w:hAnsi="Times New Roman"/>
          <w:sz w:val="24"/>
          <w:szCs w:val="24"/>
        </w:rPr>
        <w:lastRenderedPageBreak/>
        <w:t xml:space="preserve">recursos naturais (que chamaremos de </w:t>
      </w:r>
      <w:r w:rsidR="00BE74DF" w:rsidRPr="00FD452E">
        <w:rPr>
          <w:rFonts w:ascii="Times New Roman" w:hAnsi="Times New Roman"/>
          <w:i/>
          <w:sz w:val="24"/>
          <w:szCs w:val="24"/>
        </w:rPr>
        <w:t>commodities</w:t>
      </w:r>
      <w:r w:rsidR="00BE74DF" w:rsidRPr="00FD452E">
        <w:rPr>
          <w:rFonts w:ascii="Times New Roman" w:hAnsi="Times New Roman"/>
          <w:sz w:val="24"/>
          <w:szCs w:val="24"/>
        </w:rPr>
        <w:t xml:space="preserve">), em que o país possui vantagens comparativas no comércio internacional. </w:t>
      </w:r>
      <w:r w:rsidR="006C4208" w:rsidRPr="00FD452E">
        <w:rPr>
          <w:rFonts w:ascii="Times New Roman" w:hAnsi="Times New Roman"/>
          <w:sz w:val="24"/>
          <w:szCs w:val="24"/>
        </w:rPr>
        <w:t xml:space="preserve">Neste sentido, a variável Exportações de </w:t>
      </w:r>
      <w:r w:rsidR="006C4208" w:rsidRPr="00FD452E">
        <w:rPr>
          <w:rFonts w:ascii="Times New Roman" w:hAnsi="Times New Roman"/>
          <w:i/>
          <w:sz w:val="24"/>
          <w:szCs w:val="24"/>
        </w:rPr>
        <w:t>Commodities</w:t>
      </w:r>
      <w:r w:rsidR="00413E23" w:rsidRPr="00FD452E">
        <w:rPr>
          <w:rFonts w:ascii="Times New Roman" w:hAnsi="Times New Roman"/>
          <w:sz w:val="24"/>
          <w:szCs w:val="24"/>
        </w:rPr>
        <w:t xml:space="preserve"> (XCOM)</w:t>
      </w:r>
      <w:r w:rsidR="00F13387" w:rsidRPr="00FD452E">
        <w:rPr>
          <w:rFonts w:ascii="Times New Roman" w:hAnsi="Times New Roman"/>
          <w:sz w:val="24"/>
          <w:szCs w:val="24"/>
        </w:rPr>
        <w:t xml:space="preserve"> </w:t>
      </w:r>
      <w:r w:rsidR="006C4208" w:rsidRPr="00FD452E">
        <w:rPr>
          <w:rFonts w:ascii="Times New Roman" w:hAnsi="Times New Roman"/>
          <w:sz w:val="24"/>
          <w:szCs w:val="24"/>
        </w:rPr>
        <w:t xml:space="preserve">representa </w:t>
      </w:r>
      <w:r w:rsidR="007B0F62" w:rsidRPr="00FD452E">
        <w:rPr>
          <w:rFonts w:ascii="Times New Roman" w:hAnsi="Times New Roman"/>
          <w:sz w:val="24"/>
          <w:szCs w:val="24"/>
        </w:rPr>
        <w:t xml:space="preserve">a </w:t>
      </w:r>
      <w:r w:rsidR="006C4208" w:rsidRPr="00FD452E">
        <w:rPr>
          <w:rFonts w:ascii="Times New Roman" w:hAnsi="Times New Roman"/>
          <w:sz w:val="24"/>
          <w:szCs w:val="24"/>
        </w:rPr>
        <w:t xml:space="preserve">entrada de divisas </w:t>
      </w:r>
      <w:r w:rsidR="0033328A" w:rsidRPr="00FD452E">
        <w:rPr>
          <w:rFonts w:ascii="Times New Roman" w:hAnsi="Times New Roman"/>
          <w:sz w:val="24"/>
          <w:szCs w:val="24"/>
        </w:rPr>
        <w:t xml:space="preserve">no país </w:t>
      </w:r>
      <w:r w:rsidR="006C4208" w:rsidRPr="00FD452E">
        <w:rPr>
          <w:rFonts w:ascii="Times New Roman" w:hAnsi="Times New Roman"/>
          <w:sz w:val="24"/>
          <w:szCs w:val="24"/>
        </w:rPr>
        <w:t xml:space="preserve">decorrentes </w:t>
      </w:r>
      <w:r w:rsidR="007B0F62" w:rsidRPr="00FD452E">
        <w:rPr>
          <w:rFonts w:ascii="Times New Roman" w:hAnsi="Times New Roman"/>
          <w:sz w:val="24"/>
          <w:szCs w:val="24"/>
        </w:rPr>
        <w:t xml:space="preserve">da </w:t>
      </w:r>
      <w:r w:rsidR="000E4EE0" w:rsidRPr="00FD452E">
        <w:rPr>
          <w:rFonts w:ascii="Times New Roman" w:hAnsi="Times New Roman"/>
          <w:sz w:val="24"/>
          <w:szCs w:val="24"/>
        </w:rPr>
        <w:t>expans</w:t>
      </w:r>
      <w:r w:rsidR="007B0F62" w:rsidRPr="00FD452E">
        <w:rPr>
          <w:rFonts w:ascii="Times New Roman" w:hAnsi="Times New Roman"/>
          <w:sz w:val="24"/>
          <w:szCs w:val="24"/>
        </w:rPr>
        <w:t xml:space="preserve">ão </w:t>
      </w:r>
      <w:r w:rsidR="006C4208" w:rsidRPr="00FD452E">
        <w:rPr>
          <w:rFonts w:ascii="Times New Roman" w:hAnsi="Times New Roman"/>
          <w:sz w:val="24"/>
          <w:szCs w:val="24"/>
        </w:rPr>
        <w:t>do comércio deste tipo de produto.</w:t>
      </w:r>
      <w:r w:rsidR="0033328A" w:rsidRPr="00FD452E">
        <w:rPr>
          <w:rFonts w:ascii="Times New Roman" w:hAnsi="Times New Roman"/>
          <w:sz w:val="24"/>
          <w:szCs w:val="24"/>
        </w:rPr>
        <w:t xml:space="preserve"> </w:t>
      </w:r>
      <w:r w:rsidR="00855EAC" w:rsidRPr="00FD452E">
        <w:rPr>
          <w:rFonts w:ascii="Times New Roman" w:hAnsi="Times New Roman"/>
          <w:sz w:val="24"/>
          <w:szCs w:val="24"/>
        </w:rPr>
        <w:t xml:space="preserve">Ademais, também serão analisados os efeitos das entradas de divisas decorrentes das exportações de alimentos </w:t>
      </w:r>
      <w:r w:rsidR="00A86E53" w:rsidRPr="00FD452E">
        <w:rPr>
          <w:rFonts w:ascii="Times New Roman" w:hAnsi="Times New Roman"/>
          <w:sz w:val="24"/>
          <w:szCs w:val="24"/>
        </w:rPr>
        <w:t xml:space="preserve">(XAL) </w:t>
      </w:r>
      <w:r w:rsidR="00855EAC" w:rsidRPr="00FD452E">
        <w:rPr>
          <w:rFonts w:ascii="Times New Roman" w:hAnsi="Times New Roman"/>
          <w:sz w:val="24"/>
          <w:szCs w:val="24"/>
        </w:rPr>
        <w:t>e de minerais</w:t>
      </w:r>
      <w:r w:rsidR="00A86E53" w:rsidRPr="00FD452E">
        <w:rPr>
          <w:rFonts w:ascii="Times New Roman" w:hAnsi="Times New Roman"/>
          <w:sz w:val="24"/>
          <w:szCs w:val="24"/>
        </w:rPr>
        <w:t xml:space="preserve"> (XMIN)</w:t>
      </w:r>
      <w:r w:rsidR="00855EAC" w:rsidRPr="00FD452E">
        <w:rPr>
          <w:rFonts w:ascii="Times New Roman" w:hAnsi="Times New Roman"/>
          <w:sz w:val="24"/>
          <w:szCs w:val="24"/>
        </w:rPr>
        <w:t xml:space="preserve"> sobre a taxa de câmbio real. Essa desagregação das exportações d</w:t>
      </w:r>
      <w:r w:rsidR="00A46EE5">
        <w:rPr>
          <w:rFonts w:ascii="Times New Roman" w:hAnsi="Times New Roman"/>
          <w:sz w:val="24"/>
          <w:szCs w:val="24"/>
        </w:rPr>
        <w:t>e</w:t>
      </w:r>
      <w:r w:rsidR="00855EAC" w:rsidRPr="00FD452E">
        <w:rPr>
          <w:rFonts w:ascii="Times New Roman" w:hAnsi="Times New Roman"/>
          <w:sz w:val="24"/>
          <w:szCs w:val="24"/>
        </w:rPr>
        <w:t xml:space="preserve"> </w:t>
      </w:r>
      <w:r w:rsidR="00855EAC" w:rsidRPr="00FD452E">
        <w:rPr>
          <w:rFonts w:ascii="Times New Roman" w:hAnsi="Times New Roman"/>
          <w:i/>
          <w:sz w:val="24"/>
          <w:szCs w:val="24"/>
        </w:rPr>
        <w:t>commodities</w:t>
      </w:r>
      <w:r w:rsidR="00855EAC" w:rsidRPr="00FD452E">
        <w:rPr>
          <w:rFonts w:ascii="Times New Roman" w:hAnsi="Times New Roman"/>
          <w:sz w:val="24"/>
          <w:szCs w:val="24"/>
        </w:rPr>
        <w:t xml:space="preserve"> pode ser importante, dado que esta última variável engloba também as exportações de </w:t>
      </w:r>
      <w:r w:rsidR="00A46EE5" w:rsidRPr="00FD452E">
        <w:rPr>
          <w:rFonts w:ascii="Times New Roman" w:hAnsi="Times New Roman"/>
          <w:sz w:val="24"/>
          <w:szCs w:val="24"/>
        </w:rPr>
        <w:t xml:space="preserve">combustíveis </w:t>
      </w:r>
      <w:r w:rsidR="00A46EE5">
        <w:rPr>
          <w:rFonts w:ascii="Times New Roman" w:hAnsi="Times New Roman"/>
          <w:sz w:val="24"/>
          <w:szCs w:val="24"/>
        </w:rPr>
        <w:t>e matérias-primas</w:t>
      </w:r>
      <w:r w:rsidR="00855EAC" w:rsidRPr="00FD452E">
        <w:rPr>
          <w:rFonts w:ascii="Times New Roman" w:hAnsi="Times New Roman"/>
          <w:sz w:val="24"/>
          <w:szCs w:val="24"/>
        </w:rPr>
        <w:t>, sendo que tais produtos têm um peso relativamente menor na pauta exporta</w:t>
      </w:r>
      <w:r w:rsidR="00A46EE5">
        <w:rPr>
          <w:rFonts w:ascii="Times New Roman" w:hAnsi="Times New Roman"/>
          <w:sz w:val="24"/>
          <w:szCs w:val="24"/>
        </w:rPr>
        <w:t>dora</w:t>
      </w:r>
      <w:r w:rsidR="00855EAC" w:rsidRPr="00FD452E">
        <w:rPr>
          <w:rFonts w:ascii="Times New Roman" w:hAnsi="Times New Roman"/>
          <w:sz w:val="24"/>
          <w:szCs w:val="24"/>
        </w:rPr>
        <w:t>. As</w:t>
      </w:r>
      <w:r w:rsidR="0033328A" w:rsidRPr="00FD452E">
        <w:rPr>
          <w:rFonts w:ascii="Times New Roman" w:hAnsi="Times New Roman"/>
          <w:sz w:val="24"/>
          <w:szCs w:val="24"/>
        </w:rPr>
        <w:t xml:space="preserve"> variáve</w:t>
      </w:r>
      <w:r w:rsidR="00855EAC" w:rsidRPr="00FD452E">
        <w:rPr>
          <w:rFonts w:ascii="Times New Roman" w:hAnsi="Times New Roman"/>
          <w:sz w:val="24"/>
          <w:szCs w:val="24"/>
        </w:rPr>
        <w:t xml:space="preserve">is relacionadas às exportações de </w:t>
      </w:r>
      <w:r w:rsidR="00855EAC" w:rsidRPr="00FD452E">
        <w:rPr>
          <w:rFonts w:ascii="Times New Roman" w:hAnsi="Times New Roman"/>
          <w:i/>
          <w:sz w:val="24"/>
          <w:szCs w:val="24"/>
        </w:rPr>
        <w:t>commodities</w:t>
      </w:r>
      <w:r w:rsidR="00855EAC" w:rsidRPr="00FD452E">
        <w:rPr>
          <w:rFonts w:ascii="Times New Roman" w:hAnsi="Times New Roman"/>
          <w:sz w:val="24"/>
          <w:szCs w:val="24"/>
        </w:rPr>
        <w:t xml:space="preserve"> (totais, alimentos e minerais)</w:t>
      </w:r>
      <w:r w:rsidR="0033328A" w:rsidRPr="00FD452E">
        <w:rPr>
          <w:rFonts w:ascii="Times New Roman" w:hAnsi="Times New Roman"/>
          <w:sz w:val="24"/>
          <w:szCs w:val="24"/>
        </w:rPr>
        <w:t xml:space="preserve"> fo</w:t>
      </w:r>
      <w:r w:rsidR="00855EAC" w:rsidRPr="00FD452E">
        <w:rPr>
          <w:rFonts w:ascii="Times New Roman" w:hAnsi="Times New Roman"/>
          <w:sz w:val="24"/>
          <w:szCs w:val="24"/>
        </w:rPr>
        <w:t>ram</w:t>
      </w:r>
      <w:r w:rsidR="0033328A" w:rsidRPr="00FD452E">
        <w:rPr>
          <w:rFonts w:ascii="Times New Roman" w:hAnsi="Times New Roman"/>
          <w:sz w:val="24"/>
          <w:szCs w:val="24"/>
        </w:rPr>
        <w:t xml:space="preserve"> obtida</w:t>
      </w:r>
      <w:r w:rsidR="00855EAC" w:rsidRPr="00FD452E">
        <w:rPr>
          <w:rFonts w:ascii="Times New Roman" w:hAnsi="Times New Roman"/>
          <w:sz w:val="24"/>
          <w:szCs w:val="24"/>
        </w:rPr>
        <w:t>s</w:t>
      </w:r>
      <w:r w:rsidR="0033328A" w:rsidRPr="00FD452E">
        <w:rPr>
          <w:rFonts w:ascii="Times New Roman" w:hAnsi="Times New Roman"/>
          <w:sz w:val="24"/>
          <w:szCs w:val="24"/>
        </w:rPr>
        <w:t xml:space="preserve"> junto às Estatísticas de Comércio Exterior do Ministério de Desenvolvimento, Indústria e Comércio Exterior (MDIC)</w:t>
      </w:r>
      <w:r w:rsidR="0033328A" w:rsidRPr="00FD452E">
        <w:rPr>
          <w:rStyle w:val="Refdenotaderodap"/>
          <w:rFonts w:ascii="Times New Roman" w:hAnsi="Times New Roman"/>
          <w:sz w:val="24"/>
          <w:szCs w:val="24"/>
        </w:rPr>
        <w:footnoteReference w:id="9"/>
      </w:r>
      <w:r w:rsidR="00413E23" w:rsidRPr="00FD452E">
        <w:rPr>
          <w:rFonts w:ascii="Times New Roman" w:hAnsi="Times New Roman"/>
          <w:sz w:val="24"/>
          <w:szCs w:val="24"/>
        </w:rPr>
        <w:t>, sendo mensuradas em termos de sua participação percentual no PIB</w:t>
      </w:r>
      <w:r w:rsidRPr="00FD452E">
        <w:rPr>
          <w:rFonts w:ascii="Times New Roman" w:hAnsi="Times New Roman"/>
          <w:sz w:val="24"/>
          <w:szCs w:val="24"/>
        </w:rPr>
        <w:t>.</w:t>
      </w:r>
      <w:r w:rsidR="006C4208" w:rsidRPr="00FD452E">
        <w:rPr>
          <w:rFonts w:ascii="Times New Roman" w:hAnsi="Times New Roman"/>
          <w:sz w:val="24"/>
          <w:szCs w:val="24"/>
        </w:rPr>
        <w:t xml:space="preserve"> </w:t>
      </w:r>
      <w:r w:rsidR="00413E23" w:rsidRPr="00FD452E">
        <w:rPr>
          <w:rFonts w:ascii="Times New Roman" w:hAnsi="Times New Roman"/>
          <w:sz w:val="24"/>
          <w:szCs w:val="24"/>
        </w:rPr>
        <w:t xml:space="preserve">Para tanto, utilizamos a série </w:t>
      </w:r>
      <w:r w:rsidR="00413E23" w:rsidRPr="00FD452E">
        <w:rPr>
          <w:rFonts w:ascii="Times New Roman" w:hAnsi="Times New Roman"/>
          <w:color w:val="000000"/>
          <w:sz w:val="24"/>
          <w:szCs w:val="24"/>
        </w:rPr>
        <w:t>n</w:t>
      </w:r>
      <w:r w:rsidR="00413E23" w:rsidRPr="00FD452E">
        <w:rPr>
          <w:rFonts w:ascii="Times New Roman" w:hAnsi="Times New Roman"/>
          <w:color w:val="000000"/>
          <w:position w:val="8"/>
          <w:sz w:val="24"/>
          <w:szCs w:val="24"/>
          <w:vertAlign w:val="superscript"/>
        </w:rPr>
        <w:t>o</w:t>
      </w:r>
      <w:r w:rsidR="00413E23" w:rsidRPr="00FD452E">
        <w:rPr>
          <w:rFonts w:ascii="Times New Roman" w:hAnsi="Times New Roman"/>
          <w:sz w:val="24"/>
          <w:szCs w:val="24"/>
        </w:rPr>
        <w:t xml:space="preserve"> 4385, do PIB mensal em US$ milhões.</w:t>
      </w:r>
    </w:p>
    <w:p w:rsidR="0036569F" w:rsidRPr="00164659" w:rsidRDefault="00EE2504" w:rsidP="001A7309">
      <w:pPr>
        <w:spacing w:after="0" w:line="240" w:lineRule="auto"/>
        <w:ind w:firstLine="708"/>
        <w:jc w:val="both"/>
        <w:rPr>
          <w:rFonts w:ascii="Times New Roman" w:hAnsi="Times New Roman"/>
          <w:sz w:val="24"/>
          <w:szCs w:val="24"/>
        </w:rPr>
      </w:pPr>
      <w:r w:rsidRPr="00164659">
        <w:rPr>
          <w:rFonts w:ascii="Times New Roman" w:hAnsi="Times New Roman"/>
          <w:sz w:val="24"/>
          <w:szCs w:val="24"/>
        </w:rPr>
        <w:t>Ainda</w:t>
      </w:r>
      <w:r w:rsidR="006C4208" w:rsidRPr="00164659">
        <w:rPr>
          <w:rFonts w:ascii="Times New Roman" w:hAnsi="Times New Roman"/>
          <w:sz w:val="24"/>
          <w:szCs w:val="24"/>
        </w:rPr>
        <w:t xml:space="preserve"> d</w:t>
      </w:r>
      <w:r w:rsidR="00BE74DF" w:rsidRPr="00164659">
        <w:rPr>
          <w:rFonts w:ascii="Times New Roman" w:hAnsi="Times New Roman"/>
          <w:sz w:val="24"/>
          <w:szCs w:val="24"/>
        </w:rPr>
        <w:t xml:space="preserve">e acordo com </w:t>
      </w:r>
      <w:r w:rsidR="00413E23">
        <w:rPr>
          <w:rFonts w:ascii="Times New Roman" w:hAnsi="Times New Roman"/>
          <w:sz w:val="24"/>
          <w:szCs w:val="24"/>
        </w:rPr>
        <w:t>tal</w:t>
      </w:r>
      <w:r w:rsidR="00BE74DF" w:rsidRPr="00164659">
        <w:rPr>
          <w:rFonts w:ascii="Times New Roman" w:hAnsi="Times New Roman"/>
          <w:sz w:val="24"/>
          <w:szCs w:val="24"/>
        </w:rPr>
        <w:t xml:space="preserve"> literatura, </w:t>
      </w:r>
      <w:r w:rsidR="0033328A" w:rsidRPr="00164659">
        <w:rPr>
          <w:rFonts w:ascii="Times New Roman" w:hAnsi="Times New Roman"/>
          <w:sz w:val="24"/>
          <w:szCs w:val="24"/>
        </w:rPr>
        <w:t>o</w:t>
      </w:r>
      <w:r w:rsidR="00BE74DF" w:rsidRPr="00164659">
        <w:rPr>
          <w:rFonts w:ascii="Times New Roman" w:hAnsi="Times New Roman"/>
          <w:sz w:val="24"/>
          <w:szCs w:val="24"/>
        </w:rPr>
        <w:t xml:space="preserve"> aumento das exportações de </w:t>
      </w:r>
      <w:r w:rsidR="00BE74DF" w:rsidRPr="00164659">
        <w:rPr>
          <w:rFonts w:ascii="Times New Roman" w:hAnsi="Times New Roman"/>
          <w:i/>
          <w:sz w:val="24"/>
          <w:szCs w:val="24"/>
        </w:rPr>
        <w:t>commodities</w:t>
      </w:r>
      <w:r w:rsidR="00BE74DF" w:rsidRPr="00164659">
        <w:rPr>
          <w:rFonts w:ascii="Times New Roman" w:hAnsi="Times New Roman"/>
          <w:sz w:val="24"/>
          <w:szCs w:val="24"/>
        </w:rPr>
        <w:t xml:space="preserve"> pode ocorrer em virtude da descoberta de novas fontes do recurso natural ou por uma mudança favorável nos preços internacionais dos produtos que utilizam intensivamente o recurso.</w:t>
      </w:r>
      <w:r w:rsidR="0033328A" w:rsidRPr="00164659">
        <w:rPr>
          <w:rFonts w:ascii="Times New Roman" w:hAnsi="Times New Roman"/>
          <w:sz w:val="24"/>
          <w:szCs w:val="24"/>
        </w:rPr>
        <w:t xml:space="preserve"> Portanto, será incluído no modelo </w:t>
      </w:r>
      <w:r w:rsidR="000E4EE0" w:rsidRPr="00164659">
        <w:rPr>
          <w:rFonts w:ascii="Times New Roman" w:hAnsi="Times New Roman"/>
          <w:sz w:val="24"/>
          <w:szCs w:val="24"/>
        </w:rPr>
        <w:t xml:space="preserve">a variável </w:t>
      </w:r>
      <w:r w:rsidR="001A7309" w:rsidRPr="00164659">
        <w:rPr>
          <w:rFonts w:ascii="Times New Roman" w:hAnsi="Times New Roman"/>
          <w:sz w:val="24"/>
          <w:szCs w:val="24"/>
        </w:rPr>
        <w:t xml:space="preserve">Preços das </w:t>
      </w:r>
      <w:r w:rsidR="001A7309" w:rsidRPr="00164659">
        <w:rPr>
          <w:rFonts w:ascii="Times New Roman" w:hAnsi="Times New Roman"/>
          <w:i/>
          <w:sz w:val="24"/>
          <w:szCs w:val="24"/>
        </w:rPr>
        <w:t>Commo</w:t>
      </w:r>
      <w:r w:rsidR="0033328A" w:rsidRPr="00164659">
        <w:rPr>
          <w:rFonts w:ascii="Times New Roman" w:hAnsi="Times New Roman"/>
          <w:i/>
          <w:sz w:val="24"/>
          <w:szCs w:val="24"/>
        </w:rPr>
        <w:t>dit</w:t>
      </w:r>
      <w:r w:rsidR="001A7309" w:rsidRPr="00164659">
        <w:rPr>
          <w:rFonts w:ascii="Times New Roman" w:hAnsi="Times New Roman"/>
          <w:i/>
          <w:sz w:val="24"/>
          <w:szCs w:val="24"/>
        </w:rPr>
        <w:t>i</w:t>
      </w:r>
      <w:r w:rsidR="0033328A" w:rsidRPr="00164659">
        <w:rPr>
          <w:rFonts w:ascii="Times New Roman" w:hAnsi="Times New Roman"/>
          <w:i/>
          <w:sz w:val="24"/>
          <w:szCs w:val="24"/>
        </w:rPr>
        <w:t>es</w:t>
      </w:r>
      <w:r w:rsidR="001A7309" w:rsidRPr="00164659">
        <w:rPr>
          <w:rFonts w:ascii="Times New Roman" w:hAnsi="Times New Roman"/>
          <w:sz w:val="24"/>
          <w:szCs w:val="24"/>
        </w:rPr>
        <w:t xml:space="preserve"> (IPCOM), </w:t>
      </w:r>
      <w:r w:rsidR="000E4EE0" w:rsidRPr="00164659">
        <w:rPr>
          <w:rFonts w:ascii="Times New Roman" w:hAnsi="Times New Roman"/>
          <w:sz w:val="24"/>
          <w:szCs w:val="24"/>
        </w:rPr>
        <w:t xml:space="preserve">em índice </w:t>
      </w:r>
      <w:r w:rsidR="001A7309" w:rsidRPr="00164659">
        <w:rPr>
          <w:rFonts w:ascii="Times New Roman" w:hAnsi="Times New Roman"/>
          <w:sz w:val="24"/>
          <w:szCs w:val="24"/>
        </w:rPr>
        <w:t>2005=100, obtid</w:t>
      </w:r>
      <w:r w:rsidR="000E4EE0" w:rsidRPr="00164659">
        <w:rPr>
          <w:rFonts w:ascii="Times New Roman" w:hAnsi="Times New Roman"/>
          <w:sz w:val="24"/>
          <w:szCs w:val="24"/>
        </w:rPr>
        <w:t>a</w:t>
      </w:r>
      <w:r w:rsidR="001A7309" w:rsidRPr="00164659">
        <w:rPr>
          <w:rFonts w:ascii="Times New Roman" w:hAnsi="Times New Roman"/>
          <w:sz w:val="24"/>
          <w:szCs w:val="24"/>
        </w:rPr>
        <w:t xml:space="preserve"> junto às estatísticas do Fundo Monetário Internacional</w:t>
      </w:r>
      <w:r w:rsidR="00A46EE5">
        <w:rPr>
          <w:rFonts w:ascii="Times New Roman" w:hAnsi="Times New Roman"/>
          <w:sz w:val="24"/>
          <w:szCs w:val="24"/>
        </w:rPr>
        <w:t xml:space="preserve"> (IFS-CD room)</w:t>
      </w:r>
      <w:r w:rsidR="000E4EE0" w:rsidRPr="00164659">
        <w:rPr>
          <w:rFonts w:ascii="Times New Roman" w:hAnsi="Times New Roman"/>
          <w:sz w:val="24"/>
          <w:szCs w:val="24"/>
        </w:rPr>
        <w:t>. A inclusão desta variável justifica-se</w:t>
      </w:r>
      <w:r w:rsidR="001A7309" w:rsidRPr="00164659">
        <w:rPr>
          <w:rFonts w:ascii="Times New Roman" w:hAnsi="Times New Roman"/>
          <w:sz w:val="24"/>
          <w:szCs w:val="24"/>
        </w:rPr>
        <w:t xml:space="preserve"> na medida em que, a partir de 2002, observa-se um contexto de ascendência destes preços nos mercados internacionais, o que tornou atrativa a exportaç</w:t>
      </w:r>
      <w:r w:rsidR="00752EF4" w:rsidRPr="00164659">
        <w:rPr>
          <w:rFonts w:ascii="Times New Roman" w:hAnsi="Times New Roman"/>
          <w:sz w:val="24"/>
          <w:szCs w:val="24"/>
        </w:rPr>
        <w:t>ão</w:t>
      </w:r>
      <w:r w:rsidR="001A7309" w:rsidRPr="00164659">
        <w:rPr>
          <w:rFonts w:ascii="Times New Roman" w:hAnsi="Times New Roman"/>
          <w:sz w:val="24"/>
          <w:szCs w:val="24"/>
        </w:rPr>
        <w:t xml:space="preserve"> d</w:t>
      </w:r>
      <w:r w:rsidR="000E4EE0" w:rsidRPr="00164659">
        <w:rPr>
          <w:rFonts w:ascii="Times New Roman" w:hAnsi="Times New Roman"/>
          <w:sz w:val="24"/>
          <w:szCs w:val="24"/>
        </w:rPr>
        <w:t>aquele</w:t>
      </w:r>
      <w:r w:rsidR="001A7309" w:rsidRPr="00164659">
        <w:rPr>
          <w:rFonts w:ascii="Times New Roman" w:hAnsi="Times New Roman"/>
          <w:sz w:val="24"/>
          <w:szCs w:val="24"/>
        </w:rPr>
        <w:t xml:space="preserve"> tipo de produto. A relevância da análise dos preços das </w:t>
      </w:r>
      <w:r w:rsidR="001A7309" w:rsidRPr="00164659">
        <w:rPr>
          <w:rFonts w:ascii="Times New Roman" w:hAnsi="Times New Roman"/>
          <w:i/>
          <w:sz w:val="24"/>
          <w:szCs w:val="24"/>
        </w:rPr>
        <w:t>commodities</w:t>
      </w:r>
      <w:r w:rsidR="001A7309" w:rsidRPr="00164659">
        <w:rPr>
          <w:rFonts w:ascii="Times New Roman" w:hAnsi="Times New Roman"/>
          <w:sz w:val="24"/>
          <w:szCs w:val="24"/>
        </w:rPr>
        <w:t xml:space="preserve"> também se </w:t>
      </w:r>
      <w:r w:rsidR="000E4EE0" w:rsidRPr="00164659">
        <w:rPr>
          <w:rFonts w:ascii="Times New Roman" w:hAnsi="Times New Roman"/>
          <w:sz w:val="24"/>
          <w:szCs w:val="24"/>
        </w:rPr>
        <w:t xml:space="preserve">encontra de acordo com </w:t>
      </w:r>
      <w:r w:rsidR="001A7309" w:rsidRPr="00164659">
        <w:rPr>
          <w:rFonts w:ascii="Times New Roman" w:hAnsi="Times New Roman"/>
          <w:sz w:val="24"/>
          <w:szCs w:val="24"/>
        </w:rPr>
        <w:t xml:space="preserve">a literatura chamada de </w:t>
      </w:r>
      <w:r w:rsidR="001A7309" w:rsidRPr="00164659">
        <w:rPr>
          <w:rFonts w:ascii="Times New Roman" w:hAnsi="Times New Roman"/>
          <w:i/>
          <w:sz w:val="24"/>
          <w:szCs w:val="24"/>
        </w:rPr>
        <w:t>commodities currencies</w:t>
      </w:r>
      <w:r w:rsidR="001A7309" w:rsidRPr="00164659">
        <w:rPr>
          <w:rFonts w:ascii="Times New Roman" w:hAnsi="Times New Roman"/>
          <w:sz w:val="24"/>
          <w:szCs w:val="24"/>
        </w:rPr>
        <w:t>, em que países que</w:t>
      </w:r>
      <w:r w:rsidR="00752EF4" w:rsidRPr="00164659">
        <w:rPr>
          <w:rFonts w:ascii="Times New Roman" w:hAnsi="Times New Roman"/>
          <w:sz w:val="24"/>
          <w:szCs w:val="24"/>
        </w:rPr>
        <w:t xml:space="preserve"> tem uma pauta de exportações dominada por </w:t>
      </w:r>
      <w:r w:rsidR="001A7309" w:rsidRPr="00164659">
        <w:rPr>
          <w:rFonts w:ascii="Times New Roman" w:hAnsi="Times New Roman"/>
          <w:sz w:val="24"/>
          <w:szCs w:val="24"/>
        </w:rPr>
        <w:t>bens intensivos em recursos naturais teriam sua taxa de câmbio influenciada pelos preços daqueles bens</w:t>
      </w:r>
      <w:r w:rsidR="00752EF4" w:rsidRPr="00164659">
        <w:rPr>
          <w:rStyle w:val="Refdenotaderodap"/>
          <w:rFonts w:ascii="Times New Roman" w:hAnsi="Times New Roman"/>
          <w:sz w:val="24"/>
          <w:szCs w:val="24"/>
        </w:rPr>
        <w:footnoteReference w:id="10"/>
      </w:r>
      <w:r w:rsidR="003A4CEF" w:rsidRPr="00164659">
        <w:rPr>
          <w:rFonts w:ascii="Times New Roman" w:hAnsi="Times New Roman"/>
          <w:sz w:val="24"/>
          <w:szCs w:val="24"/>
        </w:rPr>
        <w:t>.</w:t>
      </w:r>
    </w:p>
    <w:p w:rsidR="000736CA" w:rsidRDefault="00540A8C" w:rsidP="00F8214B">
      <w:pPr>
        <w:spacing w:after="0" w:line="240" w:lineRule="auto"/>
        <w:ind w:firstLine="708"/>
        <w:jc w:val="both"/>
        <w:rPr>
          <w:rFonts w:ascii="Times New Roman" w:hAnsi="Times New Roman"/>
          <w:sz w:val="24"/>
          <w:szCs w:val="24"/>
        </w:rPr>
      </w:pPr>
      <w:r>
        <w:rPr>
          <w:rFonts w:ascii="Times New Roman" w:hAnsi="Times New Roman"/>
          <w:sz w:val="24"/>
          <w:szCs w:val="24"/>
        </w:rPr>
        <w:t>Os</w:t>
      </w:r>
      <w:r w:rsidR="00D112B3">
        <w:rPr>
          <w:rFonts w:ascii="Times New Roman" w:hAnsi="Times New Roman"/>
          <w:sz w:val="24"/>
          <w:szCs w:val="24"/>
        </w:rPr>
        <w:t xml:space="preserve"> fluxos de capitais foram selecionados para análise de seus impac</w:t>
      </w:r>
      <w:r w:rsidR="00413E23">
        <w:rPr>
          <w:rFonts w:ascii="Times New Roman" w:hAnsi="Times New Roman"/>
          <w:sz w:val="24"/>
          <w:szCs w:val="24"/>
        </w:rPr>
        <w:t>tos sobre a taxa de câmbio real</w:t>
      </w:r>
      <w:r w:rsidR="00D112B3">
        <w:rPr>
          <w:rFonts w:ascii="Times New Roman" w:hAnsi="Times New Roman"/>
          <w:sz w:val="24"/>
          <w:szCs w:val="24"/>
        </w:rPr>
        <w:t>, pois</w:t>
      </w:r>
      <w:r w:rsidR="00EF3B4F">
        <w:rPr>
          <w:rFonts w:ascii="Times New Roman" w:hAnsi="Times New Roman"/>
          <w:sz w:val="24"/>
          <w:szCs w:val="24"/>
        </w:rPr>
        <w:t xml:space="preserve"> </w:t>
      </w:r>
      <w:r w:rsidR="00946E22">
        <w:rPr>
          <w:rFonts w:ascii="Times New Roman" w:hAnsi="Times New Roman"/>
          <w:sz w:val="24"/>
          <w:szCs w:val="24"/>
        </w:rPr>
        <w:t xml:space="preserve">os influxos de capitais pressionam a valorização cambial e, em momentos de crises, a saída abrupta de recursos financeiros gera desvalorização cambial. Ademais, há uma relação importante no outro sentido, isto é, do câmbio influenciando as entradas de capitais estrangeiros, pois esta taxa </w:t>
      </w:r>
      <w:r w:rsidR="00EF3B4F">
        <w:rPr>
          <w:rFonts w:ascii="Times New Roman" w:hAnsi="Times New Roman"/>
          <w:sz w:val="24"/>
          <w:szCs w:val="24"/>
        </w:rPr>
        <w:t>se torna um importante elemento de retorno para os investidores internacionais</w:t>
      </w:r>
      <w:r w:rsidR="00946E22">
        <w:rPr>
          <w:rFonts w:ascii="Times New Roman" w:hAnsi="Times New Roman"/>
          <w:sz w:val="24"/>
          <w:szCs w:val="24"/>
        </w:rPr>
        <w:t xml:space="preserve">, que se </w:t>
      </w:r>
      <w:r w:rsidR="00946E22" w:rsidRPr="00106E0B">
        <w:rPr>
          <w:rFonts w:ascii="Times New Roman" w:hAnsi="Times New Roman"/>
          <w:sz w:val="24"/>
          <w:szCs w:val="24"/>
        </w:rPr>
        <w:t xml:space="preserve">expõem </w:t>
      </w:r>
      <w:r w:rsidR="009D48B6" w:rsidRPr="00106E0B">
        <w:rPr>
          <w:rFonts w:ascii="Times New Roman" w:hAnsi="Times New Roman"/>
          <w:sz w:val="24"/>
          <w:szCs w:val="24"/>
        </w:rPr>
        <w:t xml:space="preserve">ao risco </w:t>
      </w:r>
      <w:r w:rsidR="00946E22" w:rsidRPr="00106E0B">
        <w:rPr>
          <w:rFonts w:ascii="Times New Roman" w:hAnsi="Times New Roman"/>
          <w:sz w:val="24"/>
          <w:szCs w:val="24"/>
        </w:rPr>
        <w:t>ao</w:t>
      </w:r>
      <w:r w:rsidR="00946E22">
        <w:rPr>
          <w:rFonts w:ascii="Times New Roman" w:hAnsi="Times New Roman"/>
          <w:sz w:val="24"/>
          <w:szCs w:val="24"/>
        </w:rPr>
        <w:t xml:space="preserve"> demandarem ativos financeiros brasileiros, denominados em Reais.</w:t>
      </w:r>
      <w:r w:rsidR="00D112B3">
        <w:rPr>
          <w:rFonts w:ascii="Times New Roman" w:hAnsi="Times New Roman"/>
          <w:sz w:val="24"/>
          <w:szCs w:val="24"/>
        </w:rPr>
        <w:t xml:space="preserve"> </w:t>
      </w:r>
      <w:r w:rsidR="00946E22">
        <w:rPr>
          <w:rFonts w:ascii="Times New Roman" w:hAnsi="Times New Roman"/>
          <w:sz w:val="24"/>
          <w:szCs w:val="24"/>
        </w:rPr>
        <w:t xml:space="preserve">Assim, </w:t>
      </w:r>
      <w:r w:rsidR="00D112B3">
        <w:rPr>
          <w:rFonts w:ascii="Times New Roman" w:hAnsi="Times New Roman"/>
          <w:sz w:val="24"/>
          <w:szCs w:val="24"/>
        </w:rPr>
        <w:t>argumenta-se que há uma relação dinâmica ent</w:t>
      </w:r>
      <w:r w:rsidR="002359B3">
        <w:rPr>
          <w:rFonts w:ascii="Times New Roman" w:hAnsi="Times New Roman"/>
          <w:sz w:val="24"/>
          <w:szCs w:val="24"/>
        </w:rPr>
        <w:t>r</w:t>
      </w:r>
      <w:r w:rsidR="00D112B3">
        <w:rPr>
          <w:rFonts w:ascii="Times New Roman" w:hAnsi="Times New Roman"/>
          <w:sz w:val="24"/>
          <w:szCs w:val="24"/>
        </w:rPr>
        <w:t>e fluxos de capitais de curto prazo e taxa de câmbio no Brasil</w:t>
      </w:r>
      <w:r w:rsidR="00946E22">
        <w:rPr>
          <w:rFonts w:ascii="Times New Roman" w:hAnsi="Times New Roman"/>
          <w:sz w:val="24"/>
          <w:szCs w:val="24"/>
        </w:rPr>
        <w:t xml:space="preserve">, que pode explicar </w:t>
      </w:r>
      <w:r w:rsidR="002359B3">
        <w:rPr>
          <w:rFonts w:ascii="Times New Roman" w:hAnsi="Times New Roman"/>
          <w:sz w:val="24"/>
          <w:szCs w:val="24"/>
        </w:rPr>
        <w:t>a</w:t>
      </w:r>
      <w:r w:rsidR="00946E22">
        <w:rPr>
          <w:rFonts w:ascii="Times New Roman" w:hAnsi="Times New Roman"/>
          <w:sz w:val="24"/>
          <w:szCs w:val="24"/>
        </w:rPr>
        <w:t xml:space="preserve"> volatilidade cambial nos últimos anos</w:t>
      </w:r>
      <w:r w:rsidR="00D112B3">
        <w:rPr>
          <w:rFonts w:ascii="Times New Roman" w:hAnsi="Times New Roman"/>
          <w:sz w:val="24"/>
          <w:szCs w:val="24"/>
        </w:rPr>
        <w:t xml:space="preserve">. </w:t>
      </w:r>
    </w:p>
    <w:p w:rsidR="000736CA" w:rsidRPr="00B00516" w:rsidRDefault="00EF3B4F" w:rsidP="000736CA">
      <w:pPr>
        <w:spacing w:after="0" w:line="240" w:lineRule="auto"/>
        <w:ind w:firstLine="709"/>
        <w:jc w:val="both"/>
        <w:rPr>
          <w:rFonts w:ascii="Times New Roman" w:hAnsi="Times New Roman"/>
          <w:sz w:val="24"/>
          <w:szCs w:val="24"/>
        </w:rPr>
      </w:pPr>
      <w:r w:rsidRPr="00B00516">
        <w:rPr>
          <w:rFonts w:ascii="Times New Roman" w:hAnsi="Times New Roman"/>
          <w:sz w:val="24"/>
          <w:szCs w:val="24"/>
        </w:rPr>
        <w:t xml:space="preserve">Vimos na seção 3 deste trabalho que o Brasil está fortemente exposto aos fluxos internacionais, com viés especulativo. </w:t>
      </w:r>
      <w:r w:rsidR="002359B3" w:rsidRPr="00B00516">
        <w:rPr>
          <w:rFonts w:ascii="Times New Roman" w:hAnsi="Times New Roman"/>
          <w:sz w:val="24"/>
          <w:szCs w:val="24"/>
        </w:rPr>
        <w:t xml:space="preserve">Assim, acreditamos que as sub-contas financeiras com esse maior viés são aquelas que mais influenciam o movimento da taxa de câmbio. Neste caso, foram </w:t>
      </w:r>
      <w:r w:rsidR="00466823" w:rsidRPr="00B00516">
        <w:rPr>
          <w:rFonts w:ascii="Times New Roman" w:hAnsi="Times New Roman"/>
          <w:sz w:val="24"/>
          <w:szCs w:val="24"/>
        </w:rPr>
        <w:t>selecionados</w:t>
      </w:r>
      <w:r w:rsidR="002359B3" w:rsidRPr="00B00516">
        <w:rPr>
          <w:rFonts w:ascii="Times New Roman" w:hAnsi="Times New Roman"/>
          <w:sz w:val="24"/>
          <w:szCs w:val="24"/>
        </w:rPr>
        <w:t xml:space="preserve"> os fluxos de Investimento Estrangeiro em Carteira (IEC)</w:t>
      </w:r>
      <w:r w:rsidR="00420823">
        <w:rPr>
          <w:rFonts w:ascii="Times New Roman" w:hAnsi="Times New Roman"/>
          <w:sz w:val="24"/>
          <w:szCs w:val="24"/>
        </w:rPr>
        <w:t xml:space="preserve">, que </w:t>
      </w:r>
      <w:r w:rsidR="00E644D3">
        <w:rPr>
          <w:rFonts w:ascii="Times New Roman" w:hAnsi="Times New Roman"/>
          <w:sz w:val="24"/>
          <w:szCs w:val="24"/>
        </w:rPr>
        <w:t>se referem</w:t>
      </w:r>
      <w:r w:rsidR="00420823">
        <w:rPr>
          <w:rFonts w:ascii="Times New Roman" w:hAnsi="Times New Roman"/>
          <w:sz w:val="24"/>
          <w:szCs w:val="24"/>
        </w:rPr>
        <w:t xml:space="preserve"> a investimentos de curto prazo e</w:t>
      </w:r>
      <w:r w:rsidR="00D62966">
        <w:rPr>
          <w:rFonts w:ascii="Times New Roman" w:hAnsi="Times New Roman"/>
          <w:sz w:val="24"/>
          <w:szCs w:val="24"/>
        </w:rPr>
        <w:t>, por isso,</w:t>
      </w:r>
      <w:r w:rsidR="00420823">
        <w:rPr>
          <w:rFonts w:ascii="Times New Roman" w:hAnsi="Times New Roman"/>
          <w:sz w:val="24"/>
          <w:szCs w:val="24"/>
        </w:rPr>
        <w:t xml:space="preserve"> são fluxos de capitais muito instáveis.</w:t>
      </w:r>
      <w:r w:rsidR="00856EBD">
        <w:rPr>
          <w:rFonts w:ascii="Times New Roman" w:hAnsi="Times New Roman"/>
          <w:sz w:val="24"/>
          <w:szCs w:val="24"/>
        </w:rPr>
        <w:t xml:space="preserve"> Ademais, a seleção dos fluxos de IEC se justifica pelo peso deste fluxo na conta financeira total, já que representam parte significativa dos fluxos totais</w:t>
      </w:r>
      <w:r w:rsidR="00C668A3">
        <w:rPr>
          <w:rStyle w:val="Refdenotaderodap"/>
          <w:rFonts w:ascii="Times New Roman" w:hAnsi="Times New Roman"/>
          <w:sz w:val="24"/>
          <w:szCs w:val="24"/>
        </w:rPr>
        <w:footnoteReference w:id="11"/>
      </w:r>
      <w:r w:rsidR="00856EBD">
        <w:rPr>
          <w:rFonts w:ascii="Times New Roman" w:hAnsi="Times New Roman"/>
          <w:sz w:val="24"/>
          <w:szCs w:val="24"/>
        </w:rPr>
        <w:t xml:space="preserve">. Deve-se ressaltar que foram selecionados os fluxos de entrada de IEC, uma vez que o interesse deste artigo é observar os efeitos dos fluxos de capitais sobre a tendência à apreciação da taxa de </w:t>
      </w:r>
      <w:r w:rsidR="00A83A4A">
        <w:rPr>
          <w:rFonts w:ascii="Times New Roman" w:hAnsi="Times New Roman"/>
          <w:sz w:val="24"/>
          <w:szCs w:val="24"/>
        </w:rPr>
        <w:t xml:space="preserve">câmbio. </w:t>
      </w:r>
      <w:r w:rsidR="00C668A3">
        <w:rPr>
          <w:rFonts w:ascii="Times New Roman" w:hAnsi="Times New Roman"/>
          <w:sz w:val="24"/>
          <w:szCs w:val="24"/>
        </w:rPr>
        <w:t xml:space="preserve"> Além das entradas de IEC, serão utilizados fluxos desagregados desta sub-conta financeira. Tratam-se </w:t>
      </w:r>
      <w:r w:rsidR="003C3688">
        <w:rPr>
          <w:rFonts w:ascii="Times New Roman" w:hAnsi="Times New Roman"/>
          <w:sz w:val="24"/>
          <w:szCs w:val="24"/>
        </w:rPr>
        <w:t>das aplicações</w:t>
      </w:r>
      <w:r w:rsidR="00C668A3">
        <w:rPr>
          <w:rFonts w:ascii="Times New Roman" w:hAnsi="Times New Roman"/>
          <w:sz w:val="24"/>
          <w:szCs w:val="24"/>
        </w:rPr>
        <w:t xml:space="preserve"> de investidores estrangeiros em ações de companhias brasileiras</w:t>
      </w:r>
      <w:r w:rsidR="001436F0">
        <w:rPr>
          <w:rFonts w:ascii="Times New Roman" w:hAnsi="Times New Roman"/>
          <w:sz w:val="24"/>
          <w:szCs w:val="24"/>
        </w:rPr>
        <w:t xml:space="preserve"> (IECAC)</w:t>
      </w:r>
      <w:r w:rsidR="00C668A3">
        <w:rPr>
          <w:rFonts w:ascii="Times New Roman" w:hAnsi="Times New Roman"/>
          <w:sz w:val="24"/>
          <w:szCs w:val="24"/>
        </w:rPr>
        <w:t xml:space="preserve"> e em títulos de renda fixa</w:t>
      </w:r>
      <w:r w:rsidR="001436F0">
        <w:rPr>
          <w:rFonts w:ascii="Times New Roman" w:hAnsi="Times New Roman"/>
          <w:sz w:val="24"/>
          <w:szCs w:val="24"/>
        </w:rPr>
        <w:t xml:space="preserve"> (IECRF)</w:t>
      </w:r>
      <w:r w:rsidR="003C3688">
        <w:rPr>
          <w:rFonts w:ascii="Times New Roman" w:hAnsi="Times New Roman"/>
          <w:sz w:val="24"/>
          <w:szCs w:val="24"/>
        </w:rPr>
        <w:t>, negociados no país ou no exterior</w:t>
      </w:r>
      <w:r w:rsidR="00C668A3">
        <w:rPr>
          <w:rFonts w:ascii="Times New Roman" w:hAnsi="Times New Roman"/>
          <w:sz w:val="24"/>
          <w:szCs w:val="24"/>
        </w:rPr>
        <w:t xml:space="preserve">. </w:t>
      </w:r>
      <w:r w:rsidR="000736CA" w:rsidRPr="00B00516">
        <w:rPr>
          <w:rFonts w:ascii="Times New Roman" w:hAnsi="Times New Roman"/>
          <w:sz w:val="24"/>
          <w:szCs w:val="24"/>
        </w:rPr>
        <w:t>Essas variáveis</w:t>
      </w:r>
      <w:r w:rsidR="002359B3" w:rsidRPr="00B00516">
        <w:rPr>
          <w:rFonts w:ascii="Times New Roman" w:hAnsi="Times New Roman"/>
          <w:sz w:val="24"/>
          <w:szCs w:val="24"/>
        </w:rPr>
        <w:t xml:space="preserve"> </w:t>
      </w:r>
      <w:r w:rsidR="000736CA" w:rsidRPr="00B00516">
        <w:rPr>
          <w:rFonts w:ascii="Times New Roman" w:hAnsi="Times New Roman"/>
          <w:sz w:val="24"/>
          <w:szCs w:val="24"/>
        </w:rPr>
        <w:t xml:space="preserve">foram obtidas no sistema gerenciador de séries temporais do BCB e correspondem às séries nº </w:t>
      </w:r>
      <w:r w:rsidR="00B86347">
        <w:rPr>
          <w:rFonts w:ascii="Times New Roman" w:hAnsi="Times New Roman"/>
          <w:sz w:val="24"/>
          <w:szCs w:val="24"/>
        </w:rPr>
        <w:t>8100</w:t>
      </w:r>
      <w:r w:rsidR="00D23190">
        <w:rPr>
          <w:rFonts w:ascii="Times New Roman" w:hAnsi="Times New Roman"/>
          <w:sz w:val="24"/>
          <w:szCs w:val="24"/>
        </w:rPr>
        <w:t>, 8103 e 8108</w:t>
      </w:r>
      <w:r w:rsidR="000736CA" w:rsidRPr="00B00516">
        <w:rPr>
          <w:rFonts w:ascii="Times New Roman" w:hAnsi="Times New Roman"/>
          <w:sz w:val="24"/>
          <w:szCs w:val="24"/>
        </w:rPr>
        <w:t xml:space="preserve"> do</w:t>
      </w:r>
      <w:r w:rsidR="000736CA" w:rsidRPr="00B00516">
        <w:rPr>
          <w:rFonts w:ascii="Times New Roman" w:hAnsi="Times New Roman"/>
          <w:color w:val="000000"/>
          <w:sz w:val="24"/>
          <w:szCs w:val="24"/>
        </w:rPr>
        <w:t xml:space="preserve"> BCB</w:t>
      </w:r>
      <w:r w:rsidR="000736CA" w:rsidRPr="00B00516">
        <w:rPr>
          <w:rFonts w:ascii="Times New Roman" w:hAnsi="Times New Roman"/>
          <w:sz w:val="24"/>
          <w:szCs w:val="24"/>
        </w:rPr>
        <w:t>,</w:t>
      </w:r>
      <w:r w:rsidR="00A42CE4">
        <w:rPr>
          <w:rFonts w:ascii="Times New Roman" w:hAnsi="Times New Roman"/>
          <w:sz w:val="24"/>
          <w:szCs w:val="24"/>
        </w:rPr>
        <w:t xml:space="preserve"> medidas</w:t>
      </w:r>
      <w:r w:rsidR="000736CA" w:rsidRPr="00B00516">
        <w:rPr>
          <w:rFonts w:ascii="Times New Roman" w:hAnsi="Times New Roman"/>
          <w:sz w:val="24"/>
          <w:szCs w:val="24"/>
        </w:rPr>
        <w:t xml:space="preserve"> em US$ milhões.</w:t>
      </w:r>
      <w:r w:rsidR="001436F0">
        <w:rPr>
          <w:rFonts w:ascii="Times New Roman" w:hAnsi="Times New Roman"/>
          <w:sz w:val="24"/>
          <w:szCs w:val="24"/>
        </w:rPr>
        <w:t xml:space="preserve"> </w:t>
      </w:r>
      <w:r w:rsidR="001436F0" w:rsidRPr="001436F0">
        <w:rPr>
          <w:rFonts w:ascii="Times New Roman" w:hAnsi="Times New Roman"/>
          <w:sz w:val="24"/>
          <w:szCs w:val="24"/>
        </w:rPr>
        <w:t xml:space="preserve">As três séries </w:t>
      </w:r>
      <w:r w:rsidR="001436F0" w:rsidRPr="001436F0">
        <w:rPr>
          <w:rFonts w:ascii="Times New Roman" w:hAnsi="Times New Roman"/>
          <w:sz w:val="24"/>
          <w:szCs w:val="24"/>
        </w:rPr>
        <w:lastRenderedPageBreak/>
        <w:t xml:space="preserve">financeiras (IEC, IECAC e IECRF) foram normalizadas como percentual do PIB, para indicar seus efeitos relativos. </w:t>
      </w:r>
    </w:p>
    <w:p w:rsidR="00371EA8" w:rsidRPr="002054BA" w:rsidRDefault="002054BA" w:rsidP="00880BC2">
      <w:pPr>
        <w:spacing w:after="0" w:line="240" w:lineRule="auto"/>
        <w:ind w:firstLine="709"/>
        <w:jc w:val="both"/>
        <w:rPr>
          <w:rFonts w:ascii="Times New Roman" w:hAnsi="Times New Roman"/>
          <w:sz w:val="24"/>
          <w:szCs w:val="24"/>
        </w:rPr>
      </w:pPr>
      <w:r w:rsidRPr="002054BA">
        <w:rPr>
          <w:rFonts w:ascii="Times New Roman" w:hAnsi="Times New Roman"/>
          <w:sz w:val="24"/>
          <w:szCs w:val="24"/>
        </w:rPr>
        <w:t xml:space="preserve">Por sua vez, a taxa de juros foi selecionada, pois o nível de juros tem uma relação direta com a atração dos fluxos de capitais. Há, portanto, um canal direto entre a livre mobilidade de capitais e a política nacional de juros. </w:t>
      </w:r>
      <w:r w:rsidRPr="002054BA">
        <w:rPr>
          <w:rFonts w:ascii="Times New Roman" w:hAnsi="Times New Roman"/>
          <w:color w:val="000000"/>
          <w:sz w:val="24"/>
          <w:szCs w:val="24"/>
        </w:rPr>
        <w:t>A taxa de juros utilizada é a taxa nominal SELIC acumulada no mês (em %), que corresponde à série n</w:t>
      </w:r>
      <w:r w:rsidRPr="002054BA">
        <w:rPr>
          <w:rFonts w:ascii="Times New Roman" w:hAnsi="Times New Roman"/>
          <w:color w:val="000000"/>
          <w:position w:val="8"/>
          <w:sz w:val="24"/>
          <w:szCs w:val="24"/>
          <w:vertAlign w:val="superscript"/>
        </w:rPr>
        <w:t xml:space="preserve">o </w:t>
      </w:r>
      <w:r w:rsidRPr="002054BA">
        <w:rPr>
          <w:rFonts w:ascii="Times New Roman" w:hAnsi="Times New Roman"/>
          <w:color w:val="000000"/>
          <w:sz w:val="24"/>
          <w:szCs w:val="24"/>
        </w:rPr>
        <w:t xml:space="preserve">4390 do BCB. </w:t>
      </w:r>
      <w:r w:rsidRPr="002054BA">
        <w:rPr>
          <w:rFonts w:ascii="Times New Roman" w:hAnsi="Times New Roman"/>
          <w:sz w:val="24"/>
          <w:szCs w:val="24"/>
        </w:rPr>
        <w:t xml:space="preserve"> </w:t>
      </w:r>
    </w:p>
    <w:p w:rsidR="00371EA8" w:rsidRDefault="00880BC2" w:rsidP="00880BC2">
      <w:pPr>
        <w:spacing w:after="0" w:line="240" w:lineRule="auto"/>
        <w:jc w:val="both"/>
        <w:rPr>
          <w:rFonts w:ascii="Times New Roman" w:eastAsia="Batang" w:hAnsi="Times New Roman"/>
          <w:color w:val="000000"/>
          <w:sz w:val="24"/>
          <w:szCs w:val="24"/>
          <w:shd w:val="clear" w:color="auto" w:fill="FFFFFF"/>
        </w:rPr>
      </w:pPr>
      <w:r w:rsidRPr="00880BC2">
        <w:rPr>
          <w:rFonts w:ascii="Times New Roman" w:eastAsia="Batang" w:hAnsi="Times New Roman"/>
          <w:sz w:val="24"/>
          <w:szCs w:val="24"/>
        </w:rPr>
        <w:tab/>
      </w:r>
      <w:r w:rsidR="00DE7ACE">
        <w:rPr>
          <w:rFonts w:ascii="Times New Roman" w:eastAsia="Batang" w:hAnsi="Times New Roman"/>
          <w:sz w:val="24"/>
          <w:szCs w:val="24"/>
        </w:rPr>
        <w:t>Para analisar a percepção de risco dos investidores internacionais foi selecionado o</w:t>
      </w:r>
      <w:r w:rsidRPr="00880BC2">
        <w:rPr>
          <w:rFonts w:ascii="Times New Roman" w:eastAsia="Batang" w:hAnsi="Times New Roman"/>
          <w:sz w:val="24"/>
          <w:szCs w:val="24"/>
        </w:rPr>
        <w:t xml:space="preserve"> risco-país</w:t>
      </w:r>
      <w:r w:rsidR="00DE7ACE">
        <w:rPr>
          <w:rFonts w:ascii="Times New Roman" w:eastAsia="Batang" w:hAnsi="Times New Roman"/>
          <w:sz w:val="24"/>
          <w:szCs w:val="24"/>
        </w:rPr>
        <w:t>, medido pelo</w:t>
      </w:r>
      <w:r w:rsidRPr="00880BC2">
        <w:rPr>
          <w:rFonts w:ascii="Times New Roman" w:eastAsia="Batang" w:hAnsi="Times New Roman"/>
          <w:sz w:val="24"/>
          <w:szCs w:val="24"/>
        </w:rPr>
        <w:t xml:space="preserve"> EMBI+. O </w:t>
      </w:r>
      <w:r w:rsidRPr="00880BC2">
        <w:rPr>
          <w:rFonts w:ascii="Times New Roman" w:eastAsia="Batang" w:hAnsi="Times New Roman"/>
          <w:i/>
          <w:sz w:val="24"/>
          <w:szCs w:val="24"/>
        </w:rPr>
        <w:t>Emergent Markets Bonds Index Plus</w:t>
      </w:r>
      <w:r w:rsidRPr="00880BC2">
        <w:rPr>
          <w:rFonts w:ascii="Times New Roman" w:eastAsia="Batang" w:hAnsi="Times New Roman"/>
          <w:sz w:val="24"/>
          <w:szCs w:val="24"/>
        </w:rPr>
        <w:t xml:space="preserve"> (EMBI+) é um indicador calculado pelo JP Morgan para avaliar o prêmio de risco de títulos de economias emergentes em relação aos títulos do Tesouro dos Estados Unidos.</w:t>
      </w:r>
      <w:r w:rsidR="0029527F" w:rsidRPr="0029527F">
        <w:rPr>
          <w:rFonts w:ascii="Times New Roman" w:hAnsi="Times New Roman"/>
          <w:sz w:val="24"/>
          <w:szCs w:val="24"/>
        </w:rPr>
        <w:t xml:space="preserve"> </w:t>
      </w:r>
      <w:r w:rsidRPr="00880BC2">
        <w:rPr>
          <w:rFonts w:ascii="Times New Roman" w:eastAsia="Batang" w:hAnsi="Times New Roman"/>
          <w:sz w:val="24"/>
          <w:szCs w:val="24"/>
        </w:rPr>
        <w:t xml:space="preserve">Assim, justifica-se seu uso na presente análise empírica por ter associação com os fluxos financeiros de investidores estrangeiros, que observam o movimento do risco-país ao investir em economias emergentes. </w:t>
      </w:r>
      <w:r w:rsidR="007023AD">
        <w:rPr>
          <w:rFonts w:ascii="Times New Roman" w:eastAsia="Batang" w:hAnsi="Times New Roman"/>
          <w:sz w:val="24"/>
          <w:szCs w:val="24"/>
        </w:rPr>
        <w:t xml:space="preserve">O índice </w:t>
      </w:r>
      <w:r w:rsidR="007023AD">
        <w:rPr>
          <w:rFonts w:ascii="Times New Roman" w:hAnsi="Times New Roman"/>
          <w:sz w:val="24"/>
          <w:szCs w:val="24"/>
        </w:rPr>
        <w:t>m</w:t>
      </w:r>
      <w:r w:rsidR="007023AD" w:rsidRPr="0029527F">
        <w:rPr>
          <w:rFonts w:ascii="Times New Roman" w:hAnsi="Times New Roman"/>
          <w:sz w:val="24"/>
          <w:szCs w:val="24"/>
        </w:rPr>
        <w:t xml:space="preserve">ostra os retornos financeiros obtidos a cada dia por uma carteira </w:t>
      </w:r>
      <w:r w:rsidR="007023AD">
        <w:rPr>
          <w:rFonts w:ascii="Times New Roman" w:eastAsia="Batang" w:hAnsi="Times New Roman"/>
          <w:sz w:val="24"/>
          <w:szCs w:val="24"/>
        </w:rPr>
        <w:t xml:space="preserve">e seus </w:t>
      </w:r>
      <w:r w:rsidRPr="00880BC2">
        <w:rPr>
          <w:rFonts w:ascii="Times New Roman" w:eastAsia="Batang" w:hAnsi="Times New Roman"/>
          <w:sz w:val="24"/>
          <w:szCs w:val="24"/>
        </w:rPr>
        <w:t xml:space="preserve">dados foram extraídos </w:t>
      </w:r>
      <w:r w:rsidR="007023AD">
        <w:rPr>
          <w:rFonts w:ascii="Times New Roman" w:eastAsia="Batang" w:hAnsi="Times New Roman"/>
          <w:sz w:val="24"/>
          <w:szCs w:val="24"/>
        </w:rPr>
        <w:t xml:space="preserve">do Ipeadata e a unidade de medida são </w:t>
      </w:r>
      <w:r w:rsidRPr="00880BC2">
        <w:rPr>
          <w:rFonts w:ascii="Times New Roman" w:eastAsia="Batang" w:hAnsi="Times New Roman"/>
          <w:color w:val="000000"/>
          <w:sz w:val="24"/>
          <w:szCs w:val="24"/>
          <w:shd w:val="clear" w:color="auto" w:fill="FFFFFF"/>
        </w:rPr>
        <w:t>pontos base.</w:t>
      </w:r>
      <w:r w:rsidR="00AA0FD5">
        <w:rPr>
          <w:rFonts w:ascii="Times New Roman" w:eastAsia="Batang" w:hAnsi="Times New Roman"/>
          <w:color w:val="000000"/>
          <w:sz w:val="24"/>
          <w:szCs w:val="24"/>
          <w:shd w:val="clear" w:color="auto" w:fill="FFFFFF"/>
        </w:rPr>
        <w:t xml:space="preserve"> </w:t>
      </w:r>
    </w:p>
    <w:p w:rsidR="00490440" w:rsidRDefault="005744DF" w:rsidP="00613864">
      <w:pPr>
        <w:spacing w:after="0" w:line="240" w:lineRule="auto"/>
        <w:jc w:val="both"/>
        <w:rPr>
          <w:rFonts w:ascii="Times New Roman" w:hAnsi="Times New Roman"/>
          <w:sz w:val="24"/>
          <w:szCs w:val="24"/>
        </w:rPr>
      </w:pPr>
      <w:r>
        <w:rPr>
          <w:rFonts w:ascii="Times New Roman" w:eastAsia="Batang" w:hAnsi="Times New Roman"/>
          <w:color w:val="000000"/>
          <w:sz w:val="24"/>
          <w:szCs w:val="24"/>
          <w:shd w:val="clear" w:color="auto" w:fill="FFFFFF"/>
        </w:rPr>
        <w:tab/>
      </w:r>
      <w:r w:rsidR="00FD6F60">
        <w:rPr>
          <w:rFonts w:ascii="Times New Roman" w:eastAsia="Batang" w:hAnsi="Times New Roman"/>
          <w:color w:val="000000"/>
          <w:sz w:val="24"/>
          <w:szCs w:val="24"/>
          <w:shd w:val="clear" w:color="auto" w:fill="FFFFFF"/>
        </w:rPr>
        <w:t xml:space="preserve"> </w:t>
      </w:r>
    </w:p>
    <w:p w:rsidR="00071D82" w:rsidRDefault="00071D82" w:rsidP="00071D82">
      <w:pPr>
        <w:spacing w:after="0" w:line="240" w:lineRule="auto"/>
        <w:jc w:val="center"/>
        <w:rPr>
          <w:rFonts w:ascii="Times New Roman" w:hAnsi="Times New Roman"/>
          <w:b/>
          <w:sz w:val="24"/>
          <w:szCs w:val="24"/>
        </w:rPr>
      </w:pPr>
      <w:r w:rsidRPr="006A746F">
        <w:rPr>
          <w:rFonts w:ascii="Times New Roman" w:hAnsi="Times New Roman"/>
          <w:b/>
          <w:sz w:val="24"/>
          <w:szCs w:val="24"/>
        </w:rPr>
        <w:t xml:space="preserve">Tabela </w:t>
      </w:r>
      <w:r w:rsidR="006A746F">
        <w:rPr>
          <w:rFonts w:ascii="Times New Roman" w:hAnsi="Times New Roman"/>
          <w:b/>
          <w:sz w:val="24"/>
          <w:szCs w:val="24"/>
        </w:rPr>
        <w:t>3</w:t>
      </w:r>
      <w:r w:rsidR="00853C55" w:rsidRPr="006A746F">
        <w:rPr>
          <w:rFonts w:ascii="Times New Roman" w:hAnsi="Times New Roman"/>
          <w:b/>
          <w:sz w:val="24"/>
          <w:szCs w:val="24"/>
        </w:rPr>
        <w:t xml:space="preserve">: </w:t>
      </w:r>
      <w:r w:rsidRPr="006A746F">
        <w:rPr>
          <w:rFonts w:ascii="Times New Roman" w:hAnsi="Times New Roman"/>
          <w:b/>
          <w:sz w:val="24"/>
          <w:szCs w:val="24"/>
        </w:rPr>
        <w:t>Estatísticas Descritivas</w:t>
      </w:r>
    </w:p>
    <w:tbl>
      <w:tblPr>
        <w:tblW w:w="9350" w:type="dxa"/>
        <w:jc w:val="center"/>
        <w:tblInd w:w="996" w:type="dxa"/>
        <w:tblBorders>
          <w:top w:val="double" w:sz="4" w:space="0" w:color="auto"/>
          <w:bottom w:val="double" w:sz="4" w:space="0" w:color="auto"/>
          <w:insideH w:val="single" w:sz="4" w:space="0" w:color="auto"/>
          <w:insideV w:val="single" w:sz="4" w:space="0" w:color="auto"/>
        </w:tblBorders>
        <w:tblLayout w:type="fixed"/>
        <w:tblCellMar>
          <w:left w:w="0" w:type="dxa"/>
          <w:right w:w="0" w:type="dxa"/>
        </w:tblCellMar>
        <w:tblLook w:val="0000"/>
      </w:tblPr>
      <w:tblGrid>
        <w:gridCol w:w="849"/>
        <w:gridCol w:w="850"/>
        <w:gridCol w:w="850"/>
        <w:gridCol w:w="850"/>
        <w:gridCol w:w="850"/>
        <w:gridCol w:w="850"/>
        <w:gridCol w:w="850"/>
        <w:gridCol w:w="850"/>
        <w:gridCol w:w="850"/>
        <w:gridCol w:w="850"/>
        <w:gridCol w:w="851"/>
      </w:tblGrid>
      <w:tr w:rsidR="001C3CF3" w:rsidRPr="00015E46" w:rsidTr="00015E46">
        <w:trPr>
          <w:trHeight w:val="275"/>
          <w:jc w:val="center"/>
        </w:trPr>
        <w:tc>
          <w:tcPr>
            <w:tcW w:w="849" w:type="dxa"/>
            <w:shd w:val="clear" w:color="auto" w:fill="D9D9D9"/>
            <w:vAlign w:val="center"/>
          </w:tcPr>
          <w:p w:rsidR="00202F82" w:rsidRPr="00015E46" w:rsidRDefault="00202F82" w:rsidP="00015E46">
            <w:pPr>
              <w:spacing w:after="0" w:line="240" w:lineRule="auto"/>
              <w:jc w:val="center"/>
              <w:rPr>
                <w:rFonts w:ascii="Times New Roman" w:hAnsi="Times New Roman"/>
                <w:sz w:val="20"/>
                <w:szCs w:val="20"/>
              </w:rPr>
            </w:pPr>
          </w:p>
        </w:tc>
        <w:tc>
          <w:tcPr>
            <w:tcW w:w="850" w:type="dxa"/>
            <w:shd w:val="clear" w:color="auto" w:fill="D9D9D9"/>
            <w:vAlign w:val="center"/>
          </w:tcPr>
          <w:p w:rsidR="00202F82" w:rsidRPr="00015E46" w:rsidRDefault="00202F82" w:rsidP="00015E46">
            <w:pPr>
              <w:autoSpaceDE w:val="0"/>
              <w:autoSpaceDN w:val="0"/>
              <w:adjustRightInd w:val="0"/>
              <w:spacing w:after="0" w:line="240" w:lineRule="auto"/>
              <w:jc w:val="center"/>
              <w:rPr>
                <w:rFonts w:ascii="Times New Roman" w:hAnsi="Times New Roman"/>
                <w:sz w:val="20"/>
                <w:szCs w:val="20"/>
                <w:highlight w:val="yellow"/>
              </w:rPr>
            </w:pPr>
            <w:r w:rsidRPr="00015E46">
              <w:rPr>
                <w:rFonts w:ascii="Times New Roman" w:hAnsi="Times New Roman"/>
                <w:sz w:val="20"/>
                <w:szCs w:val="20"/>
              </w:rPr>
              <w:t>TCR</w:t>
            </w:r>
          </w:p>
        </w:tc>
        <w:tc>
          <w:tcPr>
            <w:tcW w:w="850" w:type="dxa"/>
            <w:shd w:val="clear" w:color="auto" w:fill="D9D9D9"/>
            <w:vAlign w:val="center"/>
          </w:tcPr>
          <w:p w:rsidR="00202F82" w:rsidRPr="00015E46" w:rsidRDefault="00202F82"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XCOM</w:t>
            </w:r>
          </w:p>
        </w:tc>
        <w:tc>
          <w:tcPr>
            <w:tcW w:w="850" w:type="dxa"/>
            <w:shd w:val="clear" w:color="auto" w:fill="D9D9D9"/>
            <w:vAlign w:val="center"/>
          </w:tcPr>
          <w:p w:rsidR="00202F82" w:rsidRPr="00015E46" w:rsidRDefault="00015E46" w:rsidP="00015E46">
            <w:pPr>
              <w:autoSpaceDE w:val="0"/>
              <w:autoSpaceDN w:val="0"/>
              <w:adjustRightInd w:val="0"/>
              <w:spacing w:after="0" w:line="240" w:lineRule="auto"/>
              <w:jc w:val="center"/>
              <w:rPr>
                <w:rFonts w:ascii="Times New Roman" w:hAnsi="Times New Roman"/>
                <w:sz w:val="20"/>
                <w:szCs w:val="20"/>
              </w:rPr>
            </w:pPr>
            <w:r w:rsidRPr="00015E46">
              <w:rPr>
                <w:rFonts w:ascii="Times New Roman" w:hAnsi="Times New Roman"/>
                <w:sz w:val="20"/>
                <w:szCs w:val="20"/>
              </w:rPr>
              <w:t>XAL</w:t>
            </w:r>
          </w:p>
        </w:tc>
        <w:tc>
          <w:tcPr>
            <w:tcW w:w="850" w:type="dxa"/>
            <w:shd w:val="clear" w:color="auto" w:fill="D9D9D9"/>
            <w:vAlign w:val="center"/>
          </w:tcPr>
          <w:p w:rsidR="00202F82" w:rsidRPr="00015E46" w:rsidRDefault="00015E46" w:rsidP="00015E46">
            <w:pPr>
              <w:autoSpaceDE w:val="0"/>
              <w:autoSpaceDN w:val="0"/>
              <w:adjustRightInd w:val="0"/>
              <w:spacing w:after="0" w:line="240" w:lineRule="auto"/>
              <w:jc w:val="center"/>
              <w:rPr>
                <w:rFonts w:ascii="Times New Roman" w:hAnsi="Times New Roman"/>
                <w:sz w:val="20"/>
                <w:szCs w:val="20"/>
              </w:rPr>
            </w:pPr>
            <w:r w:rsidRPr="00015E46">
              <w:rPr>
                <w:rFonts w:ascii="Times New Roman" w:hAnsi="Times New Roman"/>
                <w:sz w:val="20"/>
                <w:szCs w:val="20"/>
              </w:rPr>
              <w:t>XMIN</w:t>
            </w:r>
          </w:p>
        </w:tc>
        <w:tc>
          <w:tcPr>
            <w:tcW w:w="850" w:type="dxa"/>
            <w:shd w:val="clear" w:color="auto" w:fill="D9D9D9"/>
            <w:vAlign w:val="center"/>
          </w:tcPr>
          <w:p w:rsidR="00202F82" w:rsidRPr="00015E46" w:rsidRDefault="00202F82" w:rsidP="00015E46">
            <w:pPr>
              <w:autoSpaceDE w:val="0"/>
              <w:autoSpaceDN w:val="0"/>
              <w:adjustRightInd w:val="0"/>
              <w:spacing w:after="0" w:line="240" w:lineRule="auto"/>
              <w:jc w:val="center"/>
              <w:rPr>
                <w:rFonts w:ascii="Times New Roman" w:hAnsi="Times New Roman"/>
                <w:sz w:val="20"/>
                <w:szCs w:val="20"/>
              </w:rPr>
            </w:pPr>
            <w:r w:rsidRPr="00015E46">
              <w:rPr>
                <w:rFonts w:ascii="Times New Roman" w:hAnsi="Times New Roman"/>
                <w:sz w:val="20"/>
                <w:szCs w:val="20"/>
              </w:rPr>
              <w:t>IPCOM</w:t>
            </w:r>
          </w:p>
        </w:tc>
        <w:tc>
          <w:tcPr>
            <w:tcW w:w="850" w:type="dxa"/>
            <w:shd w:val="clear" w:color="auto" w:fill="D9D9D9"/>
            <w:vAlign w:val="center"/>
          </w:tcPr>
          <w:p w:rsidR="00202F82" w:rsidRPr="00015E46" w:rsidRDefault="00202F82"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EMBI</w:t>
            </w:r>
          </w:p>
        </w:tc>
        <w:tc>
          <w:tcPr>
            <w:tcW w:w="850" w:type="dxa"/>
            <w:shd w:val="clear" w:color="auto" w:fill="D9D9D9"/>
            <w:vAlign w:val="center"/>
          </w:tcPr>
          <w:p w:rsidR="00202F82" w:rsidRPr="00015E46" w:rsidRDefault="00202F82"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JUROS</w:t>
            </w:r>
          </w:p>
        </w:tc>
        <w:tc>
          <w:tcPr>
            <w:tcW w:w="850" w:type="dxa"/>
            <w:shd w:val="clear" w:color="auto" w:fill="D9D9D9"/>
            <w:vAlign w:val="center"/>
          </w:tcPr>
          <w:p w:rsidR="00202F82" w:rsidRPr="00015E46" w:rsidRDefault="00202F82"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IEC</w:t>
            </w:r>
          </w:p>
        </w:tc>
        <w:tc>
          <w:tcPr>
            <w:tcW w:w="850" w:type="dxa"/>
            <w:shd w:val="clear" w:color="auto" w:fill="D9D9D9"/>
            <w:vAlign w:val="center"/>
          </w:tcPr>
          <w:p w:rsidR="00202F82" w:rsidRPr="00015E46" w:rsidRDefault="00202F82"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IECAC</w:t>
            </w:r>
          </w:p>
        </w:tc>
        <w:tc>
          <w:tcPr>
            <w:tcW w:w="851" w:type="dxa"/>
            <w:shd w:val="clear" w:color="auto" w:fill="D9D9D9"/>
            <w:vAlign w:val="center"/>
          </w:tcPr>
          <w:p w:rsidR="00202F82" w:rsidRPr="00015E46" w:rsidRDefault="00202F82"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IECRF</w:t>
            </w:r>
          </w:p>
        </w:tc>
      </w:tr>
      <w:tr w:rsidR="00015E46" w:rsidRPr="00015E46" w:rsidTr="00015E46">
        <w:trPr>
          <w:trHeight w:val="275"/>
          <w:jc w:val="center"/>
        </w:trPr>
        <w:tc>
          <w:tcPr>
            <w:tcW w:w="849"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sz w:val="20"/>
                <w:szCs w:val="20"/>
              </w:rPr>
            </w:pPr>
            <w:r w:rsidRPr="00015E46">
              <w:rPr>
                <w:rFonts w:ascii="Times New Roman" w:hAnsi="Times New Roman"/>
                <w:sz w:val="20"/>
                <w:szCs w:val="20"/>
              </w:rPr>
              <w:t>Média</w:t>
            </w:r>
          </w:p>
        </w:tc>
        <w:tc>
          <w:tcPr>
            <w:tcW w:w="850"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94.31</w:t>
            </w:r>
          </w:p>
        </w:tc>
        <w:tc>
          <w:tcPr>
            <w:tcW w:w="850"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20.32</w:t>
            </w:r>
          </w:p>
        </w:tc>
        <w:tc>
          <w:tcPr>
            <w:tcW w:w="850"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3.46</w:t>
            </w:r>
          </w:p>
        </w:tc>
        <w:tc>
          <w:tcPr>
            <w:tcW w:w="850"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3.18</w:t>
            </w:r>
          </w:p>
        </w:tc>
        <w:tc>
          <w:tcPr>
            <w:tcW w:w="850"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117.09</w:t>
            </w:r>
          </w:p>
        </w:tc>
        <w:tc>
          <w:tcPr>
            <w:tcW w:w="850"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483.57</w:t>
            </w:r>
          </w:p>
        </w:tc>
        <w:tc>
          <w:tcPr>
            <w:tcW w:w="850"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3.41</w:t>
            </w:r>
          </w:p>
        </w:tc>
        <w:tc>
          <w:tcPr>
            <w:tcW w:w="850"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23.95</w:t>
            </w:r>
          </w:p>
        </w:tc>
        <w:tc>
          <w:tcPr>
            <w:tcW w:w="850"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15.03</w:t>
            </w:r>
          </w:p>
        </w:tc>
        <w:tc>
          <w:tcPr>
            <w:tcW w:w="851"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8.93</w:t>
            </w:r>
          </w:p>
        </w:tc>
      </w:tr>
      <w:tr w:rsidR="00015E46" w:rsidRPr="00015E46" w:rsidTr="00015E46">
        <w:trPr>
          <w:trHeight w:val="275"/>
          <w:jc w:val="center"/>
        </w:trPr>
        <w:tc>
          <w:tcPr>
            <w:tcW w:w="849"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sz w:val="20"/>
                <w:szCs w:val="20"/>
              </w:rPr>
            </w:pPr>
            <w:r w:rsidRPr="00015E46">
              <w:rPr>
                <w:rFonts w:ascii="Times New Roman" w:hAnsi="Times New Roman"/>
                <w:sz w:val="20"/>
                <w:szCs w:val="20"/>
              </w:rPr>
              <w:t>Mediana</w:t>
            </w:r>
          </w:p>
        </w:tc>
        <w:tc>
          <w:tcPr>
            <w:tcW w:w="850"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88.84</w:t>
            </w:r>
          </w:p>
        </w:tc>
        <w:tc>
          <w:tcPr>
            <w:tcW w:w="850"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21.21</w:t>
            </w:r>
          </w:p>
        </w:tc>
        <w:tc>
          <w:tcPr>
            <w:tcW w:w="850"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2.62</w:t>
            </w:r>
          </w:p>
        </w:tc>
        <w:tc>
          <w:tcPr>
            <w:tcW w:w="850"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2.57</w:t>
            </w:r>
          </w:p>
        </w:tc>
        <w:tc>
          <w:tcPr>
            <w:tcW w:w="850"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115.67</w:t>
            </w:r>
          </w:p>
        </w:tc>
        <w:tc>
          <w:tcPr>
            <w:tcW w:w="850"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325.62</w:t>
            </w:r>
          </w:p>
        </w:tc>
        <w:tc>
          <w:tcPr>
            <w:tcW w:w="850"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3.49</w:t>
            </w:r>
          </w:p>
        </w:tc>
        <w:tc>
          <w:tcPr>
            <w:tcW w:w="850"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20.62</w:t>
            </w:r>
          </w:p>
        </w:tc>
        <w:tc>
          <w:tcPr>
            <w:tcW w:w="850"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11.90</w:t>
            </w:r>
          </w:p>
        </w:tc>
        <w:tc>
          <w:tcPr>
            <w:tcW w:w="851"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7.52</w:t>
            </w:r>
          </w:p>
        </w:tc>
      </w:tr>
      <w:tr w:rsidR="00015E46" w:rsidRPr="00015E46" w:rsidTr="00015E46">
        <w:trPr>
          <w:trHeight w:val="275"/>
          <w:jc w:val="center"/>
        </w:trPr>
        <w:tc>
          <w:tcPr>
            <w:tcW w:w="849"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sz w:val="20"/>
                <w:szCs w:val="20"/>
              </w:rPr>
            </w:pPr>
            <w:r w:rsidRPr="00015E46">
              <w:rPr>
                <w:rFonts w:ascii="Times New Roman" w:hAnsi="Times New Roman"/>
                <w:sz w:val="20"/>
                <w:szCs w:val="20"/>
              </w:rPr>
              <w:t>Máximo</w:t>
            </w:r>
          </w:p>
        </w:tc>
        <w:tc>
          <w:tcPr>
            <w:tcW w:w="850"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173.95</w:t>
            </w:r>
          </w:p>
        </w:tc>
        <w:tc>
          <w:tcPr>
            <w:tcW w:w="850"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27.50</w:t>
            </w:r>
          </w:p>
        </w:tc>
        <w:tc>
          <w:tcPr>
            <w:tcW w:w="850"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11.47</w:t>
            </w:r>
          </w:p>
        </w:tc>
        <w:tc>
          <w:tcPr>
            <w:tcW w:w="850"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11.50</w:t>
            </w:r>
          </w:p>
        </w:tc>
        <w:tc>
          <w:tcPr>
            <w:tcW w:w="850"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202.97</w:t>
            </w:r>
          </w:p>
        </w:tc>
        <w:tc>
          <w:tcPr>
            <w:tcW w:w="850"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1890.95</w:t>
            </w:r>
          </w:p>
        </w:tc>
        <w:tc>
          <w:tcPr>
            <w:tcW w:w="850"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5.70</w:t>
            </w:r>
          </w:p>
        </w:tc>
        <w:tc>
          <w:tcPr>
            <w:tcW w:w="850"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59.89</w:t>
            </w:r>
          </w:p>
        </w:tc>
        <w:tc>
          <w:tcPr>
            <w:tcW w:w="850"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54.66</w:t>
            </w:r>
          </w:p>
        </w:tc>
        <w:tc>
          <w:tcPr>
            <w:tcW w:w="851"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24.95</w:t>
            </w:r>
          </w:p>
        </w:tc>
      </w:tr>
      <w:tr w:rsidR="00015E46" w:rsidRPr="00015E46" w:rsidTr="00015E46">
        <w:trPr>
          <w:trHeight w:val="275"/>
          <w:jc w:val="center"/>
        </w:trPr>
        <w:tc>
          <w:tcPr>
            <w:tcW w:w="849"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sz w:val="20"/>
                <w:szCs w:val="20"/>
              </w:rPr>
            </w:pPr>
            <w:r w:rsidRPr="00015E46">
              <w:rPr>
                <w:rFonts w:ascii="Times New Roman" w:hAnsi="Times New Roman"/>
                <w:sz w:val="20"/>
                <w:szCs w:val="20"/>
              </w:rPr>
              <w:t>Mínimo</w:t>
            </w:r>
          </w:p>
        </w:tc>
        <w:tc>
          <w:tcPr>
            <w:tcW w:w="850"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56.61</w:t>
            </w:r>
          </w:p>
        </w:tc>
        <w:tc>
          <w:tcPr>
            <w:tcW w:w="850"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11.53</w:t>
            </w:r>
          </w:p>
        </w:tc>
        <w:tc>
          <w:tcPr>
            <w:tcW w:w="850"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0.78</w:t>
            </w:r>
          </w:p>
        </w:tc>
        <w:tc>
          <w:tcPr>
            <w:tcW w:w="850"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0.75</w:t>
            </w:r>
          </w:p>
        </w:tc>
        <w:tc>
          <w:tcPr>
            <w:tcW w:w="850"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50.37</w:t>
            </w:r>
          </w:p>
        </w:tc>
        <w:tc>
          <w:tcPr>
            <w:tcW w:w="850"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149.78</w:t>
            </w:r>
          </w:p>
        </w:tc>
        <w:tc>
          <w:tcPr>
            <w:tcW w:w="850"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1.64</w:t>
            </w:r>
          </w:p>
        </w:tc>
        <w:tc>
          <w:tcPr>
            <w:tcW w:w="850"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6.16</w:t>
            </w:r>
          </w:p>
        </w:tc>
        <w:tc>
          <w:tcPr>
            <w:tcW w:w="850"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3.75</w:t>
            </w:r>
          </w:p>
        </w:tc>
        <w:tc>
          <w:tcPr>
            <w:tcW w:w="851"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1.89</w:t>
            </w:r>
          </w:p>
        </w:tc>
      </w:tr>
      <w:tr w:rsidR="00015E46" w:rsidRPr="00015E46" w:rsidTr="00015E46">
        <w:trPr>
          <w:trHeight w:val="275"/>
          <w:jc w:val="center"/>
        </w:trPr>
        <w:tc>
          <w:tcPr>
            <w:tcW w:w="849"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sz w:val="20"/>
                <w:szCs w:val="20"/>
              </w:rPr>
            </w:pPr>
            <w:r w:rsidRPr="00015E46">
              <w:rPr>
                <w:rFonts w:ascii="Times New Roman" w:hAnsi="Times New Roman"/>
                <w:sz w:val="20"/>
                <w:szCs w:val="20"/>
              </w:rPr>
              <w:t>Desvio-Padrão</w:t>
            </w:r>
          </w:p>
        </w:tc>
        <w:tc>
          <w:tcPr>
            <w:tcW w:w="850"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29.39</w:t>
            </w:r>
          </w:p>
        </w:tc>
        <w:tc>
          <w:tcPr>
            <w:tcW w:w="850"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3.88</w:t>
            </w:r>
          </w:p>
        </w:tc>
        <w:tc>
          <w:tcPr>
            <w:tcW w:w="850"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2.54</w:t>
            </w:r>
          </w:p>
        </w:tc>
        <w:tc>
          <w:tcPr>
            <w:tcW w:w="850"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2.39</w:t>
            </w:r>
          </w:p>
        </w:tc>
        <w:tc>
          <w:tcPr>
            <w:tcW w:w="850"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49.80</w:t>
            </w:r>
          </w:p>
        </w:tc>
        <w:tc>
          <w:tcPr>
            <w:tcW w:w="850"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388.25</w:t>
            </w:r>
          </w:p>
        </w:tc>
        <w:tc>
          <w:tcPr>
            <w:tcW w:w="850"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1.01</w:t>
            </w:r>
          </w:p>
        </w:tc>
        <w:tc>
          <w:tcPr>
            <w:tcW w:w="850"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12.90</w:t>
            </w:r>
          </w:p>
        </w:tc>
        <w:tc>
          <w:tcPr>
            <w:tcW w:w="850"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11.00</w:t>
            </w:r>
          </w:p>
        </w:tc>
        <w:tc>
          <w:tcPr>
            <w:tcW w:w="851" w:type="dxa"/>
            <w:vAlign w:val="center"/>
          </w:tcPr>
          <w:p w:rsidR="00015E46" w:rsidRPr="00015E46" w:rsidRDefault="00015E46" w:rsidP="00015E46">
            <w:pPr>
              <w:autoSpaceDE w:val="0"/>
              <w:autoSpaceDN w:val="0"/>
              <w:adjustRightInd w:val="0"/>
              <w:spacing w:after="0" w:line="240" w:lineRule="auto"/>
              <w:jc w:val="center"/>
              <w:rPr>
                <w:rFonts w:ascii="Times New Roman" w:hAnsi="Times New Roman"/>
                <w:color w:val="000000"/>
                <w:sz w:val="20"/>
                <w:szCs w:val="20"/>
                <w:lang w:eastAsia="pt-BR"/>
              </w:rPr>
            </w:pPr>
            <w:r w:rsidRPr="00015E46">
              <w:rPr>
                <w:rFonts w:ascii="Times New Roman" w:hAnsi="Times New Roman"/>
                <w:color w:val="000000"/>
                <w:sz w:val="20"/>
                <w:szCs w:val="20"/>
                <w:lang w:eastAsia="pt-BR"/>
              </w:rPr>
              <w:t>5.08</w:t>
            </w:r>
          </w:p>
        </w:tc>
      </w:tr>
    </w:tbl>
    <w:p w:rsidR="00071D82" w:rsidRPr="00071D82" w:rsidRDefault="00071D82" w:rsidP="00141F85">
      <w:pPr>
        <w:spacing w:after="0" w:line="240" w:lineRule="auto"/>
        <w:jc w:val="both"/>
        <w:rPr>
          <w:rFonts w:ascii="Times New Roman" w:hAnsi="Times New Roman"/>
          <w:sz w:val="20"/>
          <w:szCs w:val="20"/>
        </w:rPr>
      </w:pPr>
      <w:r w:rsidRPr="00071D82">
        <w:rPr>
          <w:rFonts w:ascii="Times New Roman" w:hAnsi="Times New Roman"/>
          <w:i/>
          <w:sz w:val="20"/>
          <w:szCs w:val="20"/>
        </w:rPr>
        <w:t>Fonte</w:t>
      </w:r>
      <w:r w:rsidR="009B4C54">
        <w:rPr>
          <w:rFonts w:ascii="Times New Roman" w:hAnsi="Times New Roman"/>
          <w:sz w:val="20"/>
          <w:szCs w:val="20"/>
        </w:rPr>
        <w:t>: S</w:t>
      </w:r>
      <w:r w:rsidRPr="00071D82">
        <w:rPr>
          <w:rFonts w:ascii="Times New Roman" w:hAnsi="Times New Roman"/>
          <w:sz w:val="20"/>
          <w:szCs w:val="20"/>
        </w:rPr>
        <w:t>aída do Eviews</w:t>
      </w:r>
      <w:r>
        <w:rPr>
          <w:rFonts w:ascii="Times New Roman" w:hAnsi="Times New Roman"/>
          <w:sz w:val="20"/>
          <w:szCs w:val="20"/>
        </w:rPr>
        <w:t xml:space="preserve"> 7.0.</w:t>
      </w:r>
    </w:p>
    <w:p w:rsidR="00545540" w:rsidRDefault="00545540" w:rsidP="006E41E7">
      <w:pPr>
        <w:pStyle w:val="PargrafodaLista"/>
        <w:spacing w:after="0" w:line="240" w:lineRule="auto"/>
        <w:rPr>
          <w:rFonts w:ascii="Times New Roman" w:hAnsi="Times New Roman"/>
          <w:sz w:val="24"/>
          <w:szCs w:val="24"/>
        </w:rPr>
      </w:pPr>
    </w:p>
    <w:p w:rsidR="00545540" w:rsidRDefault="00545540" w:rsidP="00545540">
      <w:pPr>
        <w:spacing w:after="0" w:line="240" w:lineRule="auto"/>
        <w:ind w:firstLine="708"/>
        <w:jc w:val="both"/>
        <w:rPr>
          <w:rFonts w:ascii="Times New Roman" w:hAnsi="Times New Roman"/>
          <w:sz w:val="24"/>
          <w:szCs w:val="24"/>
        </w:rPr>
      </w:pPr>
      <w:r>
        <w:rPr>
          <w:rFonts w:ascii="Times New Roman" w:hAnsi="Times New Roman"/>
          <w:sz w:val="24"/>
          <w:szCs w:val="24"/>
        </w:rPr>
        <w:t xml:space="preserve">A Tabela 3 reporta as estatísticas descritivas das séries analisadas. Observa-se que a taxa de câmbio real apresentou períodos de forte apreciação e forte depreciação, alcançando o valor mínimo de 56,51 pontos no número-índice em momentos internacionais favoráveis e atingindo o valor máximo de 173,95 pontos em momentos de crise. Deve-se salientar o alto desvio-padrão desta série. </w:t>
      </w:r>
      <w:r w:rsidRPr="00491041">
        <w:rPr>
          <w:rFonts w:ascii="Times New Roman" w:hAnsi="Times New Roman"/>
          <w:sz w:val="24"/>
          <w:szCs w:val="24"/>
        </w:rPr>
        <w:t xml:space="preserve">As exportações de </w:t>
      </w:r>
      <w:r w:rsidRPr="00491041">
        <w:rPr>
          <w:rFonts w:ascii="Times New Roman" w:hAnsi="Times New Roman"/>
          <w:i/>
          <w:sz w:val="24"/>
          <w:szCs w:val="24"/>
        </w:rPr>
        <w:t>commodities</w:t>
      </w:r>
      <w:r w:rsidRPr="00491041">
        <w:rPr>
          <w:rFonts w:ascii="Times New Roman" w:hAnsi="Times New Roman"/>
          <w:sz w:val="24"/>
          <w:szCs w:val="24"/>
        </w:rPr>
        <w:t xml:space="preserve"> alcançaram uma média de 20,32% do PIB no período analisado, com uma participação máxima de 27,5% no produto nacional, sendo que alimentos tiveram uma média de 3,46% do PIB e os minerais de 3,18%. As variáveis de comércio tiveram um baixo desvio-padrão, indicando que o peso das mesmas no PIB contou com uma relativa estabilidade, independente do contexto de crise internacional vivenciado recentemente.</w:t>
      </w:r>
      <w:r>
        <w:rPr>
          <w:rFonts w:ascii="Times New Roman" w:hAnsi="Times New Roman"/>
          <w:sz w:val="24"/>
          <w:szCs w:val="24"/>
        </w:rPr>
        <w:t xml:space="preserve"> Em contraste, os fluxos de investimentos estrangeiros em carteira, que a despeito da média de 23,94% do PIB, atingiram quase 60% do PIB em momentos de </w:t>
      </w:r>
      <w:r w:rsidRPr="007A5699">
        <w:rPr>
          <w:rFonts w:ascii="Times New Roman" w:hAnsi="Times New Roman"/>
          <w:i/>
          <w:sz w:val="24"/>
          <w:szCs w:val="24"/>
        </w:rPr>
        <w:t>boom</w:t>
      </w:r>
      <w:r>
        <w:rPr>
          <w:rFonts w:ascii="Times New Roman" w:hAnsi="Times New Roman"/>
          <w:sz w:val="24"/>
          <w:szCs w:val="24"/>
        </w:rPr>
        <w:t xml:space="preserve"> da liquidez internacional e alcançando o mínimo para 6,16% do PIB em períodos de reversão de capitais. Isso sinaliza a alta volatilidade deste fluxo de capital. Por sua vez, os preços das </w:t>
      </w:r>
      <w:r w:rsidRPr="007A5699">
        <w:rPr>
          <w:rFonts w:ascii="Times New Roman" w:hAnsi="Times New Roman"/>
          <w:i/>
          <w:sz w:val="24"/>
          <w:szCs w:val="24"/>
        </w:rPr>
        <w:t xml:space="preserve">commodities </w:t>
      </w:r>
      <w:r>
        <w:rPr>
          <w:rFonts w:ascii="Times New Roman" w:hAnsi="Times New Roman"/>
          <w:sz w:val="24"/>
          <w:szCs w:val="24"/>
        </w:rPr>
        <w:t>alcançaram um máximo de 202,97 pontos no número-índice e um desvio-padrão de 49,80 pontos. Enquanto isso</w:t>
      </w:r>
      <w:r w:rsidR="00B2433C">
        <w:rPr>
          <w:rFonts w:ascii="Times New Roman" w:hAnsi="Times New Roman"/>
          <w:sz w:val="24"/>
          <w:szCs w:val="24"/>
        </w:rPr>
        <w:t>,</w:t>
      </w:r>
      <w:r>
        <w:rPr>
          <w:rFonts w:ascii="Times New Roman" w:hAnsi="Times New Roman"/>
          <w:sz w:val="24"/>
          <w:szCs w:val="24"/>
        </w:rPr>
        <w:t xml:space="preserve"> o risco-país (EMBI) apresentou um valor máximo de 1890 pontos-base e um mínimo de 149 pontos-base, também demonstrando forte variação frente a acontecimentos do mercado financeiro internacional.  </w:t>
      </w:r>
    </w:p>
    <w:p w:rsidR="00071D82" w:rsidRDefault="006519CA" w:rsidP="006E41E7">
      <w:pPr>
        <w:pStyle w:val="PargrafodaLista"/>
        <w:spacing w:after="0" w:line="240" w:lineRule="auto"/>
        <w:rPr>
          <w:rFonts w:ascii="Times New Roman" w:hAnsi="Times New Roman"/>
          <w:sz w:val="24"/>
          <w:szCs w:val="24"/>
        </w:rPr>
      </w:pPr>
      <w:r>
        <w:rPr>
          <w:rFonts w:ascii="Times New Roman" w:hAnsi="Times New Roman"/>
          <w:sz w:val="24"/>
          <w:szCs w:val="24"/>
        </w:rPr>
        <w:t xml:space="preserve">   </w:t>
      </w:r>
    </w:p>
    <w:p w:rsidR="005744DF" w:rsidRPr="00F62B95" w:rsidRDefault="005744DF" w:rsidP="005744DF">
      <w:pPr>
        <w:numPr>
          <w:ilvl w:val="0"/>
          <w:numId w:val="1"/>
        </w:numPr>
        <w:spacing w:after="0" w:line="240" w:lineRule="auto"/>
        <w:jc w:val="both"/>
        <w:rPr>
          <w:rFonts w:ascii="Times New Roman" w:hAnsi="Times New Roman"/>
          <w:b/>
          <w:sz w:val="24"/>
          <w:szCs w:val="24"/>
        </w:rPr>
      </w:pPr>
      <w:r w:rsidRPr="00F62B95">
        <w:rPr>
          <w:rFonts w:ascii="Times New Roman" w:hAnsi="Times New Roman"/>
          <w:b/>
          <w:sz w:val="24"/>
          <w:szCs w:val="24"/>
        </w:rPr>
        <w:t>Resultados</w:t>
      </w:r>
    </w:p>
    <w:p w:rsidR="00E644D3" w:rsidRDefault="00E644D3" w:rsidP="005744DF">
      <w:pPr>
        <w:spacing w:after="0" w:line="240" w:lineRule="auto"/>
        <w:ind w:firstLine="708"/>
        <w:jc w:val="both"/>
        <w:rPr>
          <w:rFonts w:ascii="Times New Roman" w:hAnsi="Times New Roman"/>
          <w:sz w:val="24"/>
          <w:szCs w:val="24"/>
        </w:rPr>
      </w:pPr>
    </w:p>
    <w:p w:rsidR="00C72EEC" w:rsidRPr="0070772A" w:rsidRDefault="00B33E67" w:rsidP="00C72EEC">
      <w:pPr>
        <w:spacing w:after="0" w:line="240" w:lineRule="auto"/>
        <w:ind w:firstLine="708"/>
        <w:jc w:val="both"/>
        <w:rPr>
          <w:rFonts w:ascii="Times New Roman" w:hAnsi="Times New Roman"/>
          <w:sz w:val="24"/>
          <w:szCs w:val="24"/>
        </w:rPr>
      </w:pPr>
      <w:r w:rsidRPr="0070772A">
        <w:rPr>
          <w:rFonts w:ascii="Times New Roman" w:hAnsi="Times New Roman"/>
          <w:sz w:val="24"/>
          <w:szCs w:val="24"/>
        </w:rPr>
        <w:t>A Tabela 4 reporta os testes de estacionariedade.</w:t>
      </w:r>
      <w:r w:rsidR="0070772A" w:rsidRPr="0070772A">
        <w:rPr>
          <w:rFonts w:ascii="Times New Roman" w:hAnsi="Times New Roman"/>
          <w:sz w:val="24"/>
          <w:szCs w:val="24"/>
        </w:rPr>
        <w:t xml:space="preserve"> Foram realizados os tradicionais testes de raiz unitária, Teste Augmented Dickey-Fuller (ADF) e Teste Philips-Perron (PP) para as variáveis em questão. </w:t>
      </w:r>
      <w:r w:rsidR="00C72EEC" w:rsidRPr="0070772A">
        <w:rPr>
          <w:rFonts w:ascii="Times New Roman" w:hAnsi="Times New Roman"/>
          <w:sz w:val="24"/>
          <w:szCs w:val="24"/>
        </w:rPr>
        <w:t xml:space="preserve">Observando os níveis de significância de 5% e 1%, podemos ver que as séries </w:t>
      </w:r>
      <w:r w:rsidR="00C72EEC" w:rsidRPr="00491041">
        <w:rPr>
          <w:rFonts w:ascii="Times New Roman" w:hAnsi="Times New Roman"/>
          <w:sz w:val="24"/>
          <w:szCs w:val="24"/>
        </w:rPr>
        <w:t xml:space="preserve">Exportações de </w:t>
      </w:r>
      <w:r w:rsidR="00C72EEC" w:rsidRPr="00491041">
        <w:rPr>
          <w:rFonts w:ascii="Times New Roman" w:hAnsi="Times New Roman"/>
          <w:i/>
          <w:sz w:val="24"/>
          <w:szCs w:val="24"/>
        </w:rPr>
        <w:t>Commodities</w:t>
      </w:r>
      <w:r w:rsidR="00C72EEC" w:rsidRPr="00491041">
        <w:rPr>
          <w:rFonts w:ascii="Times New Roman" w:hAnsi="Times New Roman"/>
          <w:sz w:val="24"/>
          <w:szCs w:val="24"/>
        </w:rPr>
        <w:t xml:space="preserve"> (XCOM) e Investimentos Estrangeiros em Carteira via renda fixa (IECRF) se apresentaram estacionárias em nível, enquanto para outras foi necessária a aplicação de uma defasagem, ou seja, são integradas de ordem 1 – I(1). Assim, as séries de Taxa de Câmbio Real </w:t>
      </w:r>
      <w:r w:rsidR="00C72EEC" w:rsidRPr="00491041">
        <w:rPr>
          <w:rFonts w:ascii="Times New Roman" w:hAnsi="Times New Roman"/>
          <w:sz w:val="24"/>
          <w:szCs w:val="24"/>
        </w:rPr>
        <w:lastRenderedPageBreak/>
        <w:t xml:space="preserve">(TCR), Exportações de Alimentos (DXAL), Exportações de Minerais (DXMIN), Preços das </w:t>
      </w:r>
      <w:r w:rsidR="00C72EEC" w:rsidRPr="00491041">
        <w:rPr>
          <w:rFonts w:ascii="Times New Roman" w:hAnsi="Times New Roman"/>
          <w:i/>
          <w:sz w:val="24"/>
          <w:szCs w:val="24"/>
        </w:rPr>
        <w:t>Commodities</w:t>
      </w:r>
      <w:r w:rsidR="00C72EEC" w:rsidRPr="00491041">
        <w:rPr>
          <w:rFonts w:ascii="Times New Roman" w:hAnsi="Times New Roman"/>
          <w:sz w:val="24"/>
          <w:szCs w:val="24"/>
        </w:rPr>
        <w:t xml:space="preserve"> (DIPCOM), Investimentos Estrangeiros em Carteira (DIEC), Investimentos Estrangeiros em Carteira via ações (DIECAC)</w:t>
      </w:r>
      <w:r w:rsidR="00C72EEC" w:rsidRPr="00491041">
        <w:rPr>
          <w:rStyle w:val="Refdenotaderodap"/>
          <w:rFonts w:ascii="Times New Roman" w:hAnsi="Times New Roman"/>
          <w:sz w:val="24"/>
          <w:szCs w:val="24"/>
        </w:rPr>
        <w:footnoteReference w:id="12"/>
      </w:r>
      <w:r w:rsidR="00C72EEC" w:rsidRPr="00491041">
        <w:rPr>
          <w:rFonts w:ascii="Times New Roman" w:hAnsi="Times New Roman"/>
          <w:sz w:val="24"/>
          <w:szCs w:val="24"/>
        </w:rPr>
        <w:t>, Risco-país (DEMBI) e da Taxa de Juros (DJUROS) foram transformadas em suas primeiras diferenças.</w:t>
      </w:r>
    </w:p>
    <w:p w:rsidR="008A6746" w:rsidRDefault="008A6746" w:rsidP="00B33E67">
      <w:pPr>
        <w:autoSpaceDE w:val="0"/>
        <w:autoSpaceDN w:val="0"/>
        <w:adjustRightInd w:val="0"/>
        <w:spacing w:after="0" w:line="240" w:lineRule="auto"/>
        <w:jc w:val="center"/>
        <w:rPr>
          <w:rFonts w:ascii="Times New Roman" w:hAnsi="Times New Roman"/>
          <w:b/>
          <w:bCs/>
          <w:sz w:val="24"/>
          <w:szCs w:val="24"/>
        </w:rPr>
      </w:pPr>
    </w:p>
    <w:p w:rsidR="00B33E67" w:rsidRPr="006A746F" w:rsidRDefault="006A746F" w:rsidP="00B33E67">
      <w:pPr>
        <w:autoSpaceDE w:val="0"/>
        <w:autoSpaceDN w:val="0"/>
        <w:adjustRightInd w:val="0"/>
        <w:spacing w:after="0" w:line="240" w:lineRule="auto"/>
        <w:jc w:val="center"/>
        <w:rPr>
          <w:rFonts w:ascii="Times New Roman" w:hAnsi="Times New Roman"/>
          <w:b/>
          <w:bCs/>
          <w:sz w:val="24"/>
          <w:szCs w:val="24"/>
        </w:rPr>
      </w:pPr>
      <w:r w:rsidRPr="006A746F">
        <w:rPr>
          <w:rFonts w:ascii="Times New Roman" w:hAnsi="Times New Roman"/>
          <w:b/>
          <w:bCs/>
          <w:sz w:val="24"/>
          <w:szCs w:val="24"/>
        </w:rPr>
        <w:t>Tabela 4</w:t>
      </w:r>
      <w:r w:rsidR="00807E96">
        <w:rPr>
          <w:rFonts w:ascii="Times New Roman" w:hAnsi="Times New Roman"/>
          <w:b/>
          <w:bCs/>
          <w:sz w:val="24"/>
          <w:szCs w:val="24"/>
        </w:rPr>
        <w:t xml:space="preserve">: </w:t>
      </w:r>
      <w:r w:rsidR="00B33E67" w:rsidRPr="006A746F">
        <w:rPr>
          <w:rFonts w:ascii="Times New Roman" w:hAnsi="Times New Roman"/>
          <w:b/>
          <w:bCs/>
          <w:sz w:val="24"/>
          <w:szCs w:val="24"/>
        </w:rPr>
        <w:t>Testes de Raiz Unitária, ADF e PP</w:t>
      </w:r>
    </w:p>
    <w:tbl>
      <w:tblPr>
        <w:tblW w:w="9265" w:type="dxa"/>
        <w:jc w:val="center"/>
        <w:tblBorders>
          <w:top w:val="double" w:sz="4" w:space="0" w:color="auto"/>
          <w:bottom w:val="double" w:sz="4" w:space="0" w:color="auto"/>
          <w:insideH w:val="single" w:sz="4" w:space="0" w:color="auto"/>
          <w:insideV w:val="single" w:sz="4" w:space="0" w:color="auto"/>
        </w:tblBorders>
        <w:tblCellMar>
          <w:left w:w="0" w:type="dxa"/>
          <w:right w:w="0" w:type="dxa"/>
        </w:tblCellMar>
        <w:tblLook w:val="0000"/>
      </w:tblPr>
      <w:tblGrid>
        <w:gridCol w:w="807"/>
        <w:gridCol w:w="992"/>
        <w:gridCol w:w="993"/>
        <w:gridCol w:w="850"/>
        <w:gridCol w:w="709"/>
        <w:gridCol w:w="709"/>
        <w:gridCol w:w="992"/>
        <w:gridCol w:w="992"/>
        <w:gridCol w:w="851"/>
        <w:gridCol w:w="708"/>
        <w:gridCol w:w="662"/>
      </w:tblGrid>
      <w:tr w:rsidR="00EF1819" w:rsidRPr="003B324A" w:rsidTr="00B32FF7">
        <w:trPr>
          <w:cantSplit/>
          <w:trHeight w:val="245"/>
          <w:jc w:val="center"/>
        </w:trPr>
        <w:tc>
          <w:tcPr>
            <w:tcW w:w="807" w:type="dxa"/>
            <w:shd w:val="clear" w:color="auto" w:fill="D9D9D9"/>
            <w:vAlign w:val="center"/>
          </w:tcPr>
          <w:p w:rsidR="00B33E67" w:rsidRPr="003B324A" w:rsidRDefault="00B33E67" w:rsidP="00E34532">
            <w:pPr>
              <w:spacing w:after="0" w:line="240" w:lineRule="auto"/>
              <w:rPr>
                <w:rFonts w:ascii="Times New Roman" w:hAnsi="Times New Roman"/>
                <w:sz w:val="20"/>
                <w:szCs w:val="20"/>
              </w:rPr>
            </w:pPr>
            <w:r w:rsidRPr="003B324A">
              <w:rPr>
                <w:rFonts w:ascii="Times New Roman" w:hAnsi="Times New Roman"/>
                <w:sz w:val="20"/>
                <w:szCs w:val="20"/>
              </w:rPr>
              <w:t>Variável</w:t>
            </w:r>
          </w:p>
        </w:tc>
        <w:tc>
          <w:tcPr>
            <w:tcW w:w="992" w:type="dxa"/>
            <w:shd w:val="clear" w:color="auto" w:fill="D9D9D9"/>
            <w:vAlign w:val="center"/>
          </w:tcPr>
          <w:p w:rsidR="00B33E67" w:rsidRPr="003B324A" w:rsidRDefault="00B33E67" w:rsidP="00613864">
            <w:pPr>
              <w:spacing w:after="0" w:line="240" w:lineRule="auto"/>
              <w:jc w:val="center"/>
              <w:rPr>
                <w:rFonts w:ascii="Times New Roman" w:hAnsi="Times New Roman"/>
                <w:sz w:val="20"/>
                <w:szCs w:val="20"/>
              </w:rPr>
            </w:pPr>
            <w:r w:rsidRPr="003B324A">
              <w:rPr>
                <w:rFonts w:ascii="Times New Roman" w:hAnsi="Times New Roman"/>
                <w:sz w:val="20"/>
                <w:szCs w:val="20"/>
              </w:rPr>
              <w:t>Defasagem</w:t>
            </w:r>
          </w:p>
        </w:tc>
        <w:tc>
          <w:tcPr>
            <w:tcW w:w="993" w:type="dxa"/>
            <w:shd w:val="clear" w:color="auto" w:fill="D9D9D9"/>
            <w:vAlign w:val="center"/>
          </w:tcPr>
          <w:p w:rsidR="00B33E67" w:rsidRPr="003B324A" w:rsidRDefault="00B33E67" w:rsidP="00613864">
            <w:pPr>
              <w:spacing w:after="0" w:line="240" w:lineRule="auto"/>
              <w:jc w:val="center"/>
              <w:rPr>
                <w:rFonts w:ascii="Times New Roman" w:hAnsi="Times New Roman"/>
                <w:sz w:val="20"/>
                <w:szCs w:val="20"/>
              </w:rPr>
            </w:pPr>
            <w:r w:rsidRPr="003B324A">
              <w:rPr>
                <w:rFonts w:ascii="Times New Roman" w:hAnsi="Times New Roman"/>
                <w:sz w:val="20"/>
                <w:szCs w:val="20"/>
              </w:rPr>
              <w:t>Constante</w:t>
            </w:r>
          </w:p>
        </w:tc>
        <w:tc>
          <w:tcPr>
            <w:tcW w:w="850" w:type="dxa"/>
            <w:shd w:val="clear" w:color="auto" w:fill="D9D9D9"/>
            <w:vAlign w:val="center"/>
          </w:tcPr>
          <w:p w:rsidR="00B33E67" w:rsidRPr="003B324A" w:rsidRDefault="00B33E67" w:rsidP="00613864">
            <w:pPr>
              <w:spacing w:after="0" w:line="240" w:lineRule="auto"/>
              <w:jc w:val="center"/>
              <w:rPr>
                <w:rFonts w:ascii="Times New Roman" w:hAnsi="Times New Roman"/>
                <w:sz w:val="20"/>
                <w:szCs w:val="20"/>
              </w:rPr>
            </w:pPr>
            <w:r w:rsidRPr="003B324A">
              <w:rPr>
                <w:rFonts w:ascii="Times New Roman" w:hAnsi="Times New Roman"/>
                <w:sz w:val="20"/>
                <w:szCs w:val="20"/>
              </w:rPr>
              <w:t>Tendência</w:t>
            </w:r>
          </w:p>
        </w:tc>
        <w:tc>
          <w:tcPr>
            <w:tcW w:w="709" w:type="dxa"/>
            <w:shd w:val="clear" w:color="auto" w:fill="D9D9D9"/>
            <w:vAlign w:val="center"/>
          </w:tcPr>
          <w:p w:rsidR="00B33E67" w:rsidRPr="003B324A" w:rsidRDefault="00B33E67" w:rsidP="00613864">
            <w:pPr>
              <w:spacing w:after="0" w:line="240" w:lineRule="auto"/>
              <w:jc w:val="center"/>
              <w:rPr>
                <w:rFonts w:ascii="Times New Roman" w:hAnsi="Times New Roman"/>
                <w:b/>
                <w:sz w:val="20"/>
                <w:szCs w:val="20"/>
              </w:rPr>
            </w:pPr>
            <w:r w:rsidRPr="003B324A">
              <w:rPr>
                <w:rFonts w:ascii="Times New Roman" w:hAnsi="Times New Roman"/>
                <w:b/>
                <w:sz w:val="20"/>
                <w:szCs w:val="20"/>
              </w:rPr>
              <w:t>t-ADF</w:t>
            </w:r>
          </w:p>
        </w:tc>
        <w:tc>
          <w:tcPr>
            <w:tcW w:w="709" w:type="dxa"/>
            <w:shd w:val="clear" w:color="auto" w:fill="D9D9D9"/>
            <w:vAlign w:val="center"/>
          </w:tcPr>
          <w:p w:rsidR="00B33E67" w:rsidRPr="003B324A" w:rsidRDefault="00B33E67" w:rsidP="00613864">
            <w:pPr>
              <w:spacing w:after="0" w:line="240" w:lineRule="auto"/>
              <w:jc w:val="center"/>
              <w:rPr>
                <w:rFonts w:ascii="Times New Roman" w:hAnsi="Times New Roman"/>
                <w:sz w:val="20"/>
                <w:szCs w:val="20"/>
              </w:rPr>
            </w:pPr>
            <w:r w:rsidRPr="003B324A">
              <w:rPr>
                <w:rFonts w:ascii="Times New Roman" w:hAnsi="Times New Roman"/>
                <w:sz w:val="20"/>
                <w:szCs w:val="20"/>
              </w:rPr>
              <w:t>t-probit</w:t>
            </w:r>
          </w:p>
        </w:tc>
        <w:tc>
          <w:tcPr>
            <w:tcW w:w="992" w:type="dxa"/>
            <w:shd w:val="clear" w:color="auto" w:fill="D9D9D9"/>
            <w:vAlign w:val="center"/>
          </w:tcPr>
          <w:p w:rsidR="00B33E67" w:rsidRPr="003B324A" w:rsidRDefault="00B33E67" w:rsidP="00613864">
            <w:pPr>
              <w:spacing w:after="0" w:line="240" w:lineRule="auto"/>
              <w:jc w:val="center"/>
              <w:rPr>
                <w:rFonts w:ascii="Times New Roman" w:hAnsi="Times New Roman"/>
                <w:sz w:val="20"/>
                <w:szCs w:val="20"/>
              </w:rPr>
            </w:pPr>
            <w:r w:rsidRPr="003B324A">
              <w:rPr>
                <w:rFonts w:ascii="Times New Roman" w:hAnsi="Times New Roman"/>
                <w:sz w:val="20"/>
                <w:szCs w:val="20"/>
              </w:rPr>
              <w:t>Bandwidth</w:t>
            </w:r>
          </w:p>
        </w:tc>
        <w:tc>
          <w:tcPr>
            <w:tcW w:w="992" w:type="dxa"/>
            <w:shd w:val="clear" w:color="auto" w:fill="D9D9D9"/>
            <w:vAlign w:val="center"/>
          </w:tcPr>
          <w:p w:rsidR="00B33E67" w:rsidRPr="003B324A" w:rsidRDefault="00B33E67" w:rsidP="00613864">
            <w:pPr>
              <w:spacing w:after="0" w:line="240" w:lineRule="auto"/>
              <w:jc w:val="center"/>
              <w:rPr>
                <w:rFonts w:ascii="Times New Roman" w:hAnsi="Times New Roman"/>
                <w:sz w:val="20"/>
                <w:szCs w:val="20"/>
              </w:rPr>
            </w:pPr>
            <w:r w:rsidRPr="003B324A">
              <w:rPr>
                <w:rFonts w:ascii="Times New Roman" w:hAnsi="Times New Roman"/>
                <w:sz w:val="20"/>
                <w:szCs w:val="20"/>
              </w:rPr>
              <w:t>Constante</w:t>
            </w:r>
          </w:p>
        </w:tc>
        <w:tc>
          <w:tcPr>
            <w:tcW w:w="851" w:type="dxa"/>
            <w:shd w:val="clear" w:color="auto" w:fill="D9D9D9"/>
            <w:vAlign w:val="center"/>
          </w:tcPr>
          <w:p w:rsidR="00B33E67" w:rsidRPr="003B324A" w:rsidRDefault="00B33E67" w:rsidP="00613864">
            <w:pPr>
              <w:spacing w:after="0" w:line="240" w:lineRule="auto"/>
              <w:jc w:val="center"/>
              <w:rPr>
                <w:rFonts w:ascii="Times New Roman" w:hAnsi="Times New Roman"/>
                <w:sz w:val="20"/>
                <w:szCs w:val="20"/>
              </w:rPr>
            </w:pPr>
            <w:r w:rsidRPr="003B324A">
              <w:rPr>
                <w:rFonts w:ascii="Times New Roman" w:hAnsi="Times New Roman"/>
                <w:sz w:val="20"/>
                <w:szCs w:val="20"/>
              </w:rPr>
              <w:t>Tendência</w:t>
            </w:r>
          </w:p>
        </w:tc>
        <w:tc>
          <w:tcPr>
            <w:tcW w:w="708" w:type="dxa"/>
            <w:shd w:val="clear" w:color="auto" w:fill="D9D9D9"/>
            <w:vAlign w:val="center"/>
          </w:tcPr>
          <w:p w:rsidR="00B33E67" w:rsidRPr="003B324A" w:rsidRDefault="00B33E67" w:rsidP="00613864">
            <w:pPr>
              <w:spacing w:after="0" w:line="240" w:lineRule="auto"/>
              <w:jc w:val="center"/>
              <w:rPr>
                <w:rFonts w:ascii="Times New Roman" w:hAnsi="Times New Roman"/>
                <w:b/>
                <w:sz w:val="20"/>
                <w:szCs w:val="20"/>
              </w:rPr>
            </w:pPr>
            <w:r w:rsidRPr="003B324A">
              <w:rPr>
                <w:rFonts w:ascii="Times New Roman" w:hAnsi="Times New Roman"/>
                <w:b/>
                <w:sz w:val="20"/>
                <w:szCs w:val="20"/>
              </w:rPr>
              <w:t>t-PP</w:t>
            </w:r>
          </w:p>
        </w:tc>
        <w:tc>
          <w:tcPr>
            <w:tcW w:w="662" w:type="dxa"/>
            <w:shd w:val="clear" w:color="auto" w:fill="D9D9D9"/>
            <w:vAlign w:val="center"/>
          </w:tcPr>
          <w:p w:rsidR="00B33E67" w:rsidRPr="003B324A" w:rsidRDefault="00B33E67" w:rsidP="00613864">
            <w:pPr>
              <w:spacing w:after="0" w:line="240" w:lineRule="auto"/>
              <w:jc w:val="center"/>
              <w:rPr>
                <w:rFonts w:ascii="Times New Roman" w:hAnsi="Times New Roman"/>
                <w:sz w:val="20"/>
                <w:szCs w:val="20"/>
              </w:rPr>
            </w:pPr>
            <w:r w:rsidRPr="003B324A">
              <w:rPr>
                <w:rFonts w:ascii="Times New Roman" w:hAnsi="Times New Roman"/>
                <w:sz w:val="20"/>
                <w:szCs w:val="20"/>
              </w:rPr>
              <w:t>t-probit</w:t>
            </w:r>
          </w:p>
        </w:tc>
      </w:tr>
      <w:tr w:rsidR="00EF1819" w:rsidRPr="003B324A" w:rsidTr="00B32FF7">
        <w:trPr>
          <w:trHeight w:val="255"/>
          <w:jc w:val="center"/>
        </w:trPr>
        <w:tc>
          <w:tcPr>
            <w:tcW w:w="807" w:type="dxa"/>
            <w:vAlign w:val="center"/>
          </w:tcPr>
          <w:p w:rsidR="004D6CCE" w:rsidRPr="00856C96" w:rsidRDefault="00856C96" w:rsidP="00856C96">
            <w:pPr>
              <w:spacing w:after="0" w:line="240" w:lineRule="auto"/>
              <w:rPr>
                <w:rFonts w:ascii="Times New Roman" w:hAnsi="Times New Roman"/>
                <w:sz w:val="20"/>
                <w:szCs w:val="20"/>
              </w:rPr>
            </w:pPr>
            <w:r w:rsidRPr="00856C96">
              <w:rPr>
                <w:rFonts w:ascii="Times New Roman" w:hAnsi="Times New Roman"/>
                <w:sz w:val="20"/>
                <w:szCs w:val="20"/>
              </w:rPr>
              <w:t>DTCR</w:t>
            </w:r>
          </w:p>
        </w:tc>
        <w:tc>
          <w:tcPr>
            <w:tcW w:w="992" w:type="dxa"/>
            <w:vAlign w:val="center"/>
          </w:tcPr>
          <w:p w:rsidR="004D6CCE" w:rsidRPr="00856C96" w:rsidRDefault="004D6CCE" w:rsidP="00990440">
            <w:pPr>
              <w:spacing w:after="0" w:line="240" w:lineRule="auto"/>
              <w:jc w:val="center"/>
              <w:rPr>
                <w:rFonts w:ascii="Times New Roman" w:hAnsi="Times New Roman"/>
                <w:sz w:val="20"/>
                <w:szCs w:val="20"/>
              </w:rPr>
            </w:pPr>
            <w:r w:rsidRPr="00856C96">
              <w:rPr>
                <w:rFonts w:ascii="Times New Roman" w:hAnsi="Times New Roman"/>
                <w:sz w:val="20"/>
                <w:szCs w:val="20"/>
              </w:rPr>
              <w:t>1</w:t>
            </w:r>
          </w:p>
        </w:tc>
        <w:tc>
          <w:tcPr>
            <w:tcW w:w="993" w:type="dxa"/>
            <w:vAlign w:val="center"/>
          </w:tcPr>
          <w:p w:rsidR="004D6CCE" w:rsidRPr="00856C96" w:rsidRDefault="004D6CCE" w:rsidP="00990440">
            <w:pPr>
              <w:spacing w:after="0" w:line="240" w:lineRule="auto"/>
              <w:jc w:val="center"/>
              <w:rPr>
                <w:rFonts w:ascii="Times New Roman" w:hAnsi="Times New Roman"/>
                <w:sz w:val="20"/>
                <w:szCs w:val="20"/>
              </w:rPr>
            </w:pPr>
            <w:r w:rsidRPr="00856C96">
              <w:rPr>
                <w:rFonts w:ascii="Times New Roman" w:hAnsi="Times New Roman"/>
                <w:sz w:val="20"/>
                <w:szCs w:val="20"/>
              </w:rPr>
              <w:t>não</w:t>
            </w:r>
          </w:p>
        </w:tc>
        <w:tc>
          <w:tcPr>
            <w:tcW w:w="850" w:type="dxa"/>
            <w:vAlign w:val="center"/>
          </w:tcPr>
          <w:p w:rsidR="004D6CCE" w:rsidRPr="00856C96" w:rsidRDefault="004D6CCE" w:rsidP="00990440">
            <w:pPr>
              <w:spacing w:after="0" w:line="240" w:lineRule="auto"/>
              <w:jc w:val="center"/>
              <w:rPr>
                <w:rFonts w:ascii="Times New Roman" w:hAnsi="Times New Roman"/>
                <w:sz w:val="20"/>
                <w:szCs w:val="20"/>
              </w:rPr>
            </w:pPr>
            <w:r w:rsidRPr="00856C96">
              <w:rPr>
                <w:rFonts w:ascii="Times New Roman" w:hAnsi="Times New Roman"/>
                <w:sz w:val="20"/>
                <w:szCs w:val="20"/>
              </w:rPr>
              <w:t>não</w:t>
            </w:r>
          </w:p>
        </w:tc>
        <w:tc>
          <w:tcPr>
            <w:tcW w:w="709" w:type="dxa"/>
            <w:vAlign w:val="center"/>
          </w:tcPr>
          <w:p w:rsidR="004D6CCE" w:rsidRPr="00856C96" w:rsidRDefault="004D6CCE" w:rsidP="00990440">
            <w:pPr>
              <w:autoSpaceDE w:val="0"/>
              <w:autoSpaceDN w:val="0"/>
              <w:adjustRightInd w:val="0"/>
              <w:spacing w:after="0" w:line="240" w:lineRule="auto"/>
              <w:jc w:val="center"/>
              <w:rPr>
                <w:rFonts w:ascii="Times New Roman" w:hAnsi="Times New Roman"/>
                <w:color w:val="000000"/>
                <w:sz w:val="20"/>
                <w:szCs w:val="20"/>
                <w:lang w:eastAsia="pt-BR"/>
              </w:rPr>
            </w:pPr>
            <w:r w:rsidRPr="00856C96">
              <w:rPr>
                <w:rFonts w:ascii="Times New Roman" w:hAnsi="Times New Roman"/>
                <w:color w:val="000000"/>
                <w:sz w:val="20"/>
                <w:szCs w:val="20"/>
                <w:lang w:eastAsia="pt-BR"/>
              </w:rPr>
              <w:t>-6.</w:t>
            </w:r>
            <w:r w:rsidR="00856C96" w:rsidRPr="00856C96">
              <w:rPr>
                <w:rFonts w:ascii="Times New Roman" w:hAnsi="Times New Roman"/>
                <w:color w:val="000000"/>
                <w:sz w:val="20"/>
                <w:szCs w:val="20"/>
                <w:lang w:eastAsia="pt-BR"/>
              </w:rPr>
              <w:t>719</w:t>
            </w:r>
          </w:p>
        </w:tc>
        <w:tc>
          <w:tcPr>
            <w:tcW w:w="709" w:type="dxa"/>
            <w:vAlign w:val="center"/>
          </w:tcPr>
          <w:p w:rsidR="004D6CCE" w:rsidRPr="00856C96" w:rsidRDefault="004D6CCE" w:rsidP="00990440">
            <w:pPr>
              <w:autoSpaceDE w:val="0"/>
              <w:autoSpaceDN w:val="0"/>
              <w:adjustRightInd w:val="0"/>
              <w:spacing w:after="0" w:line="240" w:lineRule="auto"/>
              <w:jc w:val="center"/>
              <w:rPr>
                <w:rFonts w:ascii="Times New Roman" w:hAnsi="Times New Roman"/>
                <w:color w:val="000000"/>
                <w:sz w:val="20"/>
                <w:szCs w:val="20"/>
                <w:lang w:eastAsia="pt-BR"/>
              </w:rPr>
            </w:pPr>
            <w:r w:rsidRPr="00856C96">
              <w:rPr>
                <w:rFonts w:ascii="Times New Roman" w:hAnsi="Times New Roman"/>
                <w:color w:val="000000"/>
                <w:sz w:val="20"/>
                <w:szCs w:val="20"/>
              </w:rPr>
              <w:t>0.0000</w:t>
            </w:r>
          </w:p>
        </w:tc>
        <w:tc>
          <w:tcPr>
            <w:tcW w:w="992" w:type="dxa"/>
            <w:vAlign w:val="center"/>
          </w:tcPr>
          <w:p w:rsidR="004D6CCE" w:rsidRPr="00856C96" w:rsidRDefault="00856C96" w:rsidP="00990440">
            <w:pPr>
              <w:spacing w:after="0" w:line="240" w:lineRule="auto"/>
              <w:jc w:val="center"/>
              <w:rPr>
                <w:rFonts w:ascii="Times New Roman" w:hAnsi="Times New Roman"/>
                <w:sz w:val="20"/>
                <w:szCs w:val="20"/>
              </w:rPr>
            </w:pPr>
            <w:r w:rsidRPr="00856C96">
              <w:rPr>
                <w:rFonts w:ascii="Times New Roman" w:hAnsi="Times New Roman"/>
                <w:sz w:val="20"/>
                <w:szCs w:val="20"/>
              </w:rPr>
              <w:t>5</w:t>
            </w:r>
            <w:r w:rsidR="004D6CCE" w:rsidRPr="00856C96">
              <w:rPr>
                <w:rFonts w:ascii="Times New Roman" w:hAnsi="Times New Roman"/>
                <w:sz w:val="20"/>
                <w:szCs w:val="20"/>
              </w:rPr>
              <w:t>0</w:t>
            </w:r>
          </w:p>
        </w:tc>
        <w:tc>
          <w:tcPr>
            <w:tcW w:w="992" w:type="dxa"/>
            <w:vAlign w:val="center"/>
          </w:tcPr>
          <w:p w:rsidR="004D6CCE" w:rsidRPr="00856C96" w:rsidRDefault="004D6CCE" w:rsidP="00990440">
            <w:pPr>
              <w:spacing w:after="0" w:line="240" w:lineRule="auto"/>
              <w:jc w:val="center"/>
              <w:rPr>
                <w:rFonts w:ascii="Times New Roman" w:hAnsi="Times New Roman"/>
                <w:sz w:val="20"/>
                <w:szCs w:val="20"/>
              </w:rPr>
            </w:pPr>
            <w:r w:rsidRPr="00856C96">
              <w:rPr>
                <w:rFonts w:ascii="Times New Roman" w:hAnsi="Times New Roman"/>
                <w:sz w:val="20"/>
                <w:szCs w:val="20"/>
              </w:rPr>
              <w:t>não</w:t>
            </w:r>
          </w:p>
        </w:tc>
        <w:tc>
          <w:tcPr>
            <w:tcW w:w="851" w:type="dxa"/>
            <w:vAlign w:val="center"/>
          </w:tcPr>
          <w:p w:rsidR="004D6CCE" w:rsidRPr="00856C96" w:rsidRDefault="004D6CCE" w:rsidP="00990440">
            <w:pPr>
              <w:spacing w:after="0" w:line="240" w:lineRule="auto"/>
              <w:jc w:val="center"/>
              <w:rPr>
                <w:rFonts w:ascii="Times New Roman" w:hAnsi="Times New Roman"/>
                <w:sz w:val="20"/>
                <w:szCs w:val="20"/>
              </w:rPr>
            </w:pPr>
            <w:r w:rsidRPr="00856C96">
              <w:rPr>
                <w:rFonts w:ascii="Times New Roman" w:hAnsi="Times New Roman"/>
                <w:sz w:val="20"/>
                <w:szCs w:val="20"/>
              </w:rPr>
              <w:t>não</w:t>
            </w:r>
          </w:p>
        </w:tc>
        <w:tc>
          <w:tcPr>
            <w:tcW w:w="708" w:type="dxa"/>
            <w:vAlign w:val="center"/>
          </w:tcPr>
          <w:p w:rsidR="004D6CCE" w:rsidRPr="00856C96" w:rsidRDefault="004D6CCE" w:rsidP="00990440">
            <w:pPr>
              <w:autoSpaceDE w:val="0"/>
              <w:autoSpaceDN w:val="0"/>
              <w:adjustRightInd w:val="0"/>
              <w:spacing w:after="0" w:line="240" w:lineRule="auto"/>
              <w:jc w:val="center"/>
              <w:rPr>
                <w:rFonts w:ascii="Times New Roman" w:hAnsi="Times New Roman"/>
                <w:color w:val="000000"/>
                <w:sz w:val="20"/>
                <w:szCs w:val="20"/>
                <w:lang w:eastAsia="pt-BR"/>
              </w:rPr>
            </w:pPr>
            <w:r w:rsidRPr="00856C96">
              <w:rPr>
                <w:rFonts w:ascii="Times New Roman" w:hAnsi="Times New Roman"/>
                <w:color w:val="000000"/>
                <w:sz w:val="20"/>
                <w:szCs w:val="20"/>
                <w:lang w:eastAsia="pt-BR"/>
              </w:rPr>
              <w:t>-4.</w:t>
            </w:r>
            <w:r w:rsidR="00856C96" w:rsidRPr="00856C96">
              <w:rPr>
                <w:rFonts w:ascii="Times New Roman" w:hAnsi="Times New Roman"/>
                <w:color w:val="000000"/>
                <w:sz w:val="20"/>
                <w:szCs w:val="20"/>
                <w:lang w:eastAsia="pt-BR"/>
              </w:rPr>
              <w:t>346</w:t>
            </w:r>
          </w:p>
        </w:tc>
        <w:tc>
          <w:tcPr>
            <w:tcW w:w="662" w:type="dxa"/>
            <w:vAlign w:val="center"/>
          </w:tcPr>
          <w:p w:rsidR="004D6CCE" w:rsidRPr="008F45FD" w:rsidRDefault="004D6CCE" w:rsidP="00990440">
            <w:pPr>
              <w:autoSpaceDE w:val="0"/>
              <w:autoSpaceDN w:val="0"/>
              <w:adjustRightInd w:val="0"/>
              <w:spacing w:after="0" w:line="240" w:lineRule="auto"/>
              <w:jc w:val="center"/>
              <w:rPr>
                <w:rFonts w:ascii="Times New Roman" w:hAnsi="Times New Roman"/>
                <w:color w:val="000000"/>
                <w:sz w:val="20"/>
                <w:szCs w:val="20"/>
              </w:rPr>
            </w:pPr>
            <w:r w:rsidRPr="00856C96">
              <w:rPr>
                <w:rFonts w:ascii="Times New Roman" w:hAnsi="Times New Roman"/>
                <w:color w:val="000000"/>
                <w:sz w:val="20"/>
                <w:szCs w:val="20"/>
              </w:rPr>
              <w:t>0.0000</w:t>
            </w:r>
          </w:p>
        </w:tc>
      </w:tr>
      <w:tr w:rsidR="00EF1819" w:rsidRPr="003E7C51" w:rsidTr="00B32FF7">
        <w:trPr>
          <w:trHeight w:val="255"/>
          <w:jc w:val="center"/>
        </w:trPr>
        <w:tc>
          <w:tcPr>
            <w:tcW w:w="807" w:type="dxa"/>
            <w:vAlign w:val="center"/>
          </w:tcPr>
          <w:p w:rsidR="00E34532" w:rsidRPr="00E34532" w:rsidRDefault="00E34532" w:rsidP="004716E6">
            <w:pPr>
              <w:spacing w:after="0" w:line="240" w:lineRule="auto"/>
              <w:rPr>
                <w:rFonts w:ascii="Times New Roman" w:hAnsi="Times New Roman"/>
                <w:sz w:val="20"/>
                <w:szCs w:val="20"/>
              </w:rPr>
            </w:pPr>
            <w:r w:rsidRPr="00E34532">
              <w:rPr>
                <w:rFonts w:ascii="Times New Roman" w:hAnsi="Times New Roman"/>
                <w:sz w:val="20"/>
                <w:szCs w:val="20"/>
              </w:rPr>
              <w:t>XCOM</w:t>
            </w:r>
          </w:p>
        </w:tc>
        <w:tc>
          <w:tcPr>
            <w:tcW w:w="992" w:type="dxa"/>
            <w:vAlign w:val="center"/>
          </w:tcPr>
          <w:p w:rsidR="00E34532" w:rsidRPr="003E7C51" w:rsidRDefault="003E7C51" w:rsidP="00990440">
            <w:pPr>
              <w:spacing w:after="0" w:line="240" w:lineRule="auto"/>
              <w:jc w:val="center"/>
              <w:rPr>
                <w:rFonts w:ascii="Times New Roman" w:hAnsi="Times New Roman"/>
                <w:sz w:val="20"/>
                <w:szCs w:val="20"/>
              </w:rPr>
            </w:pPr>
            <w:r w:rsidRPr="003E7C51">
              <w:rPr>
                <w:rFonts w:ascii="Times New Roman" w:hAnsi="Times New Roman"/>
                <w:sz w:val="20"/>
                <w:szCs w:val="20"/>
              </w:rPr>
              <w:t>1</w:t>
            </w:r>
          </w:p>
        </w:tc>
        <w:tc>
          <w:tcPr>
            <w:tcW w:w="993" w:type="dxa"/>
            <w:vAlign w:val="center"/>
          </w:tcPr>
          <w:p w:rsidR="00E34532" w:rsidRPr="003E7C51" w:rsidRDefault="003E7C51" w:rsidP="00990440">
            <w:pPr>
              <w:spacing w:after="0" w:line="240" w:lineRule="auto"/>
              <w:jc w:val="center"/>
              <w:rPr>
                <w:rFonts w:ascii="Times New Roman" w:hAnsi="Times New Roman"/>
                <w:sz w:val="20"/>
                <w:szCs w:val="20"/>
              </w:rPr>
            </w:pPr>
            <w:r w:rsidRPr="003E7C51">
              <w:rPr>
                <w:rFonts w:ascii="Times New Roman" w:hAnsi="Times New Roman"/>
                <w:sz w:val="20"/>
                <w:szCs w:val="20"/>
              </w:rPr>
              <w:t>não</w:t>
            </w:r>
          </w:p>
        </w:tc>
        <w:tc>
          <w:tcPr>
            <w:tcW w:w="850" w:type="dxa"/>
            <w:vAlign w:val="center"/>
          </w:tcPr>
          <w:p w:rsidR="00E34532" w:rsidRPr="003E7C51" w:rsidRDefault="003E7C51" w:rsidP="00990440">
            <w:pPr>
              <w:spacing w:after="0" w:line="240" w:lineRule="auto"/>
              <w:jc w:val="center"/>
              <w:rPr>
                <w:rFonts w:ascii="Times New Roman" w:hAnsi="Times New Roman"/>
                <w:sz w:val="20"/>
                <w:szCs w:val="20"/>
              </w:rPr>
            </w:pPr>
            <w:r w:rsidRPr="003E7C51">
              <w:rPr>
                <w:rFonts w:ascii="Times New Roman" w:hAnsi="Times New Roman"/>
                <w:sz w:val="20"/>
                <w:szCs w:val="20"/>
              </w:rPr>
              <w:t>não</w:t>
            </w:r>
          </w:p>
        </w:tc>
        <w:tc>
          <w:tcPr>
            <w:tcW w:w="709" w:type="dxa"/>
            <w:vAlign w:val="center"/>
          </w:tcPr>
          <w:p w:rsidR="00E34532" w:rsidRPr="003E7C51" w:rsidRDefault="003E7C51" w:rsidP="00990440">
            <w:pPr>
              <w:autoSpaceDE w:val="0"/>
              <w:autoSpaceDN w:val="0"/>
              <w:adjustRightInd w:val="0"/>
              <w:spacing w:after="0" w:line="240" w:lineRule="auto"/>
              <w:jc w:val="center"/>
              <w:rPr>
                <w:rFonts w:ascii="Times New Roman" w:hAnsi="Times New Roman"/>
                <w:color w:val="000000"/>
                <w:sz w:val="20"/>
                <w:szCs w:val="20"/>
              </w:rPr>
            </w:pPr>
            <w:r w:rsidRPr="003E7C51">
              <w:rPr>
                <w:rFonts w:ascii="Times New Roman" w:hAnsi="Times New Roman"/>
                <w:sz w:val="20"/>
                <w:szCs w:val="20"/>
                <w:lang w:eastAsia="pt-BR"/>
              </w:rPr>
              <w:t>-4.101</w:t>
            </w:r>
          </w:p>
        </w:tc>
        <w:tc>
          <w:tcPr>
            <w:tcW w:w="709" w:type="dxa"/>
            <w:vAlign w:val="center"/>
          </w:tcPr>
          <w:p w:rsidR="00E34532" w:rsidRPr="003E7C51" w:rsidRDefault="003E7C51" w:rsidP="00990440">
            <w:pPr>
              <w:autoSpaceDE w:val="0"/>
              <w:autoSpaceDN w:val="0"/>
              <w:adjustRightInd w:val="0"/>
              <w:spacing w:after="0" w:line="240" w:lineRule="auto"/>
              <w:jc w:val="center"/>
              <w:rPr>
                <w:rFonts w:ascii="Times New Roman" w:hAnsi="Times New Roman"/>
                <w:color w:val="000000"/>
                <w:sz w:val="20"/>
                <w:szCs w:val="20"/>
              </w:rPr>
            </w:pPr>
            <w:r w:rsidRPr="003E7C51">
              <w:rPr>
                <w:rFonts w:ascii="Times New Roman" w:hAnsi="Times New Roman"/>
                <w:sz w:val="20"/>
                <w:szCs w:val="20"/>
                <w:lang w:eastAsia="pt-BR"/>
              </w:rPr>
              <w:t>0.0022</w:t>
            </w:r>
          </w:p>
        </w:tc>
        <w:tc>
          <w:tcPr>
            <w:tcW w:w="992" w:type="dxa"/>
            <w:vAlign w:val="center"/>
          </w:tcPr>
          <w:p w:rsidR="00E34532" w:rsidRPr="003E7C51" w:rsidRDefault="003E7C51" w:rsidP="00990440">
            <w:pPr>
              <w:spacing w:after="0" w:line="240" w:lineRule="auto"/>
              <w:jc w:val="center"/>
              <w:rPr>
                <w:rFonts w:ascii="Times New Roman" w:hAnsi="Times New Roman"/>
                <w:sz w:val="20"/>
                <w:szCs w:val="20"/>
              </w:rPr>
            </w:pPr>
            <w:r w:rsidRPr="003E7C51">
              <w:rPr>
                <w:rFonts w:ascii="Times New Roman" w:hAnsi="Times New Roman"/>
                <w:sz w:val="20"/>
                <w:szCs w:val="20"/>
              </w:rPr>
              <w:t>11</w:t>
            </w:r>
          </w:p>
        </w:tc>
        <w:tc>
          <w:tcPr>
            <w:tcW w:w="992" w:type="dxa"/>
            <w:vAlign w:val="center"/>
          </w:tcPr>
          <w:p w:rsidR="00E34532" w:rsidRPr="003E7C51" w:rsidRDefault="00E34532" w:rsidP="00990440">
            <w:pPr>
              <w:spacing w:after="0" w:line="240" w:lineRule="auto"/>
              <w:jc w:val="center"/>
              <w:rPr>
                <w:rFonts w:ascii="Times New Roman" w:hAnsi="Times New Roman"/>
                <w:sz w:val="20"/>
                <w:szCs w:val="20"/>
              </w:rPr>
            </w:pPr>
            <w:r w:rsidRPr="003E7C51">
              <w:rPr>
                <w:rFonts w:ascii="Times New Roman" w:hAnsi="Times New Roman"/>
                <w:sz w:val="20"/>
                <w:szCs w:val="20"/>
              </w:rPr>
              <w:t>sim</w:t>
            </w:r>
          </w:p>
        </w:tc>
        <w:tc>
          <w:tcPr>
            <w:tcW w:w="851" w:type="dxa"/>
            <w:vAlign w:val="center"/>
          </w:tcPr>
          <w:p w:rsidR="00E34532" w:rsidRPr="003E7C51" w:rsidRDefault="00E34532" w:rsidP="00990440">
            <w:pPr>
              <w:spacing w:after="0" w:line="240" w:lineRule="auto"/>
              <w:jc w:val="center"/>
              <w:rPr>
                <w:rFonts w:ascii="Times New Roman" w:hAnsi="Times New Roman"/>
                <w:sz w:val="20"/>
                <w:szCs w:val="20"/>
              </w:rPr>
            </w:pPr>
            <w:r w:rsidRPr="003E7C51">
              <w:rPr>
                <w:rFonts w:ascii="Times New Roman" w:hAnsi="Times New Roman"/>
                <w:sz w:val="20"/>
                <w:szCs w:val="20"/>
              </w:rPr>
              <w:t>sim</w:t>
            </w:r>
          </w:p>
        </w:tc>
        <w:tc>
          <w:tcPr>
            <w:tcW w:w="708" w:type="dxa"/>
            <w:vAlign w:val="center"/>
          </w:tcPr>
          <w:p w:rsidR="00E34532" w:rsidRPr="003E7C51" w:rsidRDefault="003E7C51" w:rsidP="00990440">
            <w:pPr>
              <w:autoSpaceDE w:val="0"/>
              <w:autoSpaceDN w:val="0"/>
              <w:adjustRightInd w:val="0"/>
              <w:spacing w:after="0" w:line="240" w:lineRule="auto"/>
              <w:jc w:val="center"/>
              <w:rPr>
                <w:rFonts w:ascii="Times New Roman" w:hAnsi="Times New Roman"/>
                <w:color w:val="000000"/>
                <w:sz w:val="20"/>
                <w:szCs w:val="20"/>
              </w:rPr>
            </w:pPr>
            <w:r>
              <w:rPr>
                <w:rFonts w:ascii="Times New Roman" w:hAnsi="Times New Roman"/>
                <w:sz w:val="20"/>
                <w:szCs w:val="20"/>
                <w:lang w:eastAsia="pt-BR"/>
              </w:rPr>
              <w:t>-3.820</w:t>
            </w:r>
          </w:p>
        </w:tc>
        <w:tc>
          <w:tcPr>
            <w:tcW w:w="662" w:type="dxa"/>
            <w:vAlign w:val="center"/>
          </w:tcPr>
          <w:p w:rsidR="00E34532" w:rsidRPr="003E7C51" w:rsidRDefault="003E7C51" w:rsidP="00990440">
            <w:pPr>
              <w:autoSpaceDE w:val="0"/>
              <w:autoSpaceDN w:val="0"/>
              <w:adjustRightInd w:val="0"/>
              <w:spacing w:after="0" w:line="240" w:lineRule="auto"/>
              <w:jc w:val="center"/>
              <w:rPr>
                <w:rFonts w:ascii="Times New Roman" w:hAnsi="Times New Roman"/>
                <w:color w:val="000000"/>
                <w:sz w:val="20"/>
                <w:szCs w:val="20"/>
              </w:rPr>
            </w:pPr>
            <w:r w:rsidRPr="003E7C51">
              <w:rPr>
                <w:rFonts w:ascii="Times New Roman" w:hAnsi="Times New Roman"/>
                <w:sz w:val="20"/>
                <w:szCs w:val="20"/>
                <w:lang w:eastAsia="pt-BR"/>
              </w:rPr>
              <w:t>0.0049</w:t>
            </w:r>
          </w:p>
        </w:tc>
      </w:tr>
      <w:tr w:rsidR="0049409F" w:rsidRPr="003B324A" w:rsidTr="00B32FF7">
        <w:trPr>
          <w:trHeight w:val="255"/>
          <w:jc w:val="center"/>
        </w:trPr>
        <w:tc>
          <w:tcPr>
            <w:tcW w:w="807" w:type="dxa"/>
            <w:vAlign w:val="center"/>
          </w:tcPr>
          <w:p w:rsidR="0049409F" w:rsidRPr="003B324A" w:rsidRDefault="00672BF9" w:rsidP="00E34532">
            <w:pPr>
              <w:spacing w:after="0" w:line="240" w:lineRule="auto"/>
              <w:rPr>
                <w:rFonts w:ascii="Times New Roman" w:hAnsi="Times New Roman"/>
                <w:sz w:val="20"/>
                <w:szCs w:val="20"/>
              </w:rPr>
            </w:pPr>
            <w:r>
              <w:rPr>
                <w:rFonts w:ascii="Times New Roman" w:hAnsi="Times New Roman"/>
                <w:sz w:val="20"/>
                <w:szCs w:val="20"/>
              </w:rPr>
              <w:t>D</w:t>
            </w:r>
            <w:r w:rsidR="0049409F">
              <w:rPr>
                <w:rFonts w:ascii="Times New Roman" w:hAnsi="Times New Roman"/>
                <w:sz w:val="20"/>
                <w:szCs w:val="20"/>
              </w:rPr>
              <w:t>XAL</w:t>
            </w:r>
          </w:p>
        </w:tc>
        <w:tc>
          <w:tcPr>
            <w:tcW w:w="992" w:type="dxa"/>
            <w:vAlign w:val="center"/>
          </w:tcPr>
          <w:p w:rsidR="0049409F" w:rsidRPr="003B324A" w:rsidRDefault="0049409F" w:rsidP="00990440">
            <w:pPr>
              <w:spacing w:after="0" w:line="240" w:lineRule="auto"/>
              <w:jc w:val="center"/>
              <w:rPr>
                <w:rFonts w:ascii="Times New Roman" w:hAnsi="Times New Roman"/>
                <w:sz w:val="20"/>
                <w:szCs w:val="20"/>
              </w:rPr>
            </w:pPr>
            <w:r>
              <w:rPr>
                <w:rFonts w:ascii="Times New Roman" w:hAnsi="Times New Roman"/>
                <w:sz w:val="20"/>
                <w:szCs w:val="20"/>
              </w:rPr>
              <w:t>0</w:t>
            </w:r>
          </w:p>
        </w:tc>
        <w:tc>
          <w:tcPr>
            <w:tcW w:w="993" w:type="dxa"/>
            <w:vAlign w:val="center"/>
          </w:tcPr>
          <w:p w:rsidR="0049409F" w:rsidRPr="003E7C51" w:rsidRDefault="0049409F" w:rsidP="00F328BB">
            <w:pPr>
              <w:spacing w:after="0" w:line="240" w:lineRule="auto"/>
              <w:jc w:val="center"/>
              <w:rPr>
                <w:rFonts w:ascii="Times New Roman" w:hAnsi="Times New Roman"/>
                <w:sz w:val="20"/>
                <w:szCs w:val="20"/>
              </w:rPr>
            </w:pPr>
            <w:r w:rsidRPr="003E7C51">
              <w:rPr>
                <w:rFonts w:ascii="Times New Roman" w:hAnsi="Times New Roman"/>
                <w:sz w:val="20"/>
                <w:szCs w:val="20"/>
              </w:rPr>
              <w:t>não</w:t>
            </w:r>
          </w:p>
        </w:tc>
        <w:tc>
          <w:tcPr>
            <w:tcW w:w="850" w:type="dxa"/>
            <w:vAlign w:val="center"/>
          </w:tcPr>
          <w:p w:rsidR="0049409F" w:rsidRPr="003E7C51" w:rsidRDefault="0049409F" w:rsidP="00F328BB">
            <w:pPr>
              <w:spacing w:after="0" w:line="240" w:lineRule="auto"/>
              <w:jc w:val="center"/>
              <w:rPr>
                <w:rFonts w:ascii="Times New Roman" w:hAnsi="Times New Roman"/>
                <w:sz w:val="20"/>
                <w:szCs w:val="20"/>
              </w:rPr>
            </w:pPr>
            <w:r w:rsidRPr="003E7C51">
              <w:rPr>
                <w:rFonts w:ascii="Times New Roman" w:hAnsi="Times New Roman"/>
                <w:sz w:val="20"/>
                <w:szCs w:val="20"/>
              </w:rPr>
              <w:t>não</w:t>
            </w:r>
          </w:p>
        </w:tc>
        <w:tc>
          <w:tcPr>
            <w:tcW w:w="709" w:type="dxa"/>
            <w:vAlign w:val="center"/>
          </w:tcPr>
          <w:p w:rsidR="0049409F" w:rsidRPr="005247C1" w:rsidRDefault="0049409F" w:rsidP="00990440">
            <w:pPr>
              <w:autoSpaceDE w:val="0"/>
              <w:autoSpaceDN w:val="0"/>
              <w:adjustRightInd w:val="0"/>
              <w:spacing w:after="0" w:line="240" w:lineRule="auto"/>
              <w:jc w:val="center"/>
              <w:rPr>
                <w:rFonts w:ascii="Times New Roman" w:hAnsi="Times New Roman"/>
                <w:color w:val="000000"/>
                <w:sz w:val="20"/>
                <w:szCs w:val="20"/>
                <w:lang w:eastAsia="pt-BR"/>
              </w:rPr>
            </w:pPr>
            <w:r>
              <w:rPr>
                <w:rFonts w:ascii="Times New Roman" w:hAnsi="Times New Roman"/>
                <w:color w:val="000000"/>
                <w:sz w:val="20"/>
                <w:szCs w:val="20"/>
                <w:lang w:eastAsia="pt-BR"/>
              </w:rPr>
              <w:t>-9.027</w:t>
            </w:r>
          </w:p>
        </w:tc>
        <w:tc>
          <w:tcPr>
            <w:tcW w:w="709" w:type="dxa"/>
            <w:vAlign w:val="center"/>
          </w:tcPr>
          <w:p w:rsidR="0049409F" w:rsidRPr="003B324A" w:rsidRDefault="0049409F" w:rsidP="00990440">
            <w:pPr>
              <w:autoSpaceDE w:val="0"/>
              <w:autoSpaceDN w:val="0"/>
              <w:adjustRightInd w:val="0"/>
              <w:spacing w:after="0" w:line="240" w:lineRule="auto"/>
              <w:jc w:val="center"/>
              <w:rPr>
                <w:rFonts w:ascii="Times New Roman" w:hAnsi="Times New Roman"/>
                <w:color w:val="000000"/>
                <w:sz w:val="20"/>
                <w:szCs w:val="20"/>
              </w:rPr>
            </w:pPr>
            <w:r w:rsidRPr="003B324A">
              <w:rPr>
                <w:rFonts w:ascii="Times New Roman" w:hAnsi="Times New Roman"/>
                <w:color w:val="000000"/>
                <w:sz w:val="20"/>
                <w:szCs w:val="20"/>
              </w:rPr>
              <w:t>0.0000</w:t>
            </w:r>
          </w:p>
        </w:tc>
        <w:tc>
          <w:tcPr>
            <w:tcW w:w="992" w:type="dxa"/>
            <w:vAlign w:val="center"/>
          </w:tcPr>
          <w:p w:rsidR="0049409F" w:rsidRPr="003B324A" w:rsidRDefault="0049409F" w:rsidP="00990440">
            <w:pPr>
              <w:spacing w:after="0" w:line="240" w:lineRule="auto"/>
              <w:jc w:val="center"/>
              <w:rPr>
                <w:rFonts w:ascii="Times New Roman" w:hAnsi="Times New Roman"/>
                <w:sz w:val="20"/>
                <w:szCs w:val="20"/>
              </w:rPr>
            </w:pPr>
            <w:r>
              <w:rPr>
                <w:rFonts w:ascii="Times New Roman" w:hAnsi="Times New Roman"/>
                <w:sz w:val="20"/>
                <w:szCs w:val="20"/>
              </w:rPr>
              <w:t>15</w:t>
            </w:r>
          </w:p>
        </w:tc>
        <w:tc>
          <w:tcPr>
            <w:tcW w:w="992" w:type="dxa"/>
            <w:vAlign w:val="center"/>
          </w:tcPr>
          <w:p w:rsidR="0049409F" w:rsidRPr="00856C96" w:rsidRDefault="0049409F" w:rsidP="00F328BB">
            <w:pPr>
              <w:spacing w:after="0" w:line="240" w:lineRule="auto"/>
              <w:jc w:val="center"/>
              <w:rPr>
                <w:rFonts w:ascii="Times New Roman" w:hAnsi="Times New Roman"/>
                <w:sz w:val="20"/>
                <w:szCs w:val="20"/>
              </w:rPr>
            </w:pPr>
            <w:r w:rsidRPr="00856C96">
              <w:rPr>
                <w:rFonts w:ascii="Times New Roman" w:hAnsi="Times New Roman"/>
                <w:sz w:val="20"/>
                <w:szCs w:val="20"/>
              </w:rPr>
              <w:t>não</w:t>
            </w:r>
          </w:p>
        </w:tc>
        <w:tc>
          <w:tcPr>
            <w:tcW w:w="851" w:type="dxa"/>
            <w:vAlign w:val="center"/>
          </w:tcPr>
          <w:p w:rsidR="0049409F" w:rsidRPr="00856C96" w:rsidRDefault="0049409F" w:rsidP="00F328BB">
            <w:pPr>
              <w:spacing w:after="0" w:line="240" w:lineRule="auto"/>
              <w:jc w:val="center"/>
              <w:rPr>
                <w:rFonts w:ascii="Times New Roman" w:hAnsi="Times New Roman"/>
                <w:sz w:val="20"/>
                <w:szCs w:val="20"/>
              </w:rPr>
            </w:pPr>
            <w:r w:rsidRPr="00856C96">
              <w:rPr>
                <w:rFonts w:ascii="Times New Roman" w:hAnsi="Times New Roman"/>
                <w:sz w:val="20"/>
                <w:szCs w:val="20"/>
              </w:rPr>
              <w:t>não</w:t>
            </w:r>
          </w:p>
        </w:tc>
        <w:tc>
          <w:tcPr>
            <w:tcW w:w="708" w:type="dxa"/>
            <w:vAlign w:val="center"/>
          </w:tcPr>
          <w:p w:rsidR="0049409F" w:rsidRDefault="0049409F" w:rsidP="00990440">
            <w:pPr>
              <w:autoSpaceDE w:val="0"/>
              <w:autoSpaceDN w:val="0"/>
              <w:adjustRightInd w:val="0"/>
              <w:spacing w:after="0" w:line="240" w:lineRule="auto"/>
              <w:jc w:val="center"/>
              <w:rPr>
                <w:rFonts w:ascii="Times New Roman" w:hAnsi="Times New Roman"/>
                <w:color w:val="000000"/>
                <w:sz w:val="20"/>
                <w:szCs w:val="20"/>
                <w:lang w:eastAsia="pt-BR"/>
              </w:rPr>
            </w:pPr>
            <w:r>
              <w:rPr>
                <w:rFonts w:ascii="Times New Roman" w:hAnsi="Times New Roman"/>
                <w:color w:val="000000"/>
                <w:sz w:val="20"/>
                <w:szCs w:val="20"/>
                <w:lang w:eastAsia="pt-BR"/>
              </w:rPr>
              <w:t>-10.32</w:t>
            </w:r>
          </w:p>
        </w:tc>
        <w:tc>
          <w:tcPr>
            <w:tcW w:w="662" w:type="dxa"/>
            <w:vAlign w:val="center"/>
          </w:tcPr>
          <w:p w:rsidR="0049409F" w:rsidRPr="003B324A" w:rsidRDefault="0049409F" w:rsidP="00990440">
            <w:pPr>
              <w:autoSpaceDE w:val="0"/>
              <w:autoSpaceDN w:val="0"/>
              <w:adjustRightInd w:val="0"/>
              <w:spacing w:after="0" w:line="240" w:lineRule="auto"/>
              <w:jc w:val="center"/>
              <w:rPr>
                <w:rFonts w:ascii="Times New Roman" w:hAnsi="Times New Roman"/>
                <w:color w:val="000000"/>
                <w:sz w:val="20"/>
                <w:szCs w:val="20"/>
              </w:rPr>
            </w:pPr>
            <w:r w:rsidRPr="003B324A">
              <w:rPr>
                <w:rFonts w:ascii="Times New Roman" w:hAnsi="Times New Roman"/>
                <w:color w:val="000000"/>
                <w:sz w:val="20"/>
                <w:szCs w:val="20"/>
              </w:rPr>
              <w:t>0.0000</w:t>
            </w:r>
          </w:p>
        </w:tc>
      </w:tr>
      <w:tr w:rsidR="00672BF9" w:rsidRPr="003B324A" w:rsidTr="00B32FF7">
        <w:trPr>
          <w:trHeight w:val="255"/>
          <w:jc w:val="center"/>
        </w:trPr>
        <w:tc>
          <w:tcPr>
            <w:tcW w:w="807" w:type="dxa"/>
            <w:vAlign w:val="center"/>
          </w:tcPr>
          <w:p w:rsidR="00672BF9" w:rsidRPr="003B324A" w:rsidRDefault="00672BF9" w:rsidP="00E34532">
            <w:pPr>
              <w:spacing w:after="0" w:line="240" w:lineRule="auto"/>
              <w:rPr>
                <w:rFonts w:ascii="Times New Roman" w:hAnsi="Times New Roman"/>
                <w:sz w:val="20"/>
                <w:szCs w:val="20"/>
              </w:rPr>
            </w:pPr>
            <w:r>
              <w:rPr>
                <w:rFonts w:ascii="Times New Roman" w:hAnsi="Times New Roman"/>
                <w:sz w:val="20"/>
                <w:szCs w:val="20"/>
              </w:rPr>
              <w:t>DXMIN</w:t>
            </w:r>
          </w:p>
        </w:tc>
        <w:tc>
          <w:tcPr>
            <w:tcW w:w="992" w:type="dxa"/>
            <w:vAlign w:val="center"/>
          </w:tcPr>
          <w:p w:rsidR="00672BF9" w:rsidRPr="003B324A" w:rsidRDefault="00672BF9" w:rsidP="00990440">
            <w:pPr>
              <w:spacing w:after="0" w:line="240" w:lineRule="auto"/>
              <w:jc w:val="center"/>
              <w:rPr>
                <w:rFonts w:ascii="Times New Roman" w:hAnsi="Times New Roman"/>
                <w:sz w:val="20"/>
                <w:szCs w:val="20"/>
              </w:rPr>
            </w:pPr>
            <w:r>
              <w:rPr>
                <w:rFonts w:ascii="Times New Roman" w:hAnsi="Times New Roman"/>
                <w:sz w:val="20"/>
                <w:szCs w:val="20"/>
              </w:rPr>
              <w:t>0</w:t>
            </w:r>
          </w:p>
        </w:tc>
        <w:tc>
          <w:tcPr>
            <w:tcW w:w="993" w:type="dxa"/>
            <w:vAlign w:val="center"/>
          </w:tcPr>
          <w:p w:rsidR="00672BF9" w:rsidRPr="003B324A" w:rsidRDefault="00672BF9" w:rsidP="00990440">
            <w:pPr>
              <w:spacing w:after="0" w:line="240" w:lineRule="auto"/>
              <w:jc w:val="center"/>
              <w:rPr>
                <w:rFonts w:ascii="Times New Roman" w:hAnsi="Times New Roman"/>
                <w:sz w:val="20"/>
                <w:szCs w:val="20"/>
              </w:rPr>
            </w:pPr>
            <w:r>
              <w:rPr>
                <w:rFonts w:ascii="Times New Roman" w:hAnsi="Times New Roman"/>
                <w:sz w:val="20"/>
                <w:szCs w:val="20"/>
              </w:rPr>
              <w:t>não</w:t>
            </w:r>
          </w:p>
        </w:tc>
        <w:tc>
          <w:tcPr>
            <w:tcW w:w="850" w:type="dxa"/>
            <w:vAlign w:val="center"/>
          </w:tcPr>
          <w:p w:rsidR="00672BF9" w:rsidRPr="003B324A" w:rsidRDefault="00672BF9" w:rsidP="00990440">
            <w:pPr>
              <w:spacing w:after="0" w:line="240" w:lineRule="auto"/>
              <w:jc w:val="center"/>
              <w:rPr>
                <w:rFonts w:ascii="Times New Roman" w:hAnsi="Times New Roman"/>
                <w:sz w:val="20"/>
                <w:szCs w:val="20"/>
              </w:rPr>
            </w:pPr>
            <w:r>
              <w:rPr>
                <w:rFonts w:ascii="Times New Roman" w:hAnsi="Times New Roman"/>
                <w:sz w:val="20"/>
                <w:szCs w:val="20"/>
              </w:rPr>
              <w:t>não</w:t>
            </w:r>
          </w:p>
        </w:tc>
        <w:tc>
          <w:tcPr>
            <w:tcW w:w="709" w:type="dxa"/>
            <w:vAlign w:val="center"/>
          </w:tcPr>
          <w:p w:rsidR="00672BF9" w:rsidRPr="005247C1" w:rsidRDefault="00672BF9" w:rsidP="00990440">
            <w:pPr>
              <w:autoSpaceDE w:val="0"/>
              <w:autoSpaceDN w:val="0"/>
              <w:adjustRightInd w:val="0"/>
              <w:spacing w:after="0" w:line="240" w:lineRule="auto"/>
              <w:jc w:val="center"/>
              <w:rPr>
                <w:rFonts w:ascii="Times New Roman" w:hAnsi="Times New Roman"/>
                <w:color w:val="000000"/>
                <w:sz w:val="20"/>
                <w:szCs w:val="20"/>
                <w:lang w:eastAsia="pt-BR"/>
              </w:rPr>
            </w:pPr>
            <w:r>
              <w:rPr>
                <w:rFonts w:ascii="Times New Roman" w:hAnsi="Times New Roman"/>
                <w:color w:val="000000"/>
                <w:sz w:val="20"/>
                <w:szCs w:val="20"/>
                <w:lang w:eastAsia="pt-BR"/>
              </w:rPr>
              <w:t>-8.668</w:t>
            </w:r>
          </w:p>
        </w:tc>
        <w:tc>
          <w:tcPr>
            <w:tcW w:w="709" w:type="dxa"/>
            <w:vAlign w:val="center"/>
          </w:tcPr>
          <w:p w:rsidR="00672BF9" w:rsidRPr="003B324A" w:rsidRDefault="00672BF9" w:rsidP="00990440">
            <w:pPr>
              <w:autoSpaceDE w:val="0"/>
              <w:autoSpaceDN w:val="0"/>
              <w:adjustRightInd w:val="0"/>
              <w:spacing w:after="0" w:line="240" w:lineRule="auto"/>
              <w:jc w:val="center"/>
              <w:rPr>
                <w:rFonts w:ascii="Times New Roman" w:hAnsi="Times New Roman"/>
                <w:color w:val="000000"/>
                <w:sz w:val="20"/>
                <w:szCs w:val="20"/>
              </w:rPr>
            </w:pPr>
            <w:r>
              <w:rPr>
                <w:rFonts w:ascii="Times New Roman" w:hAnsi="Times New Roman"/>
                <w:color w:val="000000"/>
                <w:sz w:val="20"/>
                <w:szCs w:val="20"/>
              </w:rPr>
              <w:t>0.0000</w:t>
            </w:r>
          </w:p>
        </w:tc>
        <w:tc>
          <w:tcPr>
            <w:tcW w:w="992" w:type="dxa"/>
            <w:vAlign w:val="center"/>
          </w:tcPr>
          <w:p w:rsidR="00672BF9" w:rsidRPr="003B324A" w:rsidRDefault="00672BF9" w:rsidP="00990440">
            <w:pPr>
              <w:spacing w:after="0" w:line="240" w:lineRule="auto"/>
              <w:jc w:val="center"/>
              <w:rPr>
                <w:rFonts w:ascii="Times New Roman" w:hAnsi="Times New Roman"/>
                <w:sz w:val="20"/>
                <w:szCs w:val="20"/>
              </w:rPr>
            </w:pPr>
            <w:r>
              <w:rPr>
                <w:rFonts w:ascii="Times New Roman" w:hAnsi="Times New Roman"/>
                <w:sz w:val="20"/>
                <w:szCs w:val="20"/>
              </w:rPr>
              <w:t>10</w:t>
            </w:r>
          </w:p>
        </w:tc>
        <w:tc>
          <w:tcPr>
            <w:tcW w:w="992" w:type="dxa"/>
            <w:vAlign w:val="center"/>
          </w:tcPr>
          <w:p w:rsidR="00672BF9" w:rsidRPr="00856C96" w:rsidRDefault="00672BF9" w:rsidP="00F328BB">
            <w:pPr>
              <w:spacing w:after="0" w:line="240" w:lineRule="auto"/>
              <w:jc w:val="center"/>
              <w:rPr>
                <w:rFonts w:ascii="Times New Roman" w:hAnsi="Times New Roman"/>
                <w:sz w:val="20"/>
                <w:szCs w:val="20"/>
              </w:rPr>
            </w:pPr>
            <w:r w:rsidRPr="00856C96">
              <w:rPr>
                <w:rFonts w:ascii="Times New Roman" w:hAnsi="Times New Roman"/>
                <w:sz w:val="20"/>
                <w:szCs w:val="20"/>
              </w:rPr>
              <w:t>não</w:t>
            </w:r>
          </w:p>
        </w:tc>
        <w:tc>
          <w:tcPr>
            <w:tcW w:w="851" w:type="dxa"/>
            <w:vAlign w:val="center"/>
          </w:tcPr>
          <w:p w:rsidR="00672BF9" w:rsidRPr="00856C96" w:rsidRDefault="00672BF9" w:rsidP="00F328BB">
            <w:pPr>
              <w:spacing w:after="0" w:line="240" w:lineRule="auto"/>
              <w:jc w:val="center"/>
              <w:rPr>
                <w:rFonts w:ascii="Times New Roman" w:hAnsi="Times New Roman"/>
                <w:sz w:val="20"/>
                <w:szCs w:val="20"/>
              </w:rPr>
            </w:pPr>
            <w:r w:rsidRPr="00856C96">
              <w:rPr>
                <w:rFonts w:ascii="Times New Roman" w:hAnsi="Times New Roman"/>
                <w:sz w:val="20"/>
                <w:szCs w:val="20"/>
              </w:rPr>
              <w:t>não</w:t>
            </w:r>
          </w:p>
        </w:tc>
        <w:tc>
          <w:tcPr>
            <w:tcW w:w="708" w:type="dxa"/>
            <w:vAlign w:val="center"/>
          </w:tcPr>
          <w:p w:rsidR="00672BF9" w:rsidRDefault="00672BF9" w:rsidP="00672BF9">
            <w:pPr>
              <w:autoSpaceDE w:val="0"/>
              <w:autoSpaceDN w:val="0"/>
              <w:adjustRightInd w:val="0"/>
              <w:spacing w:after="0" w:line="240" w:lineRule="auto"/>
              <w:jc w:val="center"/>
              <w:rPr>
                <w:rFonts w:ascii="Times New Roman" w:hAnsi="Times New Roman"/>
                <w:color w:val="000000"/>
                <w:sz w:val="20"/>
                <w:szCs w:val="20"/>
                <w:lang w:eastAsia="pt-BR"/>
              </w:rPr>
            </w:pPr>
            <w:r>
              <w:rPr>
                <w:rFonts w:ascii="Times New Roman" w:hAnsi="Times New Roman"/>
                <w:color w:val="000000"/>
                <w:sz w:val="20"/>
                <w:szCs w:val="20"/>
                <w:lang w:eastAsia="pt-BR"/>
              </w:rPr>
              <w:t>-9.791</w:t>
            </w:r>
          </w:p>
        </w:tc>
        <w:tc>
          <w:tcPr>
            <w:tcW w:w="662" w:type="dxa"/>
            <w:vAlign w:val="center"/>
          </w:tcPr>
          <w:p w:rsidR="00672BF9" w:rsidRPr="003B324A" w:rsidRDefault="00672BF9" w:rsidP="00990440">
            <w:pPr>
              <w:autoSpaceDE w:val="0"/>
              <w:autoSpaceDN w:val="0"/>
              <w:adjustRightInd w:val="0"/>
              <w:spacing w:after="0" w:line="240" w:lineRule="auto"/>
              <w:jc w:val="center"/>
              <w:rPr>
                <w:rFonts w:ascii="Times New Roman" w:hAnsi="Times New Roman"/>
                <w:color w:val="000000"/>
                <w:sz w:val="20"/>
                <w:szCs w:val="20"/>
              </w:rPr>
            </w:pPr>
            <w:r>
              <w:rPr>
                <w:rFonts w:ascii="Times New Roman" w:hAnsi="Times New Roman"/>
                <w:color w:val="000000"/>
                <w:sz w:val="20"/>
                <w:szCs w:val="20"/>
              </w:rPr>
              <w:t>0.0000</w:t>
            </w:r>
          </w:p>
        </w:tc>
      </w:tr>
      <w:tr w:rsidR="00672BF9" w:rsidRPr="003B324A" w:rsidTr="00B32FF7">
        <w:trPr>
          <w:trHeight w:val="255"/>
          <w:jc w:val="center"/>
        </w:trPr>
        <w:tc>
          <w:tcPr>
            <w:tcW w:w="807" w:type="dxa"/>
            <w:vAlign w:val="center"/>
          </w:tcPr>
          <w:p w:rsidR="00672BF9" w:rsidRPr="003B324A" w:rsidRDefault="00672BF9" w:rsidP="00E34532">
            <w:pPr>
              <w:spacing w:after="0" w:line="240" w:lineRule="auto"/>
              <w:rPr>
                <w:rFonts w:ascii="Times New Roman" w:hAnsi="Times New Roman"/>
                <w:sz w:val="20"/>
                <w:szCs w:val="20"/>
              </w:rPr>
            </w:pPr>
            <w:r w:rsidRPr="003B324A">
              <w:rPr>
                <w:rFonts w:ascii="Times New Roman" w:hAnsi="Times New Roman"/>
                <w:sz w:val="20"/>
                <w:szCs w:val="20"/>
              </w:rPr>
              <w:t>DIPCOM</w:t>
            </w:r>
          </w:p>
        </w:tc>
        <w:tc>
          <w:tcPr>
            <w:tcW w:w="992" w:type="dxa"/>
            <w:vAlign w:val="center"/>
          </w:tcPr>
          <w:p w:rsidR="00672BF9" w:rsidRPr="003B324A" w:rsidRDefault="00672BF9" w:rsidP="00990440">
            <w:pPr>
              <w:spacing w:after="0" w:line="240" w:lineRule="auto"/>
              <w:jc w:val="center"/>
              <w:rPr>
                <w:rFonts w:ascii="Times New Roman" w:hAnsi="Times New Roman"/>
                <w:sz w:val="20"/>
                <w:szCs w:val="20"/>
              </w:rPr>
            </w:pPr>
            <w:r w:rsidRPr="003B324A">
              <w:rPr>
                <w:rFonts w:ascii="Times New Roman" w:hAnsi="Times New Roman"/>
                <w:sz w:val="20"/>
                <w:szCs w:val="20"/>
              </w:rPr>
              <w:t>1</w:t>
            </w:r>
          </w:p>
        </w:tc>
        <w:tc>
          <w:tcPr>
            <w:tcW w:w="993" w:type="dxa"/>
            <w:vAlign w:val="center"/>
          </w:tcPr>
          <w:p w:rsidR="00672BF9" w:rsidRPr="003B324A" w:rsidRDefault="00672BF9" w:rsidP="00990440">
            <w:pPr>
              <w:spacing w:after="0" w:line="240" w:lineRule="auto"/>
              <w:jc w:val="center"/>
              <w:rPr>
                <w:rFonts w:ascii="Times New Roman" w:hAnsi="Times New Roman"/>
                <w:sz w:val="20"/>
                <w:szCs w:val="20"/>
              </w:rPr>
            </w:pPr>
            <w:r w:rsidRPr="003B324A">
              <w:rPr>
                <w:rFonts w:ascii="Times New Roman" w:hAnsi="Times New Roman"/>
                <w:sz w:val="20"/>
                <w:szCs w:val="20"/>
              </w:rPr>
              <w:t>não</w:t>
            </w:r>
          </w:p>
        </w:tc>
        <w:tc>
          <w:tcPr>
            <w:tcW w:w="850" w:type="dxa"/>
            <w:vAlign w:val="center"/>
          </w:tcPr>
          <w:p w:rsidR="00672BF9" w:rsidRPr="003B324A" w:rsidRDefault="00672BF9" w:rsidP="00990440">
            <w:pPr>
              <w:spacing w:after="0" w:line="240" w:lineRule="auto"/>
              <w:jc w:val="center"/>
              <w:rPr>
                <w:rFonts w:ascii="Times New Roman" w:hAnsi="Times New Roman"/>
                <w:sz w:val="20"/>
                <w:szCs w:val="20"/>
              </w:rPr>
            </w:pPr>
            <w:r w:rsidRPr="003B324A">
              <w:rPr>
                <w:rFonts w:ascii="Times New Roman" w:hAnsi="Times New Roman"/>
                <w:sz w:val="20"/>
                <w:szCs w:val="20"/>
              </w:rPr>
              <w:t>não</w:t>
            </w:r>
          </w:p>
        </w:tc>
        <w:tc>
          <w:tcPr>
            <w:tcW w:w="709" w:type="dxa"/>
            <w:vAlign w:val="center"/>
          </w:tcPr>
          <w:p w:rsidR="00672BF9" w:rsidRPr="003B324A" w:rsidRDefault="00672BF9" w:rsidP="00990440">
            <w:pPr>
              <w:autoSpaceDE w:val="0"/>
              <w:autoSpaceDN w:val="0"/>
              <w:adjustRightInd w:val="0"/>
              <w:spacing w:after="0" w:line="240" w:lineRule="auto"/>
              <w:jc w:val="center"/>
              <w:rPr>
                <w:rFonts w:ascii="Times New Roman" w:hAnsi="Times New Roman"/>
                <w:color w:val="000000"/>
                <w:sz w:val="20"/>
                <w:szCs w:val="20"/>
              </w:rPr>
            </w:pPr>
            <w:r w:rsidRPr="005247C1">
              <w:rPr>
                <w:rFonts w:ascii="Times New Roman" w:hAnsi="Times New Roman"/>
                <w:color w:val="000000"/>
                <w:sz w:val="20"/>
                <w:szCs w:val="20"/>
                <w:lang w:eastAsia="pt-BR"/>
              </w:rPr>
              <w:t>-6.18</w:t>
            </w:r>
            <w:r>
              <w:rPr>
                <w:rFonts w:ascii="Times New Roman" w:hAnsi="Times New Roman"/>
                <w:color w:val="000000"/>
                <w:sz w:val="20"/>
                <w:szCs w:val="20"/>
                <w:lang w:eastAsia="pt-BR"/>
              </w:rPr>
              <w:t>5</w:t>
            </w:r>
          </w:p>
        </w:tc>
        <w:tc>
          <w:tcPr>
            <w:tcW w:w="709" w:type="dxa"/>
            <w:vAlign w:val="center"/>
          </w:tcPr>
          <w:p w:rsidR="00672BF9" w:rsidRPr="003B324A" w:rsidRDefault="00672BF9" w:rsidP="00990440">
            <w:pPr>
              <w:autoSpaceDE w:val="0"/>
              <w:autoSpaceDN w:val="0"/>
              <w:adjustRightInd w:val="0"/>
              <w:spacing w:after="0" w:line="240" w:lineRule="auto"/>
              <w:jc w:val="center"/>
              <w:rPr>
                <w:rFonts w:ascii="Times New Roman" w:hAnsi="Times New Roman"/>
                <w:color w:val="000000"/>
                <w:sz w:val="20"/>
                <w:szCs w:val="20"/>
              </w:rPr>
            </w:pPr>
            <w:r w:rsidRPr="003B324A">
              <w:rPr>
                <w:rFonts w:ascii="Times New Roman" w:hAnsi="Times New Roman"/>
                <w:color w:val="000000"/>
                <w:sz w:val="20"/>
                <w:szCs w:val="20"/>
              </w:rPr>
              <w:t>0.0000</w:t>
            </w:r>
          </w:p>
        </w:tc>
        <w:tc>
          <w:tcPr>
            <w:tcW w:w="992" w:type="dxa"/>
            <w:vAlign w:val="center"/>
          </w:tcPr>
          <w:p w:rsidR="00672BF9" w:rsidRPr="003B324A" w:rsidRDefault="00672BF9" w:rsidP="00990440">
            <w:pPr>
              <w:spacing w:after="0" w:line="240" w:lineRule="auto"/>
              <w:jc w:val="center"/>
              <w:rPr>
                <w:rFonts w:ascii="Times New Roman" w:hAnsi="Times New Roman"/>
                <w:sz w:val="20"/>
                <w:szCs w:val="20"/>
              </w:rPr>
            </w:pPr>
            <w:r w:rsidRPr="003B324A">
              <w:rPr>
                <w:rFonts w:ascii="Times New Roman" w:hAnsi="Times New Roman"/>
                <w:sz w:val="20"/>
                <w:szCs w:val="20"/>
              </w:rPr>
              <w:t>17</w:t>
            </w:r>
          </w:p>
        </w:tc>
        <w:tc>
          <w:tcPr>
            <w:tcW w:w="992" w:type="dxa"/>
            <w:vAlign w:val="center"/>
          </w:tcPr>
          <w:p w:rsidR="00672BF9" w:rsidRPr="003B324A" w:rsidRDefault="00672BF9" w:rsidP="00990440">
            <w:pPr>
              <w:spacing w:after="0" w:line="240" w:lineRule="auto"/>
              <w:jc w:val="center"/>
              <w:rPr>
                <w:rFonts w:ascii="Times New Roman" w:hAnsi="Times New Roman"/>
                <w:sz w:val="20"/>
                <w:szCs w:val="20"/>
              </w:rPr>
            </w:pPr>
            <w:r w:rsidRPr="003B324A">
              <w:rPr>
                <w:rFonts w:ascii="Times New Roman" w:hAnsi="Times New Roman"/>
                <w:sz w:val="20"/>
                <w:szCs w:val="20"/>
              </w:rPr>
              <w:t>não</w:t>
            </w:r>
          </w:p>
        </w:tc>
        <w:tc>
          <w:tcPr>
            <w:tcW w:w="851" w:type="dxa"/>
            <w:vAlign w:val="center"/>
          </w:tcPr>
          <w:p w:rsidR="00672BF9" w:rsidRPr="003B324A" w:rsidRDefault="00672BF9" w:rsidP="00990440">
            <w:pPr>
              <w:spacing w:after="0" w:line="240" w:lineRule="auto"/>
              <w:jc w:val="center"/>
              <w:rPr>
                <w:rFonts w:ascii="Times New Roman" w:hAnsi="Times New Roman"/>
                <w:sz w:val="20"/>
                <w:szCs w:val="20"/>
              </w:rPr>
            </w:pPr>
            <w:r w:rsidRPr="003B324A">
              <w:rPr>
                <w:rFonts w:ascii="Times New Roman" w:hAnsi="Times New Roman"/>
                <w:sz w:val="20"/>
                <w:szCs w:val="20"/>
              </w:rPr>
              <w:t>não</w:t>
            </w:r>
          </w:p>
        </w:tc>
        <w:tc>
          <w:tcPr>
            <w:tcW w:w="708" w:type="dxa"/>
            <w:vAlign w:val="center"/>
          </w:tcPr>
          <w:p w:rsidR="00672BF9" w:rsidRPr="003B324A" w:rsidRDefault="00672BF9" w:rsidP="00990440">
            <w:pPr>
              <w:autoSpaceDE w:val="0"/>
              <w:autoSpaceDN w:val="0"/>
              <w:adjustRightInd w:val="0"/>
              <w:spacing w:after="0" w:line="240" w:lineRule="auto"/>
              <w:jc w:val="center"/>
              <w:rPr>
                <w:rFonts w:ascii="Times New Roman" w:hAnsi="Times New Roman"/>
                <w:color w:val="000000"/>
                <w:sz w:val="20"/>
                <w:szCs w:val="20"/>
              </w:rPr>
            </w:pPr>
            <w:r>
              <w:rPr>
                <w:rFonts w:ascii="Times New Roman" w:hAnsi="Times New Roman"/>
                <w:color w:val="000000"/>
                <w:sz w:val="20"/>
                <w:szCs w:val="20"/>
                <w:lang w:eastAsia="pt-BR"/>
              </w:rPr>
              <w:t>-4.804</w:t>
            </w:r>
          </w:p>
        </w:tc>
        <w:tc>
          <w:tcPr>
            <w:tcW w:w="662" w:type="dxa"/>
            <w:vAlign w:val="center"/>
          </w:tcPr>
          <w:p w:rsidR="00672BF9" w:rsidRPr="003B324A" w:rsidRDefault="00672BF9" w:rsidP="00990440">
            <w:pPr>
              <w:autoSpaceDE w:val="0"/>
              <w:autoSpaceDN w:val="0"/>
              <w:adjustRightInd w:val="0"/>
              <w:spacing w:after="0" w:line="240" w:lineRule="auto"/>
              <w:jc w:val="center"/>
              <w:rPr>
                <w:rFonts w:ascii="Times New Roman" w:hAnsi="Times New Roman"/>
                <w:color w:val="000000"/>
                <w:sz w:val="20"/>
                <w:szCs w:val="20"/>
              </w:rPr>
            </w:pPr>
            <w:r w:rsidRPr="003B324A">
              <w:rPr>
                <w:rFonts w:ascii="Times New Roman" w:hAnsi="Times New Roman"/>
                <w:color w:val="000000"/>
                <w:sz w:val="20"/>
                <w:szCs w:val="20"/>
              </w:rPr>
              <w:t>0.0000</w:t>
            </w:r>
          </w:p>
        </w:tc>
      </w:tr>
      <w:tr w:rsidR="00936595" w:rsidRPr="003B324A" w:rsidTr="00B32FF7">
        <w:trPr>
          <w:trHeight w:val="255"/>
          <w:jc w:val="center"/>
        </w:trPr>
        <w:tc>
          <w:tcPr>
            <w:tcW w:w="807" w:type="dxa"/>
            <w:vAlign w:val="center"/>
          </w:tcPr>
          <w:p w:rsidR="00936595" w:rsidRPr="00835149" w:rsidRDefault="00DE71F7" w:rsidP="004716E6">
            <w:pPr>
              <w:spacing w:after="0" w:line="240" w:lineRule="auto"/>
              <w:rPr>
                <w:rFonts w:ascii="Times New Roman" w:hAnsi="Times New Roman"/>
                <w:sz w:val="20"/>
                <w:szCs w:val="20"/>
              </w:rPr>
            </w:pPr>
            <w:r>
              <w:rPr>
                <w:rFonts w:ascii="Times New Roman" w:hAnsi="Times New Roman"/>
                <w:sz w:val="20"/>
                <w:szCs w:val="20"/>
              </w:rPr>
              <w:t>D</w:t>
            </w:r>
            <w:r w:rsidR="00936595" w:rsidRPr="00835149">
              <w:rPr>
                <w:rFonts w:ascii="Times New Roman" w:hAnsi="Times New Roman"/>
                <w:sz w:val="20"/>
                <w:szCs w:val="20"/>
              </w:rPr>
              <w:t>IEC</w:t>
            </w:r>
          </w:p>
        </w:tc>
        <w:tc>
          <w:tcPr>
            <w:tcW w:w="992" w:type="dxa"/>
            <w:vAlign w:val="center"/>
          </w:tcPr>
          <w:p w:rsidR="00936595" w:rsidRPr="00835149" w:rsidRDefault="00936595" w:rsidP="00E04B9A">
            <w:pPr>
              <w:spacing w:after="0" w:line="240" w:lineRule="auto"/>
              <w:jc w:val="center"/>
              <w:rPr>
                <w:rFonts w:ascii="Times New Roman" w:hAnsi="Times New Roman"/>
                <w:sz w:val="20"/>
                <w:szCs w:val="20"/>
              </w:rPr>
            </w:pPr>
            <w:r w:rsidRPr="00835149">
              <w:rPr>
                <w:rFonts w:ascii="Times New Roman" w:hAnsi="Times New Roman"/>
                <w:sz w:val="20"/>
                <w:szCs w:val="20"/>
              </w:rPr>
              <w:t>0</w:t>
            </w:r>
          </w:p>
        </w:tc>
        <w:tc>
          <w:tcPr>
            <w:tcW w:w="993" w:type="dxa"/>
            <w:vAlign w:val="center"/>
          </w:tcPr>
          <w:p w:rsidR="00936595" w:rsidRPr="00835149" w:rsidRDefault="00936595" w:rsidP="00E04B9A">
            <w:pPr>
              <w:spacing w:after="0" w:line="240" w:lineRule="auto"/>
              <w:jc w:val="center"/>
              <w:rPr>
                <w:rFonts w:ascii="Times New Roman" w:hAnsi="Times New Roman"/>
                <w:sz w:val="20"/>
                <w:szCs w:val="20"/>
              </w:rPr>
            </w:pPr>
            <w:r w:rsidRPr="00835149">
              <w:rPr>
                <w:rFonts w:ascii="Times New Roman" w:hAnsi="Times New Roman"/>
                <w:sz w:val="20"/>
                <w:szCs w:val="20"/>
              </w:rPr>
              <w:t>não</w:t>
            </w:r>
          </w:p>
        </w:tc>
        <w:tc>
          <w:tcPr>
            <w:tcW w:w="850" w:type="dxa"/>
            <w:vAlign w:val="center"/>
          </w:tcPr>
          <w:p w:rsidR="00936595" w:rsidRPr="00835149" w:rsidRDefault="00936595" w:rsidP="00E04B9A">
            <w:pPr>
              <w:spacing w:after="0" w:line="240" w:lineRule="auto"/>
              <w:jc w:val="center"/>
              <w:rPr>
                <w:rFonts w:ascii="Times New Roman" w:hAnsi="Times New Roman"/>
                <w:sz w:val="20"/>
                <w:szCs w:val="20"/>
              </w:rPr>
            </w:pPr>
            <w:r w:rsidRPr="00835149">
              <w:rPr>
                <w:rFonts w:ascii="Times New Roman" w:hAnsi="Times New Roman"/>
                <w:sz w:val="20"/>
                <w:szCs w:val="20"/>
              </w:rPr>
              <w:t>não</w:t>
            </w:r>
          </w:p>
        </w:tc>
        <w:tc>
          <w:tcPr>
            <w:tcW w:w="709" w:type="dxa"/>
            <w:vAlign w:val="center"/>
          </w:tcPr>
          <w:p w:rsidR="00936595" w:rsidRPr="00835149" w:rsidRDefault="00936595" w:rsidP="00DE71F7">
            <w:pPr>
              <w:autoSpaceDE w:val="0"/>
              <w:autoSpaceDN w:val="0"/>
              <w:adjustRightInd w:val="0"/>
              <w:spacing w:after="0" w:line="240" w:lineRule="auto"/>
              <w:jc w:val="center"/>
              <w:rPr>
                <w:rFonts w:ascii="Times New Roman" w:hAnsi="Times New Roman"/>
                <w:color w:val="000000"/>
                <w:sz w:val="20"/>
                <w:szCs w:val="20"/>
              </w:rPr>
            </w:pPr>
            <w:r w:rsidRPr="00835149">
              <w:rPr>
                <w:rFonts w:ascii="Times New Roman" w:hAnsi="Times New Roman"/>
                <w:sz w:val="20"/>
                <w:szCs w:val="20"/>
                <w:lang w:eastAsia="pt-BR"/>
              </w:rPr>
              <w:t>-</w:t>
            </w:r>
            <w:r w:rsidR="00DE71F7">
              <w:rPr>
                <w:rFonts w:ascii="Times New Roman" w:hAnsi="Times New Roman"/>
                <w:sz w:val="20"/>
                <w:szCs w:val="20"/>
                <w:lang w:eastAsia="pt-BR"/>
              </w:rPr>
              <w:t>9</w:t>
            </w:r>
            <w:r w:rsidRPr="00835149">
              <w:rPr>
                <w:rFonts w:ascii="Times New Roman" w:hAnsi="Times New Roman"/>
                <w:sz w:val="20"/>
                <w:szCs w:val="20"/>
                <w:lang w:eastAsia="pt-BR"/>
              </w:rPr>
              <w:t>.</w:t>
            </w:r>
            <w:r w:rsidR="00DE71F7">
              <w:rPr>
                <w:rFonts w:ascii="Times New Roman" w:hAnsi="Times New Roman"/>
                <w:sz w:val="20"/>
                <w:szCs w:val="20"/>
                <w:lang w:eastAsia="pt-BR"/>
              </w:rPr>
              <w:t>426</w:t>
            </w:r>
          </w:p>
        </w:tc>
        <w:tc>
          <w:tcPr>
            <w:tcW w:w="709" w:type="dxa"/>
            <w:vAlign w:val="center"/>
          </w:tcPr>
          <w:p w:rsidR="00936595" w:rsidRPr="00835149" w:rsidRDefault="00936595" w:rsidP="00E04B9A">
            <w:pPr>
              <w:autoSpaceDE w:val="0"/>
              <w:autoSpaceDN w:val="0"/>
              <w:adjustRightInd w:val="0"/>
              <w:spacing w:after="0" w:line="240" w:lineRule="auto"/>
              <w:jc w:val="center"/>
              <w:rPr>
                <w:rFonts w:ascii="Times New Roman" w:hAnsi="Times New Roman"/>
                <w:color w:val="000000"/>
                <w:sz w:val="20"/>
                <w:szCs w:val="20"/>
              </w:rPr>
            </w:pPr>
            <w:r w:rsidRPr="00835149">
              <w:rPr>
                <w:rFonts w:ascii="Times New Roman" w:hAnsi="Times New Roman"/>
                <w:color w:val="000000"/>
                <w:sz w:val="20"/>
                <w:szCs w:val="20"/>
              </w:rPr>
              <w:t>0.0000</w:t>
            </w:r>
          </w:p>
        </w:tc>
        <w:tc>
          <w:tcPr>
            <w:tcW w:w="992" w:type="dxa"/>
            <w:vAlign w:val="center"/>
          </w:tcPr>
          <w:p w:rsidR="00936595" w:rsidRPr="00835149" w:rsidRDefault="00DE71F7" w:rsidP="00990440">
            <w:pPr>
              <w:spacing w:after="0" w:line="240" w:lineRule="auto"/>
              <w:jc w:val="center"/>
              <w:rPr>
                <w:rFonts w:ascii="Times New Roman" w:hAnsi="Times New Roman"/>
                <w:sz w:val="20"/>
                <w:szCs w:val="20"/>
              </w:rPr>
            </w:pPr>
            <w:r>
              <w:rPr>
                <w:rFonts w:ascii="Times New Roman" w:hAnsi="Times New Roman"/>
                <w:sz w:val="20"/>
                <w:szCs w:val="20"/>
              </w:rPr>
              <w:t>6</w:t>
            </w:r>
          </w:p>
        </w:tc>
        <w:tc>
          <w:tcPr>
            <w:tcW w:w="992" w:type="dxa"/>
            <w:vAlign w:val="center"/>
          </w:tcPr>
          <w:p w:rsidR="00936595" w:rsidRPr="00835149" w:rsidRDefault="00936595" w:rsidP="00E04B9A">
            <w:pPr>
              <w:spacing w:after="0" w:line="240" w:lineRule="auto"/>
              <w:jc w:val="center"/>
              <w:rPr>
                <w:rFonts w:ascii="Times New Roman" w:hAnsi="Times New Roman"/>
                <w:sz w:val="20"/>
                <w:szCs w:val="20"/>
              </w:rPr>
            </w:pPr>
            <w:r w:rsidRPr="00835149">
              <w:rPr>
                <w:rFonts w:ascii="Times New Roman" w:hAnsi="Times New Roman"/>
                <w:sz w:val="20"/>
                <w:szCs w:val="20"/>
              </w:rPr>
              <w:t>não</w:t>
            </w:r>
          </w:p>
        </w:tc>
        <w:tc>
          <w:tcPr>
            <w:tcW w:w="851" w:type="dxa"/>
            <w:vAlign w:val="center"/>
          </w:tcPr>
          <w:p w:rsidR="00936595" w:rsidRPr="00835149" w:rsidRDefault="00936595" w:rsidP="00E04B9A">
            <w:pPr>
              <w:spacing w:after="0" w:line="240" w:lineRule="auto"/>
              <w:jc w:val="center"/>
              <w:rPr>
                <w:rFonts w:ascii="Times New Roman" w:hAnsi="Times New Roman"/>
                <w:sz w:val="20"/>
                <w:szCs w:val="20"/>
              </w:rPr>
            </w:pPr>
            <w:r w:rsidRPr="00835149">
              <w:rPr>
                <w:rFonts w:ascii="Times New Roman" w:hAnsi="Times New Roman"/>
                <w:sz w:val="20"/>
                <w:szCs w:val="20"/>
              </w:rPr>
              <w:t>não</w:t>
            </w:r>
          </w:p>
        </w:tc>
        <w:tc>
          <w:tcPr>
            <w:tcW w:w="708" w:type="dxa"/>
            <w:vAlign w:val="center"/>
          </w:tcPr>
          <w:p w:rsidR="00936595" w:rsidRPr="00835149" w:rsidRDefault="00936595" w:rsidP="00DE71F7">
            <w:pPr>
              <w:autoSpaceDE w:val="0"/>
              <w:autoSpaceDN w:val="0"/>
              <w:adjustRightInd w:val="0"/>
              <w:spacing w:after="0" w:line="240" w:lineRule="auto"/>
              <w:jc w:val="center"/>
              <w:rPr>
                <w:rFonts w:ascii="Times New Roman" w:hAnsi="Times New Roman"/>
                <w:color w:val="000000"/>
                <w:sz w:val="20"/>
                <w:szCs w:val="20"/>
              </w:rPr>
            </w:pPr>
            <w:r w:rsidRPr="00835149">
              <w:rPr>
                <w:rFonts w:ascii="Times New Roman" w:hAnsi="Times New Roman"/>
                <w:sz w:val="20"/>
                <w:szCs w:val="20"/>
                <w:lang w:eastAsia="pt-BR"/>
              </w:rPr>
              <w:t>-</w:t>
            </w:r>
            <w:r w:rsidR="00DE71F7">
              <w:rPr>
                <w:rFonts w:ascii="Times New Roman" w:hAnsi="Times New Roman"/>
                <w:sz w:val="20"/>
                <w:szCs w:val="20"/>
                <w:lang w:eastAsia="pt-BR"/>
              </w:rPr>
              <w:t>9</w:t>
            </w:r>
            <w:r w:rsidRPr="00835149">
              <w:rPr>
                <w:rFonts w:ascii="Times New Roman" w:hAnsi="Times New Roman"/>
                <w:sz w:val="20"/>
                <w:szCs w:val="20"/>
                <w:lang w:eastAsia="pt-BR"/>
              </w:rPr>
              <w:t>.</w:t>
            </w:r>
            <w:r w:rsidR="00DE71F7">
              <w:rPr>
                <w:rFonts w:ascii="Times New Roman" w:hAnsi="Times New Roman"/>
                <w:sz w:val="20"/>
                <w:szCs w:val="20"/>
                <w:lang w:eastAsia="pt-BR"/>
              </w:rPr>
              <w:t>803</w:t>
            </w:r>
          </w:p>
        </w:tc>
        <w:tc>
          <w:tcPr>
            <w:tcW w:w="662" w:type="dxa"/>
            <w:vAlign w:val="center"/>
          </w:tcPr>
          <w:p w:rsidR="00936595" w:rsidRPr="00A34578" w:rsidRDefault="00936595" w:rsidP="00936595">
            <w:pPr>
              <w:autoSpaceDE w:val="0"/>
              <w:autoSpaceDN w:val="0"/>
              <w:adjustRightInd w:val="0"/>
              <w:spacing w:after="0" w:line="240" w:lineRule="auto"/>
              <w:jc w:val="center"/>
              <w:rPr>
                <w:rFonts w:ascii="Times New Roman" w:hAnsi="Times New Roman"/>
                <w:color w:val="000000"/>
                <w:sz w:val="20"/>
                <w:szCs w:val="20"/>
              </w:rPr>
            </w:pPr>
            <w:r w:rsidRPr="00835149">
              <w:rPr>
                <w:rFonts w:ascii="Times New Roman" w:hAnsi="Times New Roman"/>
                <w:color w:val="000000"/>
                <w:sz w:val="20"/>
                <w:szCs w:val="20"/>
              </w:rPr>
              <w:t>0.0000</w:t>
            </w:r>
          </w:p>
        </w:tc>
      </w:tr>
      <w:tr w:rsidR="00672BF9" w:rsidRPr="003B324A" w:rsidTr="00B32FF7">
        <w:trPr>
          <w:trHeight w:val="255"/>
          <w:jc w:val="center"/>
        </w:trPr>
        <w:tc>
          <w:tcPr>
            <w:tcW w:w="807" w:type="dxa"/>
            <w:vAlign w:val="center"/>
          </w:tcPr>
          <w:p w:rsidR="00672BF9" w:rsidRPr="00A34578" w:rsidRDefault="00672BF9" w:rsidP="004716E6">
            <w:pPr>
              <w:spacing w:after="0" w:line="240" w:lineRule="auto"/>
              <w:rPr>
                <w:rFonts w:ascii="Times New Roman" w:hAnsi="Times New Roman"/>
                <w:sz w:val="20"/>
                <w:szCs w:val="20"/>
              </w:rPr>
            </w:pPr>
            <w:r w:rsidRPr="00A34578">
              <w:rPr>
                <w:rFonts w:ascii="Times New Roman" w:hAnsi="Times New Roman"/>
                <w:sz w:val="20"/>
                <w:szCs w:val="20"/>
              </w:rPr>
              <w:t>DIECAC</w:t>
            </w:r>
          </w:p>
        </w:tc>
        <w:tc>
          <w:tcPr>
            <w:tcW w:w="992" w:type="dxa"/>
            <w:vAlign w:val="center"/>
          </w:tcPr>
          <w:p w:rsidR="00672BF9" w:rsidRPr="00A34578" w:rsidRDefault="00672BF9" w:rsidP="00990440">
            <w:pPr>
              <w:spacing w:after="0" w:line="240" w:lineRule="auto"/>
              <w:jc w:val="center"/>
              <w:rPr>
                <w:rFonts w:ascii="Times New Roman" w:hAnsi="Times New Roman"/>
                <w:sz w:val="20"/>
                <w:szCs w:val="20"/>
              </w:rPr>
            </w:pPr>
            <w:r w:rsidRPr="00A34578">
              <w:rPr>
                <w:rFonts w:ascii="Times New Roman" w:hAnsi="Times New Roman"/>
                <w:sz w:val="20"/>
                <w:szCs w:val="20"/>
              </w:rPr>
              <w:t>0</w:t>
            </w:r>
          </w:p>
        </w:tc>
        <w:tc>
          <w:tcPr>
            <w:tcW w:w="993" w:type="dxa"/>
            <w:vAlign w:val="center"/>
          </w:tcPr>
          <w:p w:rsidR="00672BF9" w:rsidRPr="00A34578" w:rsidRDefault="00672BF9" w:rsidP="00990440">
            <w:pPr>
              <w:spacing w:after="0" w:line="240" w:lineRule="auto"/>
              <w:jc w:val="center"/>
              <w:rPr>
                <w:rFonts w:ascii="Times New Roman" w:hAnsi="Times New Roman"/>
                <w:sz w:val="20"/>
                <w:szCs w:val="20"/>
              </w:rPr>
            </w:pPr>
            <w:r w:rsidRPr="00A34578">
              <w:rPr>
                <w:rFonts w:ascii="Times New Roman" w:hAnsi="Times New Roman"/>
                <w:sz w:val="20"/>
                <w:szCs w:val="20"/>
              </w:rPr>
              <w:t>sim</w:t>
            </w:r>
          </w:p>
        </w:tc>
        <w:tc>
          <w:tcPr>
            <w:tcW w:w="850" w:type="dxa"/>
            <w:vAlign w:val="center"/>
          </w:tcPr>
          <w:p w:rsidR="00672BF9" w:rsidRPr="00A34578" w:rsidRDefault="00672BF9" w:rsidP="00990440">
            <w:pPr>
              <w:spacing w:after="0" w:line="240" w:lineRule="auto"/>
              <w:jc w:val="center"/>
              <w:rPr>
                <w:rFonts w:ascii="Times New Roman" w:hAnsi="Times New Roman"/>
                <w:sz w:val="20"/>
                <w:szCs w:val="20"/>
              </w:rPr>
            </w:pPr>
            <w:r w:rsidRPr="00A34578">
              <w:rPr>
                <w:rFonts w:ascii="Times New Roman" w:hAnsi="Times New Roman"/>
                <w:sz w:val="20"/>
                <w:szCs w:val="20"/>
              </w:rPr>
              <w:t>sim</w:t>
            </w:r>
          </w:p>
        </w:tc>
        <w:tc>
          <w:tcPr>
            <w:tcW w:w="709" w:type="dxa"/>
            <w:vAlign w:val="center"/>
          </w:tcPr>
          <w:p w:rsidR="00672BF9" w:rsidRPr="00A34578" w:rsidRDefault="00672BF9" w:rsidP="00990440">
            <w:pPr>
              <w:autoSpaceDE w:val="0"/>
              <w:autoSpaceDN w:val="0"/>
              <w:adjustRightInd w:val="0"/>
              <w:spacing w:after="0" w:line="240" w:lineRule="auto"/>
              <w:jc w:val="center"/>
              <w:rPr>
                <w:rFonts w:ascii="Times New Roman" w:hAnsi="Times New Roman"/>
                <w:color w:val="000000"/>
                <w:sz w:val="20"/>
                <w:szCs w:val="20"/>
              </w:rPr>
            </w:pPr>
            <w:r>
              <w:rPr>
                <w:rFonts w:ascii="Times New Roman" w:hAnsi="Times New Roman"/>
                <w:sz w:val="20"/>
                <w:szCs w:val="20"/>
                <w:lang w:eastAsia="pt-BR"/>
              </w:rPr>
              <w:t>-8.720</w:t>
            </w:r>
          </w:p>
        </w:tc>
        <w:tc>
          <w:tcPr>
            <w:tcW w:w="709" w:type="dxa"/>
            <w:vAlign w:val="center"/>
          </w:tcPr>
          <w:p w:rsidR="00672BF9" w:rsidRPr="00A34578" w:rsidRDefault="00672BF9" w:rsidP="00990440">
            <w:pPr>
              <w:autoSpaceDE w:val="0"/>
              <w:autoSpaceDN w:val="0"/>
              <w:adjustRightInd w:val="0"/>
              <w:spacing w:after="0" w:line="240" w:lineRule="auto"/>
              <w:jc w:val="center"/>
              <w:rPr>
                <w:rFonts w:ascii="Times New Roman" w:hAnsi="Times New Roman"/>
                <w:color w:val="000000"/>
                <w:sz w:val="20"/>
                <w:szCs w:val="20"/>
              </w:rPr>
            </w:pPr>
            <w:r w:rsidRPr="00A34578">
              <w:rPr>
                <w:rFonts w:ascii="Times New Roman" w:hAnsi="Times New Roman"/>
                <w:color w:val="000000"/>
                <w:sz w:val="20"/>
                <w:szCs w:val="20"/>
              </w:rPr>
              <w:t>0.0000</w:t>
            </w:r>
          </w:p>
        </w:tc>
        <w:tc>
          <w:tcPr>
            <w:tcW w:w="992" w:type="dxa"/>
            <w:vAlign w:val="center"/>
          </w:tcPr>
          <w:p w:rsidR="00672BF9" w:rsidRPr="00A34578" w:rsidRDefault="00672BF9" w:rsidP="00990440">
            <w:pPr>
              <w:autoSpaceDE w:val="0"/>
              <w:autoSpaceDN w:val="0"/>
              <w:adjustRightInd w:val="0"/>
              <w:spacing w:after="0" w:line="240" w:lineRule="auto"/>
              <w:jc w:val="center"/>
              <w:rPr>
                <w:rFonts w:ascii="Times New Roman" w:hAnsi="Times New Roman"/>
                <w:sz w:val="20"/>
                <w:szCs w:val="20"/>
              </w:rPr>
            </w:pPr>
            <w:r w:rsidRPr="00A34578">
              <w:rPr>
                <w:rFonts w:ascii="Times New Roman" w:hAnsi="Times New Roman"/>
                <w:sz w:val="20"/>
                <w:szCs w:val="20"/>
              </w:rPr>
              <w:t>12</w:t>
            </w:r>
          </w:p>
        </w:tc>
        <w:tc>
          <w:tcPr>
            <w:tcW w:w="992" w:type="dxa"/>
            <w:vAlign w:val="center"/>
          </w:tcPr>
          <w:p w:rsidR="00672BF9" w:rsidRPr="00A34578" w:rsidRDefault="00672BF9" w:rsidP="00990440">
            <w:pPr>
              <w:spacing w:after="0" w:line="240" w:lineRule="auto"/>
              <w:jc w:val="center"/>
              <w:rPr>
                <w:rFonts w:ascii="Times New Roman" w:hAnsi="Times New Roman"/>
                <w:sz w:val="20"/>
                <w:szCs w:val="20"/>
              </w:rPr>
            </w:pPr>
            <w:r w:rsidRPr="00A34578">
              <w:rPr>
                <w:rFonts w:ascii="Times New Roman" w:hAnsi="Times New Roman"/>
                <w:sz w:val="20"/>
                <w:szCs w:val="20"/>
              </w:rPr>
              <w:t>sim</w:t>
            </w:r>
          </w:p>
        </w:tc>
        <w:tc>
          <w:tcPr>
            <w:tcW w:w="851" w:type="dxa"/>
            <w:vAlign w:val="center"/>
          </w:tcPr>
          <w:p w:rsidR="00672BF9" w:rsidRPr="00A34578" w:rsidRDefault="00672BF9" w:rsidP="00990440">
            <w:pPr>
              <w:spacing w:after="0" w:line="240" w:lineRule="auto"/>
              <w:jc w:val="center"/>
              <w:rPr>
                <w:rFonts w:ascii="Times New Roman" w:hAnsi="Times New Roman"/>
                <w:sz w:val="20"/>
                <w:szCs w:val="20"/>
              </w:rPr>
            </w:pPr>
            <w:r w:rsidRPr="00A34578">
              <w:rPr>
                <w:rFonts w:ascii="Times New Roman" w:hAnsi="Times New Roman"/>
                <w:sz w:val="20"/>
                <w:szCs w:val="20"/>
              </w:rPr>
              <w:t>sim</w:t>
            </w:r>
          </w:p>
        </w:tc>
        <w:tc>
          <w:tcPr>
            <w:tcW w:w="708" w:type="dxa"/>
            <w:vAlign w:val="center"/>
          </w:tcPr>
          <w:p w:rsidR="00672BF9" w:rsidRPr="00A34578" w:rsidRDefault="00672BF9" w:rsidP="00990440">
            <w:pPr>
              <w:autoSpaceDE w:val="0"/>
              <w:autoSpaceDN w:val="0"/>
              <w:adjustRightInd w:val="0"/>
              <w:spacing w:after="0" w:line="240" w:lineRule="auto"/>
              <w:jc w:val="center"/>
              <w:rPr>
                <w:rFonts w:ascii="Times New Roman" w:hAnsi="Times New Roman"/>
                <w:color w:val="000000"/>
                <w:sz w:val="20"/>
                <w:szCs w:val="20"/>
              </w:rPr>
            </w:pPr>
            <w:r>
              <w:rPr>
                <w:rFonts w:ascii="Times New Roman" w:hAnsi="Times New Roman"/>
                <w:sz w:val="20"/>
                <w:szCs w:val="20"/>
                <w:lang w:eastAsia="pt-BR"/>
              </w:rPr>
              <w:t>-9.656</w:t>
            </w:r>
          </w:p>
        </w:tc>
        <w:tc>
          <w:tcPr>
            <w:tcW w:w="662" w:type="dxa"/>
            <w:vAlign w:val="center"/>
          </w:tcPr>
          <w:p w:rsidR="00672BF9" w:rsidRPr="00A34578" w:rsidRDefault="00672BF9" w:rsidP="00990440">
            <w:pPr>
              <w:autoSpaceDE w:val="0"/>
              <w:autoSpaceDN w:val="0"/>
              <w:adjustRightInd w:val="0"/>
              <w:spacing w:after="0" w:line="240" w:lineRule="auto"/>
              <w:jc w:val="center"/>
              <w:rPr>
                <w:rFonts w:ascii="Times New Roman" w:hAnsi="Times New Roman"/>
                <w:color w:val="000000"/>
                <w:sz w:val="20"/>
                <w:szCs w:val="20"/>
              </w:rPr>
            </w:pPr>
            <w:r w:rsidRPr="00A34578">
              <w:rPr>
                <w:rFonts w:ascii="Times New Roman" w:hAnsi="Times New Roman"/>
                <w:color w:val="000000"/>
                <w:sz w:val="20"/>
                <w:szCs w:val="20"/>
              </w:rPr>
              <w:t>0.0000</w:t>
            </w:r>
          </w:p>
        </w:tc>
      </w:tr>
      <w:tr w:rsidR="00672BF9" w:rsidRPr="003B324A" w:rsidTr="00B32FF7">
        <w:trPr>
          <w:trHeight w:val="255"/>
          <w:jc w:val="center"/>
        </w:trPr>
        <w:tc>
          <w:tcPr>
            <w:tcW w:w="807" w:type="dxa"/>
            <w:vAlign w:val="center"/>
          </w:tcPr>
          <w:p w:rsidR="00672BF9" w:rsidRPr="003B324A" w:rsidRDefault="00672BF9" w:rsidP="00E34532">
            <w:pPr>
              <w:spacing w:after="0" w:line="240" w:lineRule="auto"/>
              <w:rPr>
                <w:rFonts w:ascii="Times New Roman" w:hAnsi="Times New Roman"/>
                <w:sz w:val="20"/>
                <w:szCs w:val="20"/>
              </w:rPr>
            </w:pPr>
            <w:r>
              <w:rPr>
                <w:rFonts w:ascii="Times New Roman" w:hAnsi="Times New Roman"/>
                <w:sz w:val="20"/>
                <w:szCs w:val="20"/>
              </w:rPr>
              <w:t>IECRF</w:t>
            </w:r>
          </w:p>
        </w:tc>
        <w:tc>
          <w:tcPr>
            <w:tcW w:w="992" w:type="dxa"/>
            <w:vAlign w:val="center"/>
          </w:tcPr>
          <w:p w:rsidR="00672BF9" w:rsidRPr="003B324A" w:rsidRDefault="00672BF9" w:rsidP="00990440">
            <w:pPr>
              <w:spacing w:after="0" w:line="240" w:lineRule="auto"/>
              <w:jc w:val="center"/>
              <w:rPr>
                <w:rFonts w:ascii="Times New Roman" w:hAnsi="Times New Roman"/>
                <w:sz w:val="20"/>
                <w:szCs w:val="20"/>
              </w:rPr>
            </w:pPr>
            <w:r>
              <w:rPr>
                <w:rFonts w:ascii="Times New Roman" w:hAnsi="Times New Roman"/>
                <w:sz w:val="20"/>
                <w:szCs w:val="20"/>
              </w:rPr>
              <w:t>0</w:t>
            </w:r>
          </w:p>
        </w:tc>
        <w:tc>
          <w:tcPr>
            <w:tcW w:w="993" w:type="dxa"/>
            <w:vAlign w:val="center"/>
          </w:tcPr>
          <w:p w:rsidR="00672BF9" w:rsidRPr="003B324A" w:rsidRDefault="00672BF9" w:rsidP="00990440">
            <w:pPr>
              <w:spacing w:after="0" w:line="240" w:lineRule="auto"/>
              <w:jc w:val="center"/>
              <w:rPr>
                <w:rFonts w:ascii="Times New Roman" w:hAnsi="Times New Roman"/>
                <w:sz w:val="20"/>
                <w:szCs w:val="20"/>
              </w:rPr>
            </w:pPr>
            <w:r>
              <w:rPr>
                <w:rFonts w:ascii="Times New Roman" w:hAnsi="Times New Roman"/>
                <w:sz w:val="20"/>
                <w:szCs w:val="20"/>
              </w:rPr>
              <w:t>sim</w:t>
            </w:r>
          </w:p>
        </w:tc>
        <w:tc>
          <w:tcPr>
            <w:tcW w:w="850" w:type="dxa"/>
            <w:vAlign w:val="center"/>
          </w:tcPr>
          <w:p w:rsidR="00672BF9" w:rsidRPr="003B324A" w:rsidRDefault="00672BF9" w:rsidP="00990440">
            <w:pPr>
              <w:spacing w:after="0" w:line="240" w:lineRule="auto"/>
              <w:jc w:val="center"/>
              <w:rPr>
                <w:rFonts w:ascii="Times New Roman" w:hAnsi="Times New Roman"/>
                <w:sz w:val="20"/>
                <w:szCs w:val="20"/>
              </w:rPr>
            </w:pPr>
            <w:r>
              <w:rPr>
                <w:rFonts w:ascii="Times New Roman" w:hAnsi="Times New Roman"/>
                <w:sz w:val="20"/>
                <w:szCs w:val="20"/>
              </w:rPr>
              <w:t>não</w:t>
            </w:r>
          </w:p>
        </w:tc>
        <w:tc>
          <w:tcPr>
            <w:tcW w:w="709" w:type="dxa"/>
            <w:vAlign w:val="center"/>
          </w:tcPr>
          <w:p w:rsidR="00672BF9" w:rsidRPr="00EF1819" w:rsidRDefault="00672BF9" w:rsidP="00990440">
            <w:pPr>
              <w:autoSpaceDE w:val="0"/>
              <w:autoSpaceDN w:val="0"/>
              <w:adjustRightInd w:val="0"/>
              <w:spacing w:after="0" w:line="240" w:lineRule="auto"/>
              <w:jc w:val="center"/>
              <w:rPr>
                <w:rFonts w:ascii="Times New Roman" w:hAnsi="Times New Roman"/>
                <w:color w:val="000000"/>
                <w:sz w:val="20"/>
                <w:szCs w:val="20"/>
              </w:rPr>
            </w:pPr>
            <w:r w:rsidRPr="00EF1819">
              <w:rPr>
                <w:rFonts w:ascii="Times New Roman" w:hAnsi="Times New Roman"/>
                <w:sz w:val="20"/>
                <w:szCs w:val="20"/>
                <w:lang w:eastAsia="pt-BR"/>
              </w:rPr>
              <w:t>-3.926</w:t>
            </w:r>
          </w:p>
        </w:tc>
        <w:tc>
          <w:tcPr>
            <w:tcW w:w="709" w:type="dxa"/>
            <w:vAlign w:val="center"/>
          </w:tcPr>
          <w:p w:rsidR="00672BF9" w:rsidRPr="00EF1819" w:rsidRDefault="00672BF9" w:rsidP="00990440">
            <w:pPr>
              <w:autoSpaceDE w:val="0"/>
              <w:autoSpaceDN w:val="0"/>
              <w:adjustRightInd w:val="0"/>
              <w:spacing w:after="0" w:line="240" w:lineRule="auto"/>
              <w:jc w:val="center"/>
              <w:rPr>
                <w:rFonts w:ascii="Times New Roman" w:hAnsi="Times New Roman"/>
                <w:color w:val="000000"/>
                <w:sz w:val="20"/>
                <w:szCs w:val="20"/>
              </w:rPr>
            </w:pPr>
            <w:r w:rsidRPr="00EF1819">
              <w:rPr>
                <w:rFonts w:ascii="Times New Roman" w:hAnsi="Times New Roman"/>
                <w:sz w:val="20"/>
                <w:szCs w:val="20"/>
                <w:lang w:eastAsia="pt-BR"/>
              </w:rPr>
              <w:t>0.0036</w:t>
            </w:r>
          </w:p>
        </w:tc>
        <w:tc>
          <w:tcPr>
            <w:tcW w:w="992" w:type="dxa"/>
            <w:vAlign w:val="center"/>
          </w:tcPr>
          <w:p w:rsidR="00672BF9" w:rsidRPr="00EF1819" w:rsidRDefault="00672BF9" w:rsidP="00990440">
            <w:pPr>
              <w:autoSpaceDE w:val="0"/>
              <w:autoSpaceDN w:val="0"/>
              <w:adjustRightInd w:val="0"/>
              <w:spacing w:after="0" w:line="240" w:lineRule="auto"/>
              <w:jc w:val="center"/>
              <w:rPr>
                <w:rFonts w:ascii="Times New Roman" w:hAnsi="Times New Roman"/>
                <w:sz w:val="20"/>
                <w:szCs w:val="20"/>
              </w:rPr>
            </w:pPr>
            <w:r w:rsidRPr="00EF1819">
              <w:rPr>
                <w:rFonts w:ascii="Times New Roman" w:hAnsi="Times New Roman"/>
                <w:sz w:val="20"/>
                <w:szCs w:val="20"/>
              </w:rPr>
              <w:t>3</w:t>
            </w:r>
          </w:p>
        </w:tc>
        <w:tc>
          <w:tcPr>
            <w:tcW w:w="992" w:type="dxa"/>
            <w:vAlign w:val="center"/>
          </w:tcPr>
          <w:p w:rsidR="00672BF9" w:rsidRPr="00EF1819" w:rsidRDefault="00672BF9" w:rsidP="00990440">
            <w:pPr>
              <w:spacing w:after="0" w:line="240" w:lineRule="auto"/>
              <w:jc w:val="center"/>
              <w:rPr>
                <w:rFonts w:ascii="Times New Roman" w:hAnsi="Times New Roman"/>
                <w:sz w:val="20"/>
                <w:szCs w:val="20"/>
              </w:rPr>
            </w:pPr>
            <w:r w:rsidRPr="00EF1819">
              <w:rPr>
                <w:rFonts w:ascii="Times New Roman" w:hAnsi="Times New Roman"/>
                <w:sz w:val="20"/>
                <w:szCs w:val="20"/>
              </w:rPr>
              <w:t>sim</w:t>
            </w:r>
          </w:p>
        </w:tc>
        <w:tc>
          <w:tcPr>
            <w:tcW w:w="851" w:type="dxa"/>
            <w:vAlign w:val="center"/>
          </w:tcPr>
          <w:p w:rsidR="00672BF9" w:rsidRPr="00EF1819" w:rsidRDefault="00672BF9" w:rsidP="00990440">
            <w:pPr>
              <w:spacing w:after="0" w:line="240" w:lineRule="auto"/>
              <w:jc w:val="center"/>
              <w:rPr>
                <w:rFonts w:ascii="Times New Roman" w:hAnsi="Times New Roman"/>
                <w:sz w:val="20"/>
                <w:szCs w:val="20"/>
              </w:rPr>
            </w:pPr>
            <w:r w:rsidRPr="00EF1819">
              <w:rPr>
                <w:rFonts w:ascii="Times New Roman" w:hAnsi="Times New Roman"/>
                <w:sz w:val="20"/>
                <w:szCs w:val="20"/>
              </w:rPr>
              <w:t>não</w:t>
            </w:r>
          </w:p>
        </w:tc>
        <w:tc>
          <w:tcPr>
            <w:tcW w:w="708" w:type="dxa"/>
            <w:vAlign w:val="center"/>
          </w:tcPr>
          <w:p w:rsidR="00672BF9" w:rsidRPr="00EF1819" w:rsidRDefault="00672BF9" w:rsidP="00990440">
            <w:pPr>
              <w:autoSpaceDE w:val="0"/>
              <w:autoSpaceDN w:val="0"/>
              <w:adjustRightInd w:val="0"/>
              <w:spacing w:after="0" w:line="240" w:lineRule="auto"/>
              <w:jc w:val="center"/>
              <w:rPr>
                <w:rFonts w:ascii="Times New Roman" w:hAnsi="Times New Roman"/>
                <w:color w:val="000000"/>
                <w:sz w:val="20"/>
                <w:szCs w:val="20"/>
              </w:rPr>
            </w:pPr>
            <w:r w:rsidRPr="00EF1819">
              <w:rPr>
                <w:rFonts w:ascii="Times New Roman" w:hAnsi="Times New Roman"/>
                <w:sz w:val="20"/>
                <w:szCs w:val="20"/>
                <w:lang w:eastAsia="pt-BR"/>
              </w:rPr>
              <w:t>-4.021</w:t>
            </w:r>
          </w:p>
        </w:tc>
        <w:tc>
          <w:tcPr>
            <w:tcW w:w="662" w:type="dxa"/>
            <w:vAlign w:val="center"/>
          </w:tcPr>
          <w:p w:rsidR="00672BF9" w:rsidRPr="00EF1819" w:rsidRDefault="00672BF9" w:rsidP="00990440">
            <w:pPr>
              <w:autoSpaceDE w:val="0"/>
              <w:autoSpaceDN w:val="0"/>
              <w:adjustRightInd w:val="0"/>
              <w:spacing w:after="0" w:line="240" w:lineRule="auto"/>
              <w:jc w:val="center"/>
              <w:rPr>
                <w:rFonts w:ascii="Times New Roman" w:hAnsi="Times New Roman"/>
                <w:color w:val="000000"/>
                <w:sz w:val="20"/>
                <w:szCs w:val="20"/>
              </w:rPr>
            </w:pPr>
            <w:r w:rsidRPr="00EF1819">
              <w:rPr>
                <w:rFonts w:ascii="Times New Roman" w:hAnsi="Times New Roman"/>
                <w:sz w:val="20"/>
                <w:szCs w:val="20"/>
                <w:lang w:eastAsia="pt-BR"/>
              </w:rPr>
              <w:t>0.0027</w:t>
            </w:r>
          </w:p>
        </w:tc>
      </w:tr>
      <w:tr w:rsidR="00672BF9" w:rsidRPr="003B324A" w:rsidTr="00B32FF7">
        <w:trPr>
          <w:trHeight w:val="255"/>
          <w:jc w:val="center"/>
        </w:trPr>
        <w:tc>
          <w:tcPr>
            <w:tcW w:w="807" w:type="dxa"/>
            <w:vAlign w:val="center"/>
          </w:tcPr>
          <w:p w:rsidR="00672BF9" w:rsidRPr="003B324A" w:rsidRDefault="00672BF9" w:rsidP="00E34532">
            <w:pPr>
              <w:spacing w:after="0" w:line="240" w:lineRule="auto"/>
              <w:rPr>
                <w:rFonts w:ascii="Times New Roman" w:hAnsi="Times New Roman"/>
                <w:sz w:val="20"/>
                <w:szCs w:val="20"/>
              </w:rPr>
            </w:pPr>
            <w:r w:rsidRPr="003B324A">
              <w:rPr>
                <w:rFonts w:ascii="Times New Roman" w:hAnsi="Times New Roman"/>
                <w:sz w:val="20"/>
                <w:szCs w:val="20"/>
              </w:rPr>
              <w:t>DJUROS</w:t>
            </w:r>
          </w:p>
        </w:tc>
        <w:tc>
          <w:tcPr>
            <w:tcW w:w="992" w:type="dxa"/>
            <w:vAlign w:val="center"/>
          </w:tcPr>
          <w:p w:rsidR="00672BF9" w:rsidRPr="003B324A" w:rsidRDefault="00672BF9" w:rsidP="00990440">
            <w:pPr>
              <w:spacing w:after="0" w:line="240" w:lineRule="auto"/>
              <w:jc w:val="center"/>
              <w:rPr>
                <w:rFonts w:ascii="Times New Roman" w:hAnsi="Times New Roman"/>
                <w:sz w:val="20"/>
                <w:szCs w:val="20"/>
              </w:rPr>
            </w:pPr>
            <w:r w:rsidRPr="003B324A">
              <w:rPr>
                <w:rFonts w:ascii="Times New Roman" w:hAnsi="Times New Roman"/>
                <w:sz w:val="20"/>
                <w:szCs w:val="20"/>
              </w:rPr>
              <w:t>2</w:t>
            </w:r>
          </w:p>
        </w:tc>
        <w:tc>
          <w:tcPr>
            <w:tcW w:w="993" w:type="dxa"/>
            <w:vAlign w:val="center"/>
          </w:tcPr>
          <w:p w:rsidR="00672BF9" w:rsidRPr="003B324A" w:rsidRDefault="00672BF9" w:rsidP="00990440">
            <w:pPr>
              <w:spacing w:after="0" w:line="240" w:lineRule="auto"/>
              <w:jc w:val="center"/>
              <w:rPr>
                <w:rFonts w:ascii="Times New Roman" w:hAnsi="Times New Roman"/>
                <w:sz w:val="20"/>
                <w:szCs w:val="20"/>
              </w:rPr>
            </w:pPr>
            <w:r w:rsidRPr="003B324A">
              <w:rPr>
                <w:rFonts w:ascii="Times New Roman" w:hAnsi="Times New Roman"/>
                <w:sz w:val="20"/>
                <w:szCs w:val="20"/>
              </w:rPr>
              <w:t>sim</w:t>
            </w:r>
          </w:p>
        </w:tc>
        <w:tc>
          <w:tcPr>
            <w:tcW w:w="850" w:type="dxa"/>
            <w:vAlign w:val="center"/>
          </w:tcPr>
          <w:p w:rsidR="00672BF9" w:rsidRPr="003B324A" w:rsidRDefault="00672BF9" w:rsidP="00990440">
            <w:pPr>
              <w:spacing w:after="0" w:line="240" w:lineRule="auto"/>
              <w:jc w:val="center"/>
              <w:rPr>
                <w:rFonts w:ascii="Times New Roman" w:hAnsi="Times New Roman"/>
                <w:sz w:val="20"/>
                <w:szCs w:val="20"/>
              </w:rPr>
            </w:pPr>
            <w:r w:rsidRPr="003B324A">
              <w:rPr>
                <w:rFonts w:ascii="Times New Roman" w:hAnsi="Times New Roman"/>
                <w:sz w:val="20"/>
                <w:szCs w:val="20"/>
              </w:rPr>
              <w:t>sim</w:t>
            </w:r>
          </w:p>
        </w:tc>
        <w:tc>
          <w:tcPr>
            <w:tcW w:w="709" w:type="dxa"/>
            <w:vAlign w:val="center"/>
          </w:tcPr>
          <w:p w:rsidR="00672BF9" w:rsidRPr="003B324A" w:rsidRDefault="00672BF9" w:rsidP="00990440">
            <w:pPr>
              <w:autoSpaceDE w:val="0"/>
              <w:autoSpaceDN w:val="0"/>
              <w:adjustRightInd w:val="0"/>
              <w:spacing w:after="0" w:line="240" w:lineRule="auto"/>
              <w:jc w:val="center"/>
              <w:rPr>
                <w:rFonts w:ascii="Times New Roman" w:hAnsi="Times New Roman"/>
                <w:color w:val="000000"/>
                <w:sz w:val="20"/>
                <w:szCs w:val="20"/>
              </w:rPr>
            </w:pPr>
            <w:r w:rsidRPr="003B324A">
              <w:rPr>
                <w:rFonts w:ascii="Times New Roman" w:hAnsi="Times New Roman"/>
                <w:color w:val="000000"/>
                <w:sz w:val="20"/>
                <w:szCs w:val="20"/>
              </w:rPr>
              <w:t>-5.171</w:t>
            </w:r>
          </w:p>
        </w:tc>
        <w:tc>
          <w:tcPr>
            <w:tcW w:w="709" w:type="dxa"/>
            <w:vAlign w:val="center"/>
          </w:tcPr>
          <w:p w:rsidR="00672BF9" w:rsidRPr="003B324A" w:rsidRDefault="00672BF9" w:rsidP="00990440">
            <w:pPr>
              <w:autoSpaceDE w:val="0"/>
              <w:autoSpaceDN w:val="0"/>
              <w:adjustRightInd w:val="0"/>
              <w:spacing w:after="0" w:line="240" w:lineRule="auto"/>
              <w:jc w:val="center"/>
              <w:rPr>
                <w:rFonts w:ascii="Times New Roman" w:hAnsi="Times New Roman"/>
                <w:color w:val="000000"/>
                <w:sz w:val="20"/>
                <w:szCs w:val="20"/>
              </w:rPr>
            </w:pPr>
            <w:r w:rsidRPr="003B324A">
              <w:rPr>
                <w:rFonts w:ascii="Times New Roman" w:hAnsi="Times New Roman"/>
                <w:color w:val="000000"/>
                <w:sz w:val="20"/>
                <w:szCs w:val="20"/>
              </w:rPr>
              <w:t>0.0005</w:t>
            </w:r>
          </w:p>
        </w:tc>
        <w:tc>
          <w:tcPr>
            <w:tcW w:w="992" w:type="dxa"/>
            <w:vAlign w:val="center"/>
          </w:tcPr>
          <w:p w:rsidR="00672BF9" w:rsidRPr="003B324A" w:rsidRDefault="00672BF9" w:rsidP="00990440">
            <w:pPr>
              <w:autoSpaceDE w:val="0"/>
              <w:autoSpaceDN w:val="0"/>
              <w:adjustRightInd w:val="0"/>
              <w:spacing w:after="0" w:line="240" w:lineRule="auto"/>
              <w:jc w:val="center"/>
              <w:rPr>
                <w:rFonts w:ascii="Times New Roman" w:hAnsi="Times New Roman"/>
                <w:sz w:val="20"/>
                <w:szCs w:val="20"/>
              </w:rPr>
            </w:pPr>
            <w:r w:rsidRPr="003B324A">
              <w:rPr>
                <w:rFonts w:ascii="Times New Roman" w:hAnsi="Times New Roman"/>
                <w:sz w:val="20"/>
                <w:szCs w:val="20"/>
              </w:rPr>
              <w:t>10</w:t>
            </w:r>
          </w:p>
        </w:tc>
        <w:tc>
          <w:tcPr>
            <w:tcW w:w="992" w:type="dxa"/>
            <w:vAlign w:val="center"/>
          </w:tcPr>
          <w:p w:rsidR="00672BF9" w:rsidRPr="003B324A" w:rsidRDefault="00672BF9" w:rsidP="00990440">
            <w:pPr>
              <w:spacing w:after="0" w:line="240" w:lineRule="auto"/>
              <w:jc w:val="center"/>
              <w:rPr>
                <w:rFonts w:ascii="Times New Roman" w:hAnsi="Times New Roman"/>
                <w:sz w:val="20"/>
                <w:szCs w:val="20"/>
              </w:rPr>
            </w:pPr>
            <w:r w:rsidRPr="003B324A">
              <w:rPr>
                <w:rFonts w:ascii="Times New Roman" w:hAnsi="Times New Roman"/>
                <w:sz w:val="20"/>
                <w:szCs w:val="20"/>
              </w:rPr>
              <w:t>não</w:t>
            </w:r>
          </w:p>
        </w:tc>
        <w:tc>
          <w:tcPr>
            <w:tcW w:w="851" w:type="dxa"/>
            <w:vAlign w:val="center"/>
          </w:tcPr>
          <w:p w:rsidR="00672BF9" w:rsidRPr="003B324A" w:rsidRDefault="00672BF9" w:rsidP="00990440">
            <w:pPr>
              <w:spacing w:after="0" w:line="240" w:lineRule="auto"/>
              <w:jc w:val="center"/>
              <w:rPr>
                <w:rFonts w:ascii="Times New Roman" w:hAnsi="Times New Roman"/>
                <w:sz w:val="20"/>
                <w:szCs w:val="20"/>
              </w:rPr>
            </w:pPr>
            <w:r w:rsidRPr="003B324A">
              <w:rPr>
                <w:rFonts w:ascii="Times New Roman" w:hAnsi="Times New Roman"/>
                <w:sz w:val="20"/>
                <w:szCs w:val="20"/>
              </w:rPr>
              <w:t>não</w:t>
            </w:r>
          </w:p>
        </w:tc>
        <w:tc>
          <w:tcPr>
            <w:tcW w:w="708" w:type="dxa"/>
            <w:vAlign w:val="center"/>
          </w:tcPr>
          <w:p w:rsidR="00672BF9" w:rsidRPr="003B324A" w:rsidRDefault="00672BF9" w:rsidP="00990440">
            <w:pPr>
              <w:autoSpaceDE w:val="0"/>
              <w:autoSpaceDN w:val="0"/>
              <w:adjustRightInd w:val="0"/>
              <w:spacing w:after="0" w:line="240" w:lineRule="auto"/>
              <w:jc w:val="center"/>
              <w:rPr>
                <w:rFonts w:ascii="Times New Roman" w:hAnsi="Times New Roman"/>
                <w:color w:val="000000"/>
                <w:sz w:val="20"/>
                <w:szCs w:val="20"/>
              </w:rPr>
            </w:pPr>
            <w:r w:rsidRPr="003B324A">
              <w:rPr>
                <w:rFonts w:ascii="Times New Roman" w:hAnsi="Times New Roman"/>
                <w:color w:val="000000"/>
                <w:sz w:val="20"/>
                <w:szCs w:val="20"/>
              </w:rPr>
              <w:t>-3.469</w:t>
            </w:r>
          </w:p>
        </w:tc>
        <w:tc>
          <w:tcPr>
            <w:tcW w:w="662" w:type="dxa"/>
            <w:vAlign w:val="center"/>
          </w:tcPr>
          <w:p w:rsidR="00672BF9" w:rsidRPr="003B324A" w:rsidRDefault="00672BF9" w:rsidP="00990440">
            <w:pPr>
              <w:autoSpaceDE w:val="0"/>
              <w:autoSpaceDN w:val="0"/>
              <w:adjustRightInd w:val="0"/>
              <w:spacing w:after="0" w:line="240" w:lineRule="auto"/>
              <w:jc w:val="center"/>
              <w:rPr>
                <w:rFonts w:ascii="Times New Roman" w:hAnsi="Times New Roman"/>
                <w:color w:val="000000"/>
                <w:sz w:val="20"/>
                <w:szCs w:val="20"/>
              </w:rPr>
            </w:pPr>
            <w:r w:rsidRPr="003B324A">
              <w:rPr>
                <w:rFonts w:ascii="Times New Roman" w:hAnsi="Times New Roman"/>
                <w:color w:val="000000"/>
                <w:sz w:val="20"/>
                <w:szCs w:val="20"/>
              </w:rPr>
              <w:t>0.0008</w:t>
            </w:r>
          </w:p>
        </w:tc>
      </w:tr>
      <w:tr w:rsidR="00672BF9" w:rsidRPr="003B324A" w:rsidTr="00B32FF7">
        <w:trPr>
          <w:trHeight w:val="255"/>
          <w:jc w:val="center"/>
        </w:trPr>
        <w:tc>
          <w:tcPr>
            <w:tcW w:w="807" w:type="dxa"/>
            <w:vAlign w:val="center"/>
          </w:tcPr>
          <w:p w:rsidR="00672BF9" w:rsidRPr="003B324A" w:rsidRDefault="00672BF9" w:rsidP="00E34532">
            <w:pPr>
              <w:spacing w:after="0" w:line="240" w:lineRule="auto"/>
              <w:rPr>
                <w:rFonts w:ascii="Times New Roman" w:hAnsi="Times New Roman"/>
                <w:sz w:val="20"/>
                <w:szCs w:val="20"/>
              </w:rPr>
            </w:pPr>
            <w:r w:rsidRPr="003B324A">
              <w:rPr>
                <w:rFonts w:ascii="Times New Roman" w:hAnsi="Times New Roman"/>
                <w:sz w:val="20"/>
                <w:szCs w:val="20"/>
              </w:rPr>
              <w:t>DEMBI</w:t>
            </w:r>
          </w:p>
        </w:tc>
        <w:tc>
          <w:tcPr>
            <w:tcW w:w="992" w:type="dxa"/>
            <w:vAlign w:val="center"/>
          </w:tcPr>
          <w:p w:rsidR="00672BF9" w:rsidRPr="003B324A" w:rsidRDefault="00672BF9" w:rsidP="00990440">
            <w:pPr>
              <w:spacing w:after="0" w:line="240" w:lineRule="auto"/>
              <w:jc w:val="center"/>
              <w:rPr>
                <w:rFonts w:ascii="Times New Roman" w:hAnsi="Times New Roman"/>
                <w:sz w:val="20"/>
                <w:szCs w:val="20"/>
              </w:rPr>
            </w:pPr>
            <w:r w:rsidRPr="003B324A">
              <w:rPr>
                <w:rFonts w:ascii="Times New Roman" w:hAnsi="Times New Roman"/>
                <w:sz w:val="20"/>
                <w:szCs w:val="20"/>
              </w:rPr>
              <w:t>1</w:t>
            </w:r>
          </w:p>
        </w:tc>
        <w:tc>
          <w:tcPr>
            <w:tcW w:w="993" w:type="dxa"/>
            <w:vAlign w:val="center"/>
          </w:tcPr>
          <w:p w:rsidR="00672BF9" w:rsidRPr="003B324A" w:rsidRDefault="00672BF9" w:rsidP="00990440">
            <w:pPr>
              <w:spacing w:after="0" w:line="240" w:lineRule="auto"/>
              <w:jc w:val="center"/>
              <w:rPr>
                <w:rFonts w:ascii="Times New Roman" w:hAnsi="Times New Roman"/>
                <w:sz w:val="20"/>
                <w:szCs w:val="20"/>
              </w:rPr>
            </w:pPr>
            <w:r w:rsidRPr="003B324A">
              <w:rPr>
                <w:rFonts w:ascii="Times New Roman" w:hAnsi="Times New Roman"/>
                <w:sz w:val="20"/>
                <w:szCs w:val="20"/>
              </w:rPr>
              <w:t>não</w:t>
            </w:r>
          </w:p>
        </w:tc>
        <w:tc>
          <w:tcPr>
            <w:tcW w:w="850" w:type="dxa"/>
            <w:vAlign w:val="center"/>
          </w:tcPr>
          <w:p w:rsidR="00672BF9" w:rsidRPr="003B324A" w:rsidRDefault="00672BF9" w:rsidP="00990440">
            <w:pPr>
              <w:spacing w:after="0" w:line="240" w:lineRule="auto"/>
              <w:jc w:val="center"/>
              <w:rPr>
                <w:rFonts w:ascii="Times New Roman" w:hAnsi="Times New Roman"/>
                <w:sz w:val="20"/>
                <w:szCs w:val="20"/>
              </w:rPr>
            </w:pPr>
            <w:r w:rsidRPr="003B324A">
              <w:rPr>
                <w:rFonts w:ascii="Times New Roman" w:hAnsi="Times New Roman"/>
                <w:sz w:val="20"/>
                <w:szCs w:val="20"/>
              </w:rPr>
              <w:t>não</w:t>
            </w:r>
          </w:p>
        </w:tc>
        <w:tc>
          <w:tcPr>
            <w:tcW w:w="709" w:type="dxa"/>
            <w:vAlign w:val="center"/>
          </w:tcPr>
          <w:p w:rsidR="00672BF9" w:rsidRPr="003B324A" w:rsidRDefault="00672BF9" w:rsidP="00990440">
            <w:pPr>
              <w:autoSpaceDE w:val="0"/>
              <w:autoSpaceDN w:val="0"/>
              <w:adjustRightInd w:val="0"/>
              <w:spacing w:after="0" w:line="240" w:lineRule="auto"/>
              <w:jc w:val="center"/>
              <w:rPr>
                <w:rFonts w:ascii="Times New Roman" w:hAnsi="Times New Roman"/>
                <w:color w:val="000000"/>
                <w:sz w:val="20"/>
                <w:szCs w:val="20"/>
              </w:rPr>
            </w:pPr>
            <w:r w:rsidRPr="003B324A">
              <w:rPr>
                <w:rFonts w:ascii="Times New Roman" w:hAnsi="Times New Roman"/>
                <w:color w:val="000000"/>
                <w:sz w:val="20"/>
                <w:szCs w:val="20"/>
              </w:rPr>
              <w:t>-6.916</w:t>
            </w:r>
          </w:p>
        </w:tc>
        <w:tc>
          <w:tcPr>
            <w:tcW w:w="709" w:type="dxa"/>
            <w:vAlign w:val="center"/>
          </w:tcPr>
          <w:p w:rsidR="00672BF9" w:rsidRPr="003B324A" w:rsidRDefault="00672BF9" w:rsidP="00990440">
            <w:pPr>
              <w:autoSpaceDE w:val="0"/>
              <w:autoSpaceDN w:val="0"/>
              <w:adjustRightInd w:val="0"/>
              <w:spacing w:after="0" w:line="240" w:lineRule="auto"/>
              <w:jc w:val="center"/>
              <w:rPr>
                <w:rFonts w:ascii="Times New Roman" w:hAnsi="Times New Roman"/>
                <w:color w:val="000000"/>
                <w:sz w:val="20"/>
                <w:szCs w:val="20"/>
              </w:rPr>
            </w:pPr>
            <w:r w:rsidRPr="003B324A">
              <w:rPr>
                <w:rFonts w:ascii="Times New Roman" w:hAnsi="Times New Roman"/>
                <w:color w:val="000000"/>
                <w:sz w:val="20"/>
                <w:szCs w:val="20"/>
              </w:rPr>
              <w:t>0.0000</w:t>
            </w:r>
          </w:p>
        </w:tc>
        <w:tc>
          <w:tcPr>
            <w:tcW w:w="992" w:type="dxa"/>
            <w:vAlign w:val="center"/>
          </w:tcPr>
          <w:p w:rsidR="00672BF9" w:rsidRPr="003B324A" w:rsidRDefault="00672BF9" w:rsidP="00990440">
            <w:pPr>
              <w:autoSpaceDE w:val="0"/>
              <w:autoSpaceDN w:val="0"/>
              <w:adjustRightInd w:val="0"/>
              <w:spacing w:after="0" w:line="240" w:lineRule="auto"/>
              <w:jc w:val="center"/>
              <w:rPr>
                <w:rFonts w:ascii="Times New Roman" w:hAnsi="Times New Roman"/>
                <w:sz w:val="20"/>
                <w:szCs w:val="20"/>
              </w:rPr>
            </w:pPr>
            <w:r w:rsidRPr="003B324A">
              <w:rPr>
                <w:rFonts w:ascii="Times New Roman" w:hAnsi="Times New Roman"/>
                <w:sz w:val="20"/>
                <w:szCs w:val="20"/>
              </w:rPr>
              <w:t>29</w:t>
            </w:r>
          </w:p>
        </w:tc>
        <w:tc>
          <w:tcPr>
            <w:tcW w:w="992" w:type="dxa"/>
            <w:vAlign w:val="center"/>
          </w:tcPr>
          <w:p w:rsidR="00672BF9" w:rsidRPr="003B324A" w:rsidRDefault="00672BF9" w:rsidP="00990440">
            <w:pPr>
              <w:spacing w:after="0" w:line="240" w:lineRule="auto"/>
              <w:jc w:val="center"/>
              <w:rPr>
                <w:rFonts w:ascii="Times New Roman" w:hAnsi="Times New Roman"/>
                <w:sz w:val="20"/>
                <w:szCs w:val="20"/>
              </w:rPr>
            </w:pPr>
            <w:r w:rsidRPr="003B324A">
              <w:rPr>
                <w:rFonts w:ascii="Times New Roman" w:hAnsi="Times New Roman"/>
                <w:sz w:val="20"/>
                <w:szCs w:val="20"/>
              </w:rPr>
              <w:t>não</w:t>
            </w:r>
          </w:p>
        </w:tc>
        <w:tc>
          <w:tcPr>
            <w:tcW w:w="851" w:type="dxa"/>
            <w:vAlign w:val="center"/>
          </w:tcPr>
          <w:p w:rsidR="00672BF9" w:rsidRPr="003B324A" w:rsidRDefault="00672BF9" w:rsidP="00990440">
            <w:pPr>
              <w:spacing w:after="0" w:line="240" w:lineRule="auto"/>
              <w:jc w:val="center"/>
              <w:rPr>
                <w:rFonts w:ascii="Times New Roman" w:hAnsi="Times New Roman"/>
                <w:sz w:val="20"/>
                <w:szCs w:val="20"/>
              </w:rPr>
            </w:pPr>
            <w:r w:rsidRPr="003B324A">
              <w:rPr>
                <w:rFonts w:ascii="Times New Roman" w:hAnsi="Times New Roman"/>
                <w:sz w:val="20"/>
                <w:szCs w:val="20"/>
              </w:rPr>
              <w:t>não</w:t>
            </w:r>
          </w:p>
        </w:tc>
        <w:tc>
          <w:tcPr>
            <w:tcW w:w="708" w:type="dxa"/>
            <w:vAlign w:val="center"/>
          </w:tcPr>
          <w:p w:rsidR="00672BF9" w:rsidRPr="003B324A" w:rsidRDefault="00672BF9" w:rsidP="00990440">
            <w:pPr>
              <w:autoSpaceDE w:val="0"/>
              <w:autoSpaceDN w:val="0"/>
              <w:adjustRightInd w:val="0"/>
              <w:spacing w:after="0" w:line="240" w:lineRule="auto"/>
              <w:jc w:val="center"/>
              <w:rPr>
                <w:rFonts w:ascii="Times New Roman" w:hAnsi="Times New Roman"/>
                <w:color w:val="000000"/>
                <w:sz w:val="20"/>
                <w:szCs w:val="20"/>
              </w:rPr>
            </w:pPr>
            <w:r w:rsidRPr="003B324A">
              <w:rPr>
                <w:rFonts w:ascii="Times New Roman" w:hAnsi="Times New Roman"/>
                <w:color w:val="000000"/>
                <w:sz w:val="20"/>
                <w:szCs w:val="20"/>
              </w:rPr>
              <w:t>-6.073</w:t>
            </w:r>
          </w:p>
        </w:tc>
        <w:tc>
          <w:tcPr>
            <w:tcW w:w="662" w:type="dxa"/>
            <w:vAlign w:val="center"/>
          </w:tcPr>
          <w:p w:rsidR="00672BF9" w:rsidRPr="003B324A" w:rsidRDefault="00672BF9" w:rsidP="00990440">
            <w:pPr>
              <w:autoSpaceDE w:val="0"/>
              <w:autoSpaceDN w:val="0"/>
              <w:adjustRightInd w:val="0"/>
              <w:spacing w:after="0" w:line="240" w:lineRule="auto"/>
              <w:jc w:val="center"/>
              <w:rPr>
                <w:rFonts w:ascii="Times New Roman" w:hAnsi="Times New Roman"/>
                <w:color w:val="000000"/>
                <w:sz w:val="20"/>
                <w:szCs w:val="20"/>
              </w:rPr>
            </w:pPr>
            <w:r w:rsidRPr="003B324A">
              <w:rPr>
                <w:rFonts w:ascii="Times New Roman" w:hAnsi="Times New Roman"/>
                <w:color w:val="000000"/>
                <w:sz w:val="20"/>
                <w:szCs w:val="20"/>
              </w:rPr>
              <w:t>0.0000</w:t>
            </w:r>
          </w:p>
        </w:tc>
      </w:tr>
    </w:tbl>
    <w:p w:rsidR="00B33E67" w:rsidRPr="00B33E67" w:rsidRDefault="00B33E67" w:rsidP="00613864">
      <w:pPr>
        <w:spacing w:after="0" w:line="240" w:lineRule="auto"/>
        <w:rPr>
          <w:rFonts w:ascii="Times New Roman" w:hAnsi="Times New Roman"/>
          <w:sz w:val="20"/>
          <w:szCs w:val="20"/>
        </w:rPr>
      </w:pPr>
      <w:r w:rsidRPr="00B33E67">
        <w:rPr>
          <w:rFonts w:ascii="Times New Roman" w:hAnsi="Times New Roman"/>
          <w:i/>
          <w:sz w:val="20"/>
          <w:szCs w:val="20"/>
        </w:rPr>
        <w:t>Fonte</w:t>
      </w:r>
      <w:r w:rsidRPr="00B33E67">
        <w:rPr>
          <w:rFonts w:ascii="Times New Roman" w:hAnsi="Times New Roman"/>
          <w:sz w:val="20"/>
          <w:szCs w:val="20"/>
        </w:rPr>
        <w:t xml:space="preserve">: </w:t>
      </w:r>
      <w:r w:rsidR="009B4C54">
        <w:rPr>
          <w:rFonts w:ascii="Times New Roman" w:hAnsi="Times New Roman"/>
          <w:sz w:val="20"/>
          <w:szCs w:val="20"/>
        </w:rPr>
        <w:t xml:space="preserve">Elaboração própria a partir da </w:t>
      </w:r>
      <w:r w:rsidRPr="00B33E67">
        <w:rPr>
          <w:rFonts w:ascii="Times New Roman" w:hAnsi="Times New Roman"/>
          <w:sz w:val="20"/>
          <w:szCs w:val="20"/>
        </w:rPr>
        <w:t xml:space="preserve">saída do Eviews 7.0. </w:t>
      </w:r>
    </w:p>
    <w:p w:rsidR="002F7102" w:rsidRDefault="002F7102" w:rsidP="006E41E7">
      <w:pPr>
        <w:pStyle w:val="PargrafodaLista"/>
        <w:spacing w:after="0" w:line="240" w:lineRule="auto"/>
        <w:rPr>
          <w:rFonts w:ascii="Times New Roman" w:hAnsi="Times New Roman"/>
          <w:sz w:val="24"/>
          <w:szCs w:val="24"/>
        </w:rPr>
      </w:pPr>
    </w:p>
    <w:p w:rsidR="00293861" w:rsidRDefault="002F5ED0" w:rsidP="002F5ED0">
      <w:pPr>
        <w:spacing w:after="0" w:line="240" w:lineRule="auto"/>
        <w:ind w:firstLine="708"/>
        <w:jc w:val="both"/>
        <w:rPr>
          <w:rFonts w:ascii="Times New Roman" w:hAnsi="Times New Roman"/>
          <w:sz w:val="24"/>
          <w:szCs w:val="24"/>
        </w:rPr>
      </w:pPr>
      <w:r w:rsidRPr="00491041">
        <w:rPr>
          <w:rFonts w:ascii="Times New Roman" w:hAnsi="Times New Roman"/>
          <w:sz w:val="24"/>
          <w:szCs w:val="24"/>
        </w:rPr>
        <w:t xml:space="preserve">A partir dos resultados dos testes de estacionariedade das variáveis, procedeu-se à especificação e </w:t>
      </w:r>
      <w:r w:rsidR="00DE2472" w:rsidRPr="00491041">
        <w:rPr>
          <w:rFonts w:ascii="Times New Roman" w:hAnsi="Times New Roman"/>
          <w:sz w:val="24"/>
          <w:szCs w:val="24"/>
        </w:rPr>
        <w:t xml:space="preserve">à </w:t>
      </w:r>
      <w:r w:rsidRPr="00491041">
        <w:rPr>
          <w:rFonts w:ascii="Times New Roman" w:hAnsi="Times New Roman"/>
          <w:sz w:val="24"/>
          <w:szCs w:val="24"/>
        </w:rPr>
        <w:t xml:space="preserve">escolha das defasagens dos modelos VAR, cujos resultados encontram-se expostos na Tabela 5. </w:t>
      </w:r>
      <w:r w:rsidR="00C325EA" w:rsidRPr="00491041">
        <w:rPr>
          <w:rFonts w:ascii="Times New Roman" w:hAnsi="Times New Roman"/>
          <w:sz w:val="24"/>
          <w:szCs w:val="24"/>
        </w:rPr>
        <w:t>T</w:t>
      </w:r>
      <w:r w:rsidRPr="00491041">
        <w:rPr>
          <w:rFonts w:ascii="Times New Roman" w:hAnsi="Times New Roman"/>
          <w:sz w:val="24"/>
          <w:szCs w:val="24"/>
        </w:rPr>
        <w:t>omando-se por base os valores mais baixos apresentados pelo critério de informação de Schwarz</w:t>
      </w:r>
      <w:r w:rsidR="00C325EA" w:rsidRPr="00491041">
        <w:rPr>
          <w:rFonts w:ascii="Times New Roman" w:hAnsi="Times New Roman"/>
          <w:sz w:val="24"/>
          <w:szCs w:val="24"/>
        </w:rPr>
        <w:t xml:space="preserve">, </w:t>
      </w:r>
      <w:r w:rsidRPr="00491041">
        <w:rPr>
          <w:rFonts w:ascii="Times New Roman" w:hAnsi="Times New Roman"/>
          <w:sz w:val="24"/>
          <w:szCs w:val="24"/>
        </w:rPr>
        <w:t xml:space="preserve">foram escolhidos os </w:t>
      </w:r>
      <w:r w:rsidR="00C325EA" w:rsidRPr="00491041">
        <w:rPr>
          <w:rFonts w:ascii="Times New Roman" w:hAnsi="Times New Roman"/>
          <w:sz w:val="24"/>
          <w:szCs w:val="24"/>
        </w:rPr>
        <w:t>modelos</w:t>
      </w:r>
      <w:r w:rsidRPr="00491041">
        <w:rPr>
          <w:rFonts w:ascii="Times New Roman" w:hAnsi="Times New Roman"/>
          <w:sz w:val="24"/>
          <w:szCs w:val="24"/>
        </w:rPr>
        <w:t xml:space="preserve"> com uma defasagem, representado por VAR (1). Cumpre destacar que testes de diagnósticos de resíduos </w:t>
      </w:r>
      <w:r w:rsidR="00C325EA" w:rsidRPr="00491041">
        <w:rPr>
          <w:rFonts w:ascii="Times New Roman" w:hAnsi="Times New Roman"/>
          <w:sz w:val="24"/>
          <w:szCs w:val="24"/>
        </w:rPr>
        <w:t xml:space="preserve">(LM Autocorrelation) </w:t>
      </w:r>
      <w:r w:rsidRPr="00491041">
        <w:rPr>
          <w:rFonts w:ascii="Times New Roman" w:hAnsi="Times New Roman"/>
          <w:sz w:val="24"/>
          <w:szCs w:val="24"/>
        </w:rPr>
        <w:t>foram efetuados para confirmar a real defasagem dos modelos, sendo que os resultados destes testes corroboraram a defasage</w:t>
      </w:r>
      <w:r w:rsidR="00C325EA" w:rsidRPr="00491041">
        <w:rPr>
          <w:rFonts w:ascii="Times New Roman" w:hAnsi="Times New Roman"/>
          <w:sz w:val="24"/>
          <w:szCs w:val="24"/>
        </w:rPr>
        <w:t>m</w:t>
      </w:r>
      <w:r w:rsidRPr="00491041">
        <w:rPr>
          <w:rFonts w:ascii="Times New Roman" w:hAnsi="Times New Roman"/>
          <w:sz w:val="24"/>
          <w:szCs w:val="24"/>
        </w:rPr>
        <w:t xml:space="preserve"> sugerida pelo critério de Schwarz.</w:t>
      </w:r>
    </w:p>
    <w:p w:rsidR="002F5ED0" w:rsidRPr="00293861" w:rsidRDefault="002F5ED0" w:rsidP="002F5ED0">
      <w:pPr>
        <w:spacing w:after="0" w:line="240" w:lineRule="auto"/>
        <w:ind w:firstLine="708"/>
        <w:jc w:val="both"/>
        <w:rPr>
          <w:rFonts w:ascii="Times New Roman" w:eastAsia="SimSun" w:hAnsi="Times New Roman"/>
          <w:sz w:val="24"/>
          <w:szCs w:val="24"/>
          <w:lang w:eastAsia="zh-CN"/>
        </w:rPr>
      </w:pPr>
    </w:p>
    <w:p w:rsidR="00B81953" w:rsidRPr="00B81953" w:rsidRDefault="00B81953" w:rsidP="00B81953">
      <w:pPr>
        <w:spacing w:after="0" w:line="240" w:lineRule="auto"/>
        <w:jc w:val="center"/>
        <w:rPr>
          <w:rFonts w:ascii="Times New Roman" w:eastAsia="SimSun" w:hAnsi="Times New Roman"/>
          <w:b/>
          <w:sz w:val="24"/>
          <w:szCs w:val="24"/>
          <w:lang w:eastAsia="zh-CN"/>
        </w:rPr>
      </w:pPr>
      <w:r w:rsidRPr="00B81953">
        <w:rPr>
          <w:rFonts w:ascii="Times New Roman" w:eastAsia="SimSun" w:hAnsi="Times New Roman"/>
          <w:b/>
          <w:sz w:val="24"/>
          <w:szCs w:val="24"/>
          <w:lang w:eastAsia="zh-CN"/>
        </w:rPr>
        <w:t>Tabela 5: Seleção dos Modelos VAR</w:t>
      </w:r>
    </w:p>
    <w:tbl>
      <w:tblPr>
        <w:tblW w:w="9170" w:type="dxa"/>
        <w:tblBorders>
          <w:top w:val="double" w:sz="6" w:space="0" w:color="auto"/>
          <w:bottom w:val="double" w:sz="4" w:space="0" w:color="auto"/>
          <w:insideH w:val="single" w:sz="4" w:space="0" w:color="auto"/>
          <w:insideV w:val="single" w:sz="4" w:space="0" w:color="auto"/>
        </w:tblBorders>
        <w:tblLayout w:type="fixed"/>
        <w:tblCellMar>
          <w:left w:w="0" w:type="dxa"/>
          <w:right w:w="0" w:type="dxa"/>
        </w:tblCellMar>
        <w:tblLook w:val="0000"/>
      </w:tblPr>
      <w:tblGrid>
        <w:gridCol w:w="993"/>
        <w:gridCol w:w="1022"/>
        <w:gridCol w:w="1022"/>
        <w:gridCol w:w="1022"/>
        <w:gridCol w:w="1022"/>
        <w:gridCol w:w="1022"/>
        <w:gridCol w:w="1022"/>
        <w:gridCol w:w="1022"/>
        <w:gridCol w:w="1023"/>
      </w:tblGrid>
      <w:tr w:rsidR="002F5ED0" w:rsidRPr="00B60CB5" w:rsidTr="002F5ED0">
        <w:trPr>
          <w:trHeight w:val="243"/>
        </w:trPr>
        <w:tc>
          <w:tcPr>
            <w:tcW w:w="993" w:type="dxa"/>
            <w:shd w:val="clear" w:color="auto" w:fill="BFBFBF"/>
            <w:vAlign w:val="bottom"/>
          </w:tcPr>
          <w:p w:rsidR="002F5ED0" w:rsidRPr="00B60CB5" w:rsidRDefault="002F5ED0" w:rsidP="00293861">
            <w:pPr>
              <w:autoSpaceDE w:val="0"/>
              <w:autoSpaceDN w:val="0"/>
              <w:adjustRightInd w:val="0"/>
              <w:spacing w:after="0" w:line="240" w:lineRule="auto"/>
              <w:jc w:val="center"/>
              <w:rPr>
                <w:rFonts w:ascii="Times New Roman" w:hAnsi="Times New Roman"/>
                <w:color w:val="000000"/>
                <w:sz w:val="20"/>
                <w:szCs w:val="20"/>
                <w:lang w:eastAsia="pt-BR"/>
              </w:rPr>
            </w:pPr>
          </w:p>
        </w:tc>
        <w:tc>
          <w:tcPr>
            <w:tcW w:w="4088" w:type="dxa"/>
            <w:gridSpan w:val="4"/>
            <w:shd w:val="clear" w:color="auto" w:fill="BFBFBF"/>
            <w:vAlign w:val="bottom"/>
          </w:tcPr>
          <w:p w:rsidR="002F5ED0" w:rsidRPr="00B60CB5" w:rsidRDefault="002F5ED0" w:rsidP="00E04B9A">
            <w:pPr>
              <w:autoSpaceDE w:val="0"/>
              <w:autoSpaceDN w:val="0"/>
              <w:adjustRightInd w:val="0"/>
              <w:spacing w:after="0" w:line="240" w:lineRule="auto"/>
              <w:jc w:val="center"/>
              <w:rPr>
                <w:rFonts w:ascii="Times New Roman" w:hAnsi="Times New Roman"/>
                <w:b/>
                <w:color w:val="000000"/>
                <w:sz w:val="20"/>
                <w:szCs w:val="20"/>
                <w:lang w:eastAsia="pt-BR"/>
              </w:rPr>
            </w:pPr>
            <w:r w:rsidRPr="00B60CB5">
              <w:rPr>
                <w:rFonts w:ascii="Times New Roman" w:hAnsi="Times New Roman"/>
                <w:b/>
                <w:color w:val="000000"/>
                <w:sz w:val="20"/>
                <w:szCs w:val="20"/>
                <w:lang w:eastAsia="pt-BR"/>
              </w:rPr>
              <w:t>Modelo 1</w:t>
            </w:r>
          </w:p>
        </w:tc>
        <w:tc>
          <w:tcPr>
            <w:tcW w:w="4089" w:type="dxa"/>
            <w:gridSpan w:val="4"/>
            <w:shd w:val="clear" w:color="auto" w:fill="BFBFBF"/>
            <w:vAlign w:val="bottom"/>
          </w:tcPr>
          <w:p w:rsidR="002F5ED0" w:rsidRPr="00B60CB5" w:rsidRDefault="002F5ED0" w:rsidP="00E04B9A">
            <w:pPr>
              <w:autoSpaceDE w:val="0"/>
              <w:autoSpaceDN w:val="0"/>
              <w:adjustRightInd w:val="0"/>
              <w:spacing w:after="0" w:line="240" w:lineRule="auto"/>
              <w:jc w:val="center"/>
              <w:rPr>
                <w:rFonts w:ascii="Times New Roman" w:hAnsi="Times New Roman"/>
                <w:b/>
                <w:color w:val="000000"/>
                <w:sz w:val="20"/>
                <w:szCs w:val="20"/>
                <w:lang w:eastAsia="pt-BR"/>
              </w:rPr>
            </w:pPr>
            <w:r w:rsidRPr="00B60CB5">
              <w:rPr>
                <w:rFonts w:ascii="Times New Roman" w:hAnsi="Times New Roman"/>
                <w:b/>
                <w:color w:val="000000"/>
                <w:sz w:val="20"/>
                <w:szCs w:val="20"/>
                <w:lang w:eastAsia="pt-BR"/>
              </w:rPr>
              <w:t>Modelo 2</w:t>
            </w:r>
          </w:p>
        </w:tc>
      </w:tr>
      <w:tr w:rsidR="002F5ED0" w:rsidRPr="00B60CB5" w:rsidTr="002F5ED0">
        <w:trPr>
          <w:trHeight w:val="243"/>
        </w:trPr>
        <w:tc>
          <w:tcPr>
            <w:tcW w:w="993" w:type="dxa"/>
            <w:vAlign w:val="bottom"/>
          </w:tcPr>
          <w:p w:rsidR="001C684D" w:rsidRPr="00B60CB5" w:rsidRDefault="001C684D" w:rsidP="00293861">
            <w:pPr>
              <w:autoSpaceDE w:val="0"/>
              <w:autoSpaceDN w:val="0"/>
              <w:adjustRightInd w:val="0"/>
              <w:spacing w:after="0" w:line="240" w:lineRule="auto"/>
              <w:jc w:val="center"/>
              <w:rPr>
                <w:rFonts w:ascii="Times New Roman" w:hAnsi="Times New Roman"/>
                <w:color w:val="000000"/>
                <w:sz w:val="20"/>
                <w:szCs w:val="20"/>
                <w:lang w:eastAsia="pt-BR"/>
              </w:rPr>
            </w:pPr>
            <w:r w:rsidRPr="00B60CB5">
              <w:rPr>
                <w:rFonts w:ascii="Times New Roman" w:hAnsi="Times New Roman"/>
                <w:color w:val="000000"/>
                <w:sz w:val="20"/>
                <w:szCs w:val="20"/>
                <w:lang w:eastAsia="pt-BR"/>
              </w:rPr>
              <w:t>Defasagem</w:t>
            </w:r>
          </w:p>
        </w:tc>
        <w:tc>
          <w:tcPr>
            <w:tcW w:w="1022" w:type="dxa"/>
            <w:vAlign w:val="bottom"/>
          </w:tcPr>
          <w:p w:rsidR="001C684D" w:rsidRPr="00B60CB5" w:rsidRDefault="001C684D" w:rsidP="00E04B9A">
            <w:pPr>
              <w:autoSpaceDE w:val="0"/>
              <w:autoSpaceDN w:val="0"/>
              <w:adjustRightInd w:val="0"/>
              <w:spacing w:after="0" w:line="240" w:lineRule="auto"/>
              <w:jc w:val="center"/>
              <w:rPr>
                <w:rFonts w:ascii="Times New Roman" w:hAnsi="Times New Roman"/>
                <w:color w:val="000000"/>
                <w:sz w:val="20"/>
                <w:szCs w:val="20"/>
                <w:lang w:eastAsia="pt-BR"/>
              </w:rPr>
            </w:pPr>
            <w:r w:rsidRPr="00B60CB5">
              <w:rPr>
                <w:rFonts w:ascii="Times New Roman" w:hAnsi="Times New Roman"/>
                <w:color w:val="000000"/>
                <w:sz w:val="20"/>
                <w:szCs w:val="20"/>
                <w:lang w:eastAsia="pt-BR"/>
              </w:rPr>
              <w:t>LogL</w:t>
            </w:r>
          </w:p>
        </w:tc>
        <w:tc>
          <w:tcPr>
            <w:tcW w:w="1022" w:type="dxa"/>
            <w:vAlign w:val="bottom"/>
          </w:tcPr>
          <w:p w:rsidR="001C684D" w:rsidRPr="00B60CB5" w:rsidRDefault="001C684D" w:rsidP="00E04B9A">
            <w:pPr>
              <w:autoSpaceDE w:val="0"/>
              <w:autoSpaceDN w:val="0"/>
              <w:adjustRightInd w:val="0"/>
              <w:spacing w:after="0" w:line="240" w:lineRule="auto"/>
              <w:jc w:val="center"/>
              <w:rPr>
                <w:rFonts w:ascii="Times New Roman" w:hAnsi="Times New Roman"/>
                <w:color w:val="000000"/>
                <w:sz w:val="20"/>
                <w:szCs w:val="20"/>
                <w:lang w:eastAsia="pt-BR"/>
              </w:rPr>
            </w:pPr>
            <w:r w:rsidRPr="00B60CB5">
              <w:rPr>
                <w:rFonts w:ascii="Times New Roman" w:hAnsi="Times New Roman"/>
                <w:color w:val="000000"/>
                <w:sz w:val="20"/>
                <w:szCs w:val="20"/>
                <w:lang w:eastAsia="pt-BR"/>
              </w:rPr>
              <w:t>AIC</w:t>
            </w:r>
          </w:p>
        </w:tc>
        <w:tc>
          <w:tcPr>
            <w:tcW w:w="1022" w:type="dxa"/>
            <w:vAlign w:val="bottom"/>
          </w:tcPr>
          <w:p w:rsidR="001C684D" w:rsidRPr="00B60CB5" w:rsidRDefault="001C684D" w:rsidP="00E04B9A">
            <w:pPr>
              <w:autoSpaceDE w:val="0"/>
              <w:autoSpaceDN w:val="0"/>
              <w:adjustRightInd w:val="0"/>
              <w:spacing w:after="0" w:line="240" w:lineRule="auto"/>
              <w:jc w:val="center"/>
              <w:rPr>
                <w:rFonts w:ascii="Times New Roman" w:hAnsi="Times New Roman"/>
                <w:color w:val="000000"/>
                <w:sz w:val="20"/>
                <w:szCs w:val="20"/>
                <w:lang w:eastAsia="pt-BR"/>
              </w:rPr>
            </w:pPr>
            <w:r w:rsidRPr="00B60CB5">
              <w:rPr>
                <w:rFonts w:ascii="Times New Roman" w:hAnsi="Times New Roman"/>
                <w:color w:val="000000"/>
                <w:sz w:val="20"/>
                <w:szCs w:val="20"/>
                <w:lang w:eastAsia="pt-BR"/>
              </w:rPr>
              <w:t>SC</w:t>
            </w:r>
          </w:p>
        </w:tc>
        <w:tc>
          <w:tcPr>
            <w:tcW w:w="1022" w:type="dxa"/>
            <w:vAlign w:val="bottom"/>
          </w:tcPr>
          <w:p w:rsidR="001C684D" w:rsidRPr="00B60CB5" w:rsidRDefault="001C684D" w:rsidP="00E04B9A">
            <w:pPr>
              <w:autoSpaceDE w:val="0"/>
              <w:autoSpaceDN w:val="0"/>
              <w:adjustRightInd w:val="0"/>
              <w:spacing w:after="0" w:line="240" w:lineRule="auto"/>
              <w:jc w:val="center"/>
              <w:rPr>
                <w:rFonts w:ascii="Times New Roman" w:hAnsi="Times New Roman"/>
                <w:color w:val="000000"/>
                <w:sz w:val="20"/>
                <w:szCs w:val="20"/>
                <w:lang w:eastAsia="pt-BR"/>
              </w:rPr>
            </w:pPr>
            <w:r w:rsidRPr="00B60CB5">
              <w:rPr>
                <w:rFonts w:ascii="Times New Roman" w:hAnsi="Times New Roman"/>
                <w:color w:val="000000"/>
                <w:sz w:val="20"/>
                <w:szCs w:val="20"/>
                <w:lang w:eastAsia="pt-BR"/>
              </w:rPr>
              <w:t>HQ</w:t>
            </w:r>
          </w:p>
        </w:tc>
        <w:tc>
          <w:tcPr>
            <w:tcW w:w="1022" w:type="dxa"/>
            <w:vAlign w:val="bottom"/>
          </w:tcPr>
          <w:p w:rsidR="001C684D" w:rsidRPr="00B60CB5" w:rsidRDefault="001C684D" w:rsidP="00E04B9A">
            <w:pPr>
              <w:autoSpaceDE w:val="0"/>
              <w:autoSpaceDN w:val="0"/>
              <w:adjustRightInd w:val="0"/>
              <w:spacing w:after="0" w:line="240" w:lineRule="auto"/>
              <w:jc w:val="center"/>
              <w:rPr>
                <w:rFonts w:ascii="Times New Roman" w:hAnsi="Times New Roman"/>
                <w:color w:val="000000"/>
                <w:sz w:val="20"/>
                <w:szCs w:val="20"/>
                <w:lang w:eastAsia="pt-BR"/>
              </w:rPr>
            </w:pPr>
            <w:r w:rsidRPr="00B60CB5">
              <w:rPr>
                <w:rFonts w:ascii="Times New Roman" w:hAnsi="Times New Roman"/>
                <w:color w:val="000000"/>
                <w:sz w:val="20"/>
                <w:szCs w:val="20"/>
                <w:lang w:eastAsia="pt-BR"/>
              </w:rPr>
              <w:t>LogL</w:t>
            </w:r>
          </w:p>
        </w:tc>
        <w:tc>
          <w:tcPr>
            <w:tcW w:w="1022" w:type="dxa"/>
            <w:vAlign w:val="bottom"/>
          </w:tcPr>
          <w:p w:rsidR="001C684D" w:rsidRPr="00B60CB5" w:rsidRDefault="001C684D" w:rsidP="00E04B9A">
            <w:pPr>
              <w:autoSpaceDE w:val="0"/>
              <w:autoSpaceDN w:val="0"/>
              <w:adjustRightInd w:val="0"/>
              <w:spacing w:after="0" w:line="240" w:lineRule="auto"/>
              <w:jc w:val="center"/>
              <w:rPr>
                <w:rFonts w:ascii="Times New Roman" w:hAnsi="Times New Roman"/>
                <w:color w:val="000000"/>
                <w:sz w:val="20"/>
                <w:szCs w:val="20"/>
                <w:lang w:eastAsia="pt-BR"/>
              </w:rPr>
            </w:pPr>
            <w:r w:rsidRPr="00B60CB5">
              <w:rPr>
                <w:rFonts w:ascii="Times New Roman" w:hAnsi="Times New Roman"/>
                <w:color w:val="000000"/>
                <w:sz w:val="20"/>
                <w:szCs w:val="20"/>
                <w:lang w:eastAsia="pt-BR"/>
              </w:rPr>
              <w:t>AIC</w:t>
            </w:r>
          </w:p>
        </w:tc>
        <w:tc>
          <w:tcPr>
            <w:tcW w:w="1022" w:type="dxa"/>
            <w:vAlign w:val="bottom"/>
          </w:tcPr>
          <w:p w:rsidR="001C684D" w:rsidRPr="00B60CB5" w:rsidRDefault="001C684D" w:rsidP="00E04B9A">
            <w:pPr>
              <w:autoSpaceDE w:val="0"/>
              <w:autoSpaceDN w:val="0"/>
              <w:adjustRightInd w:val="0"/>
              <w:spacing w:after="0" w:line="240" w:lineRule="auto"/>
              <w:jc w:val="center"/>
              <w:rPr>
                <w:rFonts w:ascii="Times New Roman" w:hAnsi="Times New Roman"/>
                <w:color w:val="000000"/>
                <w:sz w:val="20"/>
                <w:szCs w:val="20"/>
                <w:lang w:eastAsia="pt-BR"/>
              </w:rPr>
            </w:pPr>
            <w:r w:rsidRPr="00B60CB5">
              <w:rPr>
                <w:rFonts w:ascii="Times New Roman" w:hAnsi="Times New Roman"/>
                <w:color w:val="000000"/>
                <w:sz w:val="20"/>
                <w:szCs w:val="20"/>
                <w:lang w:eastAsia="pt-BR"/>
              </w:rPr>
              <w:t>SC</w:t>
            </w:r>
          </w:p>
        </w:tc>
        <w:tc>
          <w:tcPr>
            <w:tcW w:w="1023" w:type="dxa"/>
            <w:vAlign w:val="bottom"/>
          </w:tcPr>
          <w:p w:rsidR="001C684D" w:rsidRPr="00B60CB5" w:rsidRDefault="001C684D" w:rsidP="00E04B9A">
            <w:pPr>
              <w:autoSpaceDE w:val="0"/>
              <w:autoSpaceDN w:val="0"/>
              <w:adjustRightInd w:val="0"/>
              <w:spacing w:after="0" w:line="240" w:lineRule="auto"/>
              <w:jc w:val="center"/>
              <w:rPr>
                <w:rFonts w:ascii="Times New Roman" w:hAnsi="Times New Roman"/>
                <w:color w:val="000000"/>
                <w:sz w:val="20"/>
                <w:szCs w:val="20"/>
                <w:lang w:eastAsia="pt-BR"/>
              </w:rPr>
            </w:pPr>
            <w:r w:rsidRPr="00B60CB5">
              <w:rPr>
                <w:rFonts w:ascii="Times New Roman" w:hAnsi="Times New Roman"/>
                <w:color w:val="000000"/>
                <w:sz w:val="20"/>
                <w:szCs w:val="20"/>
                <w:lang w:eastAsia="pt-BR"/>
              </w:rPr>
              <w:t>HQ</w:t>
            </w:r>
          </w:p>
        </w:tc>
      </w:tr>
      <w:tr w:rsidR="00B60CB5" w:rsidRPr="00B60CB5" w:rsidTr="002F5ED0">
        <w:trPr>
          <w:trHeight w:val="243"/>
        </w:trPr>
        <w:tc>
          <w:tcPr>
            <w:tcW w:w="993" w:type="dxa"/>
            <w:vAlign w:val="bottom"/>
          </w:tcPr>
          <w:p w:rsidR="00B60CB5" w:rsidRPr="00B60CB5" w:rsidRDefault="00B60CB5" w:rsidP="00293861">
            <w:pPr>
              <w:autoSpaceDE w:val="0"/>
              <w:autoSpaceDN w:val="0"/>
              <w:adjustRightInd w:val="0"/>
              <w:spacing w:after="0" w:line="240" w:lineRule="auto"/>
              <w:jc w:val="center"/>
              <w:rPr>
                <w:rFonts w:ascii="Times New Roman" w:hAnsi="Times New Roman"/>
                <w:color w:val="000000"/>
                <w:sz w:val="20"/>
                <w:szCs w:val="20"/>
                <w:lang w:eastAsia="pt-BR"/>
              </w:rPr>
            </w:pPr>
            <w:r w:rsidRPr="00B60CB5">
              <w:rPr>
                <w:rFonts w:ascii="Times New Roman" w:hAnsi="Times New Roman"/>
                <w:color w:val="000000"/>
                <w:sz w:val="20"/>
                <w:szCs w:val="20"/>
                <w:lang w:eastAsia="pt-BR"/>
              </w:rPr>
              <w:t>1</w:t>
            </w:r>
          </w:p>
        </w:tc>
        <w:tc>
          <w:tcPr>
            <w:tcW w:w="1022" w:type="dxa"/>
            <w:vAlign w:val="bottom"/>
          </w:tcPr>
          <w:p w:rsidR="00B60CB5" w:rsidRPr="00B60CB5" w:rsidRDefault="00B60CB5" w:rsidP="002E61D1">
            <w:pPr>
              <w:autoSpaceDE w:val="0"/>
              <w:autoSpaceDN w:val="0"/>
              <w:adjustRightInd w:val="0"/>
              <w:spacing w:after="0" w:line="240" w:lineRule="auto"/>
              <w:jc w:val="center"/>
              <w:rPr>
                <w:rFonts w:ascii="Times New Roman" w:hAnsi="Times New Roman"/>
                <w:color w:val="000000"/>
                <w:sz w:val="20"/>
                <w:szCs w:val="20"/>
                <w:lang w:eastAsia="pt-BR"/>
              </w:rPr>
            </w:pPr>
            <w:r w:rsidRPr="00B60CB5">
              <w:rPr>
                <w:rFonts w:ascii="Times New Roman" w:hAnsi="Times New Roman"/>
                <w:color w:val="000000"/>
                <w:sz w:val="20"/>
                <w:szCs w:val="20"/>
                <w:lang w:eastAsia="pt-BR"/>
              </w:rPr>
              <w:t>-879.7983</w:t>
            </w:r>
          </w:p>
        </w:tc>
        <w:tc>
          <w:tcPr>
            <w:tcW w:w="1022" w:type="dxa"/>
            <w:vAlign w:val="bottom"/>
          </w:tcPr>
          <w:p w:rsidR="00B60CB5" w:rsidRPr="00B60CB5" w:rsidRDefault="00B60CB5" w:rsidP="002E61D1">
            <w:pPr>
              <w:autoSpaceDE w:val="0"/>
              <w:autoSpaceDN w:val="0"/>
              <w:adjustRightInd w:val="0"/>
              <w:spacing w:after="0" w:line="240" w:lineRule="auto"/>
              <w:jc w:val="center"/>
              <w:rPr>
                <w:rFonts w:ascii="Times New Roman" w:hAnsi="Times New Roman"/>
                <w:color w:val="000000"/>
                <w:sz w:val="20"/>
                <w:szCs w:val="20"/>
                <w:lang w:eastAsia="pt-BR"/>
              </w:rPr>
            </w:pPr>
            <w:r w:rsidRPr="00B60CB5">
              <w:rPr>
                <w:rFonts w:ascii="Times New Roman" w:hAnsi="Times New Roman"/>
                <w:color w:val="000000"/>
                <w:sz w:val="20"/>
                <w:szCs w:val="20"/>
                <w:lang w:eastAsia="pt-BR"/>
              </w:rPr>
              <w:t> 38.40826</w:t>
            </w:r>
          </w:p>
        </w:tc>
        <w:tc>
          <w:tcPr>
            <w:tcW w:w="1022" w:type="dxa"/>
            <w:vAlign w:val="bottom"/>
          </w:tcPr>
          <w:p w:rsidR="00B60CB5" w:rsidRPr="00B60CB5" w:rsidRDefault="00B60CB5" w:rsidP="002E61D1">
            <w:pPr>
              <w:autoSpaceDE w:val="0"/>
              <w:autoSpaceDN w:val="0"/>
              <w:adjustRightInd w:val="0"/>
              <w:spacing w:after="0" w:line="240" w:lineRule="auto"/>
              <w:jc w:val="center"/>
              <w:rPr>
                <w:rFonts w:ascii="Times New Roman" w:hAnsi="Times New Roman"/>
                <w:color w:val="000000"/>
                <w:sz w:val="20"/>
                <w:szCs w:val="20"/>
                <w:lang w:eastAsia="pt-BR"/>
              </w:rPr>
            </w:pPr>
            <w:r w:rsidRPr="00B60CB5">
              <w:rPr>
                <w:rFonts w:ascii="Times New Roman" w:hAnsi="Times New Roman"/>
                <w:color w:val="000000"/>
                <w:sz w:val="20"/>
                <w:szCs w:val="20"/>
                <w:lang w:eastAsia="pt-BR"/>
              </w:rPr>
              <w:t>  40.04556*</w:t>
            </w:r>
          </w:p>
        </w:tc>
        <w:tc>
          <w:tcPr>
            <w:tcW w:w="1022" w:type="dxa"/>
            <w:vAlign w:val="bottom"/>
          </w:tcPr>
          <w:p w:rsidR="00B60CB5" w:rsidRPr="00B60CB5" w:rsidRDefault="00B60CB5" w:rsidP="002E61D1">
            <w:pPr>
              <w:autoSpaceDE w:val="0"/>
              <w:autoSpaceDN w:val="0"/>
              <w:adjustRightInd w:val="0"/>
              <w:spacing w:after="0" w:line="240" w:lineRule="auto"/>
              <w:jc w:val="center"/>
              <w:rPr>
                <w:rFonts w:ascii="Times New Roman" w:hAnsi="Times New Roman"/>
                <w:color w:val="000000"/>
                <w:sz w:val="20"/>
                <w:szCs w:val="20"/>
                <w:lang w:eastAsia="pt-BR"/>
              </w:rPr>
            </w:pPr>
            <w:r w:rsidRPr="00B60CB5">
              <w:rPr>
                <w:rFonts w:ascii="Times New Roman" w:hAnsi="Times New Roman"/>
                <w:color w:val="000000"/>
                <w:sz w:val="20"/>
                <w:szCs w:val="20"/>
                <w:lang w:eastAsia="pt-BR"/>
              </w:rPr>
              <w:t>  39.02700*</w:t>
            </w:r>
          </w:p>
        </w:tc>
        <w:tc>
          <w:tcPr>
            <w:tcW w:w="1022" w:type="dxa"/>
            <w:vAlign w:val="bottom"/>
          </w:tcPr>
          <w:p w:rsidR="00B60CB5" w:rsidRPr="00B60CB5" w:rsidRDefault="00B60CB5" w:rsidP="00E04B9A">
            <w:pPr>
              <w:autoSpaceDE w:val="0"/>
              <w:autoSpaceDN w:val="0"/>
              <w:adjustRightInd w:val="0"/>
              <w:spacing w:after="0" w:line="240" w:lineRule="auto"/>
              <w:jc w:val="center"/>
              <w:rPr>
                <w:rFonts w:ascii="Times New Roman" w:hAnsi="Times New Roman"/>
                <w:color w:val="000000"/>
                <w:sz w:val="20"/>
                <w:szCs w:val="20"/>
                <w:lang w:eastAsia="pt-BR"/>
              </w:rPr>
            </w:pPr>
            <w:r w:rsidRPr="00B60CB5">
              <w:rPr>
                <w:rFonts w:ascii="Times New Roman" w:hAnsi="Times New Roman"/>
                <w:color w:val="000000"/>
                <w:sz w:val="20"/>
                <w:szCs w:val="20"/>
                <w:lang w:eastAsia="pt-BR"/>
              </w:rPr>
              <w:t>-922.8656</w:t>
            </w:r>
          </w:p>
        </w:tc>
        <w:tc>
          <w:tcPr>
            <w:tcW w:w="1022" w:type="dxa"/>
            <w:vAlign w:val="bottom"/>
          </w:tcPr>
          <w:p w:rsidR="00B60CB5" w:rsidRPr="00B60CB5" w:rsidRDefault="00B60CB5" w:rsidP="00E04B9A">
            <w:pPr>
              <w:autoSpaceDE w:val="0"/>
              <w:autoSpaceDN w:val="0"/>
              <w:adjustRightInd w:val="0"/>
              <w:spacing w:after="0" w:line="240" w:lineRule="auto"/>
              <w:jc w:val="center"/>
              <w:rPr>
                <w:rFonts w:ascii="Times New Roman" w:hAnsi="Times New Roman"/>
                <w:color w:val="000000"/>
                <w:sz w:val="20"/>
                <w:szCs w:val="20"/>
                <w:lang w:eastAsia="pt-BR"/>
              </w:rPr>
            </w:pPr>
            <w:r w:rsidRPr="00B60CB5">
              <w:rPr>
                <w:rFonts w:ascii="Times New Roman" w:hAnsi="Times New Roman"/>
                <w:color w:val="000000"/>
                <w:sz w:val="20"/>
                <w:szCs w:val="20"/>
                <w:lang w:eastAsia="pt-BR"/>
              </w:rPr>
              <w:t> 41.45273</w:t>
            </w:r>
          </w:p>
        </w:tc>
        <w:tc>
          <w:tcPr>
            <w:tcW w:w="1022" w:type="dxa"/>
            <w:vAlign w:val="bottom"/>
          </w:tcPr>
          <w:p w:rsidR="00B60CB5" w:rsidRPr="00B60CB5" w:rsidRDefault="00B60CB5" w:rsidP="00E04B9A">
            <w:pPr>
              <w:autoSpaceDE w:val="0"/>
              <w:autoSpaceDN w:val="0"/>
              <w:adjustRightInd w:val="0"/>
              <w:spacing w:after="0" w:line="240" w:lineRule="auto"/>
              <w:jc w:val="center"/>
              <w:rPr>
                <w:rFonts w:ascii="Times New Roman" w:hAnsi="Times New Roman"/>
                <w:color w:val="000000"/>
                <w:sz w:val="20"/>
                <w:szCs w:val="20"/>
                <w:lang w:eastAsia="pt-BR"/>
              </w:rPr>
            </w:pPr>
            <w:r w:rsidRPr="00B60CB5">
              <w:rPr>
                <w:rFonts w:ascii="Times New Roman" w:hAnsi="Times New Roman"/>
                <w:color w:val="000000"/>
                <w:sz w:val="20"/>
                <w:szCs w:val="20"/>
                <w:lang w:eastAsia="pt-BR"/>
              </w:rPr>
              <w:t> 44.25953*</w:t>
            </w:r>
          </w:p>
        </w:tc>
        <w:tc>
          <w:tcPr>
            <w:tcW w:w="1023" w:type="dxa"/>
            <w:vAlign w:val="bottom"/>
          </w:tcPr>
          <w:p w:rsidR="00B60CB5" w:rsidRPr="00B60CB5" w:rsidRDefault="00B60CB5" w:rsidP="00E04B9A">
            <w:pPr>
              <w:autoSpaceDE w:val="0"/>
              <w:autoSpaceDN w:val="0"/>
              <w:adjustRightInd w:val="0"/>
              <w:spacing w:after="0" w:line="240" w:lineRule="auto"/>
              <w:jc w:val="center"/>
              <w:rPr>
                <w:rFonts w:ascii="Times New Roman" w:hAnsi="Times New Roman"/>
                <w:color w:val="000000"/>
                <w:sz w:val="20"/>
                <w:szCs w:val="20"/>
                <w:lang w:eastAsia="pt-BR"/>
              </w:rPr>
            </w:pPr>
            <w:r w:rsidRPr="00B60CB5">
              <w:rPr>
                <w:rFonts w:ascii="Times New Roman" w:hAnsi="Times New Roman"/>
                <w:color w:val="000000"/>
                <w:sz w:val="20"/>
                <w:szCs w:val="20"/>
                <w:lang w:eastAsia="pt-BR"/>
              </w:rPr>
              <w:t>  42.51343*</w:t>
            </w:r>
          </w:p>
        </w:tc>
      </w:tr>
      <w:tr w:rsidR="00B60CB5" w:rsidRPr="00B60CB5" w:rsidTr="002F5ED0">
        <w:trPr>
          <w:trHeight w:val="243"/>
        </w:trPr>
        <w:tc>
          <w:tcPr>
            <w:tcW w:w="993" w:type="dxa"/>
            <w:vAlign w:val="bottom"/>
          </w:tcPr>
          <w:p w:rsidR="00B60CB5" w:rsidRPr="00B60CB5" w:rsidRDefault="00B60CB5" w:rsidP="00293861">
            <w:pPr>
              <w:autoSpaceDE w:val="0"/>
              <w:autoSpaceDN w:val="0"/>
              <w:adjustRightInd w:val="0"/>
              <w:spacing w:after="0" w:line="240" w:lineRule="auto"/>
              <w:jc w:val="center"/>
              <w:rPr>
                <w:rFonts w:ascii="Times New Roman" w:hAnsi="Times New Roman"/>
                <w:color w:val="000000"/>
                <w:sz w:val="20"/>
                <w:szCs w:val="20"/>
                <w:lang w:eastAsia="pt-BR"/>
              </w:rPr>
            </w:pPr>
            <w:r w:rsidRPr="00B60CB5">
              <w:rPr>
                <w:rFonts w:ascii="Times New Roman" w:hAnsi="Times New Roman"/>
                <w:color w:val="000000"/>
                <w:sz w:val="20"/>
                <w:szCs w:val="20"/>
                <w:lang w:eastAsia="pt-BR"/>
              </w:rPr>
              <w:t>2</w:t>
            </w:r>
          </w:p>
        </w:tc>
        <w:tc>
          <w:tcPr>
            <w:tcW w:w="1022" w:type="dxa"/>
            <w:vAlign w:val="bottom"/>
          </w:tcPr>
          <w:p w:rsidR="00B60CB5" w:rsidRPr="00B60CB5" w:rsidRDefault="00B60CB5" w:rsidP="002E61D1">
            <w:pPr>
              <w:autoSpaceDE w:val="0"/>
              <w:autoSpaceDN w:val="0"/>
              <w:adjustRightInd w:val="0"/>
              <w:spacing w:after="0" w:line="240" w:lineRule="auto"/>
              <w:jc w:val="center"/>
              <w:rPr>
                <w:rFonts w:ascii="Times New Roman" w:hAnsi="Times New Roman"/>
                <w:color w:val="000000"/>
                <w:sz w:val="20"/>
                <w:szCs w:val="20"/>
                <w:lang w:eastAsia="pt-BR"/>
              </w:rPr>
            </w:pPr>
            <w:r w:rsidRPr="00B60CB5">
              <w:rPr>
                <w:rFonts w:ascii="Times New Roman" w:hAnsi="Times New Roman"/>
                <w:color w:val="000000"/>
                <w:sz w:val="20"/>
                <w:szCs w:val="20"/>
                <w:lang w:eastAsia="pt-BR"/>
              </w:rPr>
              <w:t>-844.1961</w:t>
            </w:r>
          </w:p>
        </w:tc>
        <w:tc>
          <w:tcPr>
            <w:tcW w:w="1022" w:type="dxa"/>
            <w:vAlign w:val="bottom"/>
          </w:tcPr>
          <w:p w:rsidR="00B60CB5" w:rsidRPr="00B60CB5" w:rsidRDefault="00B60CB5" w:rsidP="002E61D1">
            <w:pPr>
              <w:autoSpaceDE w:val="0"/>
              <w:autoSpaceDN w:val="0"/>
              <w:adjustRightInd w:val="0"/>
              <w:spacing w:after="0" w:line="240" w:lineRule="auto"/>
              <w:jc w:val="center"/>
              <w:rPr>
                <w:rFonts w:ascii="Times New Roman" w:hAnsi="Times New Roman"/>
                <w:color w:val="000000"/>
                <w:sz w:val="20"/>
                <w:szCs w:val="20"/>
                <w:lang w:eastAsia="pt-BR"/>
              </w:rPr>
            </w:pPr>
            <w:r w:rsidRPr="00B60CB5">
              <w:rPr>
                <w:rFonts w:ascii="Times New Roman" w:hAnsi="Times New Roman"/>
                <w:color w:val="000000"/>
                <w:sz w:val="20"/>
                <w:szCs w:val="20"/>
                <w:lang w:eastAsia="pt-BR"/>
              </w:rPr>
              <w:t> 38.42484</w:t>
            </w:r>
          </w:p>
        </w:tc>
        <w:tc>
          <w:tcPr>
            <w:tcW w:w="1022" w:type="dxa"/>
            <w:vAlign w:val="bottom"/>
          </w:tcPr>
          <w:p w:rsidR="00B60CB5" w:rsidRPr="00B60CB5" w:rsidRDefault="00B60CB5" w:rsidP="002E61D1">
            <w:pPr>
              <w:autoSpaceDE w:val="0"/>
              <w:autoSpaceDN w:val="0"/>
              <w:adjustRightInd w:val="0"/>
              <w:spacing w:after="0" w:line="240" w:lineRule="auto"/>
              <w:jc w:val="center"/>
              <w:rPr>
                <w:rFonts w:ascii="Times New Roman" w:hAnsi="Times New Roman"/>
                <w:color w:val="000000"/>
                <w:sz w:val="20"/>
                <w:szCs w:val="20"/>
                <w:lang w:eastAsia="pt-BR"/>
              </w:rPr>
            </w:pPr>
            <w:r w:rsidRPr="00B60CB5">
              <w:rPr>
                <w:rFonts w:ascii="Times New Roman" w:hAnsi="Times New Roman"/>
                <w:color w:val="000000"/>
                <w:sz w:val="20"/>
                <w:szCs w:val="20"/>
                <w:lang w:eastAsia="pt-BR"/>
              </w:rPr>
              <w:t> 41.46554</w:t>
            </w:r>
          </w:p>
        </w:tc>
        <w:tc>
          <w:tcPr>
            <w:tcW w:w="1022" w:type="dxa"/>
            <w:vAlign w:val="bottom"/>
          </w:tcPr>
          <w:p w:rsidR="00B60CB5" w:rsidRPr="00B60CB5" w:rsidRDefault="00B60CB5" w:rsidP="002E61D1">
            <w:pPr>
              <w:autoSpaceDE w:val="0"/>
              <w:autoSpaceDN w:val="0"/>
              <w:adjustRightInd w:val="0"/>
              <w:spacing w:after="0" w:line="240" w:lineRule="auto"/>
              <w:jc w:val="center"/>
              <w:rPr>
                <w:rFonts w:ascii="Times New Roman" w:hAnsi="Times New Roman"/>
                <w:color w:val="000000"/>
                <w:sz w:val="20"/>
                <w:szCs w:val="20"/>
                <w:lang w:eastAsia="pt-BR"/>
              </w:rPr>
            </w:pPr>
            <w:r w:rsidRPr="00B60CB5">
              <w:rPr>
                <w:rFonts w:ascii="Times New Roman" w:hAnsi="Times New Roman"/>
                <w:color w:val="000000"/>
                <w:sz w:val="20"/>
                <w:szCs w:val="20"/>
                <w:lang w:eastAsia="pt-BR"/>
              </w:rPr>
              <w:t> 39.57392</w:t>
            </w:r>
          </w:p>
        </w:tc>
        <w:tc>
          <w:tcPr>
            <w:tcW w:w="1022" w:type="dxa"/>
            <w:vAlign w:val="bottom"/>
          </w:tcPr>
          <w:p w:rsidR="00B60CB5" w:rsidRPr="00B60CB5" w:rsidRDefault="00B60CB5" w:rsidP="00E04B9A">
            <w:pPr>
              <w:autoSpaceDE w:val="0"/>
              <w:autoSpaceDN w:val="0"/>
              <w:adjustRightInd w:val="0"/>
              <w:spacing w:after="0" w:line="240" w:lineRule="auto"/>
              <w:jc w:val="center"/>
              <w:rPr>
                <w:rFonts w:ascii="Times New Roman" w:hAnsi="Times New Roman"/>
                <w:color w:val="000000"/>
                <w:sz w:val="20"/>
                <w:szCs w:val="20"/>
                <w:lang w:eastAsia="pt-BR"/>
              </w:rPr>
            </w:pPr>
            <w:r w:rsidRPr="00B60CB5">
              <w:rPr>
                <w:rFonts w:ascii="Times New Roman" w:hAnsi="Times New Roman"/>
                <w:color w:val="000000"/>
                <w:sz w:val="20"/>
                <w:szCs w:val="20"/>
                <w:lang w:eastAsia="pt-BR"/>
              </w:rPr>
              <w:t>-850.1738</w:t>
            </w:r>
          </w:p>
        </w:tc>
        <w:tc>
          <w:tcPr>
            <w:tcW w:w="1022" w:type="dxa"/>
            <w:vAlign w:val="bottom"/>
          </w:tcPr>
          <w:p w:rsidR="00B60CB5" w:rsidRPr="00B60CB5" w:rsidRDefault="00B60CB5" w:rsidP="00E04B9A">
            <w:pPr>
              <w:autoSpaceDE w:val="0"/>
              <w:autoSpaceDN w:val="0"/>
              <w:adjustRightInd w:val="0"/>
              <w:spacing w:after="0" w:line="240" w:lineRule="auto"/>
              <w:jc w:val="center"/>
              <w:rPr>
                <w:rFonts w:ascii="Times New Roman" w:hAnsi="Times New Roman"/>
                <w:color w:val="000000"/>
                <w:sz w:val="20"/>
                <w:szCs w:val="20"/>
                <w:lang w:eastAsia="pt-BR"/>
              </w:rPr>
            </w:pPr>
            <w:r w:rsidRPr="00B60CB5">
              <w:rPr>
                <w:rFonts w:ascii="Times New Roman" w:hAnsi="Times New Roman"/>
                <w:color w:val="000000"/>
                <w:sz w:val="20"/>
                <w:szCs w:val="20"/>
                <w:lang w:eastAsia="pt-BR"/>
              </w:rPr>
              <w:t> 41.09057</w:t>
            </w:r>
          </w:p>
        </w:tc>
        <w:tc>
          <w:tcPr>
            <w:tcW w:w="1022" w:type="dxa"/>
            <w:vAlign w:val="bottom"/>
          </w:tcPr>
          <w:p w:rsidR="00B60CB5" w:rsidRPr="00B60CB5" w:rsidRDefault="00B60CB5" w:rsidP="00E04B9A">
            <w:pPr>
              <w:autoSpaceDE w:val="0"/>
              <w:autoSpaceDN w:val="0"/>
              <w:adjustRightInd w:val="0"/>
              <w:spacing w:after="0" w:line="240" w:lineRule="auto"/>
              <w:jc w:val="center"/>
              <w:rPr>
                <w:rFonts w:ascii="Times New Roman" w:hAnsi="Times New Roman"/>
                <w:color w:val="000000"/>
                <w:sz w:val="20"/>
                <w:szCs w:val="20"/>
                <w:lang w:eastAsia="pt-BR"/>
              </w:rPr>
            </w:pPr>
            <w:r w:rsidRPr="00B60CB5">
              <w:rPr>
                <w:rFonts w:ascii="Times New Roman" w:hAnsi="Times New Roman"/>
                <w:color w:val="000000"/>
                <w:sz w:val="20"/>
                <w:szCs w:val="20"/>
                <w:lang w:eastAsia="pt-BR"/>
              </w:rPr>
              <w:t> 46.39231</w:t>
            </w:r>
          </w:p>
        </w:tc>
        <w:tc>
          <w:tcPr>
            <w:tcW w:w="1023" w:type="dxa"/>
            <w:vAlign w:val="bottom"/>
          </w:tcPr>
          <w:p w:rsidR="00B60CB5" w:rsidRPr="00B60CB5" w:rsidRDefault="00B60CB5" w:rsidP="00E04B9A">
            <w:pPr>
              <w:autoSpaceDE w:val="0"/>
              <w:autoSpaceDN w:val="0"/>
              <w:adjustRightInd w:val="0"/>
              <w:spacing w:after="0" w:line="240" w:lineRule="auto"/>
              <w:jc w:val="center"/>
              <w:rPr>
                <w:rFonts w:ascii="Times New Roman" w:hAnsi="Times New Roman"/>
                <w:color w:val="000000"/>
                <w:sz w:val="20"/>
                <w:szCs w:val="20"/>
                <w:lang w:eastAsia="pt-BR"/>
              </w:rPr>
            </w:pPr>
            <w:r w:rsidRPr="00B60CB5">
              <w:rPr>
                <w:rFonts w:ascii="Times New Roman" w:hAnsi="Times New Roman"/>
                <w:color w:val="000000"/>
                <w:sz w:val="20"/>
                <w:szCs w:val="20"/>
                <w:lang w:eastAsia="pt-BR"/>
              </w:rPr>
              <w:t> 43.09411</w:t>
            </w:r>
          </w:p>
        </w:tc>
      </w:tr>
      <w:tr w:rsidR="00B60CB5" w:rsidRPr="00B60CB5" w:rsidTr="002F5ED0">
        <w:trPr>
          <w:trHeight w:val="243"/>
        </w:trPr>
        <w:tc>
          <w:tcPr>
            <w:tcW w:w="993" w:type="dxa"/>
            <w:vAlign w:val="bottom"/>
          </w:tcPr>
          <w:p w:rsidR="00B60CB5" w:rsidRPr="00B60CB5" w:rsidRDefault="00B60CB5" w:rsidP="00293861">
            <w:pPr>
              <w:autoSpaceDE w:val="0"/>
              <w:autoSpaceDN w:val="0"/>
              <w:adjustRightInd w:val="0"/>
              <w:spacing w:after="0" w:line="240" w:lineRule="auto"/>
              <w:jc w:val="center"/>
              <w:rPr>
                <w:rFonts w:ascii="Times New Roman" w:hAnsi="Times New Roman"/>
                <w:color w:val="000000"/>
                <w:sz w:val="20"/>
                <w:szCs w:val="20"/>
                <w:lang w:eastAsia="pt-BR"/>
              </w:rPr>
            </w:pPr>
            <w:r w:rsidRPr="00B60CB5">
              <w:rPr>
                <w:rFonts w:ascii="Times New Roman" w:hAnsi="Times New Roman"/>
                <w:color w:val="000000"/>
                <w:sz w:val="20"/>
                <w:szCs w:val="20"/>
                <w:lang w:eastAsia="pt-BR"/>
              </w:rPr>
              <w:t>3</w:t>
            </w:r>
          </w:p>
        </w:tc>
        <w:tc>
          <w:tcPr>
            <w:tcW w:w="1022" w:type="dxa"/>
            <w:vAlign w:val="bottom"/>
          </w:tcPr>
          <w:p w:rsidR="00B60CB5" w:rsidRPr="00B60CB5" w:rsidRDefault="00B60CB5" w:rsidP="002E61D1">
            <w:pPr>
              <w:autoSpaceDE w:val="0"/>
              <w:autoSpaceDN w:val="0"/>
              <w:adjustRightInd w:val="0"/>
              <w:spacing w:after="0" w:line="240" w:lineRule="auto"/>
              <w:jc w:val="center"/>
              <w:rPr>
                <w:rFonts w:ascii="Times New Roman" w:hAnsi="Times New Roman"/>
                <w:color w:val="000000"/>
                <w:sz w:val="20"/>
                <w:szCs w:val="20"/>
                <w:lang w:eastAsia="pt-BR"/>
              </w:rPr>
            </w:pPr>
            <w:r w:rsidRPr="00B60CB5">
              <w:rPr>
                <w:rFonts w:ascii="Times New Roman" w:hAnsi="Times New Roman"/>
                <w:color w:val="000000"/>
                <w:sz w:val="20"/>
                <w:szCs w:val="20"/>
                <w:lang w:eastAsia="pt-BR"/>
              </w:rPr>
              <w:t>-806.0770</w:t>
            </w:r>
          </w:p>
        </w:tc>
        <w:tc>
          <w:tcPr>
            <w:tcW w:w="1022" w:type="dxa"/>
            <w:vAlign w:val="bottom"/>
          </w:tcPr>
          <w:p w:rsidR="00B60CB5" w:rsidRPr="00B60CB5" w:rsidRDefault="00B60CB5" w:rsidP="002E61D1">
            <w:pPr>
              <w:autoSpaceDE w:val="0"/>
              <w:autoSpaceDN w:val="0"/>
              <w:adjustRightInd w:val="0"/>
              <w:spacing w:after="0" w:line="240" w:lineRule="auto"/>
              <w:jc w:val="center"/>
              <w:rPr>
                <w:rFonts w:ascii="Times New Roman" w:hAnsi="Times New Roman"/>
                <w:color w:val="000000"/>
                <w:sz w:val="20"/>
                <w:szCs w:val="20"/>
                <w:lang w:eastAsia="pt-BR"/>
              </w:rPr>
            </w:pPr>
            <w:r w:rsidRPr="00B60CB5">
              <w:rPr>
                <w:rFonts w:ascii="Times New Roman" w:hAnsi="Times New Roman"/>
                <w:color w:val="000000"/>
                <w:sz w:val="20"/>
                <w:szCs w:val="20"/>
                <w:lang w:eastAsia="pt-BR"/>
              </w:rPr>
              <w:t> 38.33654</w:t>
            </w:r>
          </w:p>
        </w:tc>
        <w:tc>
          <w:tcPr>
            <w:tcW w:w="1022" w:type="dxa"/>
            <w:vAlign w:val="bottom"/>
          </w:tcPr>
          <w:p w:rsidR="00B60CB5" w:rsidRPr="00B60CB5" w:rsidRDefault="00B60CB5" w:rsidP="002E61D1">
            <w:pPr>
              <w:autoSpaceDE w:val="0"/>
              <w:autoSpaceDN w:val="0"/>
              <w:adjustRightInd w:val="0"/>
              <w:spacing w:after="0" w:line="240" w:lineRule="auto"/>
              <w:jc w:val="center"/>
              <w:rPr>
                <w:rFonts w:ascii="Times New Roman" w:hAnsi="Times New Roman"/>
                <w:color w:val="000000"/>
                <w:sz w:val="20"/>
                <w:szCs w:val="20"/>
                <w:lang w:eastAsia="pt-BR"/>
              </w:rPr>
            </w:pPr>
            <w:r w:rsidRPr="00B60CB5">
              <w:rPr>
                <w:rFonts w:ascii="Times New Roman" w:hAnsi="Times New Roman"/>
                <w:color w:val="000000"/>
                <w:sz w:val="20"/>
                <w:szCs w:val="20"/>
                <w:lang w:eastAsia="pt-BR"/>
              </w:rPr>
              <w:t> 42.78064</w:t>
            </w:r>
          </w:p>
        </w:tc>
        <w:tc>
          <w:tcPr>
            <w:tcW w:w="1022" w:type="dxa"/>
            <w:vAlign w:val="bottom"/>
          </w:tcPr>
          <w:p w:rsidR="00B60CB5" w:rsidRPr="00B60CB5" w:rsidRDefault="00B60CB5" w:rsidP="002E61D1">
            <w:pPr>
              <w:autoSpaceDE w:val="0"/>
              <w:autoSpaceDN w:val="0"/>
              <w:adjustRightInd w:val="0"/>
              <w:spacing w:after="0" w:line="240" w:lineRule="auto"/>
              <w:jc w:val="center"/>
              <w:rPr>
                <w:rFonts w:ascii="Times New Roman" w:hAnsi="Times New Roman"/>
                <w:color w:val="000000"/>
                <w:sz w:val="20"/>
                <w:szCs w:val="20"/>
                <w:lang w:eastAsia="pt-BR"/>
              </w:rPr>
            </w:pPr>
            <w:r w:rsidRPr="00B60CB5">
              <w:rPr>
                <w:rFonts w:ascii="Times New Roman" w:hAnsi="Times New Roman"/>
                <w:color w:val="000000"/>
                <w:sz w:val="20"/>
                <w:szCs w:val="20"/>
                <w:lang w:eastAsia="pt-BR"/>
              </w:rPr>
              <w:t> 40.01597</w:t>
            </w:r>
          </w:p>
        </w:tc>
        <w:tc>
          <w:tcPr>
            <w:tcW w:w="1022" w:type="dxa"/>
            <w:vAlign w:val="bottom"/>
          </w:tcPr>
          <w:p w:rsidR="00B60CB5" w:rsidRPr="00B60CB5" w:rsidRDefault="00B60CB5" w:rsidP="00E04B9A">
            <w:pPr>
              <w:autoSpaceDE w:val="0"/>
              <w:autoSpaceDN w:val="0"/>
              <w:adjustRightInd w:val="0"/>
              <w:spacing w:after="0" w:line="240" w:lineRule="auto"/>
              <w:jc w:val="center"/>
              <w:rPr>
                <w:rFonts w:ascii="Times New Roman" w:hAnsi="Times New Roman"/>
                <w:color w:val="000000"/>
                <w:sz w:val="20"/>
                <w:szCs w:val="20"/>
                <w:lang w:eastAsia="pt-BR"/>
              </w:rPr>
            </w:pPr>
            <w:r w:rsidRPr="00B60CB5">
              <w:rPr>
                <w:rFonts w:ascii="Times New Roman" w:hAnsi="Times New Roman"/>
                <w:color w:val="000000"/>
                <w:sz w:val="20"/>
                <w:szCs w:val="20"/>
                <w:lang w:eastAsia="pt-BR"/>
              </w:rPr>
              <w:t>-767.2595</w:t>
            </w:r>
          </w:p>
        </w:tc>
        <w:tc>
          <w:tcPr>
            <w:tcW w:w="1022" w:type="dxa"/>
            <w:vAlign w:val="bottom"/>
          </w:tcPr>
          <w:p w:rsidR="00B60CB5" w:rsidRPr="00B60CB5" w:rsidRDefault="00B60CB5" w:rsidP="00E04B9A">
            <w:pPr>
              <w:autoSpaceDE w:val="0"/>
              <w:autoSpaceDN w:val="0"/>
              <w:adjustRightInd w:val="0"/>
              <w:spacing w:after="0" w:line="240" w:lineRule="auto"/>
              <w:jc w:val="center"/>
              <w:rPr>
                <w:rFonts w:ascii="Times New Roman" w:hAnsi="Times New Roman"/>
                <w:color w:val="000000"/>
                <w:sz w:val="20"/>
                <w:szCs w:val="20"/>
                <w:lang w:eastAsia="pt-BR"/>
              </w:rPr>
            </w:pPr>
            <w:r w:rsidRPr="00B60CB5">
              <w:rPr>
                <w:rFonts w:ascii="Times New Roman" w:hAnsi="Times New Roman"/>
                <w:color w:val="000000"/>
                <w:sz w:val="20"/>
                <w:szCs w:val="20"/>
                <w:lang w:eastAsia="pt-BR"/>
              </w:rPr>
              <w:t> 40.30248</w:t>
            </w:r>
          </w:p>
        </w:tc>
        <w:tc>
          <w:tcPr>
            <w:tcW w:w="1022" w:type="dxa"/>
            <w:vAlign w:val="bottom"/>
          </w:tcPr>
          <w:p w:rsidR="00B60CB5" w:rsidRPr="00B60CB5" w:rsidRDefault="00B60CB5" w:rsidP="00E04B9A">
            <w:pPr>
              <w:autoSpaceDE w:val="0"/>
              <w:autoSpaceDN w:val="0"/>
              <w:adjustRightInd w:val="0"/>
              <w:spacing w:after="0" w:line="240" w:lineRule="auto"/>
              <w:jc w:val="center"/>
              <w:rPr>
                <w:rFonts w:ascii="Times New Roman" w:hAnsi="Times New Roman"/>
                <w:color w:val="000000"/>
                <w:sz w:val="20"/>
                <w:szCs w:val="20"/>
                <w:lang w:eastAsia="pt-BR"/>
              </w:rPr>
            </w:pPr>
            <w:r w:rsidRPr="00B60CB5">
              <w:rPr>
                <w:rFonts w:ascii="Times New Roman" w:hAnsi="Times New Roman"/>
                <w:color w:val="000000"/>
                <w:sz w:val="20"/>
                <w:szCs w:val="20"/>
                <w:lang w:eastAsia="pt-BR"/>
              </w:rPr>
              <w:t> 48.09915</w:t>
            </w:r>
          </w:p>
        </w:tc>
        <w:tc>
          <w:tcPr>
            <w:tcW w:w="1023" w:type="dxa"/>
            <w:vAlign w:val="bottom"/>
          </w:tcPr>
          <w:p w:rsidR="00B60CB5" w:rsidRPr="00B60CB5" w:rsidRDefault="00B60CB5" w:rsidP="00E04B9A">
            <w:pPr>
              <w:autoSpaceDE w:val="0"/>
              <w:autoSpaceDN w:val="0"/>
              <w:adjustRightInd w:val="0"/>
              <w:spacing w:after="0" w:line="240" w:lineRule="auto"/>
              <w:jc w:val="center"/>
              <w:rPr>
                <w:rFonts w:ascii="Times New Roman" w:hAnsi="Times New Roman"/>
                <w:color w:val="000000"/>
                <w:sz w:val="20"/>
                <w:szCs w:val="20"/>
                <w:lang w:eastAsia="pt-BR"/>
              </w:rPr>
            </w:pPr>
            <w:r w:rsidRPr="00B60CB5">
              <w:rPr>
                <w:rFonts w:ascii="Times New Roman" w:hAnsi="Times New Roman"/>
                <w:color w:val="000000"/>
                <w:sz w:val="20"/>
                <w:szCs w:val="20"/>
                <w:lang w:eastAsia="pt-BR"/>
              </w:rPr>
              <w:t> 43.24885</w:t>
            </w:r>
          </w:p>
        </w:tc>
      </w:tr>
      <w:tr w:rsidR="00B60CB5" w:rsidRPr="00B60CB5" w:rsidTr="002F5ED0">
        <w:trPr>
          <w:trHeight w:val="243"/>
        </w:trPr>
        <w:tc>
          <w:tcPr>
            <w:tcW w:w="993" w:type="dxa"/>
            <w:vAlign w:val="bottom"/>
          </w:tcPr>
          <w:p w:rsidR="00B60CB5" w:rsidRPr="00B60CB5" w:rsidRDefault="00B60CB5" w:rsidP="00293861">
            <w:pPr>
              <w:autoSpaceDE w:val="0"/>
              <w:autoSpaceDN w:val="0"/>
              <w:adjustRightInd w:val="0"/>
              <w:spacing w:after="0" w:line="240" w:lineRule="auto"/>
              <w:jc w:val="center"/>
              <w:rPr>
                <w:rFonts w:ascii="Times New Roman" w:hAnsi="Times New Roman"/>
                <w:color w:val="000000"/>
                <w:sz w:val="20"/>
                <w:szCs w:val="20"/>
                <w:lang w:eastAsia="pt-BR"/>
              </w:rPr>
            </w:pPr>
            <w:r w:rsidRPr="00B60CB5">
              <w:rPr>
                <w:rFonts w:ascii="Times New Roman" w:hAnsi="Times New Roman"/>
                <w:color w:val="000000"/>
                <w:sz w:val="20"/>
                <w:szCs w:val="20"/>
                <w:lang w:eastAsia="pt-BR"/>
              </w:rPr>
              <w:t>4</w:t>
            </w:r>
          </w:p>
        </w:tc>
        <w:tc>
          <w:tcPr>
            <w:tcW w:w="1022" w:type="dxa"/>
            <w:vAlign w:val="bottom"/>
          </w:tcPr>
          <w:p w:rsidR="00B60CB5" w:rsidRPr="00B60CB5" w:rsidRDefault="00B60CB5" w:rsidP="002E61D1">
            <w:pPr>
              <w:autoSpaceDE w:val="0"/>
              <w:autoSpaceDN w:val="0"/>
              <w:adjustRightInd w:val="0"/>
              <w:spacing w:after="0" w:line="240" w:lineRule="auto"/>
              <w:jc w:val="center"/>
              <w:rPr>
                <w:rFonts w:ascii="Times New Roman" w:hAnsi="Times New Roman"/>
                <w:color w:val="000000"/>
                <w:sz w:val="20"/>
                <w:szCs w:val="20"/>
                <w:lang w:eastAsia="pt-BR"/>
              </w:rPr>
            </w:pPr>
            <w:r w:rsidRPr="00B60CB5">
              <w:rPr>
                <w:rFonts w:ascii="Times New Roman" w:hAnsi="Times New Roman"/>
                <w:color w:val="000000"/>
                <w:sz w:val="20"/>
                <w:szCs w:val="20"/>
                <w:lang w:eastAsia="pt-BR"/>
              </w:rPr>
              <w:t>-760.0969</w:t>
            </w:r>
          </w:p>
        </w:tc>
        <w:tc>
          <w:tcPr>
            <w:tcW w:w="1022" w:type="dxa"/>
            <w:vAlign w:val="bottom"/>
          </w:tcPr>
          <w:p w:rsidR="00B60CB5" w:rsidRPr="00B60CB5" w:rsidRDefault="00B60CB5" w:rsidP="002E61D1">
            <w:pPr>
              <w:autoSpaceDE w:val="0"/>
              <w:autoSpaceDN w:val="0"/>
              <w:adjustRightInd w:val="0"/>
              <w:spacing w:after="0" w:line="240" w:lineRule="auto"/>
              <w:jc w:val="center"/>
              <w:rPr>
                <w:rFonts w:ascii="Times New Roman" w:hAnsi="Times New Roman"/>
                <w:color w:val="000000"/>
                <w:sz w:val="20"/>
                <w:szCs w:val="20"/>
                <w:lang w:eastAsia="pt-BR"/>
              </w:rPr>
            </w:pPr>
            <w:r w:rsidRPr="00B60CB5">
              <w:rPr>
                <w:rFonts w:ascii="Times New Roman" w:hAnsi="Times New Roman"/>
                <w:color w:val="000000"/>
                <w:sz w:val="20"/>
                <w:szCs w:val="20"/>
                <w:lang w:eastAsia="pt-BR"/>
              </w:rPr>
              <w:t>  37.92070*</w:t>
            </w:r>
          </w:p>
        </w:tc>
        <w:tc>
          <w:tcPr>
            <w:tcW w:w="1022" w:type="dxa"/>
            <w:vAlign w:val="bottom"/>
          </w:tcPr>
          <w:p w:rsidR="00B60CB5" w:rsidRPr="00B60CB5" w:rsidRDefault="00B60CB5" w:rsidP="002E61D1">
            <w:pPr>
              <w:autoSpaceDE w:val="0"/>
              <w:autoSpaceDN w:val="0"/>
              <w:adjustRightInd w:val="0"/>
              <w:spacing w:after="0" w:line="240" w:lineRule="auto"/>
              <w:jc w:val="center"/>
              <w:rPr>
                <w:rFonts w:ascii="Times New Roman" w:hAnsi="Times New Roman"/>
                <w:color w:val="000000"/>
                <w:sz w:val="20"/>
                <w:szCs w:val="20"/>
                <w:lang w:eastAsia="pt-BR"/>
              </w:rPr>
            </w:pPr>
            <w:r w:rsidRPr="00B60CB5">
              <w:rPr>
                <w:rFonts w:ascii="Times New Roman" w:hAnsi="Times New Roman"/>
                <w:color w:val="000000"/>
                <w:sz w:val="20"/>
                <w:szCs w:val="20"/>
                <w:lang w:eastAsia="pt-BR"/>
              </w:rPr>
              <w:t> 43.76821</w:t>
            </w:r>
          </w:p>
        </w:tc>
        <w:tc>
          <w:tcPr>
            <w:tcW w:w="1022" w:type="dxa"/>
            <w:vAlign w:val="bottom"/>
          </w:tcPr>
          <w:p w:rsidR="00B60CB5" w:rsidRPr="00B60CB5" w:rsidRDefault="00B60CB5" w:rsidP="002E61D1">
            <w:pPr>
              <w:autoSpaceDE w:val="0"/>
              <w:autoSpaceDN w:val="0"/>
              <w:adjustRightInd w:val="0"/>
              <w:spacing w:after="0" w:line="240" w:lineRule="auto"/>
              <w:jc w:val="center"/>
              <w:rPr>
                <w:rFonts w:ascii="Times New Roman" w:hAnsi="Times New Roman"/>
                <w:color w:val="000000"/>
                <w:sz w:val="20"/>
                <w:szCs w:val="20"/>
                <w:lang w:eastAsia="pt-BR"/>
              </w:rPr>
            </w:pPr>
            <w:r w:rsidRPr="00B60CB5">
              <w:rPr>
                <w:rFonts w:ascii="Times New Roman" w:hAnsi="Times New Roman"/>
                <w:color w:val="000000"/>
                <w:sz w:val="20"/>
                <w:szCs w:val="20"/>
                <w:lang w:eastAsia="pt-BR"/>
              </w:rPr>
              <w:t> 40.13048</w:t>
            </w:r>
          </w:p>
        </w:tc>
        <w:tc>
          <w:tcPr>
            <w:tcW w:w="1022" w:type="dxa"/>
            <w:vAlign w:val="bottom"/>
          </w:tcPr>
          <w:p w:rsidR="00B60CB5" w:rsidRPr="00B60CB5" w:rsidRDefault="00B60CB5" w:rsidP="00E04B9A">
            <w:pPr>
              <w:autoSpaceDE w:val="0"/>
              <w:autoSpaceDN w:val="0"/>
              <w:adjustRightInd w:val="0"/>
              <w:spacing w:after="0" w:line="240" w:lineRule="auto"/>
              <w:jc w:val="center"/>
              <w:rPr>
                <w:rFonts w:ascii="Times New Roman" w:hAnsi="Times New Roman"/>
                <w:color w:val="000000"/>
                <w:sz w:val="20"/>
                <w:szCs w:val="20"/>
                <w:lang w:eastAsia="pt-BR"/>
              </w:rPr>
            </w:pPr>
            <w:r w:rsidRPr="00B60CB5">
              <w:rPr>
                <w:rFonts w:ascii="Times New Roman" w:hAnsi="Times New Roman"/>
                <w:color w:val="000000"/>
                <w:sz w:val="20"/>
                <w:szCs w:val="20"/>
                <w:lang w:eastAsia="pt-BR"/>
              </w:rPr>
              <w:t>-668.3690</w:t>
            </w:r>
          </w:p>
        </w:tc>
        <w:tc>
          <w:tcPr>
            <w:tcW w:w="1022" w:type="dxa"/>
            <w:vAlign w:val="bottom"/>
          </w:tcPr>
          <w:p w:rsidR="00B60CB5" w:rsidRPr="00B60CB5" w:rsidRDefault="00B60CB5" w:rsidP="00E04B9A">
            <w:pPr>
              <w:autoSpaceDE w:val="0"/>
              <w:autoSpaceDN w:val="0"/>
              <w:adjustRightInd w:val="0"/>
              <w:spacing w:after="0" w:line="240" w:lineRule="auto"/>
              <w:jc w:val="center"/>
              <w:rPr>
                <w:rFonts w:ascii="Times New Roman" w:hAnsi="Times New Roman"/>
                <w:color w:val="000000"/>
                <w:sz w:val="20"/>
                <w:szCs w:val="20"/>
                <w:lang w:eastAsia="pt-BR"/>
              </w:rPr>
            </w:pPr>
            <w:r w:rsidRPr="00B60CB5">
              <w:rPr>
                <w:rFonts w:ascii="Times New Roman" w:hAnsi="Times New Roman"/>
                <w:color w:val="000000"/>
                <w:sz w:val="20"/>
                <w:szCs w:val="20"/>
                <w:lang w:eastAsia="pt-BR"/>
              </w:rPr>
              <w:t>  38.84871*</w:t>
            </w:r>
          </w:p>
        </w:tc>
        <w:tc>
          <w:tcPr>
            <w:tcW w:w="1022" w:type="dxa"/>
            <w:vAlign w:val="bottom"/>
          </w:tcPr>
          <w:p w:rsidR="00B60CB5" w:rsidRPr="00B60CB5" w:rsidRDefault="00B60CB5" w:rsidP="00E04B9A">
            <w:pPr>
              <w:autoSpaceDE w:val="0"/>
              <w:autoSpaceDN w:val="0"/>
              <w:adjustRightInd w:val="0"/>
              <w:spacing w:after="0" w:line="240" w:lineRule="auto"/>
              <w:jc w:val="center"/>
              <w:rPr>
                <w:rFonts w:ascii="Times New Roman" w:hAnsi="Times New Roman"/>
                <w:color w:val="000000"/>
                <w:sz w:val="20"/>
                <w:szCs w:val="20"/>
                <w:lang w:eastAsia="pt-BR"/>
              </w:rPr>
            </w:pPr>
            <w:r w:rsidRPr="00B60CB5">
              <w:rPr>
                <w:rFonts w:ascii="Times New Roman" w:hAnsi="Times New Roman"/>
                <w:color w:val="000000"/>
                <w:sz w:val="20"/>
                <w:szCs w:val="20"/>
                <w:lang w:eastAsia="pt-BR"/>
              </w:rPr>
              <w:t> 49.14031</w:t>
            </w:r>
          </w:p>
        </w:tc>
        <w:tc>
          <w:tcPr>
            <w:tcW w:w="1023" w:type="dxa"/>
            <w:vAlign w:val="bottom"/>
          </w:tcPr>
          <w:p w:rsidR="00B60CB5" w:rsidRPr="00B60CB5" w:rsidRDefault="00B60CB5" w:rsidP="00E04B9A">
            <w:pPr>
              <w:autoSpaceDE w:val="0"/>
              <w:autoSpaceDN w:val="0"/>
              <w:adjustRightInd w:val="0"/>
              <w:spacing w:after="0" w:line="240" w:lineRule="auto"/>
              <w:jc w:val="center"/>
              <w:rPr>
                <w:rFonts w:ascii="Times New Roman" w:hAnsi="Times New Roman"/>
                <w:color w:val="000000"/>
                <w:sz w:val="20"/>
                <w:szCs w:val="20"/>
                <w:lang w:eastAsia="pt-BR"/>
              </w:rPr>
            </w:pPr>
            <w:r w:rsidRPr="00B60CB5">
              <w:rPr>
                <w:rFonts w:ascii="Times New Roman" w:hAnsi="Times New Roman"/>
                <w:color w:val="000000"/>
                <w:sz w:val="20"/>
                <w:szCs w:val="20"/>
                <w:lang w:eastAsia="pt-BR"/>
              </w:rPr>
              <w:t> 42.73792</w:t>
            </w:r>
          </w:p>
        </w:tc>
      </w:tr>
    </w:tbl>
    <w:p w:rsidR="0081506C" w:rsidRPr="00B33E67" w:rsidRDefault="0081506C" w:rsidP="0081506C">
      <w:pPr>
        <w:spacing w:after="0" w:line="240" w:lineRule="auto"/>
        <w:rPr>
          <w:rFonts w:ascii="Times New Roman" w:hAnsi="Times New Roman"/>
          <w:sz w:val="20"/>
          <w:szCs w:val="20"/>
        </w:rPr>
      </w:pPr>
      <w:r w:rsidRPr="00B33E67">
        <w:rPr>
          <w:rFonts w:ascii="Times New Roman" w:hAnsi="Times New Roman"/>
          <w:i/>
          <w:sz w:val="20"/>
          <w:szCs w:val="20"/>
        </w:rPr>
        <w:t>Fonte</w:t>
      </w:r>
      <w:r w:rsidRPr="00B33E67">
        <w:rPr>
          <w:rFonts w:ascii="Times New Roman" w:hAnsi="Times New Roman"/>
          <w:sz w:val="20"/>
          <w:szCs w:val="20"/>
        </w:rPr>
        <w:t xml:space="preserve">: saída do Eviews 7.0. </w:t>
      </w:r>
    </w:p>
    <w:p w:rsidR="001C684D" w:rsidRPr="002F5ED0" w:rsidRDefault="001C684D" w:rsidP="00B81953">
      <w:pPr>
        <w:spacing w:after="0" w:line="240" w:lineRule="auto"/>
        <w:jc w:val="both"/>
        <w:rPr>
          <w:rFonts w:ascii="Times New Roman" w:hAnsi="Times New Roman"/>
          <w:color w:val="000000"/>
          <w:sz w:val="20"/>
          <w:szCs w:val="20"/>
          <w:lang w:eastAsia="pt-BR"/>
        </w:rPr>
      </w:pPr>
      <w:r w:rsidRPr="002F5ED0">
        <w:rPr>
          <w:rFonts w:ascii="Times New Roman" w:hAnsi="Times New Roman"/>
          <w:color w:val="000000"/>
          <w:sz w:val="20"/>
          <w:szCs w:val="20"/>
          <w:lang w:eastAsia="pt-BR"/>
        </w:rPr>
        <w:t>* indica</w:t>
      </w:r>
      <w:r w:rsidR="002F5ED0" w:rsidRPr="002F5ED0">
        <w:rPr>
          <w:rFonts w:ascii="Times New Roman" w:hAnsi="Times New Roman"/>
          <w:color w:val="000000"/>
          <w:sz w:val="20"/>
          <w:szCs w:val="20"/>
          <w:lang w:eastAsia="pt-BR"/>
        </w:rPr>
        <w:t xml:space="preserve"> a ordem da defasagem pelo critério de seleção</w:t>
      </w:r>
    </w:p>
    <w:p w:rsidR="00C72EEC" w:rsidRDefault="001C684D" w:rsidP="00B81953">
      <w:pPr>
        <w:spacing w:after="0" w:line="240" w:lineRule="auto"/>
        <w:jc w:val="both"/>
        <w:rPr>
          <w:rFonts w:ascii="Times New Roman" w:hAnsi="Times New Roman"/>
          <w:color w:val="000000"/>
          <w:sz w:val="20"/>
          <w:szCs w:val="20"/>
          <w:lang w:eastAsia="pt-BR"/>
        </w:rPr>
      </w:pPr>
      <w:r w:rsidRPr="002F5ED0">
        <w:rPr>
          <w:rFonts w:ascii="Times New Roman" w:hAnsi="Times New Roman"/>
          <w:color w:val="000000"/>
          <w:sz w:val="20"/>
          <w:szCs w:val="20"/>
          <w:lang w:eastAsia="pt-BR"/>
        </w:rPr>
        <w:t xml:space="preserve">AIC: </w:t>
      </w:r>
      <w:r w:rsidR="002F5ED0">
        <w:rPr>
          <w:rFonts w:ascii="Times New Roman" w:hAnsi="Times New Roman"/>
          <w:color w:val="000000"/>
          <w:sz w:val="20"/>
          <w:szCs w:val="20"/>
          <w:lang w:eastAsia="pt-BR"/>
        </w:rPr>
        <w:t>Critério de Informação de Akaike</w:t>
      </w:r>
    </w:p>
    <w:p w:rsidR="00C72EEC" w:rsidRDefault="002F5ED0" w:rsidP="00B81953">
      <w:pPr>
        <w:spacing w:after="0" w:line="240" w:lineRule="auto"/>
        <w:jc w:val="both"/>
        <w:rPr>
          <w:rFonts w:ascii="Times New Roman" w:hAnsi="Times New Roman"/>
          <w:color w:val="000000"/>
          <w:sz w:val="20"/>
          <w:szCs w:val="20"/>
          <w:lang w:eastAsia="pt-BR"/>
        </w:rPr>
      </w:pPr>
      <w:r>
        <w:rPr>
          <w:rFonts w:ascii="Times New Roman" w:hAnsi="Times New Roman"/>
          <w:color w:val="000000"/>
          <w:sz w:val="20"/>
          <w:szCs w:val="20"/>
          <w:lang w:eastAsia="pt-BR"/>
        </w:rPr>
        <w:t>SC: Critério de Informação de Schwarz</w:t>
      </w:r>
    </w:p>
    <w:p w:rsidR="001C684D" w:rsidRPr="002F5ED0" w:rsidRDefault="001C684D" w:rsidP="00B81953">
      <w:pPr>
        <w:spacing w:after="0" w:line="240" w:lineRule="auto"/>
        <w:jc w:val="both"/>
        <w:rPr>
          <w:rFonts w:ascii="Times New Roman" w:hAnsi="Times New Roman"/>
          <w:color w:val="000000"/>
          <w:sz w:val="20"/>
          <w:szCs w:val="20"/>
          <w:lang w:eastAsia="pt-BR"/>
        </w:rPr>
      </w:pPr>
      <w:r w:rsidRPr="002F5ED0">
        <w:rPr>
          <w:rFonts w:ascii="Times New Roman" w:hAnsi="Times New Roman"/>
          <w:color w:val="000000"/>
          <w:sz w:val="20"/>
          <w:szCs w:val="20"/>
          <w:lang w:eastAsia="pt-BR"/>
        </w:rPr>
        <w:t xml:space="preserve">HQ: </w:t>
      </w:r>
      <w:r w:rsidR="002F5ED0">
        <w:rPr>
          <w:rFonts w:ascii="Times New Roman" w:hAnsi="Times New Roman"/>
          <w:color w:val="000000"/>
          <w:sz w:val="20"/>
          <w:szCs w:val="20"/>
          <w:lang w:eastAsia="pt-BR"/>
        </w:rPr>
        <w:t>Critério de Informação de</w:t>
      </w:r>
      <w:r w:rsidR="002F5ED0" w:rsidRPr="002F5ED0">
        <w:rPr>
          <w:rFonts w:ascii="Times New Roman" w:hAnsi="Times New Roman"/>
          <w:color w:val="000000"/>
          <w:sz w:val="20"/>
          <w:szCs w:val="20"/>
          <w:lang w:eastAsia="pt-BR"/>
        </w:rPr>
        <w:t xml:space="preserve"> </w:t>
      </w:r>
      <w:r w:rsidRPr="002F5ED0">
        <w:rPr>
          <w:rFonts w:ascii="Times New Roman" w:hAnsi="Times New Roman"/>
          <w:color w:val="000000"/>
          <w:sz w:val="20"/>
          <w:szCs w:val="20"/>
          <w:lang w:eastAsia="pt-BR"/>
        </w:rPr>
        <w:t>Hannan-Quinn</w:t>
      </w:r>
    </w:p>
    <w:p w:rsidR="00B60CB5" w:rsidRDefault="00B60CB5" w:rsidP="00C83E28">
      <w:pPr>
        <w:spacing w:after="0" w:line="240" w:lineRule="auto"/>
        <w:ind w:firstLine="708"/>
        <w:jc w:val="both"/>
        <w:rPr>
          <w:rFonts w:ascii="Times New Roman" w:eastAsia="SimSun" w:hAnsi="Times New Roman"/>
          <w:sz w:val="24"/>
          <w:szCs w:val="24"/>
          <w:lang w:eastAsia="zh-CN"/>
        </w:rPr>
      </w:pPr>
    </w:p>
    <w:p w:rsidR="000D3B58" w:rsidRPr="00EE43D2" w:rsidRDefault="00C83E28" w:rsidP="000D3B58">
      <w:pPr>
        <w:spacing w:after="0" w:line="240" w:lineRule="auto"/>
        <w:ind w:firstLine="708"/>
        <w:jc w:val="both"/>
        <w:rPr>
          <w:rFonts w:ascii="Times New Roman" w:eastAsia="SimSun" w:hAnsi="Times New Roman"/>
          <w:sz w:val="24"/>
          <w:szCs w:val="24"/>
          <w:lang w:eastAsia="zh-CN"/>
        </w:rPr>
      </w:pPr>
      <w:r w:rsidRPr="001A477E">
        <w:rPr>
          <w:rFonts w:ascii="Times New Roman" w:eastAsia="SimSun" w:hAnsi="Times New Roman"/>
          <w:sz w:val="24"/>
          <w:szCs w:val="24"/>
          <w:lang w:eastAsia="zh-CN"/>
        </w:rPr>
        <w:t>Na sequência, foram estimadas as Funções de Resposta aos Impulsos</w:t>
      </w:r>
      <w:r w:rsidR="0066257A" w:rsidRPr="001A477E">
        <w:rPr>
          <w:rFonts w:ascii="Times New Roman" w:eastAsia="SimSun" w:hAnsi="Times New Roman"/>
          <w:sz w:val="24"/>
          <w:szCs w:val="24"/>
          <w:lang w:eastAsia="zh-CN"/>
        </w:rPr>
        <w:t xml:space="preserve">. Neste trabalho essas funções foram baseadas no método desenvolvido por Pesaran e Shin (1998), que denominam esses instrumentos de impulso-resposta generalizado, ou, no original, Generalized Impulse Responses </w:t>
      </w:r>
      <w:r w:rsidR="0066257A" w:rsidRPr="001A477E">
        <w:rPr>
          <w:rFonts w:ascii="Times New Roman" w:eastAsia="SimSun" w:hAnsi="Times New Roman"/>
          <w:sz w:val="24"/>
          <w:szCs w:val="24"/>
          <w:lang w:eastAsia="zh-CN"/>
        </w:rPr>
        <w:lastRenderedPageBreak/>
        <w:t>(GIR)</w:t>
      </w:r>
      <w:r w:rsidR="00D6228A" w:rsidRPr="001A477E">
        <w:rPr>
          <w:rStyle w:val="Refdenotaderodap"/>
          <w:rFonts w:ascii="Times New Roman" w:eastAsia="SimSun" w:hAnsi="Times New Roman"/>
          <w:sz w:val="24"/>
          <w:szCs w:val="24"/>
          <w:lang w:eastAsia="zh-CN"/>
        </w:rPr>
        <w:footnoteReference w:id="13"/>
      </w:r>
      <w:r w:rsidR="0066257A" w:rsidRPr="001A477E">
        <w:rPr>
          <w:rFonts w:ascii="Times New Roman" w:eastAsia="SimSun" w:hAnsi="Times New Roman"/>
          <w:sz w:val="24"/>
          <w:szCs w:val="24"/>
          <w:lang w:eastAsia="zh-CN"/>
        </w:rPr>
        <w:t>.</w:t>
      </w:r>
      <w:r w:rsidR="00D50740" w:rsidRPr="001A477E">
        <w:rPr>
          <w:rFonts w:ascii="Times New Roman" w:eastAsia="SimSun" w:hAnsi="Times New Roman"/>
          <w:sz w:val="24"/>
          <w:szCs w:val="24"/>
          <w:lang w:eastAsia="zh-CN"/>
        </w:rPr>
        <w:t xml:space="preserve"> </w:t>
      </w:r>
      <w:r w:rsidR="000D3B58" w:rsidRPr="001A477E">
        <w:rPr>
          <w:rFonts w:ascii="Times New Roman" w:eastAsia="SimSun" w:hAnsi="Times New Roman"/>
          <w:sz w:val="24"/>
          <w:szCs w:val="24"/>
          <w:lang w:eastAsia="zh-CN"/>
        </w:rPr>
        <w:t xml:space="preserve">A característica fundamental do GIR é que as respostas são invariantes a qualquer reordenação das variáveis no modelo. Assim, a GIR fornece resultados mais robustos que o método ortogonal, conforme o método de </w:t>
      </w:r>
      <w:r w:rsidR="000D3B58" w:rsidRPr="00EE43D2">
        <w:rPr>
          <w:rFonts w:ascii="Times New Roman" w:eastAsia="SimSun" w:hAnsi="Times New Roman"/>
          <w:sz w:val="24"/>
          <w:szCs w:val="24"/>
          <w:lang w:eastAsia="zh-CN"/>
        </w:rPr>
        <w:t xml:space="preserve">decomposição de Cholesky, comumente utilizado para verificação do ordenamento das variáveis em modelos VARs. </w:t>
      </w:r>
      <w:r w:rsidR="0066257A" w:rsidRPr="00EE43D2">
        <w:rPr>
          <w:rFonts w:ascii="Times New Roman" w:eastAsia="SimSun" w:hAnsi="Times New Roman"/>
          <w:sz w:val="24"/>
          <w:szCs w:val="24"/>
          <w:lang w:eastAsia="zh-CN"/>
        </w:rPr>
        <w:t xml:space="preserve"> </w:t>
      </w:r>
    </w:p>
    <w:p w:rsidR="00293861" w:rsidRDefault="0066257A" w:rsidP="0066257A">
      <w:pPr>
        <w:spacing w:after="0" w:line="240" w:lineRule="auto"/>
        <w:ind w:firstLine="708"/>
        <w:jc w:val="both"/>
        <w:rPr>
          <w:rFonts w:ascii="Times New Roman" w:eastAsia="SimSun" w:hAnsi="Times New Roman"/>
          <w:sz w:val="24"/>
          <w:szCs w:val="24"/>
          <w:lang w:eastAsia="zh-CN"/>
        </w:rPr>
      </w:pPr>
      <w:r w:rsidRPr="00EE43D2">
        <w:rPr>
          <w:rFonts w:ascii="Times New Roman" w:eastAsia="SimSun" w:hAnsi="Times New Roman"/>
          <w:sz w:val="24"/>
          <w:szCs w:val="24"/>
          <w:lang w:eastAsia="zh-CN"/>
        </w:rPr>
        <w:t>As</w:t>
      </w:r>
      <w:r w:rsidR="00C83E28" w:rsidRPr="00EE43D2">
        <w:rPr>
          <w:rFonts w:ascii="Times New Roman" w:eastAsia="SimSun" w:hAnsi="Times New Roman"/>
          <w:sz w:val="24"/>
          <w:szCs w:val="24"/>
          <w:lang w:eastAsia="zh-CN"/>
        </w:rPr>
        <w:t xml:space="preserve"> figuras </w:t>
      </w:r>
      <w:r w:rsidRPr="00EE43D2">
        <w:rPr>
          <w:rFonts w:ascii="Times New Roman" w:eastAsia="SimSun" w:hAnsi="Times New Roman"/>
          <w:sz w:val="24"/>
          <w:szCs w:val="24"/>
          <w:lang w:eastAsia="zh-CN"/>
        </w:rPr>
        <w:t xml:space="preserve">1 e 2 </w:t>
      </w:r>
      <w:r w:rsidR="00C83E28" w:rsidRPr="00EE43D2">
        <w:rPr>
          <w:rFonts w:ascii="Times New Roman" w:eastAsia="SimSun" w:hAnsi="Times New Roman"/>
          <w:sz w:val="24"/>
          <w:szCs w:val="24"/>
          <w:lang w:eastAsia="zh-CN"/>
        </w:rPr>
        <w:t xml:space="preserve">apresentam a resposta da </w:t>
      </w:r>
      <w:r w:rsidRPr="00EE43D2">
        <w:rPr>
          <w:rFonts w:ascii="Times New Roman" w:eastAsia="SimSun" w:hAnsi="Times New Roman"/>
          <w:sz w:val="24"/>
          <w:szCs w:val="24"/>
          <w:lang w:eastAsia="zh-CN"/>
        </w:rPr>
        <w:t xml:space="preserve">taxa de câmbio real (DTCR) aos impulsos das variáveis relacionadas ao comércio das </w:t>
      </w:r>
      <w:r w:rsidR="00C83E28" w:rsidRPr="00EE43D2">
        <w:rPr>
          <w:rFonts w:ascii="Times New Roman" w:eastAsia="SimSun" w:hAnsi="Times New Roman"/>
          <w:i/>
          <w:sz w:val="24"/>
          <w:szCs w:val="24"/>
          <w:lang w:eastAsia="zh-CN"/>
        </w:rPr>
        <w:t>commodities</w:t>
      </w:r>
      <w:r w:rsidR="00C83E28" w:rsidRPr="0066257A">
        <w:rPr>
          <w:rFonts w:ascii="Times New Roman" w:eastAsia="SimSun" w:hAnsi="Times New Roman"/>
          <w:sz w:val="24"/>
          <w:szCs w:val="24"/>
          <w:lang w:eastAsia="zh-CN"/>
        </w:rPr>
        <w:t xml:space="preserve"> (DXCOM, DXAL, DXMIN, DIPCOM) e </w:t>
      </w:r>
      <w:r>
        <w:rPr>
          <w:rFonts w:ascii="Times New Roman" w:eastAsia="SimSun" w:hAnsi="Times New Roman"/>
          <w:sz w:val="24"/>
          <w:szCs w:val="24"/>
          <w:lang w:eastAsia="zh-CN"/>
        </w:rPr>
        <w:t xml:space="preserve">das variáveis </w:t>
      </w:r>
      <w:r w:rsidR="00C83E28" w:rsidRPr="0066257A">
        <w:rPr>
          <w:rFonts w:ascii="Times New Roman" w:eastAsia="SimSun" w:hAnsi="Times New Roman"/>
          <w:sz w:val="24"/>
          <w:szCs w:val="24"/>
          <w:lang w:eastAsia="zh-CN"/>
        </w:rPr>
        <w:t>financeiras (IEC, DIECAC, IECRF, DJUROS e DEMBI).</w:t>
      </w:r>
    </w:p>
    <w:p w:rsidR="00A50C63" w:rsidRDefault="00761BD2" w:rsidP="006E51F2">
      <w:pPr>
        <w:spacing w:after="0" w:line="240" w:lineRule="auto"/>
        <w:jc w:val="both"/>
        <w:rPr>
          <w:rFonts w:ascii="Times New Roman" w:eastAsia="SimSun" w:hAnsi="Times New Roman"/>
          <w:sz w:val="24"/>
          <w:szCs w:val="24"/>
          <w:lang w:eastAsia="zh-CN"/>
        </w:rPr>
      </w:pPr>
      <w:r>
        <w:rPr>
          <w:rFonts w:ascii="Times New Roman" w:eastAsia="SimSun" w:hAnsi="Times New Roman"/>
          <w:sz w:val="24"/>
          <w:szCs w:val="24"/>
          <w:lang w:eastAsia="zh-CN"/>
        </w:rPr>
        <w:tab/>
      </w:r>
    </w:p>
    <w:p w:rsidR="006E51F2" w:rsidRPr="006E51F2" w:rsidRDefault="006E51F2" w:rsidP="006E51F2">
      <w:pPr>
        <w:spacing w:after="0" w:line="240" w:lineRule="auto"/>
        <w:jc w:val="center"/>
        <w:rPr>
          <w:rFonts w:ascii="Times New Roman" w:eastAsia="SimSun" w:hAnsi="Times New Roman"/>
          <w:b/>
          <w:sz w:val="24"/>
          <w:szCs w:val="24"/>
          <w:lang w:eastAsia="zh-CN"/>
        </w:rPr>
      </w:pPr>
      <w:r w:rsidRPr="006E51F2">
        <w:rPr>
          <w:rFonts w:ascii="Times New Roman" w:eastAsia="SimSun" w:hAnsi="Times New Roman"/>
          <w:b/>
          <w:sz w:val="24"/>
          <w:szCs w:val="24"/>
          <w:lang w:eastAsia="zh-CN"/>
        </w:rPr>
        <w:t>Figura 1: Funções de Resposta aos Impulsos Generalizadas, Modelo 1</w:t>
      </w:r>
    </w:p>
    <w:p w:rsidR="00286D63" w:rsidRDefault="00286D63" w:rsidP="00C83E28">
      <w:pPr>
        <w:spacing w:after="0" w:line="240" w:lineRule="auto"/>
        <w:ind w:firstLine="708"/>
        <w:jc w:val="both"/>
        <w:rPr>
          <w:rFonts w:ascii="Times New Roman" w:eastAsia="SimSun" w:hAnsi="Times New Roman"/>
          <w:sz w:val="24"/>
          <w:szCs w:val="24"/>
          <w:lang w:eastAsia="zh-CN"/>
        </w:rPr>
      </w:pPr>
    </w:p>
    <w:p w:rsidR="00286D63" w:rsidRPr="002F5ED0" w:rsidRDefault="00894B44" w:rsidP="006E51F2">
      <w:pPr>
        <w:spacing w:after="0" w:line="240" w:lineRule="auto"/>
        <w:jc w:val="both"/>
        <w:rPr>
          <w:rFonts w:ascii="Times New Roman" w:eastAsia="SimSun" w:hAnsi="Times New Roman"/>
          <w:sz w:val="24"/>
          <w:szCs w:val="24"/>
          <w:lang w:eastAsia="zh-CN"/>
        </w:rPr>
      </w:pPr>
      <w:r>
        <w:rPr>
          <w:rFonts w:ascii="Times New Roman" w:eastAsia="SimSun" w:hAnsi="Times New Roman"/>
          <w:noProof/>
          <w:sz w:val="24"/>
          <w:szCs w:val="24"/>
          <w:lang w:eastAsia="pt-BR"/>
        </w:rPr>
        <w:drawing>
          <wp:inline distT="0" distB="0" distL="0" distR="0">
            <wp:extent cx="5861685" cy="2681605"/>
            <wp:effectExtent l="19050" t="0" r="571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19" cstate="print"/>
                    <a:srcRect/>
                    <a:stretch>
                      <a:fillRect/>
                    </a:stretch>
                  </pic:blipFill>
                  <pic:spPr bwMode="auto">
                    <a:xfrm>
                      <a:off x="0" y="0"/>
                      <a:ext cx="5861685" cy="2681605"/>
                    </a:xfrm>
                    <a:prstGeom prst="rect">
                      <a:avLst/>
                    </a:prstGeom>
                    <a:noFill/>
                    <a:ln w="9525">
                      <a:noFill/>
                      <a:miter lim="800000"/>
                      <a:headEnd/>
                      <a:tailEnd/>
                    </a:ln>
                  </pic:spPr>
                </pic:pic>
              </a:graphicData>
            </a:graphic>
          </wp:inline>
        </w:drawing>
      </w:r>
    </w:p>
    <w:p w:rsidR="0081506C" w:rsidRPr="00B33E67" w:rsidRDefault="0081506C" w:rsidP="0081506C">
      <w:pPr>
        <w:spacing w:after="0" w:line="240" w:lineRule="auto"/>
        <w:rPr>
          <w:rFonts w:ascii="Times New Roman" w:hAnsi="Times New Roman"/>
          <w:sz w:val="20"/>
          <w:szCs w:val="20"/>
        </w:rPr>
      </w:pPr>
      <w:r w:rsidRPr="00B33E67">
        <w:rPr>
          <w:rFonts w:ascii="Times New Roman" w:hAnsi="Times New Roman"/>
          <w:i/>
          <w:sz w:val="20"/>
          <w:szCs w:val="20"/>
        </w:rPr>
        <w:t>Fonte</w:t>
      </w:r>
      <w:r w:rsidR="009B4C54">
        <w:rPr>
          <w:rFonts w:ascii="Times New Roman" w:hAnsi="Times New Roman"/>
          <w:sz w:val="20"/>
          <w:szCs w:val="20"/>
        </w:rPr>
        <w:t>: S</w:t>
      </w:r>
      <w:r w:rsidRPr="00B33E67">
        <w:rPr>
          <w:rFonts w:ascii="Times New Roman" w:hAnsi="Times New Roman"/>
          <w:sz w:val="20"/>
          <w:szCs w:val="20"/>
        </w:rPr>
        <w:t xml:space="preserve">aída do Eviews 7.0. </w:t>
      </w:r>
    </w:p>
    <w:p w:rsidR="00B81953" w:rsidRDefault="00B81953" w:rsidP="00B81953">
      <w:pPr>
        <w:spacing w:after="0" w:line="240" w:lineRule="auto"/>
        <w:jc w:val="both"/>
        <w:rPr>
          <w:rFonts w:ascii="Times New Roman" w:eastAsia="SimSun" w:hAnsi="Times New Roman"/>
          <w:sz w:val="24"/>
          <w:szCs w:val="24"/>
          <w:lang w:eastAsia="zh-CN"/>
        </w:rPr>
      </w:pPr>
    </w:p>
    <w:p w:rsidR="00C72EEC" w:rsidRDefault="00C72EEC" w:rsidP="00C72EEC">
      <w:pPr>
        <w:spacing w:after="0" w:line="240" w:lineRule="auto"/>
        <w:ind w:firstLine="708"/>
        <w:jc w:val="both"/>
        <w:rPr>
          <w:rFonts w:ascii="Times New Roman" w:eastAsia="SimSun" w:hAnsi="Times New Roman"/>
          <w:sz w:val="24"/>
          <w:szCs w:val="24"/>
          <w:lang w:eastAsia="zh-CN"/>
        </w:rPr>
      </w:pPr>
    </w:p>
    <w:p w:rsidR="00C72EEC" w:rsidRDefault="00C72EEC" w:rsidP="00C72EEC">
      <w:pPr>
        <w:spacing w:after="0" w:line="240" w:lineRule="auto"/>
        <w:ind w:firstLine="708"/>
        <w:jc w:val="both"/>
        <w:rPr>
          <w:rFonts w:ascii="Times New Roman" w:eastAsia="SimSun" w:hAnsi="Times New Roman"/>
          <w:sz w:val="24"/>
          <w:szCs w:val="24"/>
          <w:lang w:eastAsia="zh-CN"/>
        </w:rPr>
      </w:pPr>
      <w:r w:rsidRPr="001A7227">
        <w:rPr>
          <w:rFonts w:ascii="Times New Roman" w:eastAsia="SimSun" w:hAnsi="Times New Roman"/>
          <w:sz w:val="24"/>
          <w:szCs w:val="24"/>
          <w:lang w:eastAsia="zh-CN"/>
        </w:rPr>
        <w:t>No que se refere aos</w:t>
      </w:r>
      <w:r>
        <w:rPr>
          <w:rFonts w:ascii="Times New Roman" w:eastAsia="SimSun" w:hAnsi="Times New Roman"/>
          <w:sz w:val="24"/>
          <w:szCs w:val="24"/>
          <w:lang w:eastAsia="zh-CN"/>
        </w:rPr>
        <w:t xml:space="preserve"> efeitos dos</w:t>
      </w:r>
      <w:r w:rsidRPr="001A7227">
        <w:rPr>
          <w:rFonts w:ascii="Times New Roman" w:eastAsia="SimSun" w:hAnsi="Times New Roman"/>
          <w:sz w:val="24"/>
          <w:szCs w:val="24"/>
          <w:lang w:eastAsia="zh-CN"/>
        </w:rPr>
        <w:t xml:space="preserve"> choques das variáveis do comércio, as evidências para o Modelo 1 (Figura 1) revelam que a taxa de câmbio real (DTCR) responde negativamente aos impulsos das exportações de </w:t>
      </w:r>
      <w:r w:rsidRPr="001A7227">
        <w:rPr>
          <w:rFonts w:ascii="Times New Roman" w:eastAsia="SimSun" w:hAnsi="Times New Roman"/>
          <w:i/>
          <w:sz w:val="24"/>
          <w:szCs w:val="24"/>
          <w:lang w:eastAsia="zh-CN"/>
        </w:rPr>
        <w:t>commodities</w:t>
      </w:r>
      <w:r w:rsidRPr="001A7227">
        <w:rPr>
          <w:rFonts w:ascii="Times New Roman" w:eastAsia="SimSun" w:hAnsi="Times New Roman"/>
          <w:sz w:val="24"/>
          <w:szCs w:val="24"/>
          <w:lang w:eastAsia="zh-CN"/>
        </w:rPr>
        <w:t xml:space="preserve"> (XCOM) somente a partir do terceiro trimestre, sendo que tal efeito se dissipa rapidamente ao longo do tempo e é de magnitude relativa menor do que a resposta do câmbio aos choques das demais variáveis do modelo. No entanto, percebe-se uma resposta negativa</w:t>
      </w:r>
      <w:r>
        <w:rPr>
          <w:rFonts w:ascii="Times New Roman" w:eastAsia="SimSun" w:hAnsi="Times New Roman"/>
          <w:sz w:val="24"/>
          <w:szCs w:val="24"/>
          <w:lang w:eastAsia="zh-CN"/>
        </w:rPr>
        <w:t>,</w:t>
      </w:r>
      <w:r w:rsidRPr="001A7227">
        <w:rPr>
          <w:rFonts w:ascii="Times New Roman" w:eastAsia="SimSun" w:hAnsi="Times New Roman"/>
          <w:sz w:val="24"/>
          <w:szCs w:val="24"/>
          <w:lang w:eastAsia="zh-CN"/>
        </w:rPr>
        <w:t xml:space="preserve"> de maior magnitude </w:t>
      </w:r>
      <w:r>
        <w:rPr>
          <w:rFonts w:ascii="Times New Roman" w:eastAsia="SimSun" w:hAnsi="Times New Roman"/>
          <w:sz w:val="24"/>
          <w:szCs w:val="24"/>
          <w:lang w:eastAsia="zh-CN"/>
        </w:rPr>
        <w:t xml:space="preserve">e com maior duração </w:t>
      </w:r>
      <w:r w:rsidRPr="001A7227">
        <w:rPr>
          <w:rFonts w:ascii="Times New Roman" w:eastAsia="SimSun" w:hAnsi="Times New Roman"/>
          <w:sz w:val="24"/>
          <w:szCs w:val="24"/>
          <w:lang w:eastAsia="zh-CN"/>
        </w:rPr>
        <w:t xml:space="preserve">da taxa de câmbio real aos choques dos preços das </w:t>
      </w:r>
      <w:r w:rsidRPr="001A7227">
        <w:rPr>
          <w:rFonts w:ascii="Times New Roman" w:eastAsia="SimSun" w:hAnsi="Times New Roman"/>
          <w:i/>
          <w:sz w:val="24"/>
          <w:szCs w:val="24"/>
          <w:lang w:eastAsia="zh-CN"/>
        </w:rPr>
        <w:t>commodities</w:t>
      </w:r>
      <w:r w:rsidRPr="001A7227">
        <w:rPr>
          <w:rFonts w:ascii="Times New Roman" w:eastAsia="SimSun" w:hAnsi="Times New Roman"/>
          <w:sz w:val="24"/>
          <w:szCs w:val="24"/>
          <w:lang w:eastAsia="zh-CN"/>
        </w:rPr>
        <w:t xml:space="preserve"> (DIPCOM). Estes resultados denotam uma importância das variáveis do comércio de produtos intensivos em recursos naturais para explicar a apreciação da taxa de câmbio real, principalmente pela via dos preços destes produtos, que implicam na maior rentabilidade das suas exportações quando comparado aos produtos manufaturados.</w:t>
      </w:r>
    </w:p>
    <w:p w:rsidR="00DE2472" w:rsidRDefault="00DE2472" w:rsidP="00DE2472">
      <w:pPr>
        <w:spacing w:after="0" w:line="240" w:lineRule="auto"/>
        <w:ind w:firstLine="708"/>
        <w:jc w:val="both"/>
        <w:rPr>
          <w:rFonts w:ascii="Times New Roman" w:eastAsia="SimSun" w:hAnsi="Times New Roman"/>
          <w:sz w:val="24"/>
          <w:szCs w:val="24"/>
          <w:lang w:eastAsia="zh-CN"/>
        </w:rPr>
      </w:pPr>
      <w:r w:rsidRPr="006E7098">
        <w:rPr>
          <w:rFonts w:ascii="Times New Roman" w:eastAsia="SimSun" w:hAnsi="Times New Roman"/>
          <w:sz w:val="24"/>
          <w:szCs w:val="24"/>
          <w:lang w:eastAsia="zh-CN"/>
        </w:rPr>
        <w:t xml:space="preserve">Do lado das variáveis financeiras, </w:t>
      </w:r>
      <w:r w:rsidR="00E12185">
        <w:rPr>
          <w:rFonts w:ascii="Times New Roman" w:eastAsia="SimSun" w:hAnsi="Times New Roman"/>
          <w:sz w:val="24"/>
          <w:szCs w:val="24"/>
          <w:lang w:eastAsia="zh-CN"/>
        </w:rPr>
        <w:t>percebe-</w:t>
      </w:r>
      <w:r w:rsidRPr="006E7098">
        <w:rPr>
          <w:rFonts w:ascii="Times New Roman" w:eastAsia="SimSun" w:hAnsi="Times New Roman"/>
          <w:sz w:val="24"/>
          <w:szCs w:val="24"/>
          <w:lang w:eastAsia="zh-CN"/>
        </w:rPr>
        <w:t xml:space="preserve">se que a taxa de câmbio real (DTCR) </w:t>
      </w:r>
      <w:r w:rsidR="00E12185">
        <w:rPr>
          <w:rFonts w:ascii="Times New Roman" w:eastAsia="SimSun" w:hAnsi="Times New Roman"/>
          <w:sz w:val="24"/>
          <w:szCs w:val="24"/>
          <w:lang w:eastAsia="zh-CN"/>
        </w:rPr>
        <w:t xml:space="preserve">também </w:t>
      </w:r>
      <w:r w:rsidRPr="006E7098">
        <w:rPr>
          <w:rFonts w:ascii="Times New Roman" w:eastAsia="SimSun" w:hAnsi="Times New Roman"/>
          <w:sz w:val="24"/>
          <w:szCs w:val="24"/>
          <w:lang w:eastAsia="zh-CN"/>
        </w:rPr>
        <w:t xml:space="preserve">responde negativamente e em magnitude considerável nos </w:t>
      </w:r>
      <w:r w:rsidR="00034CBB" w:rsidRPr="006E7098">
        <w:rPr>
          <w:rFonts w:ascii="Times New Roman" w:eastAsia="SimSun" w:hAnsi="Times New Roman"/>
          <w:sz w:val="24"/>
          <w:szCs w:val="24"/>
          <w:lang w:eastAsia="zh-CN"/>
        </w:rPr>
        <w:t>três</w:t>
      </w:r>
      <w:r w:rsidRPr="006E7098">
        <w:rPr>
          <w:rFonts w:ascii="Times New Roman" w:eastAsia="SimSun" w:hAnsi="Times New Roman"/>
          <w:sz w:val="24"/>
          <w:szCs w:val="24"/>
          <w:lang w:eastAsia="zh-CN"/>
        </w:rPr>
        <w:t xml:space="preserve"> primeiros trimestres aos choques (entradas) de investimento em carteira (</w:t>
      </w:r>
      <w:r w:rsidR="00034CBB" w:rsidRPr="006E7098">
        <w:rPr>
          <w:rFonts w:ascii="Times New Roman" w:eastAsia="SimSun" w:hAnsi="Times New Roman"/>
          <w:sz w:val="24"/>
          <w:szCs w:val="24"/>
          <w:lang w:eastAsia="zh-CN"/>
        </w:rPr>
        <w:t>D</w:t>
      </w:r>
      <w:r w:rsidRPr="006E7098">
        <w:rPr>
          <w:rFonts w:ascii="Times New Roman" w:eastAsia="SimSun" w:hAnsi="Times New Roman"/>
          <w:sz w:val="24"/>
          <w:szCs w:val="24"/>
          <w:lang w:eastAsia="zh-CN"/>
        </w:rPr>
        <w:t>IEC). Isso sinaliza que a maior entrada de capitais internacionais na economia contribui para uma apreciação cambial no curto prazo, sendo que esse efeito também se dissipa rapidamente ao longo do tempo. Os choques da taxa de juros (DJUROS) implicam uma resposta negativa da taxa de câmbio real após o segundo trimestre, mas tal efeito é de pequena magnitude quando comparado às demais variáveis</w:t>
      </w:r>
      <w:r w:rsidR="00C72EEC">
        <w:rPr>
          <w:rFonts w:ascii="Times New Roman" w:eastAsia="SimSun" w:hAnsi="Times New Roman"/>
          <w:sz w:val="24"/>
          <w:szCs w:val="24"/>
          <w:lang w:eastAsia="zh-CN"/>
        </w:rPr>
        <w:t xml:space="preserve"> do modelo</w:t>
      </w:r>
      <w:r w:rsidRPr="006E7098">
        <w:rPr>
          <w:rFonts w:ascii="Times New Roman" w:eastAsia="SimSun" w:hAnsi="Times New Roman"/>
          <w:sz w:val="24"/>
          <w:szCs w:val="24"/>
          <w:lang w:eastAsia="zh-CN"/>
        </w:rPr>
        <w:t xml:space="preserve">. Já os choques do risco-país (DEMBI) implicam uma resposta positiva e de magnitude considerável da taxa de câmbio real. Assim, uma piora (melhora) das avaliações de risco da economia está associada com uma </w:t>
      </w:r>
      <w:r w:rsidRPr="006E7098">
        <w:rPr>
          <w:rFonts w:ascii="Times New Roman" w:eastAsia="SimSun" w:hAnsi="Times New Roman"/>
          <w:sz w:val="24"/>
          <w:szCs w:val="24"/>
          <w:lang w:eastAsia="zh-CN"/>
        </w:rPr>
        <w:lastRenderedPageBreak/>
        <w:t>depreciação (apreciação) da taxa de câmbio real, na medida em que isso desestimula (estimula) o ingresso de capitais externos na economia. Portanto, neste modelo geral, os efeitos mais robustos sobre a taxa de câmbio</w:t>
      </w:r>
      <w:r w:rsidR="00E12185">
        <w:rPr>
          <w:rFonts w:ascii="Times New Roman" w:eastAsia="SimSun" w:hAnsi="Times New Roman"/>
          <w:sz w:val="24"/>
          <w:szCs w:val="24"/>
          <w:lang w:eastAsia="zh-CN"/>
        </w:rPr>
        <w:t xml:space="preserve"> real</w:t>
      </w:r>
      <w:r w:rsidRPr="006E7098">
        <w:rPr>
          <w:rFonts w:ascii="Times New Roman" w:eastAsia="SimSun" w:hAnsi="Times New Roman"/>
          <w:sz w:val="24"/>
          <w:szCs w:val="24"/>
          <w:lang w:eastAsia="zh-CN"/>
        </w:rPr>
        <w:t xml:space="preserve"> parecem advir dos choques dos preços das </w:t>
      </w:r>
      <w:r w:rsidRPr="006E7098">
        <w:rPr>
          <w:rFonts w:ascii="Times New Roman" w:eastAsia="SimSun" w:hAnsi="Times New Roman"/>
          <w:i/>
          <w:sz w:val="24"/>
          <w:szCs w:val="24"/>
          <w:lang w:eastAsia="zh-CN"/>
        </w:rPr>
        <w:t>commodities</w:t>
      </w:r>
      <w:r w:rsidRPr="006E7098">
        <w:rPr>
          <w:rFonts w:ascii="Times New Roman" w:eastAsia="SimSun" w:hAnsi="Times New Roman"/>
          <w:sz w:val="24"/>
          <w:szCs w:val="24"/>
          <w:lang w:eastAsia="zh-CN"/>
        </w:rPr>
        <w:t>, das entradas de investimento em carteira e do risco-país.</w:t>
      </w:r>
      <w:r>
        <w:rPr>
          <w:rFonts w:ascii="Times New Roman" w:eastAsia="SimSun" w:hAnsi="Times New Roman"/>
          <w:sz w:val="24"/>
          <w:szCs w:val="24"/>
          <w:lang w:eastAsia="zh-CN"/>
        </w:rPr>
        <w:t xml:space="preserve"> </w:t>
      </w:r>
    </w:p>
    <w:p w:rsidR="002D3E77" w:rsidRDefault="002D3E77" w:rsidP="00B81953">
      <w:pPr>
        <w:spacing w:after="0" w:line="240" w:lineRule="auto"/>
        <w:jc w:val="both"/>
        <w:rPr>
          <w:rFonts w:ascii="Times New Roman" w:eastAsia="SimSun" w:hAnsi="Times New Roman"/>
          <w:sz w:val="24"/>
          <w:szCs w:val="24"/>
          <w:lang w:eastAsia="zh-CN"/>
        </w:rPr>
      </w:pPr>
    </w:p>
    <w:p w:rsidR="006E51F2" w:rsidRPr="006E51F2" w:rsidRDefault="006E51F2" w:rsidP="006E51F2">
      <w:pPr>
        <w:spacing w:after="0" w:line="240" w:lineRule="auto"/>
        <w:jc w:val="center"/>
        <w:rPr>
          <w:rFonts w:ascii="Times New Roman" w:eastAsia="SimSun" w:hAnsi="Times New Roman"/>
          <w:b/>
          <w:sz w:val="24"/>
          <w:szCs w:val="24"/>
          <w:lang w:eastAsia="zh-CN"/>
        </w:rPr>
      </w:pPr>
      <w:r w:rsidRPr="006E51F2">
        <w:rPr>
          <w:rFonts w:ascii="Times New Roman" w:eastAsia="SimSun" w:hAnsi="Times New Roman"/>
          <w:b/>
          <w:sz w:val="24"/>
          <w:szCs w:val="24"/>
          <w:lang w:eastAsia="zh-CN"/>
        </w:rPr>
        <w:t xml:space="preserve">Figura </w:t>
      </w:r>
      <w:r>
        <w:rPr>
          <w:rFonts w:ascii="Times New Roman" w:eastAsia="SimSun" w:hAnsi="Times New Roman"/>
          <w:b/>
          <w:sz w:val="24"/>
          <w:szCs w:val="24"/>
          <w:lang w:eastAsia="zh-CN"/>
        </w:rPr>
        <w:t>2</w:t>
      </w:r>
      <w:r w:rsidRPr="006E51F2">
        <w:rPr>
          <w:rFonts w:ascii="Times New Roman" w:eastAsia="SimSun" w:hAnsi="Times New Roman"/>
          <w:b/>
          <w:sz w:val="24"/>
          <w:szCs w:val="24"/>
          <w:lang w:eastAsia="zh-CN"/>
        </w:rPr>
        <w:t xml:space="preserve">: Funções de Resposta aos Impulsos Generalizadas, Modelo </w:t>
      </w:r>
      <w:r>
        <w:rPr>
          <w:rFonts w:ascii="Times New Roman" w:eastAsia="SimSun" w:hAnsi="Times New Roman"/>
          <w:b/>
          <w:sz w:val="24"/>
          <w:szCs w:val="24"/>
          <w:lang w:eastAsia="zh-CN"/>
        </w:rPr>
        <w:t>2</w:t>
      </w:r>
    </w:p>
    <w:p w:rsidR="006E51F2" w:rsidRDefault="006E51F2" w:rsidP="00B81953">
      <w:pPr>
        <w:spacing w:after="0" w:line="240" w:lineRule="auto"/>
        <w:jc w:val="both"/>
        <w:rPr>
          <w:rFonts w:ascii="Times New Roman" w:eastAsia="SimSun" w:hAnsi="Times New Roman"/>
          <w:sz w:val="24"/>
          <w:szCs w:val="24"/>
          <w:lang w:eastAsia="zh-CN"/>
        </w:rPr>
      </w:pPr>
    </w:p>
    <w:p w:rsidR="00987203" w:rsidRDefault="00894B44" w:rsidP="00B81953">
      <w:pPr>
        <w:spacing w:after="0" w:line="240" w:lineRule="auto"/>
        <w:jc w:val="both"/>
        <w:rPr>
          <w:rFonts w:ascii="Times New Roman" w:eastAsia="SimSun" w:hAnsi="Times New Roman"/>
          <w:sz w:val="24"/>
          <w:szCs w:val="24"/>
          <w:lang w:eastAsia="zh-CN"/>
        </w:rPr>
      </w:pPr>
      <w:r>
        <w:rPr>
          <w:rFonts w:ascii="Times New Roman" w:eastAsia="SimSun" w:hAnsi="Times New Roman"/>
          <w:noProof/>
          <w:sz w:val="24"/>
          <w:szCs w:val="24"/>
          <w:lang w:eastAsia="pt-BR"/>
        </w:rPr>
        <w:drawing>
          <wp:inline distT="0" distB="0" distL="0" distR="0">
            <wp:extent cx="5848350" cy="4080510"/>
            <wp:effectExtent l="1905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20" cstate="print"/>
                    <a:srcRect/>
                    <a:stretch>
                      <a:fillRect/>
                    </a:stretch>
                  </pic:blipFill>
                  <pic:spPr bwMode="auto">
                    <a:xfrm>
                      <a:off x="0" y="0"/>
                      <a:ext cx="5848350" cy="4080510"/>
                    </a:xfrm>
                    <a:prstGeom prst="rect">
                      <a:avLst/>
                    </a:prstGeom>
                    <a:noFill/>
                    <a:ln w="9525">
                      <a:noFill/>
                      <a:miter lim="800000"/>
                      <a:headEnd/>
                      <a:tailEnd/>
                    </a:ln>
                  </pic:spPr>
                </pic:pic>
              </a:graphicData>
            </a:graphic>
          </wp:inline>
        </w:drawing>
      </w:r>
    </w:p>
    <w:p w:rsidR="001F35CA" w:rsidRDefault="001F35CA" w:rsidP="0081506C">
      <w:pPr>
        <w:spacing w:after="0" w:line="240" w:lineRule="auto"/>
        <w:rPr>
          <w:rFonts w:ascii="Times New Roman" w:hAnsi="Times New Roman"/>
          <w:i/>
          <w:sz w:val="20"/>
          <w:szCs w:val="20"/>
        </w:rPr>
      </w:pPr>
    </w:p>
    <w:p w:rsidR="0081506C" w:rsidRPr="00B33E67" w:rsidRDefault="0081506C" w:rsidP="0081506C">
      <w:pPr>
        <w:spacing w:after="0" w:line="240" w:lineRule="auto"/>
        <w:rPr>
          <w:rFonts w:ascii="Times New Roman" w:hAnsi="Times New Roman"/>
          <w:sz w:val="20"/>
          <w:szCs w:val="20"/>
        </w:rPr>
      </w:pPr>
      <w:r w:rsidRPr="00B33E67">
        <w:rPr>
          <w:rFonts w:ascii="Times New Roman" w:hAnsi="Times New Roman"/>
          <w:i/>
          <w:sz w:val="20"/>
          <w:szCs w:val="20"/>
        </w:rPr>
        <w:t>Fonte</w:t>
      </w:r>
      <w:r w:rsidR="009B4C54">
        <w:rPr>
          <w:rFonts w:ascii="Times New Roman" w:hAnsi="Times New Roman"/>
          <w:sz w:val="20"/>
          <w:szCs w:val="20"/>
        </w:rPr>
        <w:t>: S</w:t>
      </w:r>
      <w:r w:rsidRPr="00B33E67">
        <w:rPr>
          <w:rFonts w:ascii="Times New Roman" w:hAnsi="Times New Roman"/>
          <w:sz w:val="20"/>
          <w:szCs w:val="20"/>
        </w:rPr>
        <w:t xml:space="preserve">aída do Eviews 7.0. </w:t>
      </w:r>
    </w:p>
    <w:p w:rsidR="00874FC1" w:rsidRDefault="00874FC1" w:rsidP="00874FC1">
      <w:pPr>
        <w:spacing w:after="0" w:line="240" w:lineRule="auto"/>
        <w:ind w:firstLine="708"/>
        <w:jc w:val="both"/>
        <w:rPr>
          <w:rFonts w:ascii="Times New Roman" w:eastAsia="SimSun" w:hAnsi="Times New Roman"/>
          <w:sz w:val="24"/>
          <w:szCs w:val="24"/>
          <w:lang w:eastAsia="zh-CN"/>
        </w:rPr>
      </w:pPr>
    </w:p>
    <w:p w:rsidR="00C72EEC" w:rsidRPr="006E7098" w:rsidRDefault="00C72EEC" w:rsidP="00C72EEC">
      <w:pPr>
        <w:spacing w:after="0" w:line="240" w:lineRule="auto"/>
        <w:ind w:firstLine="708"/>
        <w:jc w:val="both"/>
        <w:rPr>
          <w:rFonts w:ascii="Times New Roman" w:eastAsia="SimSun" w:hAnsi="Times New Roman"/>
          <w:sz w:val="24"/>
          <w:szCs w:val="24"/>
          <w:lang w:eastAsia="zh-CN"/>
        </w:rPr>
      </w:pPr>
      <w:r w:rsidRPr="006E7098">
        <w:rPr>
          <w:rFonts w:ascii="Times New Roman" w:eastAsia="SimSun" w:hAnsi="Times New Roman"/>
          <w:sz w:val="24"/>
          <w:szCs w:val="24"/>
          <w:lang w:eastAsia="zh-CN"/>
        </w:rPr>
        <w:t xml:space="preserve">As evidências para o Modelo 2 (Figura 2) sinalizam a importância de se avaliar as entradas de capitais pela via do comércio de </w:t>
      </w:r>
      <w:r w:rsidRPr="006E7098">
        <w:rPr>
          <w:rFonts w:ascii="Times New Roman" w:eastAsia="SimSun" w:hAnsi="Times New Roman"/>
          <w:i/>
          <w:sz w:val="24"/>
          <w:szCs w:val="24"/>
          <w:lang w:eastAsia="zh-CN"/>
        </w:rPr>
        <w:t>commodities</w:t>
      </w:r>
      <w:r w:rsidRPr="006E7098">
        <w:rPr>
          <w:rFonts w:ascii="Times New Roman" w:eastAsia="SimSun" w:hAnsi="Times New Roman"/>
          <w:sz w:val="24"/>
          <w:szCs w:val="24"/>
          <w:lang w:eastAsia="zh-CN"/>
        </w:rPr>
        <w:t xml:space="preserve"> e dos investimentos em carteira de uma maneira mais desagregada, no intuito de se captar as possíveis </w:t>
      </w:r>
      <w:r w:rsidRPr="004C75D2">
        <w:rPr>
          <w:rFonts w:ascii="Times New Roman" w:eastAsia="SimSun" w:hAnsi="Times New Roman"/>
          <w:sz w:val="24"/>
          <w:szCs w:val="24"/>
          <w:lang w:eastAsia="zh-CN"/>
        </w:rPr>
        <w:t>fontes originais</w:t>
      </w:r>
      <w:r w:rsidRPr="006E7098">
        <w:rPr>
          <w:rFonts w:ascii="Times New Roman" w:eastAsia="SimSun" w:hAnsi="Times New Roman"/>
          <w:sz w:val="24"/>
          <w:szCs w:val="24"/>
          <w:lang w:eastAsia="zh-CN"/>
        </w:rPr>
        <w:t xml:space="preserve"> da apreciação cambial. Assim, observa-se que a taxa de câmbio real (DTCR) responde de forma negativa e em magnitude considerável aos choques das exportações de alimentos (DXAL) e minerais (DXMIN) no curto prazo. Este resultado se mostra mais robusto do que a evidência para as entradas de divisas decorrentes das exportações totais de </w:t>
      </w:r>
      <w:r w:rsidRPr="006E7098">
        <w:rPr>
          <w:rFonts w:ascii="Times New Roman" w:eastAsia="SimSun" w:hAnsi="Times New Roman"/>
          <w:i/>
          <w:sz w:val="24"/>
          <w:szCs w:val="24"/>
          <w:lang w:eastAsia="zh-CN"/>
        </w:rPr>
        <w:t>commodities</w:t>
      </w:r>
      <w:r w:rsidRPr="006E7098">
        <w:rPr>
          <w:rFonts w:ascii="Times New Roman" w:eastAsia="SimSun" w:hAnsi="Times New Roman"/>
          <w:sz w:val="24"/>
          <w:szCs w:val="24"/>
          <w:lang w:eastAsia="zh-CN"/>
        </w:rPr>
        <w:t xml:space="preserve"> (XCOM) no Modelo 1. Este</w:t>
      </w:r>
      <w:r w:rsidR="004C75D2">
        <w:rPr>
          <w:rFonts w:ascii="Times New Roman" w:eastAsia="SimSun" w:hAnsi="Times New Roman"/>
          <w:sz w:val="24"/>
          <w:szCs w:val="24"/>
          <w:lang w:eastAsia="zh-CN"/>
        </w:rPr>
        <w:t xml:space="preserve"> efeito</w:t>
      </w:r>
      <w:r w:rsidRPr="006E7098">
        <w:rPr>
          <w:rFonts w:ascii="Times New Roman" w:eastAsia="SimSun" w:hAnsi="Times New Roman"/>
          <w:sz w:val="24"/>
          <w:szCs w:val="24"/>
          <w:lang w:eastAsia="zh-CN"/>
        </w:rPr>
        <w:t xml:space="preserve"> po</w:t>
      </w:r>
      <w:r w:rsidR="004C75D2">
        <w:rPr>
          <w:rFonts w:ascii="Times New Roman" w:eastAsia="SimSun" w:hAnsi="Times New Roman"/>
          <w:sz w:val="24"/>
          <w:szCs w:val="24"/>
          <w:lang w:eastAsia="zh-CN"/>
        </w:rPr>
        <w:t>de</w:t>
      </w:r>
      <w:r w:rsidRPr="006E7098">
        <w:rPr>
          <w:rFonts w:ascii="Times New Roman" w:eastAsia="SimSun" w:hAnsi="Times New Roman"/>
          <w:sz w:val="24"/>
          <w:szCs w:val="24"/>
          <w:lang w:eastAsia="zh-CN"/>
        </w:rPr>
        <w:t xml:space="preserve"> ser explicado pelo fato de que alimentos e minerais possuem maior peso na pauta exportadora, e o indicador para as </w:t>
      </w:r>
      <w:r w:rsidRPr="006E7098">
        <w:rPr>
          <w:rFonts w:ascii="Times New Roman" w:eastAsia="SimSun" w:hAnsi="Times New Roman"/>
          <w:i/>
          <w:sz w:val="24"/>
          <w:szCs w:val="24"/>
          <w:lang w:eastAsia="zh-CN"/>
        </w:rPr>
        <w:t>commodities</w:t>
      </w:r>
      <w:r w:rsidRPr="006E7098">
        <w:rPr>
          <w:rFonts w:ascii="Times New Roman" w:eastAsia="SimSun" w:hAnsi="Times New Roman"/>
          <w:sz w:val="24"/>
          <w:szCs w:val="24"/>
          <w:lang w:eastAsia="zh-CN"/>
        </w:rPr>
        <w:t xml:space="preserve"> totais englobam as entradas de divisas relacionadas às vendas externas de matérias-primas e combustíveis, cuja participação na pauta, embora crescente, ainda é pequena.</w:t>
      </w:r>
    </w:p>
    <w:p w:rsidR="00C72EEC" w:rsidRPr="002F5ED0" w:rsidRDefault="00C72EEC" w:rsidP="00C72EEC">
      <w:pPr>
        <w:spacing w:after="0" w:line="240" w:lineRule="auto"/>
        <w:ind w:firstLine="708"/>
        <w:jc w:val="both"/>
        <w:rPr>
          <w:rFonts w:ascii="Times New Roman" w:eastAsia="SimSun" w:hAnsi="Times New Roman"/>
          <w:sz w:val="24"/>
          <w:szCs w:val="24"/>
          <w:lang w:eastAsia="zh-CN"/>
        </w:rPr>
      </w:pPr>
      <w:r w:rsidRPr="006E7098">
        <w:rPr>
          <w:rFonts w:ascii="Times New Roman" w:eastAsia="SimSun" w:hAnsi="Times New Roman"/>
          <w:sz w:val="24"/>
          <w:szCs w:val="24"/>
          <w:lang w:eastAsia="zh-CN"/>
        </w:rPr>
        <w:t>A resposta da taxa de câmbio real (DTCR) aos choques das entradas de investimento em carteira, tanto na forma de ações (DIECAC) quanto de renda fixa (IECRF), também é negativa, porém</w:t>
      </w:r>
      <w:r>
        <w:rPr>
          <w:rFonts w:ascii="Times New Roman" w:eastAsia="SimSun" w:hAnsi="Times New Roman"/>
          <w:sz w:val="24"/>
          <w:szCs w:val="24"/>
          <w:lang w:eastAsia="zh-CN"/>
        </w:rPr>
        <w:t>,</w:t>
      </w:r>
      <w:r w:rsidRPr="006E7098">
        <w:rPr>
          <w:rFonts w:ascii="Times New Roman" w:eastAsia="SimSun" w:hAnsi="Times New Roman"/>
          <w:sz w:val="24"/>
          <w:szCs w:val="24"/>
          <w:lang w:eastAsia="zh-CN"/>
        </w:rPr>
        <w:t xml:space="preserve"> estes efeitos se dissipam rapidamente ao longo do tempo. Neste sentido, ambas as modalidades de papéis parecem contribuir para explicar a apreciação cambial no curto prazo. Os resultados para as variáveis preços das </w:t>
      </w:r>
      <w:r w:rsidRPr="006E7098">
        <w:rPr>
          <w:rFonts w:ascii="Times New Roman" w:eastAsia="SimSun" w:hAnsi="Times New Roman"/>
          <w:i/>
          <w:sz w:val="24"/>
          <w:szCs w:val="24"/>
          <w:lang w:eastAsia="zh-CN"/>
        </w:rPr>
        <w:t>commodities</w:t>
      </w:r>
      <w:r w:rsidRPr="006E7098">
        <w:rPr>
          <w:rFonts w:ascii="Times New Roman" w:eastAsia="SimSun" w:hAnsi="Times New Roman"/>
          <w:sz w:val="24"/>
          <w:szCs w:val="24"/>
          <w:lang w:eastAsia="zh-CN"/>
        </w:rPr>
        <w:t xml:space="preserve">, taxa de juros e risco-país se mantêm, conforme </w:t>
      </w:r>
      <w:r w:rsidRPr="006E7098">
        <w:rPr>
          <w:rFonts w:ascii="Times New Roman" w:eastAsia="SimSun" w:hAnsi="Times New Roman"/>
          <w:sz w:val="24"/>
          <w:szCs w:val="24"/>
          <w:lang w:eastAsia="zh-CN"/>
        </w:rPr>
        <w:lastRenderedPageBreak/>
        <w:t>as evidências para o Modelo 1, indicando a contribuição (com menor importância para a taxa de juros) para explicar a apreciação da taxa de câmbio real.</w:t>
      </w:r>
    </w:p>
    <w:p w:rsidR="00B81953" w:rsidRPr="0027795C" w:rsidRDefault="004321F0" w:rsidP="00532192">
      <w:pPr>
        <w:pStyle w:val="PargrafodaLista"/>
        <w:spacing w:after="0" w:line="240" w:lineRule="auto"/>
        <w:ind w:left="0" w:firstLine="708"/>
        <w:jc w:val="both"/>
        <w:rPr>
          <w:rFonts w:ascii="Times New Roman" w:hAnsi="Times New Roman"/>
          <w:sz w:val="24"/>
          <w:szCs w:val="24"/>
        </w:rPr>
      </w:pPr>
      <w:r w:rsidRPr="0027795C">
        <w:rPr>
          <w:rFonts w:ascii="Times New Roman" w:hAnsi="Times New Roman"/>
          <w:sz w:val="24"/>
          <w:szCs w:val="24"/>
        </w:rPr>
        <w:t xml:space="preserve">Na sequência foram analisadas as decomposições da variância da </w:t>
      </w:r>
      <w:r w:rsidR="000D3B58" w:rsidRPr="0027795C">
        <w:rPr>
          <w:rFonts w:ascii="Times New Roman" w:hAnsi="Times New Roman"/>
          <w:sz w:val="24"/>
          <w:szCs w:val="24"/>
        </w:rPr>
        <w:t>taxa</w:t>
      </w:r>
      <w:r w:rsidRPr="0027795C">
        <w:rPr>
          <w:rFonts w:ascii="Times New Roman" w:hAnsi="Times New Roman"/>
          <w:sz w:val="24"/>
          <w:szCs w:val="24"/>
        </w:rPr>
        <w:t xml:space="preserve"> de câmbio real</w:t>
      </w:r>
      <w:r w:rsidR="005809BB" w:rsidRPr="0027795C">
        <w:rPr>
          <w:rFonts w:ascii="Times New Roman" w:hAnsi="Times New Roman"/>
          <w:sz w:val="24"/>
          <w:szCs w:val="24"/>
        </w:rPr>
        <w:t xml:space="preserve"> (DTCR)</w:t>
      </w:r>
      <w:r w:rsidRPr="0027795C">
        <w:rPr>
          <w:rFonts w:ascii="Times New Roman" w:hAnsi="Times New Roman"/>
          <w:sz w:val="24"/>
          <w:szCs w:val="24"/>
        </w:rPr>
        <w:t>.</w:t>
      </w:r>
      <w:r w:rsidR="005809BB" w:rsidRPr="0027795C">
        <w:rPr>
          <w:rFonts w:ascii="Times New Roman" w:hAnsi="Times New Roman"/>
          <w:sz w:val="24"/>
          <w:szCs w:val="24"/>
        </w:rPr>
        <w:t xml:space="preserve"> Da mesma maneira que as análises de respostas aos impulsos, a análise de decomposição da variância </w:t>
      </w:r>
      <w:r w:rsidR="00532192" w:rsidRPr="0027795C">
        <w:rPr>
          <w:rFonts w:ascii="Times New Roman" w:hAnsi="Times New Roman"/>
          <w:sz w:val="24"/>
          <w:szCs w:val="24"/>
        </w:rPr>
        <w:t xml:space="preserve">(ADV) </w:t>
      </w:r>
      <w:r w:rsidR="005809BB" w:rsidRPr="0027795C">
        <w:rPr>
          <w:rFonts w:ascii="Times New Roman" w:hAnsi="Times New Roman"/>
          <w:sz w:val="24"/>
          <w:szCs w:val="24"/>
        </w:rPr>
        <w:t>foi realizada com a especificação generalizada. A vantagem de tal abordagem é não ser afetada pela ordem das variáveis</w:t>
      </w:r>
      <w:r w:rsidR="0027795C">
        <w:rPr>
          <w:rStyle w:val="Refdenotaderodap"/>
          <w:rFonts w:ascii="Times New Roman" w:hAnsi="Times New Roman"/>
          <w:sz w:val="24"/>
          <w:szCs w:val="24"/>
        </w:rPr>
        <w:footnoteReference w:id="14"/>
      </w:r>
      <w:r w:rsidR="005809BB" w:rsidRPr="0027795C">
        <w:rPr>
          <w:rFonts w:ascii="Times New Roman" w:hAnsi="Times New Roman"/>
          <w:sz w:val="24"/>
          <w:szCs w:val="24"/>
        </w:rPr>
        <w:t>.</w:t>
      </w:r>
      <w:r w:rsidR="00532192" w:rsidRPr="0027795C">
        <w:rPr>
          <w:rFonts w:ascii="Times New Roman" w:hAnsi="Times New Roman"/>
          <w:sz w:val="24"/>
          <w:szCs w:val="24"/>
        </w:rPr>
        <w:t xml:space="preserve"> </w:t>
      </w:r>
    </w:p>
    <w:p w:rsidR="00C25CFB" w:rsidRDefault="0027795C" w:rsidP="00C25CFB">
      <w:pPr>
        <w:spacing w:after="0" w:line="240" w:lineRule="auto"/>
        <w:ind w:firstLine="708"/>
        <w:jc w:val="both"/>
        <w:rPr>
          <w:rFonts w:ascii="Times New Roman" w:eastAsia="SimSun" w:hAnsi="Times New Roman"/>
          <w:sz w:val="24"/>
          <w:szCs w:val="24"/>
          <w:lang w:eastAsia="zh-CN"/>
        </w:rPr>
      </w:pPr>
      <w:r w:rsidRPr="0027795C">
        <w:rPr>
          <w:rFonts w:ascii="Times New Roman" w:hAnsi="Times New Roman"/>
          <w:sz w:val="24"/>
          <w:szCs w:val="24"/>
        </w:rPr>
        <w:t>As Tabelas 6</w:t>
      </w:r>
      <w:r w:rsidR="00AD40D8" w:rsidRPr="0027795C">
        <w:rPr>
          <w:rFonts w:ascii="Times New Roman" w:hAnsi="Times New Roman"/>
          <w:sz w:val="24"/>
          <w:szCs w:val="24"/>
        </w:rPr>
        <w:t xml:space="preserve"> e </w:t>
      </w:r>
      <w:r w:rsidRPr="0027795C">
        <w:rPr>
          <w:rFonts w:ascii="Times New Roman" w:hAnsi="Times New Roman"/>
          <w:sz w:val="24"/>
          <w:szCs w:val="24"/>
        </w:rPr>
        <w:t>7</w:t>
      </w:r>
      <w:r w:rsidR="00AD40D8" w:rsidRPr="0027795C">
        <w:rPr>
          <w:rFonts w:ascii="Times New Roman" w:hAnsi="Times New Roman"/>
          <w:sz w:val="24"/>
          <w:szCs w:val="24"/>
        </w:rPr>
        <w:t xml:space="preserve"> </w:t>
      </w:r>
      <w:r w:rsidR="00C25CFB" w:rsidRPr="0027795C">
        <w:rPr>
          <w:rFonts w:ascii="Times New Roman" w:hAnsi="Times New Roman"/>
          <w:sz w:val="24"/>
          <w:szCs w:val="24"/>
        </w:rPr>
        <w:t xml:space="preserve">apresentam a porcentagem da variância da taxa de câmbio real </w:t>
      </w:r>
      <w:r w:rsidRPr="0027795C">
        <w:rPr>
          <w:rFonts w:ascii="Times New Roman" w:hAnsi="Times New Roman"/>
          <w:sz w:val="24"/>
          <w:szCs w:val="24"/>
        </w:rPr>
        <w:t xml:space="preserve">(DTCR) </w:t>
      </w:r>
      <w:r w:rsidR="00C25CFB" w:rsidRPr="0027795C">
        <w:rPr>
          <w:rFonts w:ascii="Times New Roman" w:hAnsi="Times New Roman"/>
          <w:sz w:val="24"/>
          <w:szCs w:val="24"/>
        </w:rPr>
        <w:t xml:space="preserve">explicadas pelas </w:t>
      </w:r>
      <w:r w:rsidR="00C25CFB" w:rsidRPr="0027795C">
        <w:rPr>
          <w:rFonts w:ascii="Times New Roman" w:eastAsia="SimSun" w:hAnsi="Times New Roman"/>
          <w:sz w:val="24"/>
          <w:szCs w:val="24"/>
          <w:lang w:eastAsia="zh-CN"/>
        </w:rPr>
        <w:t xml:space="preserve">variáveis relacionadas ao comércio das </w:t>
      </w:r>
      <w:r w:rsidR="00C25CFB" w:rsidRPr="0027795C">
        <w:rPr>
          <w:rFonts w:ascii="Times New Roman" w:eastAsia="SimSun" w:hAnsi="Times New Roman"/>
          <w:i/>
          <w:sz w:val="24"/>
          <w:szCs w:val="24"/>
          <w:lang w:eastAsia="zh-CN"/>
        </w:rPr>
        <w:t>commodities</w:t>
      </w:r>
      <w:r w:rsidR="00C25CFB" w:rsidRPr="0027795C">
        <w:rPr>
          <w:rFonts w:ascii="Times New Roman" w:eastAsia="SimSun" w:hAnsi="Times New Roman"/>
          <w:sz w:val="24"/>
          <w:szCs w:val="24"/>
          <w:lang w:eastAsia="zh-CN"/>
        </w:rPr>
        <w:t xml:space="preserve"> (DXCOM, DXAL, DXMIN, DIPCOM) e das variáveis financeiras (IEC, DIECAC, IECRF, DJUROS e DEMBI).</w:t>
      </w:r>
    </w:p>
    <w:p w:rsidR="000720BA" w:rsidRDefault="000720BA" w:rsidP="00C25CFB">
      <w:pPr>
        <w:pStyle w:val="PargrafodaLista"/>
        <w:spacing w:after="0" w:line="240" w:lineRule="auto"/>
        <w:ind w:left="0"/>
        <w:rPr>
          <w:rFonts w:ascii="Times New Roman" w:hAnsi="Times New Roman"/>
          <w:sz w:val="24"/>
          <w:szCs w:val="24"/>
        </w:rPr>
      </w:pPr>
    </w:p>
    <w:p w:rsidR="00B81953" w:rsidRPr="00A97A5D" w:rsidRDefault="001F35CA" w:rsidP="00B81953">
      <w:pPr>
        <w:pStyle w:val="PargrafodaLista"/>
        <w:spacing w:after="0" w:line="240" w:lineRule="auto"/>
        <w:jc w:val="center"/>
        <w:rPr>
          <w:rFonts w:ascii="Times New Roman" w:hAnsi="Times New Roman"/>
          <w:b/>
          <w:sz w:val="24"/>
          <w:szCs w:val="24"/>
        </w:rPr>
      </w:pPr>
      <w:r>
        <w:rPr>
          <w:rFonts w:ascii="Times New Roman" w:hAnsi="Times New Roman"/>
          <w:b/>
          <w:sz w:val="24"/>
          <w:szCs w:val="24"/>
        </w:rPr>
        <w:t xml:space="preserve">Tabela </w:t>
      </w:r>
      <w:r w:rsidR="0027795C">
        <w:rPr>
          <w:rFonts w:ascii="Times New Roman" w:hAnsi="Times New Roman"/>
          <w:b/>
          <w:sz w:val="24"/>
          <w:szCs w:val="24"/>
        </w:rPr>
        <w:t>6</w:t>
      </w:r>
      <w:r w:rsidR="00B81953" w:rsidRPr="00A97A5D">
        <w:rPr>
          <w:rFonts w:ascii="Times New Roman" w:hAnsi="Times New Roman"/>
          <w:b/>
          <w:sz w:val="24"/>
          <w:szCs w:val="24"/>
        </w:rPr>
        <w:t>: Análise de Decomposição da Variância</w:t>
      </w:r>
      <w:r w:rsidR="0079464A">
        <w:rPr>
          <w:rFonts w:ascii="Times New Roman" w:hAnsi="Times New Roman"/>
          <w:b/>
          <w:sz w:val="24"/>
          <w:szCs w:val="24"/>
        </w:rPr>
        <w:t xml:space="preserve"> Generalizada</w:t>
      </w:r>
      <w:r w:rsidR="00B81953" w:rsidRPr="00A97A5D">
        <w:rPr>
          <w:rFonts w:ascii="Times New Roman" w:hAnsi="Times New Roman"/>
          <w:b/>
          <w:sz w:val="24"/>
          <w:szCs w:val="24"/>
        </w:rPr>
        <w:t xml:space="preserve"> – Modelo 1</w:t>
      </w:r>
    </w:p>
    <w:tbl>
      <w:tblPr>
        <w:tblW w:w="9653" w:type="dxa"/>
        <w:jc w:val="center"/>
        <w:tblInd w:w="-1026" w:type="dxa"/>
        <w:tblLayout w:type="fixed"/>
        <w:tblCellMar>
          <w:left w:w="30" w:type="dxa"/>
          <w:right w:w="30" w:type="dxa"/>
        </w:tblCellMar>
        <w:tblLook w:val="0000"/>
      </w:tblPr>
      <w:tblGrid>
        <w:gridCol w:w="1379"/>
        <w:gridCol w:w="1379"/>
        <w:gridCol w:w="1379"/>
        <w:gridCol w:w="1379"/>
        <w:gridCol w:w="1379"/>
        <w:gridCol w:w="1379"/>
        <w:gridCol w:w="1379"/>
      </w:tblGrid>
      <w:tr w:rsidR="00FD7AA8" w:rsidTr="0027795C">
        <w:trPr>
          <w:jc w:val="center"/>
        </w:trPr>
        <w:tc>
          <w:tcPr>
            <w:tcW w:w="9653" w:type="dxa"/>
            <w:gridSpan w:val="7"/>
            <w:tcBorders>
              <w:top w:val="double" w:sz="4" w:space="0" w:color="auto"/>
              <w:left w:val="nil"/>
              <w:bottom w:val="single" w:sz="4" w:space="0" w:color="auto"/>
              <w:right w:val="nil"/>
            </w:tcBorders>
            <w:shd w:val="clear" w:color="auto" w:fill="BFBFBF"/>
          </w:tcPr>
          <w:p w:rsidR="00FD7AA8" w:rsidRPr="00F671D2" w:rsidRDefault="0004328A" w:rsidP="0004328A">
            <w:pPr>
              <w:autoSpaceDE w:val="0"/>
              <w:autoSpaceDN w:val="0"/>
              <w:adjustRightInd w:val="0"/>
              <w:spacing w:after="0" w:line="240" w:lineRule="auto"/>
              <w:jc w:val="both"/>
              <w:rPr>
                <w:rFonts w:ascii="Times New Roman" w:hAnsi="Times New Roman"/>
                <w:b/>
                <w:sz w:val="20"/>
                <w:szCs w:val="20"/>
                <w:lang w:eastAsia="pt-BR"/>
              </w:rPr>
            </w:pPr>
            <w:r w:rsidRPr="0004328A">
              <w:rPr>
                <w:rFonts w:ascii="Times New Roman" w:hAnsi="Times New Roman"/>
                <w:b/>
                <w:sz w:val="20"/>
                <w:szCs w:val="20"/>
              </w:rPr>
              <w:t xml:space="preserve">Decomposição de </w:t>
            </w:r>
            <w:r w:rsidR="00FD7AA8" w:rsidRPr="0004328A">
              <w:rPr>
                <w:rFonts w:ascii="Times New Roman" w:hAnsi="Times New Roman"/>
                <w:b/>
                <w:sz w:val="20"/>
                <w:szCs w:val="20"/>
              </w:rPr>
              <w:t>Vari</w:t>
            </w:r>
            <w:r w:rsidRPr="0004328A">
              <w:rPr>
                <w:rFonts w:ascii="Times New Roman" w:hAnsi="Times New Roman"/>
                <w:b/>
                <w:sz w:val="20"/>
                <w:szCs w:val="20"/>
              </w:rPr>
              <w:t>ância da</w:t>
            </w:r>
            <w:r w:rsidR="00FD7AA8" w:rsidRPr="0004328A">
              <w:rPr>
                <w:rFonts w:ascii="Times New Roman" w:hAnsi="Times New Roman"/>
                <w:b/>
                <w:sz w:val="20"/>
                <w:szCs w:val="20"/>
              </w:rPr>
              <w:t xml:space="preserve"> </w:t>
            </w:r>
            <w:r w:rsidR="00FD7AA8" w:rsidRPr="00F671D2">
              <w:rPr>
                <w:rFonts w:ascii="Times New Roman" w:hAnsi="Times New Roman"/>
                <w:b/>
                <w:sz w:val="20"/>
                <w:szCs w:val="20"/>
                <w:lang w:eastAsia="pt-BR"/>
              </w:rPr>
              <w:t>DTCR:</w:t>
            </w:r>
          </w:p>
        </w:tc>
      </w:tr>
      <w:tr w:rsidR="00AB53B9" w:rsidTr="0004328A">
        <w:trPr>
          <w:jc w:val="center"/>
        </w:trPr>
        <w:tc>
          <w:tcPr>
            <w:tcW w:w="1379" w:type="dxa"/>
            <w:tcBorders>
              <w:top w:val="single" w:sz="4" w:space="0" w:color="auto"/>
              <w:left w:val="nil"/>
              <w:bottom w:val="single" w:sz="4" w:space="0" w:color="auto"/>
              <w:right w:val="nil"/>
            </w:tcBorders>
          </w:tcPr>
          <w:p w:rsidR="00AB53B9" w:rsidRPr="00013942" w:rsidRDefault="0004328A" w:rsidP="0004328A">
            <w:pPr>
              <w:autoSpaceDE w:val="0"/>
              <w:autoSpaceDN w:val="0"/>
              <w:adjustRightInd w:val="0"/>
              <w:spacing w:after="0" w:line="240" w:lineRule="auto"/>
              <w:jc w:val="center"/>
              <w:rPr>
                <w:rFonts w:ascii="Times New Roman" w:hAnsi="Times New Roman"/>
                <w:sz w:val="20"/>
                <w:szCs w:val="20"/>
                <w:lang w:eastAsia="pt-BR"/>
              </w:rPr>
            </w:pPr>
            <w:r>
              <w:rPr>
                <w:rFonts w:ascii="Times New Roman" w:hAnsi="Times New Roman"/>
                <w:sz w:val="20"/>
                <w:szCs w:val="20"/>
                <w:lang w:eastAsia="pt-BR"/>
              </w:rPr>
              <w:t>Período</w:t>
            </w:r>
          </w:p>
        </w:tc>
        <w:tc>
          <w:tcPr>
            <w:tcW w:w="1379" w:type="dxa"/>
            <w:tcBorders>
              <w:top w:val="single" w:sz="4" w:space="0" w:color="auto"/>
              <w:left w:val="nil"/>
              <w:bottom w:val="single" w:sz="4" w:space="0" w:color="auto"/>
              <w:right w:val="nil"/>
            </w:tcBorders>
            <w:vAlign w:val="bottom"/>
          </w:tcPr>
          <w:p w:rsidR="00AB53B9" w:rsidRPr="00AB53B9" w:rsidRDefault="00AB53B9" w:rsidP="00AB53B9">
            <w:pPr>
              <w:spacing w:after="0" w:line="240" w:lineRule="auto"/>
              <w:jc w:val="center"/>
              <w:rPr>
                <w:rFonts w:ascii="Times New Roman" w:hAnsi="Times New Roman"/>
                <w:color w:val="000000"/>
                <w:sz w:val="20"/>
                <w:szCs w:val="20"/>
              </w:rPr>
            </w:pPr>
            <w:r w:rsidRPr="00AB53B9">
              <w:rPr>
                <w:rFonts w:ascii="Times New Roman" w:hAnsi="Times New Roman"/>
                <w:color w:val="000000"/>
                <w:sz w:val="20"/>
                <w:szCs w:val="20"/>
              </w:rPr>
              <w:t>DTCR</w:t>
            </w:r>
          </w:p>
        </w:tc>
        <w:tc>
          <w:tcPr>
            <w:tcW w:w="1379" w:type="dxa"/>
            <w:tcBorders>
              <w:top w:val="single" w:sz="4" w:space="0" w:color="auto"/>
              <w:left w:val="nil"/>
              <w:bottom w:val="single" w:sz="4" w:space="0" w:color="auto"/>
              <w:right w:val="nil"/>
            </w:tcBorders>
            <w:vAlign w:val="bottom"/>
          </w:tcPr>
          <w:p w:rsidR="00AB53B9" w:rsidRPr="00AB53B9" w:rsidRDefault="00AB53B9" w:rsidP="00AB53B9">
            <w:pPr>
              <w:spacing w:after="0" w:line="240" w:lineRule="auto"/>
              <w:jc w:val="center"/>
              <w:rPr>
                <w:rFonts w:ascii="Times New Roman" w:hAnsi="Times New Roman"/>
                <w:color w:val="000000"/>
                <w:sz w:val="20"/>
                <w:szCs w:val="20"/>
              </w:rPr>
            </w:pPr>
            <w:r w:rsidRPr="00AB53B9">
              <w:rPr>
                <w:rFonts w:ascii="Times New Roman" w:hAnsi="Times New Roman"/>
                <w:color w:val="000000"/>
                <w:sz w:val="20"/>
                <w:szCs w:val="20"/>
              </w:rPr>
              <w:t>XCOM</w:t>
            </w:r>
          </w:p>
        </w:tc>
        <w:tc>
          <w:tcPr>
            <w:tcW w:w="1379" w:type="dxa"/>
            <w:tcBorders>
              <w:top w:val="single" w:sz="4" w:space="0" w:color="auto"/>
              <w:left w:val="nil"/>
              <w:bottom w:val="single" w:sz="4" w:space="0" w:color="auto"/>
              <w:right w:val="nil"/>
            </w:tcBorders>
            <w:vAlign w:val="bottom"/>
          </w:tcPr>
          <w:p w:rsidR="00AB53B9" w:rsidRPr="00AB53B9" w:rsidRDefault="00AB53B9" w:rsidP="00AB53B9">
            <w:pPr>
              <w:spacing w:after="0" w:line="240" w:lineRule="auto"/>
              <w:jc w:val="center"/>
              <w:rPr>
                <w:rFonts w:ascii="Times New Roman" w:hAnsi="Times New Roman"/>
                <w:color w:val="000000"/>
                <w:sz w:val="20"/>
                <w:szCs w:val="20"/>
              </w:rPr>
            </w:pPr>
            <w:r w:rsidRPr="00AB53B9">
              <w:rPr>
                <w:rFonts w:ascii="Times New Roman" w:hAnsi="Times New Roman"/>
                <w:color w:val="000000"/>
                <w:sz w:val="20"/>
                <w:szCs w:val="20"/>
              </w:rPr>
              <w:t>DIPCOM</w:t>
            </w:r>
          </w:p>
        </w:tc>
        <w:tc>
          <w:tcPr>
            <w:tcW w:w="1379" w:type="dxa"/>
            <w:tcBorders>
              <w:top w:val="single" w:sz="4" w:space="0" w:color="auto"/>
              <w:left w:val="nil"/>
              <w:bottom w:val="single" w:sz="4" w:space="0" w:color="auto"/>
              <w:right w:val="nil"/>
            </w:tcBorders>
            <w:vAlign w:val="bottom"/>
          </w:tcPr>
          <w:p w:rsidR="00AB53B9" w:rsidRPr="00AB53B9" w:rsidRDefault="00AB53B9" w:rsidP="00AB53B9">
            <w:pPr>
              <w:spacing w:after="0" w:line="240" w:lineRule="auto"/>
              <w:jc w:val="center"/>
              <w:rPr>
                <w:rFonts w:ascii="Times New Roman" w:hAnsi="Times New Roman"/>
                <w:color w:val="000000"/>
                <w:sz w:val="20"/>
                <w:szCs w:val="20"/>
              </w:rPr>
            </w:pPr>
            <w:r w:rsidRPr="00AB53B9">
              <w:rPr>
                <w:rFonts w:ascii="Times New Roman" w:hAnsi="Times New Roman"/>
                <w:color w:val="000000"/>
                <w:sz w:val="20"/>
                <w:szCs w:val="20"/>
              </w:rPr>
              <w:t>DIEC</w:t>
            </w:r>
          </w:p>
        </w:tc>
        <w:tc>
          <w:tcPr>
            <w:tcW w:w="1379" w:type="dxa"/>
            <w:tcBorders>
              <w:top w:val="single" w:sz="4" w:space="0" w:color="auto"/>
              <w:left w:val="nil"/>
              <w:bottom w:val="single" w:sz="4" w:space="0" w:color="auto"/>
              <w:right w:val="nil"/>
            </w:tcBorders>
            <w:vAlign w:val="bottom"/>
          </w:tcPr>
          <w:p w:rsidR="00AB53B9" w:rsidRPr="00AB53B9" w:rsidRDefault="00AB53B9" w:rsidP="00AB53B9">
            <w:pPr>
              <w:spacing w:after="0" w:line="240" w:lineRule="auto"/>
              <w:jc w:val="center"/>
              <w:rPr>
                <w:rFonts w:ascii="Times New Roman" w:hAnsi="Times New Roman"/>
                <w:color w:val="000000"/>
                <w:sz w:val="20"/>
                <w:szCs w:val="20"/>
              </w:rPr>
            </w:pPr>
            <w:r w:rsidRPr="00AB53B9">
              <w:rPr>
                <w:rFonts w:ascii="Times New Roman" w:hAnsi="Times New Roman"/>
                <w:color w:val="000000"/>
                <w:sz w:val="20"/>
                <w:szCs w:val="20"/>
              </w:rPr>
              <w:t>DJUROS</w:t>
            </w:r>
          </w:p>
        </w:tc>
        <w:tc>
          <w:tcPr>
            <w:tcW w:w="1379" w:type="dxa"/>
            <w:tcBorders>
              <w:top w:val="single" w:sz="4" w:space="0" w:color="auto"/>
              <w:left w:val="nil"/>
              <w:bottom w:val="single" w:sz="4" w:space="0" w:color="auto"/>
              <w:right w:val="nil"/>
            </w:tcBorders>
            <w:vAlign w:val="bottom"/>
          </w:tcPr>
          <w:p w:rsidR="00AB53B9" w:rsidRPr="00AB53B9" w:rsidRDefault="00AB53B9" w:rsidP="00AB53B9">
            <w:pPr>
              <w:spacing w:after="0" w:line="240" w:lineRule="auto"/>
              <w:jc w:val="center"/>
              <w:rPr>
                <w:rFonts w:ascii="Times New Roman" w:hAnsi="Times New Roman"/>
                <w:color w:val="000000"/>
                <w:sz w:val="20"/>
                <w:szCs w:val="20"/>
              </w:rPr>
            </w:pPr>
            <w:r w:rsidRPr="00AB53B9">
              <w:rPr>
                <w:rFonts w:ascii="Times New Roman" w:hAnsi="Times New Roman"/>
                <w:color w:val="000000"/>
                <w:sz w:val="20"/>
                <w:szCs w:val="20"/>
              </w:rPr>
              <w:t>DEMBI</w:t>
            </w:r>
          </w:p>
        </w:tc>
      </w:tr>
      <w:tr w:rsidR="00AB53B9" w:rsidTr="0004328A">
        <w:trPr>
          <w:jc w:val="center"/>
        </w:trPr>
        <w:tc>
          <w:tcPr>
            <w:tcW w:w="1379" w:type="dxa"/>
            <w:tcBorders>
              <w:top w:val="nil"/>
              <w:left w:val="nil"/>
              <w:bottom w:val="nil"/>
              <w:right w:val="nil"/>
            </w:tcBorders>
          </w:tcPr>
          <w:p w:rsidR="00AB53B9" w:rsidRPr="00013942" w:rsidRDefault="00AB53B9" w:rsidP="0004328A">
            <w:pPr>
              <w:autoSpaceDE w:val="0"/>
              <w:autoSpaceDN w:val="0"/>
              <w:adjustRightInd w:val="0"/>
              <w:spacing w:after="0" w:line="240" w:lineRule="auto"/>
              <w:jc w:val="center"/>
              <w:rPr>
                <w:rFonts w:ascii="Times New Roman" w:hAnsi="Times New Roman"/>
                <w:sz w:val="20"/>
                <w:szCs w:val="20"/>
                <w:lang w:eastAsia="pt-BR"/>
              </w:rPr>
            </w:pPr>
            <w:r w:rsidRPr="00013942">
              <w:rPr>
                <w:rFonts w:ascii="Times New Roman" w:hAnsi="Times New Roman"/>
                <w:sz w:val="20"/>
                <w:szCs w:val="20"/>
                <w:lang w:eastAsia="pt-BR"/>
              </w:rPr>
              <w:t>1</w:t>
            </w:r>
          </w:p>
        </w:tc>
        <w:tc>
          <w:tcPr>
            <w:tcW w:w="1379" w:type="dxa"/>
            <w:tcBorders>
              <w:top w:val="nil"/>
              <w:left w:val="nil"/>
              <w:bottom w:val="nil"/>
              <w:right w:val="nil"/>
            </w:tcBorders>
            <w:vAlign w:val="bottom"/>
          </w:tcPr>
          <w:p w:rsidR="00AB53B9" w:rsidRPr="008210A3" w:rsidRDefault="00AB53B9" w:rsidP="008210A3">
            <w:pPr>
              <w:spacing w:after="0" w:line="240" w:lineRule="auto"/>
              <w:jc w:val="center"/>
              <w:rPr>
                <w:rFonts w:ascii="Times New Roman" w:hAnsi="Times New Roman"/>
                <w:color w:val="000000"/>
                <w:sz w:val="20"/>
                <w:szCs w:val="20"/>
              </w:rPr>
            </w:pPr>
            <w:r w:rsidRPr="008210A3">
              <w:rPr>
                <w:rFonts w:ascii="Times New Roman" w:hAnsi="Times New Roman"/>
                <w:color w:val="000000"/>
                <w:sz w:val="20"/>
                <w:szCs w:val="20"/>
              </w:rPr>
              <w:t>39,2247</w:t>
            </w:r>
          </w:p>
        </w:tc>
        <w:tc>
          <w:tcPr>
            <w:tcW w:w="1379" w:type="dxa"/>
            <w:tcBorders>
              <w:top w:val="nil"/>
              <w:left w:val="nil"/>
              <w:bottom w:val="nil"/>
              <w:right w:val="nil"/>
            </w:tcBorders>
            <w:vAlign w:val="bottom"/>
          </w:tcPr>
          <w:p w:rsidR="00AB53B9" w:rsidRPr="008210A3" w:rsidRDefault="00AB53B9" w:rsidP="008210A3">
            <w:pPr>
              <w:spacing w:after="0" w:line="240" w:lineRule="auto"/>
              <w:jc w:val="center"/>
              <w:rPr>
                <w:rFonts w:ascii="Times New Roman" w:hAnsi="Times New Roman"/>
                <w:color w:val="000000"/>
                <w:sz w:val="20"/>
                <w:szCs w:val="20"/>
              </w:rPr>
            </w:pPr>
            <w:r w:rsidRPr="008210A3">
              <w:rPr>
                <w:rFonts w:ascii="Times New Roman" w:hAnsi="Times New Roman"/>
                <w:color w:val="000000"/>
                <w:sz w:val="20"/>
                <w:szCs w:val="20"/>
              </w:rPr>
              <w:t>1,7042</w:t>
            </w:r>
          </w:p>
        </w:tc>
        <w:tc>
          <w:tcPr>
            <w:tcW w:w="1379" w:type="dxa"/>
            <w:tcBorders>
              <w:top w:val="nil"/>
              <w:left w:val="nil"/>
              <w:bottom w:val="nil"/>
              <w:right w:val="nil"/>
            </w:tcBorders>
            <w:vAlign w:val="bottom"/>
          </w:tcPr>
          <w:p w:rsidR="00AB53B9" w:rsidRPr="008210A3" w:rsidRDefault="00AB53B9" w:rsidP="008210A3">
            <w:pPr>
              <w:spacing w:after="0" w:line="240" w:lineRule="auto"/>
              <w:jc w:val="center"/>
              <w:rPr>
                <w:rFonts w:ascii="Times New Roman" w:hAnsi="Times New Roman"/>
                <w:color w:val="000000"/>
                <w:sz w:val="20"/>
                <w:szCs w:val="20"/>
              </w:rPr>
            </w:pPr>
            <w:r w:rsidRPr="008210A3">
              <w:rPr>
                <w:rFonts w:ascii="Times New Roman" w:hAnsi="Times New Roman"/>
                <w:color w:val="000000"/>
                <w:sz w:val="20"/>
                <w:szCs w:val="20"/>
              </w:rPr>
              <w:t>13,5181</w:t>
            </w:r>
          </w:p>
        </w:tc>
        <w:tc>
          <w:tcPr>
            <w:tcW w:w="1379" w:type="dxa"/>
            <w:tcBorders>
              <w:top w:val="nil"/>
              <w:left w:val="nil"/>
              <w:bottom w:val="nil"/>
              <w:right w:val="nil"/>
            </w:tcBorders>
            <w:vAlign w:val="bottom"/>
          </w:tcPr>
          <w:p w:rsidR="00AB53B9" w:rsidRPr="008210A3" w:rsidRDefault="00AB53B9" w:rsidP="008210A3">
            <w:pPr>
              <w:spacing w:after="0" w:line="240" w:lineRule="auto"/>
              <w:jc w:val="center"/>
              <w:rPr>
                <w:rFonts w:ascii="Times New Roman" w:hAnsi="Times New Roman"/>
                <w:color w:val="000000"/>
                <w:sz w:val="20"/>
                <w:szCs w:val="20"/>
              </w:rPr>
            </w:pPr>
            <w:r w:rsidRPr="008210A3">
              <w:rPr>
                <w:rFonts w:ascii="Times New Roman" w:hAnsi="Times New Roman"/>
                <w:color w:val="000000"/>
                <w:sz w:val="20"/>
                <w:szCs w:val="20"/>
              </w:rPr>
              <w:t>13,2159</w:t>
            </w:r>
          </w:p>
        </w:tc>
        <w:tc>
          <w:tcPr>
            <w:tcW w:w="1379" w:type="dxa"/>
            <w:tcBorders>
              <w:top w:val="nil"/>
              <w:left w:val="nil"/>
              <w:bottom w:val="nil"/>
              <w:right w:val="nil"/>
            </w:tcBorders>
            <w:vAlign w:val="bottom"/>
          </w:tcPr>
          <w:p w:rsidR="00AB53B9" w:rsidRPr="008210A3" w:rsidRDefault="00AB53B9" w:rsidP="008210A3">
            <w:pPr>
              <w:spacing w:after="0" w:line="240" w:lineRule="auto"/>
              <w:jc w:val="center"/>
              <w:rPr>
                <w:rFonts w:ascii="Times New Roman" w:hAnsi="Times New Roman"/>
                <w:color w:val="000000"/>
                <w:sz w:val="20"/>
                <w:szCs w:val="20"/>
              </w:rPr>
            </w:pPr>
            <w:r w:rsidRPr="008210A3">
              <w:rPr>
                <w:rFonts w:ascii="Times New Roman" w:hAnsi="Times New Roman"/>
                <w:color w:val="000000"/>
                <w:sz w:val="20"/>
                <w:szCs w:val="20"/>
              </w:rPr>
              <w:t>0,2686</w:t>
            </w:r>
          </w:p>
        </w:tc>
        <w:tc>
          <w:tcPr>
            <w:tcW w:w="1379" w:type="dxa"/>
            <w:tcBorders>
              <w:top w:val="nil"/>
              <w:left w:val="nil"/>
              <w:bottom w:val="nil"/>
              <w:right w:val="nil"/>
            </w:tcBorders>
            <w:vAlign w:val="bottom"/>
          </w:tcPr>
          <w:p w:rsidR="00AB53B9" w:rsidRPr="008210A3" w:rsidRDefault="00AB53B9" w:rsidP="008210A3">
            <w:pPr>
              <w:spacing w:after="0" w:line="240" w:lineRule="auto"/>
              <w:jc w:val="center"/>
              <w:rPr>
                <w:rFonts w:ascii="Times New Roman" w:hAnsi="Times New Roman"/>
                <w:color w:val="000000"/>
                <w:sz w:val="20"/>
                <w:szCs w:val="20"/>
              </w:rPr>
            </w:pPr>
            <w:r w:rsidRPr="008210A3">
              <w:rPr>
                <w:rFonts w:ascii="Times New Roman" w:hAnsi="Times New Roman"/>
                <w:color w:val="000000"/>
                <w:sz w:val="20"/>
                <w:szCs w:val="20"/>
              </w:rPr>
              <w:t>32,0684</w:t>
            </w:r>
          </w:p>
        </w:tc>
      </w:tr>
      <w:tr w:rsidR="00AB53B9" w:rsidTr="0004328A">
        <w:trPr>
          <w:jc w:val="center"/>
        </w:trPr>
        <w:tc>
          <w:tcPr>
            <w:tcW w:w="1379" w:type="dxa"/>
            <w:tcBorders>
              <w:top w:val="nil"/>
              <w:left w:val="nil"/>
              <w:bottom w:val="nil"/>
              <w:right w:val="nil"/>
            </w:tcBorders>
          </w:tcPr>
          <w:p w:rsidR="00AB53B9" w:rsidRPr="00013942" w:rsidRDefault="00AB53B9" w:rsidP="0004328A">
            <w:pPr>
              <w:autoSpaceDE w:val="0"/>
              <w:autoSpaceDN w:val="0"/>
              <w:adjustRightInd w:val="0"/>
              <w:spacing w:after="0" w:line="240" w:lineRule="auto"/>
              <w:jc w:val="center"/>
              <w:rPr>
                <w:rFonts w:ascii="Times New Roman" w:hAnsi="Times New Roman"/>
                <w:sz w:val="20"/>
                <w:szCs w:val="20"/>
                <w:lang w:eastAsia="pt-BR"/>
              </w:rPr>
            </w:pPr>
            <w:r>
              <w:rPr>
                <w:rFonts w:ascii="Times New Roman" w:hAnsi="Times New Roman"/>
                <w:sz w:val="20"/>
                <w:szCs w:val="20"/>
                <w:lang w:eastAsia="pt-BR"/>
              </w:rPr>
              <w:t>6</w:t>
            </w:r>
          </w:p>
        </w:tc>
        <w:tc>
          <w:tcPr>
            <w:tcW w:w="1379" w:type="dxa"/>
            <w:tcBorders>
              <w:top w:val="nil"/>
              <w:left w:val="nil"/>
              <w:bottom w:val="nil"/>
              <w:right w:val="nil"/>
            </w:tcBorders>
            <w:vAlign w:val="bottom"/>
          </w:tcPr>
          <w:p w:rsidR="00AB53B9" w:rsidRPr="008210A3" w:rsidRDefault="00AB53B9" w:rsidP="008210A3">
            <w:pPr>
              <w:spacing w:after="0" w:line="240" w:lineRule="auto"/>
              <w:jc w:val="center"/>
              <w:rPr>
                <w:rFonts w:ascii="Times New Roman" w:hAnsi="Times New Roman"/>
                <w:color w:val="000000"/>
                <w:sz w:val="20"/>
                <w:szCs w:val="20"/>
              </w:rPr>
            </w:pPr>
            <w:r w:rsidRPr="008210A3">
              <w:rPr>
                <w:rFonts w:ascii="Times New Roman" w:hAnsi="Times New Roman"/>
                <w:color w:val="000000"/>
                <w:sz w:val="20"/>
                <w:szCs w:val="20"/>
              </w:rPr>
              <w:t>37,9391</w:t>
            </w:r>
          </w:p>
        </w:tc>
        <w:tc>
          <w:tcPr>
            <w:tcW w:w="1379" w:type="dxa"/>
            <w:tcBorders>
              <w:top w:val="nil"/>
              <w:left w:val="nil"/>
              <w:bottom w:val="nil"/>
              <w:right w:val="nil"/>
            </w:tcBorders>
            <w:vAlign w:val="bottom"/>
          </w:tcPr>
          <w:p w:rsidR="00AB53B9" w:rsidRPr="008210A3" w:rsidRDefault="00AB53B9" w:rsidP="008210A3">
            <w:pPr>
              <w:spacing w:after="0" w:line="240" w:lineRule="auto"/>
              <w:jc w:val="center"/>
              <w:rPr>
                <w:rFonts w:ascii="Times New Roman" w:hAnsi="Times New Roman"/>
                <w:color w:val="000000"/>
                <w:sz w:val="20"/>
                <w:szCs w:val="20"/>
              </w:rPr>
            </w:pPr>
            <w:r w:rsidRPr="008210A3">
              <w:rPr>
                <w:rFonts w:ascii="Times New Roman" w:hAnsi="Times New Roman"/>
                <w:color w:val="000000"/>
                <w:sz w:val="20"/>
                <w:szCs w:val="20"/>
              </w:rPr>
              <w:t>3,4341</w:t>
            </w:r>
          </w:p>
        </w:tc>
        <w:tc>
          <w:tcPr>
            <w:tcW w:w="1379" w:type="dxa"/>
            <w:tcBorders>
              <w:top w:val="nil"/>
              <w:left w:val="nil"/>
              <w:bottom w:val="nil"/>
              <w:right w:val="nil"/>
            </w:tcBorders>
            <w:vAlign w:val="bottom"/>
          </w:tcPr>
          <w:p w:rsidR="00AB53B9" w:rsidRPr="008210A3" w:rsidRDefault="00AB53B9" w:rsidP="008210A3">
            <w:pPr>
              <w:spacing w:after="0" w:line="240" w:lineRule="auto"/>
              <w:jc w:val="center"/>
              <w:rPr>
                <w:rFonts w:ascii="Times New Roman" w:hAnsi="Times New Roman"/>
                <w:color w:val="000000"/>
                <w:sz w:val="20"/>
                <w:szCs w:val="20"/>
              </w:rPr>
            </w:pPr>
            <w:r w:rsidRPr="008210A3">
              <w:rPr>
                <w:rFonts w:ascii="Times New Roman" w:hAnsi="Times New Roman"/>
                <w:color w:val="000000"/>
                <w:sz w:val="20"/>
                <w:szCs w:val="20"/>
              </w:rPr>
              <w:t>13,4950</w:t>
            </w:r>
          </w:p>
        </w:tc>
        <w:tc>
          <w:tcPr>
            <w:tcW w:w="1379" w:type="dxa"/>
            <w:tcBorders>
              <w:top w:val="nil"/>
              <w:left w:val="nil"/>
              <w:bottom w:val="nil"/>
              <w:right w:val="nil"/>
            </w:tcBorders>
            <w:vAlign w:val="bottom"/>
          </w:tcPr>
          <w:p w:rsidR="00AB53B9" w:rsidRPr="008210A3" w:rsidRDefault="00AB53B9" w:rsidP="008210A3">
            <w:pPr>
              <w:spacing w:after="0" w:line="240" w:lineRule="auto"/>
              <w:jc w:val="center"/>
              <w:rPr>
                <w:rFonts w:ascii="Times New Roman" w:hAnsi="Times New Roman"/>
                <w:color w:val="000000"/>
                <w:sz w:val="20"/>
                <w:szCs w:val="20"/>
              </w:rPr>
            </w:pPr>
            <w:r w:rsidRPr="008210A3">
              <w:rPr>
                <w:rFonts w:ascii="Times New Roman" w:hAnsi="Times New Roman"/>
                <w:color w:val="000000"/>
                <w:sz w:val="20"/>
                <w:szCs w:val="20"/>
              </w:rPr>
              <w:t>12,7570</w:t>
            </w:r>
          </w:p>
        </w:tc>
        <w:tc>
          <w:tcPr>
            <w:tcW w:w="1379" w:type="dxa"/>
            <w:tcBorders>
              <w:top w:val="nil"/>
              <w:left w:val="nil"/>
              <w:bottom w:val="nil"/>
              <w:right w:val="nil"/>
            </w:tcBorders>
            <w:vAlign w:val="bottom"/>
          </w:tcPr>
          <w:p w:rsidR="00AB53B9" w:rsidRPr="008210A3" w:rsidRDefault="00AB53B9" w:rsidP="008210A3">
            <w:pPr>
              <w:spacing w:after="0" w:line="240" w:lineRule="auto"/>
              <w:jc w:val="center"/>
              <w:rPr>
                <w:rFonts w:ascii="Times New Roman" w:hAnsi="Times New Roman"/>
                <w:color w:val="000000"/>
                <w:sz w:val="20"/>
                <w:szCs w:val="20"/>
              </w:rPr>
            </w:pPr>
            <w:r w:rsidRPr="008210A3">
              <w:rPr>
                <w:rFonts w:ascii="Times New Roman" w:hAnsi="Times New Roman"/>
                <w:color w:val="000000"/>
                <w:sz w:val="20"/>
                <w:szCs w:val="20"/>
              </w:rPr>
              <w:t>0,7409</w:t>
            </w:r>
          </w:p>
        </w:tc>
        <w:tc>
          <w:tcPr>
            <w:tcW w:w="1379" w:type="dxa"/>
            <w:tcBorders>
              <w:top w:val="nil"/>
              <w:left w:val="nil"/>
              <w:bottom w:val="nil"/>
              <w:right w:val="nil"/>
            </w:tcBorders>
            <w:vAlign w:val="bottom"/>
          </w:tcPr>
          <w:p w:rsidR="00AB53B9" w:rsidRPr="008210A3" w:rsidRDefault="00AB53B9" w:rsidP="008210A3">
            <w:pPr>
              <w:spacing w:after="0" w:line="240" w:lineRule="auto"/>
              <w:jc w:val="center"/>
              <w:rPr>
                <w:rFonts w:ascii="Times New Roman" w:hAnsi="Times New Roman"/>
                <w:color w:val="000000"/>
                <w:sz w:val="20"/>
                <w:szCs w:val="20"/>
              </w:rPr>
            </w:pPr>
            <w:r w:rsidRPr="008210A3">
              <w:rPr>
                <w:rFonts w:ascii="Times New Roman" w:hAnsi="Times New Roman"/>
                <w:color w:val="000000"/>
                <w:sz w:val="20"/>
                <w:szCs w:val="20"/>
              </w:rPr>
              <w:t>31,6338</w:t>
            </w:r>
          </w:p>
        </w:tc>
      </w:tr>
      <w:tr w:rsidR="008210A3" w:rsidTr="0004328A">
        <w:trPr>
          <w:jc w:val="center"/>
        </w:trPr>
        <w:tc>
          <w:tcPr>
            <w:tcW w:w="1379" w:type="dxa"/>
            <w:tcBorders>
              <w:top w:val="nil"/>
              <w:left w:val="nil"/>
              <w:bottom w:val="double" w:sz="4" w:space="0" w:color="auto"/>
              <w:right w:val="nil"/>
            </w:tcBorders>
          </w:tcPr>
          <w:p w:rsidR="008210A3" w:rsidRPr="00013942" w:rsidRDefault="008210A3" w:rsidP="0004328A">
            <w:pPr>
              <w:autoSpaceDE w:val="0"/>
              <w:autoSpaceDN w:val="0"/>
              <w:adjustRightInd w:val="0"/>
              <w:spacing w:after="0" w:line="240" w:lineRule="auto"/>
              <w:jc w:val="center"/>
              <w:rPr>
                <w:rFonts w:ascii="Times New Roman" w:hAnsi="Times New Roman"/>
                <w:sz w:val="20"/>
                <w:szCs w:val="20"/>
                <w:lang w:eastAsia="pt-BR"/>
              </w:rPr>
            </w:pPr>
            <w:r w:rsidRPr="00013942">
              <w:rPr>
                <w:rFonts w:ascii="Times New Roman" w:hAnsi="Times New Roman"/>
                <w:sz w:val="20"/>
                <w:szCs w:val="20"/>
                <w:lang w:eastAsia="pt-BR"/>
              </w:rPr>
              <w:t>1</w:t>
            </w:r>
            <w:r>
              <w:rPr>
                <w:rFonts w:ascii="Times New Roman" w:hAnsi="Times New Roman"/>
                <w:sz w:val="20"/>
                <w:szCs w:val="20"/>
                <w:lang w:eastAsia="pt-BR"/>
              </w:rPr>
              <w:t>2</w:t>
            </w:r>
          </w:p>
        </w:tc>
        <w:tc>
          <w:tcPr>
            <w:tcW w:w="1379" w:type="dxa"/>
            <w:tcBorders>
              <w:top w:val="nil"/>
              <w:left w:val="nil"/>
              <w:bottom w:val="double" w:sz="4" w:space="0" w:color="auto"/>
              <w:right w:val="nil"/>
            </w:tcBorders>
            <w:vAlign w:val="bottom"/>
          </w:tcPr>
          <w:p w:rsidR="008210A3" w:rsidRPr="008210A3" w:rsidRDefault="008210A3" w:rsidP="008210A3">
            <w:pPr>
              <w:spacing w:after="0" w:line="240" w:lineRule="auto"/>
              <w:jc w:val="center"/>
              <w:rPr>
                <w:rFonts w:ascii="Times New Roman" w:hAnsi="Times New Roman"/>
                <w:color w:val="000000"/>
                <w:sz w:val="20"/>
                <w:szCs w:val="20"/>
              </w:rPr>
            </w:pPr>
            <w:r w:rsidRPr="008210A3">
              <w:rPr>
                <w:rFonts w:ascii="Times New Roman" w:hAnsi="Times New Roman"/>
                <w:color w:val="000000"/>
                <w:sz w:val="20"/>
                <w:szCs w:val="20"/>
              </w:rPr>
              <w:t>37,9322</w:t>
            </w:r>
          </w:p>
        </w:tc>
        <w:tc>
          <w:tcPr>
            <w:tcW w:w="1379" w:type="dxa"/>
            <w:tcBorders>
              <w:top w:val="nil"/>
              <w:left w:val="nil"/>
              <w:bottom w:val="double" w:sz="4" w:space="0" w:color="auto"/>
              <w:right w:val="nil"/>
            </w:tcBorders>
            <w:vAlign w:val="bottom"/>
          </w:tcPr>
          <w:p w:rsidR="008210A3" w:rsidRPr="008210A3" w:rsidRDefault="008210A3" w:rsidP="008210A3">
            <w:pPr>
              <w:spacing w:after="0" w:line="240" w:lineRule="auto"/>
              <w:jc w:val="center"/>
              <w:rPr>
                <w:rFonts w:ascii="Times New Roman" w:hAnsi="Times New Roman"/>
                <w:color w:val="000000"/>
                <w:sz w:val="20"/>
                <w:szCs w:val="20"/>
              </w:rPr>
            </w:pPr>
            <w:r w:rsidRPr="008210A3">
              <w:rPr>
                <w:rFonts w:ascii="Times New Roman" w:hAnsi="Times New Roman"/>
                <w:color w:val="000000"/>
                <w:sz w:val="20"/>
                <w:szCs w:val="20"/>
              </w:rPr>
              <w:t>3,4415</w:t>
            </w:r>
          </w:p>
        </w:tc>
        <w:tc>
          <w:tcPr>
            <w:tcW w:w="1379" w:type="dxa"/>
            <w:tcBorders>
              <w:top w:val="nil"/>
              <w:left w:val="nil"/>
              <w:bottom w:val="double" w:sz="4" w:space="0" w:color="auto"/>
              <w:right w:val="nil"/>
            </w:tcBorders>
            <w:vAlign w:val="bottom"/>
          </w:tcPr>
          <w:p w:rsidR="008210A3" w:rsidRPr="008210A3" w:rsidRDefault="008210A3" w:rsidP="008210A3">
            <w:pPr>
              <w:spacing w:after="0" w:line="240" w:lineRule="auto"/>
              <w:jc w:val="center"/>
              <w:rPr>
                <w:rFonts w:ascii="Times New Roman" w:hAnsi="Times New Roman"/>
                <w:color w:val="000000"/>
                <w:sz w:val="20"/>
                <w:szCs w:val="20"/>
              </w:rPr>
            </w:pPr>
            <w:r w:rsidRPr="008210A3">
              <w:rPr>
                <w:rFonts w:ascii="Times New Roman" w:hAnsi="Times New Roman"/>
                <w:color w:val="000000"/>
                <w:sz w:val="20"/>
                <w:szCs w:val="20"/>
              </w:rPr>
              <w:t>13,4946</w:t>
            </w:r>
          </w:p>
        </w:tc>
        <w:tc>
          <w:tcPr>
            <w:tcW w:w="1379" w:type="dxa"/>
            <w:tcBorders>
              <w:top w:val="nil"/>
              <w:left w:val="nil"/>
              <w:bottom w:val="double" w:sz="4" w:space="0" w:color="auto"/>
              <w:right w:val="nil"/>
            </w:tcBorders>
            <w:vAlign w:val="bottom"/>
          </w:tcPr>
          <w:p w:rsidR="008210A3" w:rsidRPr="008210A3" w:rsidRDefault="008210A3" w:rsidP="008210A3">
            <w:pPr>
              <w:spacing w:after="0" w:line="240" w:lineRule="auto"/>
              <w:jc w:val="center"/>
              <w:rPr>
                <w:rFonts w:ascii="Times New Roman" w:hAnsi="Times New Roman"/>
                <w:color w:val="000000"/>
                <w:sz w:val="20"/>
                <w:szCs w:val="20"/>
              </w:rPr>
            </w:pPr>
            <w:r w:rsidRPr="008210A3">
              <w:rPr>
                <w:rFonts w:ascii="Times New Roman" w:hAnsi="Times New Roman"/>
                <w:color w:val="000000"/>
                <w:sz w:val="20"/>
                <w:szCs w:val="20"/>
              </w:rPr>
              <w:t>12,7538</w:t>
            </w:r>
          </w:p>
        </w:tc>
        <w:tc>
          <w:tcPr>
            <w:tcW w:w="1379" w:type="dxa"/>
            <w:tcBorders>
              <w:top w:val="nil"/>
              <w:left w:val="nil"/>
              <w:bottom w:val="double" w:sz="4" w:space="0" w:color="auto"/>
              <w:right w:val="nil"/>
            </w:tcBorders>
            <w:vAlign w:val="bottom"/>
          </w:tcPr>
          <w:p w:rsidR="008210A3" w:rsidRPr="008210A3" w:rsidRDefault="008210A3" w:rsidP="008210A3">
            <w:pPr>
              <w:spacing w:after="0" w:line="240" w:lineRule="auto"/>
              <w:jc w:val="center"/>
              <w:rPr>
                <w:rFonts w:ascii="Times New Roman" w:hAnsi="Times New Roman"/>
                <w:color w:val="000000"/>
                <w:sz w:val="20"/>
                <w:szCs w:val="20"/>
              </w:rPr>
            </w:pPr>
            <w:r w:rsidRPr="008210A3">
              <w:rPr>
                <w:rFonts w:ascii="Times New Roman" w:hAnsi="Times New Roman"/>
                <w:color w:val="000000"/>
                <w:sz w:val="20"/>
                <w:szCs w:val="20"/>
              </w:rPr>
              <w:t>0,7427</w:t>
            </w:r>
          </w:p>
        </w:tc>
        <w:tc>
          <w:tcPr>
            <w:tcW w:w="1379" w:type="dxa"/>
            <w:tcBorders>
              <w:top w:val="nil"/>
              <w:left w:val="nil"/>
              <w:bottom w:val="double" w:sz="4" w:space="0" w:color="auto"/>
              <w:right w:val="nil"/>
            </w:tcBorders>
            <w:vAlign w:val="bottom"/>
          </w:tcPr>
          <w:p w:rsidR="008210A3" w:rsidRPr="008210A3" w:rsidRDefault="008210A3" w:rsidP="008210A3">
            <w:pPr>
              <w:spacing w:after="0" w:line="240" w:lineRule="auto"/>
              <w:jc w:val="center"/>
              <w:rPr>
                <w:rFonts w:ascii="Times New Roman" w:hAnsi="Times New Roman"/>
                <w:color w:val="000000"/>
                <w:sz w:val="20"/>
                <w:szCs w:val="20"/>
              </w:rPr>
            </w:pPr>
            <w:r w:rsidRPr="008210A3">
              <w:rPr>
                <w:rFonts w:ascii="Times New Roman" w:hAnsi="Times New Roman"/>
                <w:color w:val="000000"/>
                <w:sz w:val="20"/>
                <w:szCs w:val="20"/>
              </w:rPr>
              <w:t>31,6364</w:t>
            </w:r>
          </w:p>
        </w:tc>
      </w:tr>
    </w:tbl>
    <w:p w:rsidR="00E60389" w:rsidRPr="00B33E67" w:rsidRDefault="00E60389" w:rsidP="00E60389">
      <w:pPr>
        <w:spacing w:after="0" w:line="240" w:lineRule="auto"/>
        <w:rPr>
          <w:rFonts w:ascii="Times New Roman" w:hAnsi="Times New Roman"/>
          <w:sz w:val="20"/>
          <w:szCs w:val="20"/>
        </w:rPr>
      </w:pPr>
      <w:r w:rsidRPr="00B33E67">
        <w:rPr>
          <w:rFonts w:ascii="Times New Roman" w:hAnsi="Times New Roman"/>
          <w:i/>
          <w:sz w:val="20"/>
          <w:szCs w:val="20"/>
        </w:rPr>
        <w:t>Fonte</w:t>
      </w:r>
      <w:r>
        <w:rPr>
          <w:rFonts w:ascii="Times New Roman" w:hAnsi="Times New Roman"/>
          <w:sz w:val="20"/>
          <w:szCs w:val="20"/>
        </w:rPr>
        <w:t>: S</w:t>
      </w:r>
      <w:r w:rsidRPr="00B33E67">
        <w:rPr>
          <w:rFonts w:ascii="Times New Roman" w:hAnsi="Times New Roman"/>
          <w:sz w:val="20"/>
          <w:szCs w:val="20"/>
        </w:rPr>
        <w:t xml:space="preserve">aída do Eviews 7.0. </w:t>
      </w:r>
    </w:p>
    <w:p w:rsidR="00B81953" w:rsidRDefault="00B81953" w:rsidP="00B81953">
      <w:pPr>
        <w:spacing w:after="0" w:line="240" w:lineRule="auto"/>
        <w:ind w:left="360"/>
        <w:jc w:val="both"/>
        <w:rPr>
          <w:rFonts w:ascii="Times New Roman" w:hAnsi="Times New Roman"/>
          <w:b/>
          <w:sz w:val="24"/>
          <w:szCs w:val="24"/>
        </w:rPr>
      </w:pPr>
    </w:p>
    <w:p w:rsidR="00B81953" w:rsidRPr="00A97A5D" w:rsidRDefault="00B81953" w:rsidP="00B81953">
      <w:pPr>
        <w:pStyle w:val="PargrafodaLista"/>
        <w:spacing w:after="0" w:line="240" w:lineRule="auto"/>
        <w:jc w:val="center"/>
        <w:rPr>
          <w:rFonts w:ascii="Times New Roman" w:hAnsi="Times New Roman"/>
          <w:b/>
          <w:sz w:val="24"/>
          <w:szCs w:val="24"/>
        </w:rPr>
      </w:pPr>
      <w:r w:rsidRPr="00A97A5D">
        <w:rPr>
          <w:rFonts w:ascii="Times New Roman" w:hAnsi="Times New Roman"/>
          <w:b/>
          <w:sz w:val="24"/>
          <w:szCs w:val="24"/>
        </w:rPr>
        <w:t>Tabela</w:t>
      </w:r>
      <w:r w:rsidR="0027795C">
        <w:rPr>
          <w:rFonts w:ascii="Times New Roman" w:hAnsi="Times New Roman"/>
          <w:b/>
          <w:sz w:val="24"/>
          <w:szCs w:val="24"/>
        </w:rPr>
        <w:t xml:space="preserve"> 7</w:t>
      </w:r>
      <w:r w:rsidRPr="00A97A5D">
        <w:rPr>
          <w:rFonts w:ascii="Times New Roman" w:hAnsi="Times New Roman"/>
          <w:b/>
          <w:sz w:val="24"/>
          <w:szCs w:val="24"/>
        </w:rPr>
        <w:t xml:space="preserve">: Análise de Decomposição da Variância </w:t>
      </w:r>
      <w:r w:rsidR="0079464A">
        <w:rPr>
          <w:rFonts w:ascii="Times New Roman" w:hAnsi="Times New Roman"/>
          <w:b/>
          <w:sz w:val="24"/>
          <w:szCs w:val="24"/>
        </w:rPr>
        <w:t>Generalizada</w:t>
      </w:r>
      <w:r w:rsidR="0079464A" w:rsidRPr="00A97A5D">
        <w:rPr>
          <w:rFonts w:ascii="Times New Roman" w:hAnsi="Times New Roman"/>
          <w:b/>
          <w:sz w:val="24"/>
          <w:szCs w:val="24"/>
        </w:rPr>
        <w:t xml:space="preserve"> </w:t>
      </w:r>
      <w:r w:rsidRPr="00A97A5D">
        <w:rPr>
          <w:rFonts w:ascii="Times New Roman" w:hAnsi="Times New Roman"/>
          <w:b/>
          <w:sz w:val="24"/>
          <w:szCs w:val="24"/>
        </w:rPr>
        <w:t xml:space="preserve">– Modelo </w:t>
      </w:r>
      <w:r>
        <w:rPr>
          <w:rFonts w:ascii="Times New Roman" w:hAnsi="Times New Roman"/>
          <w:b/>
          <w:sz w:val="24"/>
          <w:szCs w:val="24"/>
        </w:rPr>
        <w:t>2</w:t>
      </w:r>
    </w:p>
    <w:tbl>
      <w:tblPr>
        <w:tblW w:w="9662" w:type="dxa"/>
        <w:jc w:val="center"/>
        <w:tblInd w:w="63" w:type="dxa"/>
        <w:tblLayout w:type="fixed"/>
        <w:tblCellMar>
          <w:left w:w="30" w:type="dxa"/>
          <w:right w:w="30" w:type="dxa"/>
        </w:tblCellMar>
        <w:tblLook w:val="0000"/>
      </w:tblPr>
      <w:tblGrid>
        <w:gridCol w:w="1073"/>
        <w:gridCol w:w="1074"/>
        <w:gridCol w:w="1073"/>
        <w:gridCol w:w="1074"/>
        <w:gridCol w:w="1073"/>
        <w:gridCol w:w="1074"/>
        <w:gridCol w:w="1073"/>
        <w:gridCol w:w="1074"/>
        <w:gridCol w:w="1074"/>
      </w:tblGrid>
      <w:tr w:rsidR="00DF71ED" w:rsidTr="0027795C">
        <w:trPr>
          <w:jc w:val="center"/>
        </w:trPr>
        <w:tc>
          <w:tcPr>
            <w:tcW w:w="9662" w:type="dxa"/>
            <w:gridSpan w:val="9"/>
            <w:tcBorders>
              <w:top w:val="double" w:sz="4" w:space="0" w:color="auto"/>
              <w:left w:val="nil"/>
              <w:bottom w:val="single" w:sz="4" w:space="0" w:color="auto"/>
              <w:right w:val="nil"/>
            </w:tcBorders>
            <w:shd w:val="clear" w:color="auto" w:fill="BFBFBF"/>
          </w:tcPr>
          <w:p w:rsidR="00DF71ED" w:rsidRPr="00F671D2" w:rsidRDefault="0004328A" w:rsidP="003C7E2E">
            <w:pPr>
              <w:autoSpaceDE w:val="0"/>
              <w:autoSpaceDN w:val="0"/>
              <w:adjustRightInd w:val="0"/>
              <w:spacing w:after="0" w:line="240" w:lineRule="auto"/>
              <w:jc w:val="both"/>
              <w:rPr>
                <w:rFonts w:ascii="Times New Roman" w:hAnsi="Times New Roman"/>
                <w:b/>
                <w:sz w:val="20"/>
                <w:szCs w:val="20"/>
                <w:lang w:eastAsia="pt-BR"/>
              </w:rPr>
            </w:pPr>
            <w:r w:rsidRPr="0004328A">
              <w:rPr>
                <w:rFonts w:ascii="Times New Roman" w:hAnsi="Times New Roman"/>
                <w:b/>
                <w:sz w:val="20"/>
                <w:szCs w:val="20"/>
              </w:rPr>
              <w:t>Decomposição de Variância da</w:t>
            </w:r>
            <w:r w:rsidRPr="00F671D2">
              <w:rPr>
                <w:rFonts w:ascii="Times New Roman" w:hAnsi="Times New Roman"/>
                <w:b/>
                <w:sz w:val="20"/>
                <w:szCs w:val="20"/>
                <w:lang w:eastAsia="pt-BR"/>
              </w:rPr>
              <w:t xml:space="preserve"> </w:t>
            </w:r>
            <w:r w:rsidR="00DF71ED" w:rsidRPr="00F671D2">
              <w:rPr>
                <w:rFonts w:ascii="Times New Roman" w:hAnsi="Times New Roman"/>
                <w:b/>
                <w:sz w:val="20"/>
                <w:szCs w:val="20"/>
                <w:lang w:eastAsia="pt-BR"/>
              </w:rPr>
              <w:t>DTCR:</w:t>
            </w:r>
          </w:p>
        </w:tc>
      </w:tr>
      <w:tr w:rsidR="005D5967" w:rsidTr="0004328A">
        <w:trPr>
          <w:jc w:val="center"/>
        </w:trPr>
        <w:tc>
          <w:tcPr>
            <w:tcW w:w="1073" w:type="dxa"/>
            <w:tcBorders>
              <w:top w:val="single" w:sz="4" w:space="0" w:color="auto"/>
              <w:left w:val="nil"/>
              <w:bottom w:val="single" w:sz="4" w:space="0" w:color="auto"/>
              <w:right w:val="nil"/>
            </w:tcBorders>
          </w:tcPr>
          <w:p w:rsidR="005D5967" w:rsidRPr="00013942" w:rsidRDefault="0004328A" w:rsidP="001403D1">
            <w:pPr>
              <w:autoSpaceDE w:val="0"/>
              <w:autoSpaceDN w:val="0"/>
              <w:adjustRightInd w:val="0"/>
              <w:spacing w:after="0" w:line="240" w:lineRule="auto"/>
              <w:jc w:val="center"/>
              <w:rPr>
                <w:rFonts w:ascii="Times New Roman" w:hAnsi="Times New Roman"/>
                <w:sz w:val="20"/>
                <w:szCs w:val="20"/>
                <w:lang w:eastAsia="pt-BR"/>
              </w:rPr>
            </w:pPr>
            <w:r>
              <w:rPr>
                <w:rFonts w:ascii="Times New Roman" w:hAnsi="Times New Roman"/>
                <w:sz w:val="20"/>
                <w:szCs w:val="20"/>
                <w:lang w:eastAsia="pt-BR"/>
              </w:rPr>
              <w:t>Período</w:t>
            </w:r>
          </w:p>
        </w:tc>
        <w:tc>
          <w:tcPr>
            <w:tcW w:w="1074" w:type="dxa"/>
            <w:tcBorders>
              <w:top w:val="single" w:sz="4" w:space="0" w:color="auto"/>
              <w:left w:val="nil"/>
              <w:bottom w:val="single" w:sz="4" w:space="0" w:color="auto"/>
              <w:right w:val="nil"/>
            </w:tcBorders>
            <w:vAlign w:val="bottom"/>
          </w:tcPr>
          <w:p w:rsidR="005D5967" w:rsidRPr="005D5967" w:rsidRDefault="005D5967" w:rsidP="001403D1">
            <w:pPr>
              <w:spacing w:after="0" w:line="240" w:lineRule="auto"/>
              <w:jc w:val="center"/>
              <w:rPr>
                <w:rFonts w:ascii="Times New Roman" w:hAnsi="Times New Roman"/>
                <w:color w:val="000000"/>
                <w:sz w:val="20"/>
                <w:szCs w:val="20"/>
              </w:rPr>
            </w:pPr>
            <w:r w:rsidRPr="005D5967">
              <w:rPr>
                <w:rFonts w:ascii="Times New Roman" w:hAnsi="Times New Roman"/>
                <w:color w:val="000000"/>
                <w:sz w:val="20"/>
                <w:szCs w:val="20"/>
              </w:rPr>
              <w:t>DTCR</w:t>
            </w:r>
          </w:p>
        </w:tc>
        <w:tc>
          <w:tcPr>
            <w:tcW w:w="1073" w:type="dxa"/>
            <w:tcBorders>
              <w:top w:val="single" w:sz="4" w:space="0" w:color="auto"/>
              <w:left w:val="nil"/>
              <w:bottom w:val="single" w:sz="4" w:space="0" w:color="auto"/>
              <w:right w:val="nil"/>
            </w:tcBorders>
            <w:vAlign w:val="bottom"/>
          </w:tcPr>
          <w:p w:rsidR="005D5967" w:rsidRPr="005D5967" w:rsidRDefault="005D5967" w:rsidP="001403D1">
            <w:pPr>
              <w:spacing w:after="0" w:line="240" w:lineRule="auto"/>
              <w:jc w:val="center"/>
              <w:rPr>
                <w:rFonts w:ascii="Times New Roman" w:hAnsi="Times New Roman"/>
                <w:color w:val="000000"/>
                <w:sz w:val="20"/>
                <w:szCs w:val="20"/>
              </w:rPr>
            </w:pPr>
            <w:r w:rsidRPr="005D5967">
              <w:rPr>
                <w:rFonts w:ascii="Times New Roman" w:hAnsi="Times New Roman"/>
                <w:color w:val="000000"/>
                <w:sz w:val="20"/>
                <w:szCs w:val="20"/>
              </w:rPr>
              <w:t>DXAL</w:t>
            </w:r>
          </w:p>
        </w:tc>
        <w:tc>
          <w:tcPr>
            <w:tcW w:w="1074" w:type="dxa"/>
            <w:tcBorders>
              <w:top w:val="single" w:sz="4" w:space="0" w:color="auto"/>
              <w:left w:val="nil"/>
              <w:bottom w:val="single" w:sz="4" w:space="0" w:color="auto"/>
              <w:right w:val="nil"/>
            </w:tcBorders>
            <w:vAlign w:val="bottom"/>
          </w:tcPr>
          <w:p w:rsidR="005D5967" w:rsidRPr="005D5967" w:rsidRDefault="005D5967" w:rsidP="001403D1">
            <w:pPr>
              <w:spacing w:after="0" w:line="240" w:lineRule="auto"/>
              <w:jc w:val="center"/>
              <w:rPr>
                <w:rFonts w:ascii="Times New Roman" w:hAnsi="Times New Roman"/>
                <w:color w:val="000000"/>
                <w:sz w:val="20"/>
                <w:szCs w:val="20"/>
              </w:rPr>
            </w:pPr>
            <w:r w:rsidRPr="005D5967">
              <w:rPr>
                <w:rFonts w:ascii="Times New Roman" w:hAnsi="Times New Roman"/>
                <w:color w:val="000000"/>
                <w:sz w:val="20"/>
                <w:szCs w:val="20"/>
              </w:rPr>
              <w:t>DXMIN</w:t>
            </w:r>
          </w:p>
        </w:tc>
        <w:tc>
          <w:tcPr>
            <w:tcW w:w="1073" w:type="dxa"/>
            <w:tcBorders>
              <w:top w:val="single" w:sz="4" w:space="0" w:color="auto"/>
              <w:left w:val="nil"/>
              <w:bottom w:val="single" w:sz="4" w:space="0" w:color="auto"/>
              <w:right w:val="nil"/>
            </w:tcBorders>
            <w:vAlign w:val="bottom"/>
          </w:tcPr>
          <w:p w:rsidR="005D5967" w:rsidRPr="005D5967" w:rsidRDefault="005D5967" w:rsidP="001403D1">
            <w:pPr>
              <w:spacing w:after="0" w:line="240" w:lineRule="auto"/>
              <w:jc w:val="center"/>
              <w:rPr>
                <w:rFonts w:ascii="Times New Roman" w:hAnsi="Times New Roman"/>
                <w:color w:val="000000"/>
                <w:sz w:val="20"/>
                <w:szCs w:val="20"/>
              </w:rPr>
            </w:pPr>
            <w:r w:rsidRPr="005D5967">
              <w:rPr>
                <w:rFonts w:ascii="Times New Roman" w:hAnsi="Times New Roman"/>
                <w:color w:val="000000"/>
                <w:sz w:val="20"/>
                <w:szCs w:val="20"/>
              </w:rPr>
              <w:t>DIPCOM</w:t>
            </w:r>
          </w:p>
        </w:tc>
        <w:tc>
          <w:tcPr>
            <w:tcW w:w="1074" w:type="dxa"/>
            <w:tcBorders>
              <w:top w:val="single" w:sz="4" w:space="0" w:color="auto"/>
              <w:left w:val="nil"/>
              <w:bottom w:val="single" w:sz="4" w:space="0" w:color="auto"/>
              <w:right w:val="nil"/>
            </w:tcBorders>
            <w:vAlign w:val="bottom"/>
          </w:tcPr>
          <w:p w:rsidR="005D5967" w:rsidRPr="005D5967" w:rsidRDefault="005D5967" w:rsidP="001403D1">
            <w:pPr>
              <w:spacing w:after="0" w:line="240" w:lineRule="auto"/>
              <w:jc w:val="center"/>
              <w:rPr>
                <w:rFonts w:ascii="Times New Roman" w:hAnsi="Times New Roman"/>
                <w:color w:val="000000"/>
                <w:sz w:val="20"/>
                <w:szCs w:val="20"/>
              </w:rPr>
            </w:pPr>
            <w:r w:rsidRPr="005D5967">
              <w:rPr>
                <w:rFonts w:ascii="Times New Roman" w:hAnsi="Times New Roman"/>
                <w:color w:val="000000"/>
                <w:sz w:val="20"/>
                <w:szCs w:val="20"/>
              </w:rPr>
              <w:t>DIECAC</w:t>
            </w:r>
          </w:p>
        </w:tc>
        <w:tc>
          <w:tcPr>
            <w:tcW w:w="1073" w:type="dxa"/>
            <w:tcBorders>
              <w:top w:val="single" w:sz="4" w:space="0" w:color="auto"/>
              <w:left w:val="nil"/>
              <w:bottom w:val="single" w:sz="4" w:space="0" w:color="auto"/>
              <w:right w:val="nil"/>
            </w:tcBorders>
            <w:vAlign w:val="bottom"/>
          </w:tcPr>
          <w:p w:rsidR="005D5967" w:rsidRPr="005D5967" w:rsidRDefault="005D5967" w:rsidP="001403D1">
            <w:pPr>
              <w:spacing w:after="0" w:line="240" w:lineRule="auto"/>
              <w:jc w:val="center"/>
              <w:rPr>
                <w:rFonts w:ascii="Times New Roman" w:hAnsi="Times New Roman"/>
                <w:color w:val="000000"/>
                <w:sz w:val="20"/>
                <w:szCs w:val="20"/>
              </w:rPr>
            </w:pPr>
            <w:r w:rsidRPr="005D5967">
              <w:rPr>
                <w:rFonts w:ascii="Times New Roman" w:hAnsi="Times New Roman"/>
                <w:color w:val="000000"/>
                <w:sz w:val="20"/>
                <w:szCs w:val="20"/>
              </w:rPr>
              <w:t>IECRF</w:t>
            </w:r>
          </w:p>
        </w:tc>
        <w:tc>
          <w:tcPr>
            <w:tcW w:w="1074" w:type="dxa"/>
            <w:tcBorders>
              <w:top w:val="single" w:sz="4" w:space="0" w:color="auto"/>
              <w:left w:val="nil"/>
              <w:bottom w:val="single" w:sz="4" w:space="0" w:color="auto"/>
              <w:right w:val="nil"/>
            </w:tcBorders>
            <w:vAlign w:val="bottom"/>
          </w:tcPr>
          <w:p w:rsidR="005D5967" w:rsidRPr="005D5967" w:rsidRDefault="005D5967" w:rsidP="001403D1">
            <w:pPr>
              <w:spacing w:after="0" w:line="240" w:lineRule="auto"/>
              <w:jc w:val="center"/>
              <w:rPr>
                <w:rFonts w:ascii="Times New Roman" w:hAnsi="Times New Roman"/>
                <w:color w:val="000000"/>
                <w:sz w:val="20"/>
                <w:szCs w:val="20"/>
              </w:rPr>
            </w:pPr>
            <w:r w:rsidRPr="005D5967">
              <w:rPr>
                <w:rFonts w:ascii="Times New Roman" w:hAnsi="Times New Roman"/>
                <w:color w:val="000000"/>
                <w:sz w:val="20"/>
                <w:szCs w:val="20"/>
              </w:rPr>
              <w:t>DJUROS</w:t>
            </w:r>
          </w:p>
        </w:tc>
        <w:tc>
          <w:tcPr>
            <w:tcW w:w="1074" w:type="dxa"/>
            <w:tcBorders>
              <w:top w:val="single" w:sz="4" w:space="0" w:color="auto"/>
              <w:left w:val="nil"/>
              <w:bottom w:val="single" w:sz="4" w:space="0" w:color="auto"/>
              <w:right w:val="nil"/>
            </w:tcBorders>
            <w:vAlign w:val="bottom"/>
          </w:tcPr>
          <w:p w:rsidR="005D5967" w:rsidRPr="005D5967" w:rsidRDefault="005D5967" w:rsidP="001403D1">
            <w:pPr>
              <w:spacing w:after="0" w:line="240" w:lineRule="auto"/>
              <w:jc w:val="center"/>
              <w:rPr>
                <w:rFonts w:ascii="Times New Roman" w:hAnsi="Times New Roman"/>
                <w:color w:val="000000"/>
                <w:sz w:val="20"/>
                <w:szCs w:val="20"/>
              </w:rPr>
            </w:pPr>
            <w:r w:rsidRPr="005D5967">
              <w:rPr>
                <w:rFonts w:ascii="Times New Roman" w:hAnsi="Times New Roman"/>
                <w:color w:val="000000"/>
                <w:sz w:val="20"/>
                <w:szCs w:val="20"/>
              </w:rPr>
              <w:t>DEMBI</w:t>
            </w:r>
          </w:p>
        </w:tc>
      </w:tr>
      <w:tr w:rsidR="00FB5335" w:rsidTr="0004328A">
        <w:trPr>
          <w:jc w:val="center"/>
        </w:trPr>
        <w:tc>
          <w:tcPr>
            <w:tcW w:w="1073" w:type="dxa"/>
            <w:tcBorders>
              <w:top w:val="single" w:sz="4" w:space="0" w:color="auto"/>
              <w:left w:val="nil"/>
              <w:bottom w:val="nil"/>
              <w:right w:val="nil"/>
            </w:tcBorders>
          </w:tcPr>
          <w:p w:rsidR="00FB5335" w:rsidRPr="00013942" w:rsidRDefault="00FB5335" w:rsidP="001403D1">
            <w:pPr>
              <w:autoSpaceDE w:val="0"/>
              <w:autoSpaceDN w:val="0"/>
              <w:adjustRightInd w:val="0"/>
              <w:spacing w:after="0" w:line="240" w:lineRule="auto"/>
              <w:jc w:val="center"/>
              <w:rPr>
                <w:rFonts w:ascii="Times New Roman" w:hAnsi="Times New Roman"/>
                <w:sz w:val="20"/>
                <w:szCs w:val="20"/>
                <w:lang w:eastAsia="pt-BR"/>
              </w:rPr>
            </w:pPr>
            <w:r w:rsidRPr="00013942">
              <w:rPr>
                <w:rFonts w:ascii="Times New Roman" w:hAnsi="Times New Roman"/>
                <w:sz w:val="20"/>
                <w:szCs w:val="20"/>
                <w:lang w:eastAsia="pt-BR"/>
              </w:rPr>
              <w:t>1</w:t>
            </w:r>
          </w:p>
        </w:tc>
        <w:tc>
          <w:tcPr>
            <w:tcW w:w="1074" w:type="dxa"/>
            <w:tcBorders>
              <w:top w:val="single" w:sz="4" w:space="0" w:color="auto"/>
              <w:left w:val="nil"/>
              <w:bottom w:val="nil"/>
              <w:right w:val="nil"/>
            </w:tcBorders>
            <w:vAlign w:val="bottom"/>
          </w:tcPr>
          <w:p w:rsidR="00FB5335" w:rsidRPr="00FB5335" w:rsidRDefault="00FB5335" w:rsidP="00FB5335">
            <w:pPr>
              <w:spacing w:after="0" w:line="240" w:lineRule="auto"/>
              <w:jc w:val="center"/>
              <w:rPr>
                <w:rFonts w:ascii="Times New Roman" w:hAnsi="Times New Roman"/>
                <w:color w:val="000000"/>
                <w:sz w:val="20"/>
                <w:szCs w:val="20"/>
              </w:rPr>
            </w:pPr>
            <w:r w:rsidRPr="00FB5335">
              <w:rPr>
                <w:rFonts w:ascii="Times New Roman" w:hAnsi="Times New Roman"/>
                <w:color w:val="000000"/>
                <w:sz w:val="20"/>
                <w:szCs w:val="20"/>
              </w:rPr>
              <w:t>36,4991</w:t>
            </w:r>
          </w:p>
        </w:tc>
        <w:tc>
          <w:tcPr>
            <w:tcW w:w="1073" w:type="dxa"/>
            <w:tcBorders>
              <w:top w:val="single" w:sz="4" w:space="0" w:color="auto"/>
              <w:left w:val="nil"/>
              <w:bottom w:val="nil"/>
              <w:right w:val="nil"/>
            </w:tcBorders>
            <w:vAlign w:val="bottom"/>
          </w:tcPr>
          <w:p w:rsidR="00FB5335" w:rsidRPr="00FB5335" w:rsidRDefault="00FB5335" w:rsidP="00FB5335">
            <w:pPr>
              <w:spacing w:after="0" w:line="240" w:lineRule="auto"/>
              <w:jc w:val="center"/>
              <w:rPr>
                <w:rFonts w:ascii="Times New Roman" w:hAnsi="Times New Roman"/>
                <w:color w:val="000000"/>
                <w:sz w:val="20"/>
                <w:szCs w:val="20"/>
              </w:rPr>
            </w:pPr>
            <w:r w:rsidRPr="00FB5335">
              <w:rPr>
                <w:rFonts w:ascii="Times New Roman" w:hAnsi="Times New Roman"/>
                <w:color w:val="000000"/>
                <w:sz w:val="20"/>
                <w:szCs w:val="20"/>
              </w:rPr>
              <w:t>5,8584</w:t>
            </w:r>
          </w:p>
        </w:tc>
        <w:tc>
          <w:tcPr>
            <w:tcW w:w="1074" w:type="dxa"/>
            <w:tcBorders>
              <w:top w:val="single" w:sz="4" w:space="0" w:color="auto"/>
              <w:left w:val="nil"/>
              <w:bottom w:val="nil"/>
              <w:right w:val="nil"/>
            </w:tcBorders>
            <w:vAlign w:val="bottom"/>
          </w:tcPr>
          <w:p w:rsidR="00FB5335" w:rsidRPr="00FB5335" w:rsidRDefault="00FB5335" w:rsidP="00FB5335">
            <w:pPr>
              <w:spacing w:after="0" w:line="240" w:lineRule="auto"/>
              <w:jc w:val="center"/>
              <w:rPr>
                <w:rFonts w:ascii="Times New Roman" w:hAnsi="Times New Roman"/>
                <w:color w:val="000000"/>
                <w:sz w:val="20"/>
                <w:szCs w:val="20"/>
              </w:rPr>
            </w:pPr>
            <w:r w:rsidRPr="00FB5335">
              <w:rPr>
                <w:rFonts w:ascii="Times New Roman" w:hAnsi="Times New Roman"/>
                <w:color w:val="000000"/>
                <w:sz w:val="20"/>
                <w:szCs w:val="20"/>
              </w:rPr>
              <w:t>6,1788</w:t>
            </w:r>
          </w:p>
        </w:tc>
        <w:tc>
          <w:tcPr>
            <w:tcW w:w="1073" w:type="dxa"/>
            <w:tcBorders>
              <w:top w:val="single" w:sz="4" w:space="0" w:color="auto"/>
              <w:left w:val="nil"/>
              <w:bottom w:val="nil"/>
              <w:right w:val="nil"/>
            </w:tcBorders>
            <w:vAlign w:val="bottom"/>
          </w:tcPr>
          <w:p w:rsidR="00FB5335" w:rsidRPr="00FB5335" w:rsidRDefault="00FB5335" w:rsidP="00FB5335">
            <w:pPr>
              <w:spacing w:after="0" w:line="240" w:lineRule="auto"/>
              <w:jc w:val="center"/>
              <w:rPr>
                <w:rFonts w:ascii="Times New Roman" w:hAnsi="Times New Roman"/>
                <w:color w:val="000000"/>
                <w:sz w:val="20"/>
                <w:szCs w:val="20"/>
              </w:rPr>
            </w:pPr>
            <w:r w:rsidRPr="00FB5335">
              <w:rPr>
                <w:rFonts w:ascii="Times New Roman" w:hAnsi="Times New Roman"/>
                <w:color w:val="000000"/>
                <w:sz w:val="20"/>
                <w:szCs w:val="20"/>
              </w:rPr>
              <w:t>8,2132</w:t>
            </w:r>
          </w:p>
        </w:tc>
        <w:tc>
          <w:tcPr>
            <w:tcW w:w="1074" w:type="dxa"/>
            <w:tcBorders>
              <w:top w:val="single" w:sz="4" w:space="0" w:color="auto"/>
              <w:left w:val="nil"/>
              <w:bottom w:val="nil"/>
              <w:right w:val="nil"/>
            </w:tcBorders>
            <w:vAlign w:val="bottom"/>
          </w:tcPr>
          <w:p w:rsidR="00FB5335" w:rsidRPr="00FB5335" w:rsidRDefault="00FB5335" w:rsidP="00FB5335">
            <w:pPr>
              <w:spacing w:after="0" w:line="240" w:lineRule="auto"/>
              <w:jc w:val="center"/>
              <w:rPr>
                <w:rFonts w:ascii="Times New Roman" w:hAnsi="Times New Roman"/>
                <w:color w:val="000000"/>
                <w:sz w:val="20"/>
                <w:szCs w:val="20"/>
              </w:rPr>
            </w:pPr>
            <w:r w:rsidRPr="00FB5335">
              <w:rPr>
                <w:rFonts w:ascii="Times New Roman" w:hAnsi="Times New Roman"/>
                <w:color w:val="000000"/>
                <w:sz w:val="20"/>
                <w:szCs w:val="20"/>
              </w:rPr>
              <w:t>7,2006</w:t>
            </w:r>
          </w:p>
        </w:tc>
        <w:tc>
          <w:tcPr>
            <w:tcW w:w="1073" w:type="dxa"/>
            <w:tcBorders>
              <w:top w:val="single" w:sz="4" w:space="0" w:color="auto"/>
              <w:left w:val="nil"/>
              <w:bottom w:val="nil"/>
              <w:right w:val="nil"/>
            </w:tcBorders>
            <w:vAlign w:val="bottom"/>
          </w:tcPr>
          <w:p w:rsidR="00FB5335" w:rsidRPr="00FB5335" w:rsidRDefault="00FB5335" w:rsidP="00FB5335">
            <w:pPr>
              <w:spacing w:after="0" w:line="240" w:lineRule="auto"/>
              <w:jc w:val="center"/>
              <w:rPr>
                <w:rFonts w:ascii="Times New Roman" w:hAnsi="Times New Roman"/>
                <w:color w:val="000000"/>
                <w:sz w:val="20"/>
                <w:szCs w:val="20"/>
              </w:rPr>
            </w:pPr>
            <w:r w:rsidRPr="00FB5335">
              <w:rPr>
                <w:rFonts w:ascii="Times New Roman" w:hAnsi="Times New Roman"/>
                <w:color w:val="000000"/>
                <w:sz w:val="20"/>
                <w:szCs w:val="20"/>
              </w:rPr>
              <w:t>4,7777</w:t>
            </w:r>
          </w:p>
        </w:tc>
        <w:tc>
          <w:tcPr>
            <w:tcW w:w="1074" w:type="dxa"/>
            <w:tcBorders>
              <w:top w:val="single" w:sz="4" w:space="0" w:color="auto"/>
              <w:left w:val="nil"/>
              <w:bottom w:val="nil"/>
              <w:right w:val="nil"/>
            </w:tcBorders>
            <w:vAlign w:val="bottom"/>
          </w:tcPr>
          <w:p w:rsidR="00FB5335" w:rsidRPr="00FB5335" w:rsidRDefault="00FB5335" w:rsidP="00FB5335">
            <w:pPr>
              <w:spacing w:after="0" w:line="240" w:lineRule="auto"/>
              <w:jc w:val="center"/>
              <w:rPr>
                <w:rFonts w:ascii="Times New Roman" w:hAnsi="Times New Roman"/>
                <w:color w:val="000000"/>
                <w:sz w:val="20"/>
                <w:szCs w:val="20"/>
              </w:rPr>
            </w:pPr>
            <w:r w:rsidRPr="00FB5335">
              <w:rPr>
                <w:rFonts w:ascii="Times New Roman" w:hAnsi="Times New Roman"/>
                <w:color w:val="000000"/>
                <w:sz w:val="20"/>
                <w:szCs w:val="20"/>
              </w:rPr>
              <w:t>0,3233</w:t>
            </w:r>
          </w:p>
        </w:tc>
        <w:tc>
          <w:tcPr>
            <w:tcW w:w="1074" w:type="dxa"/>
            <w:tcBorders>
              <w:top w:val="single" w:sz="4" w:space="0" w:color="auto"/>
              <w:left w:val="nil"/>
              <w:bottom w:val="nil"/>
              <w:right w:val="nil"/>
            </w:tcBorders>
            <w:vAlign w:val="bottom"/>
          </w:tcPr>
          <w:p w:rsidR="00FB5335" w:rsidRPr="00FB5335" w:rsidRDefault="00FB5335" w:rsidP="00FB5335">
            <w:pPr>
              <w:spacing w:after="0" w:line="240" w:lineRule="auto"/>
              <w:jc w:val="center"/>
              <w:rPr>
                <w:rFonts w:ascii="Times New Roman" w:hAnsi="Times New Roman"/>
                <w:color w:val="000000"/>
                <w:sz w:val="20"/>
                <w:szCs w:val="20"/>
              </w:rPr>
            </w:pPr>
            <w:r w:rsidRPr="00FB5335">
              <w:rPr>
                <w:rFonts w:ascii="Times New Roman" w:hAnsi="Times New Roman"/>
                <w:color w:val="000000"/>
                <w:sz w:val="20"/>
                <w:szCs w:val="20"/>
              </w:rPr>
              <w:t>30,9489</w:t>
            </w:r>
          </w:p>
        </w:tc>
      </w:tr>
      <w:tr w:rsidR="00B414C0" w:rsidTr="0004328A">
        <w:trPr>
          <w:jc w:val="center"/>
        </w:trPr>
        <w:tc>
          <w:tcPr>
            <w:tcW w:w="1073" w:type="dxa"/>
            <w:tcBorders>
              <w:top w:val="nil"/>
              <w:left w:val="nil"/>
              <w:bottom w:val="nil"/>
              <w:right w:val="nil"/>
            </w:tcBorders>
          </w:tcPr>
          <w:p w:rsidR="00B414C0" w:rsidRPr="00013942" w:rsidRDefault="00B414C0" w:rsidP="001403D1">
            <w:pPr>
              <w:autoSpaceDE w:val="0"/>
              <w:autoSpaceDN w:val="0"/>
              <w:adjustRightInd w:val="0"/>
              <w:spacing w:after="0" w:line="240" w:lineRule="auto"/>
              <w:jc w:val="center"/>
              <w:rPr>
                <w:rFonts w:ascii="Times New Roman" w:hAnsi="Times New Roman"/>
                <w:sz w:val="20"/>
                <w:szCs w:val="20"/>
                <w:lang w:eastAsia="pt-BR"/>
              </w:rPr>
            </w:pPr>
            <w:r w:rsidRPr="00013942">
              <w:rPr>
                <w:rFonts w:ascii="Times New Roman" w:hAnsi="Times New Roman"/>
                <w:sz w:val="20"/>
                <w:szCs w:val="20"/>
                <w:lang w:eastAsia="pt-BR"/>
              </w:rPr>
              <w:t>6</w:t>
            </w:r>
          </w:p>
        </w:tc>
        <w:tc>
          <w:tcPr>
            <w:tcW w:w="1074" w:type="dxa"/>
            <w:tcBorders>
              <w:top w:val="nil"/>
              <w:left w:val="nil"/>
              <w:bottom w:val="nil"/>
              <w:right w:val="nil"/>
            </w:tcBorders>
            <w:vAlign w:val="bottom"/>
          </w:tcPr>
          <w:p w:rsidR="00B414C0" w:rsidRPr="00B414C0" w:rsidRDefault="00B414C0" w:rsidP="001403D1">
            <w:pPr>
              <w:spacing w:after="0" w:line="240" w:lineRule="auto"/>
              <w:jc w:val="center"/>
              <w:rPr>
                <w:rFonts w:ascii="Times New Roman" w:hAnsi="Times New Roman"/>
                <w:color w:val="000000"/>
                <w:sz w:val="20"/>
                <w:szCs w:val="20"/>
              </w:rPr>
            </w:pPr>
            <w:r w:rsidRPr="00B414C0">
              <w:rPr>
                <w:rFonts w:ascii="Times New Roman" w:hAnsi="Times New Roman"/>
                <w:color w:val="000000"/>
                <w:sz w:val="20"/>
                <w:szCs w:val="20"/>
              </w:rPr>
              <w:t>36,1534</w:t>
            </w:r>
          </w:p>
        </w:tc>
        <w:tc>
          <w:tcPr>
            <w:tcW w:w="1073" w:type="dxa"/>
            <w:tcBorders>
              <w:top w:val="nil"/>
              <w:left w:val="nil"/>
              <w:bottom w:val="nil"/>
              <w:right w:val="nil"/>
            </w:tcBorders>
            <w:vAlign w:val="bottom"/>
          </w:tcPr>
          <w:p w:rsidR="00B414C0" w:rsidRPr="00B414C0" w:rsidRDefault="00B414C0" w:rsidP="001403D1">
            <w:pPr>
              <w:spacing w:after="0" w:line="240" w:lineRule="auto"/>
              <w:jc w:val="center"/>
              <w:rPr>
                <w:rFonts w:ascii="Times New Roman" w:hAnsi="Times New Roman"/>
                <w:color w:val="000000"/>
                <w:sz w:val="20"/>
                <w:szCs w:val="20"/>
              </w:rPr>
            </w:pPr>
            <w:r w:rsidRPr="00B414C0">
              <w:rPr>
                <w:rFonts w:ascii="Times New Roman" w:hAnsi="Times New Roman"/>
                <w:color w:val="000000"/>
                <w:sz w:val="20"/>
                <w:szCs w:val="20"/>
              </w:rPr>
              <w:t>5,7539</w:t>
            </w:r>
          </w:p>
        </w:tc>
        <w:tc>
          <w:tcPr>
            <w:tcW w:w="1074" w:type="dxa"/>
            <w:tcBorders>
              <w:top w:val="nil"/>
              <w:left w:val="nil"/>
              <w:bottom w:val="nil"/>
              <w:right w:val="nil"/>
            </w:tcBorders>
            <w:vAlign w:val="bottom"/>
          </w:tcPr>
          <w:p w:rsidR="00B414C0" w:rsidRPr="00B414C0" w:rsidRDefault="00B414C0" w:rsidP="001403D1">
            <w:pPr>
              <w:spacing w:after="0" w:line="240" w:lineRule="auto"/>
              <w:jc w:val="center"/>
              <w:rPr>
                <w:rFonts w:ascii="Times New Roman" w:hAnsi="Times New Roman"/>
                <w:color w:val="000000"/>
                <w:sz w:val="20"/>
                <w:szCs w:val="20"/>
              </w:rPr>
            </w:pPr>
            <w:r w:rsidRPr="00B414C0">
              <w:rPr>
                <w:rFonts w:ascii="Times New Roman" w:hAnsi="Times New Roman"/>
                <w:color w:val="000000"/>
                <w:sz w:val="20"/>
                <w:szCs w:val="20"/>
              </w:rPr>
              <w:t>6,0425</w:t>
            </w:r>
          </w:p>
        </w:tc>
        <w:tc>
          <w:tcPr>
            <w:tcW w:w="1073" w:type="dxa"/>
            <w:tcBorders>
              <w:top w:val="nil"/>
              <w:left w:val="nil"/>
              <w:bottom w:val="nil"/>
              <w:right w:val="nil"/>
            </w:tcBorders>
            <w:vAlign w:val="bottom"/>
          </w:tcPr>
          <w:p w:rsidR="00B414C0" w:rsidRPr="00B414C0" w:rsidRDefault="00B414C0" w:rsidP="001403D1">
            <w:pPr>
              <w:spacing w:after="0" w:line="240" w:lineRule="auto"/>
              <w:jc w:val="center"/>
              <w:rPr>
                <w:rFonts w:ascii="Times New Roman" w:hAnsi="Times New Roman"/>
                <w:color w:val="000000"/>
                <w:sz w:val="20"/>
                <w:szCs w:val="20"/>
              </w:rPr>
            </w:pPr>
            <w:r w:rsidRPr="00B414C0">
              <w:rPr>
                <w:rFonts w:ascii="Times New Roman" w:hAnsi="Times New Roman"/>
                <w:color w:val="000000"/>
                <w:sz w:val="20"/>
                <w:szCs w:val="20"/>
              </w:rPr>
              <w:t>8,0024</w:t>
            </w:r>
          </w:p>
        </w:tc>
        <w:tc>
          <w:tcPr>
            <w:tcW w:w="1074" w:type="dxa"/>
            <w:tcBorders>
              <w:top w:val="nil"/>
              <w:left w:val="nil"/>
              <w:bottom w:val="nil"/>
              <w:right w:val="nil"/>
            </w:tcBorders>
            <w:vAlign w:val="bottom"/>
          </w:tcPr>
          <w:p w:rsidR="00B414C0" w:rsidRPr="00B414C0" w:rsidRDefault="00B414C0" w:rsidP="001403D1">
            <w:pPr>
              <w:spacing w:after="0" w:line="240" w:lineRule="auto"/>
              <w:jc w:val="center"/>
              <w:rPr>
                <w:rFonts w:ascii="Times New Roman" w:hAnsi="Times New Roman"/>
                <w:color w:val="000000"/>
                <w:sz w:val="20"/>
                <w:szCs w:val="20"/>
              </w:rPr>
            </w:pPr>
            <w:r w:rsidRPr="00B414C0">
              <w:rPr>
                <w:rFonts w:ascii="Times New Roman" w:hAnsi="Times New Roman"/>
                <w:color w:val="000000"/>
                <w:sz w:val="20"/>
                <w:szCs w:val="20"/>
              </w:rPr>
              <w:t>7,0641</w:t>
            </w:r>
          </w:p>
        </w:tc>
        <w:tc>
          <w:tcPr>
            <w:tcW w:w="1073" w:type="dxa"/>
            <w:tcBorders>
              <w:top w:val="nil"/>
              <w:left w:val="nil"/>
              <w:bottom w:val="nil"/>
              <w:right w:val="nil"/>
            </w:tcBorders>
            <w:vAlign w:val="bottom"/>
          </w:tcPr>
          <w:p w:rsidR="00B414C0" w:rsidRPr="00B414C0" w:rsidRDefault="00B414C0" w:rsidP="001403D1">
            <w:pPr>
              <w:spacing w:after="0" w:line="240" w:lineRule="auto"/>
              <w:jc w:val="center"/>
              <w:rPr>
                <w:rFonts w:ascii="Times New Roman" w:hAnsi="Times New Roman"/>
                <w:color w:val="000000"/>
                <w:sz w:val="20"/>
                <w:szCs w:val="20"/>
              </w:rPr>
            </w:pPr>
            <w:r w:rsidRPr="00B414C0">
              <w:rPr>
                <w:rFonts w:ascii="Times New Roman" w:hAnsi="Times New Roman"/>
                <w:color w:val="000000"/>
                <w:sz w:val="20"/>
                <w:szCs w:val="20"/>
              </w:rPr>
              <w:t>5,2895</w:t>
            </w:r>
          </w:p>
        </w:tc>
        <w:tc>
          <w:tcPr>
            <w:tcW w:w="1074" w:type="dxa"/>
            <w:tcBorders>
              <w:top w:val="nil"/>
              <w:left w:val="nil"/>
              <w:bottom w:val="nil"/>
              <w:right w:val="nil"/>
            </w:tcBorders>
            <w:vAlign w:val="bottom"/>
          </w:tcPr>
          <w:p w:rsidR="00B414C0" w:rsidRPr="00B414C0" w:rsidRDefault="00B414C0" w:rsidP="001403D1">
            <w:pPr>
              <w:spacing w:after="0" w:line="240" w:lineRule="auto"/>
              <w:jc w:val="center"/>
              <w:rPr>
                <w:rFonts w:ascii="Times New Roman" w:hAnsi="Times New Roman"/>
                <w:color w:val="000000"/>
                <w:sz w:val="20"/>
                <w:szCs w:val="20"/>
              </w:rPr>
            </w:pPr>
            <w:r w:rsidRPr="00B414C0">
              <w:rPr>
                <w:rFonts w:ascii="Times New Roman" w:hAnsi="Times New Roman"/>
                <w:color w:val="000000"/>
                <w:sz w:val="20"/>
                <w:szCs w:val="20"/>
              </w:rPr>
              <w:t>0,5905</w:t>
            </w:r>
          </w:p>
        </w:tc>
        <w:tc>
          <w:tcPr>
            <w:tcW w:w="1074" w:type="dxa"/>
            <w:tcBorders>
              <w:top w:val="nil"/>
              <w:left w:val="nil"/>
              <w:bottom w:val="nil"/>
              <w:right w:val="nil"/>
            </w:tcBorders>
            <w:vAlign w:val="bottom"/>
          </w:tcPr>
          <w:p w:rsidR="00B414C0" w:rsidRPr="00B414C0" w:rsidRDefault="00B414C0" w:rsidP="001403D1">
            <w:pPr>
              <w:spacing w:after="0" w:line="240" w:lineRule="auto"/>
              <w:jc w:val="center"/>
              <w:rPr>
                <w:rFonts w:ascii="Times New Roman" w:hAnsi="Times New Roman"/>
                <w:color w:val="000000"/>
                <w:sz w:val="20"/>
                <w:szCs w:val="20"/>
              </w:rPr>
            </w:pPr>
            <w:r w:rsidRPr="00B414C0">
              <w:rPr>
                <w:rFonts w:ascii="Times New Roman" w:hAnsi="Times New Roman"/>
                <w:color w:val="000000"/>
                <w:sz w:val="20"/>
                <w:szCs w:val="20"/>
              </w:rPr>
              <w:t>31,1037</w:t>
            </w:r>
          </w:p>
        </w:tc>
      </w:tr>
      <w:tr w:rsidR="00B414C0" w:rsidTr="0004328A">
        <w:trPr>
          <w:jc w:val="center"/>
        </w:trPr>
        <w:tc>
          <w:tcPr>
            <w:tcW w:w="1073" w:type="dxa"/>
            <w:tcBorders>
              <w:top w:val="nil"/>
              <w:left w:val="nil"/>
              <w:bottom w:val="double" w:sz="4" w:space="0" w:color="auto"/>
              <w:right w:val="nil"/>
            </w:tcBorders>
          </w:tcPr>
          <w:p w:rsidR="00B414C0" w:rsidRPr="00013942" w:rsidRDefault="00B414C0" w:rsidP="001403D1">
            <w:pPr>
              <w:autoSpaceDE w:val="0"/>
              <w:autoSpaceDN w:val="0"/>
              <w:adjustRightInd w:val="0"/>
              <w:spacing w:after="0" w:line="240" w:lineRule="auto"/>
              <w:jc w:val="center"/>
              <w:rPr>
                <w:rFonts w:ascii="Times New Roman" w:hAnsi="Times New Roman"/>
                <w:sz w:val="20"/>
                <w:szCs w:val="20"/>
                <w:lang w:eastAsia="pt-BR"/>
              </w:rPr>
            </w:pPr>
            <w:r w:rsidRPr="00013942">
              <w:rPr>
                <w:rFonts w:ascii="Times New Roman" w:hAnsi="Times New Roman"/>
                <w:sz w:val="20"/>
                <w:szCs w:val="20"/>
                <w:lang w:eastAsia="pt-BR"/>
              </w:rPr>
              <w:t>1</w:t>
            </w:r>
            <w:r>
              <w:rPr>
                <w:rFonts w:ascii="Times New Roman" w:hAnsi="Times New Roman"/>
                <w:sz w:val="20"/>
                <w:szCs w:val="20"/>
                <w:lang w:eastAsia="pt-BR"/>
              </w:rPr>
              <w:t>2</w:t>
            </w:r>
          </w:p>
        </w:tc>
        <w:tc>
          <w:tcPr>
            <w:tcW w:w="1074" w:type="dxa"/>
            <w:tcBorders>
              <w:top w:val="nil"/>
              <w:left w:val="nil"/>
              <w:bottom w:val="double" w:sz="4" w:space="0" w:color="auto"/>
              <w:right w:val="nil"/>
            </w:tcBorders>
            <w:vAlign w:val="bottom"/>
          </w:tcPr>
          <w:p w:rsidR="00B414C0" w:rsidRPr="00B414C0" w:rsidRDefault="00B414C0" w:rsidP="001403D1">
            <w:pPr>
              <w:spacing w:after="0" w:line="240" w:lineRule="auto"/>
              <w:jc w:val="center"/>
              <w:rPr>
                <w:rFonts w:ascii="Times New Roman" w:hAnsi="Times New Roman"/>
                <w:color w:val="000000"/>
                <w:sz w:val="20"/>
                <w:szCs w:val="20"/>
              </w:rPr>
            </w:pPr>
            <w:r w:rsidRPr="00B414C0">
              <w:rPr>
                <w:rFonts w:ascii="Times New Roman" w:hAnsi="Times New Roman"/>
                <w:color w:val="000000"/>
                <w:sz w:val="20"/>
                <w:szCs w:val="20"/>
              </w:rPr>
              <w:t>36,1509</w:t>
            </w:r>
          </w:p>
        </w:tc>
        <w:tc>
          <w:tcPr>
            <w:tcW w:w="1073" w:type="dxa"/>
            <w:tcBorders>
              <w:top w:val="nil"/>
              <w:left w:val="nil"/>
              <w:bottom w:val="double" w:sz="4" w:space="0" w:color="auto"/>
              <w:right w:val="nil"/>
            </w:tcBorders>
            <w:vAlign w:val="bottom"/>
          </w:tcPr>
          <w:p w:rsidR="00B414C0" w:rsidRPr="00B414C0" w:rsidRDefault="00B414C0" w:rsidP="001403D1">
            <w:pPr>
              <w:spacing w:after="0" w:line="240" w:lineRule="auto"/>
              <w:jc w:val="center"/>
              <w:rPr>
                <w:rFonts w:ascii="Times New Roman" w:hAnsi="Times New Roman"/>
                <w:color w:val="000000"/>
                <w:sz w:val="20"/>
                <w:szCs w:val="20"/>
              </w:rPr>
            </w:pPr>
            <w:r w:rsidRPr="00B414C0">
              <w:rPr>
                <w:rFonts w:ascii="Times New Roman" w:hAnsi="Times New Roman"/>
                <w:color w:val="000000"/>
                <w:sz w:val="20"/>
                <w:szCs w:val="20"/>
              </w:rPr>
              <w:t>5,7526</w:t>
            </w:r>
          </w:p>
        </w:tc>
        <w:tc>
          <w:tcPr>
            <w:tcW w:w="1074" w:type="dxa"/>
            <w:tcBorders>
              <w:top w:val="nil"/>
              <w:left w:val="nil"/>
              <w:bottom w:val="double" w:sz="4" w:space="0" w:color="auto"/>
              <w:right w:val="nil"/>
            </w:tcBorders>
            <w:vAlign w:val="bottom"/>
          </w:tcPr>
          <w:p w:rsidR="00B414C0" w:rsidRPr="00B414C0" w:rsidRDefault="00B414C0" w:rsidP="001403D1">
            <w:pPr>
              <w:spacing w:after="0" w:line="240" w:lineRule="auto"/>
              <w:jc w:val="center"/>
              <w:rPr>
                <w:rFonts w:ascii="Times New Roman" w:hAnsi="Times New Roman"/>
                <w:color w:val="000000"/>
                <w:sz w:val="20"/>
                <w:szCs w:val="20"/>
              </w:rPr>
            </w:pPr>
            <w:r w:rsidRPr="00B414C0">
              <w:rPr>
                <w:rFonts w:ascii="Times New Roman" w:hAnsi="Times New Roman"/>
                <w:color w:val="000000"/>
                <w:sz w:val="20"/>
                <w:szCs w:val="20"/>
              </w:rPr>
              <w:t>6,0408</w:t>
            </w:r>
          </w:p>
        </w:tc>
        <w:tc>
          <w:tcPr>
            <w:tcW w:w="1073" w:type="dxa"/>
            <w:tcBorders>
              <w:top w:val="nil"/>
              <w:left w:val="nil"/>
              <w:bottom w:val="double" w:sz="4" w:space="0" w:color="auto"/>
              <w:right w:val="nil"/>
            </w:tcBorders>
            <w:vAlign w:val="bottom"/>
          </w:tcPr>
          <w:p w:rsidR="00B414C0" w:rsidRPr="00B414C0" w:rsidRDefault="00B414C0" w:rsidP="001403D1">
            <w:pPr>
              <w:spacing w:after="0" w:line="240" w:lineRule="auto"/>
              <w:jc w:val="center"/>
              <w:rPr>
                <w:rFonts w:ascii="Times New Roman" w:hAnsi="Times New Roman"/>
                <w:color w:val="000000"/>
                <w:sz w:val="20"/>
                <w:szCs w:val="20"/>
              </w:rPr>
            </w:pPr>
            <w:r w:rsidRPr="00B414C0">
              <w:rPr>
                <w:rFonts w:ascii="Times New Roman" w:hAnsi="Times New Roman"/>
                <w:color w:val="000000"/>
                <w:sz w:val="20"/>
                <w:szCs w:val="20"/>
              </w:rPr>
              <w:t>8,0015</w:t>
            </w:r>
          </w:p>
        </w:tc>
        <w:tc>
          <w:tcPr>
            <w:tcW w:w="1074" w:type="dxa"/>
            <w:tcBorders>
              <w:top w:val="nil"/>
              <w:left w:val="nil"/>
              <w:bottom w:val="double" w:sz="4" w:space="0" w:color="auto"/>
              <w:right w:val="nil"/>
            </w:tcBorders>
            <w:vAlign w:val="bottom"/>
          </w:tcPr>
          <w:p w:rsidR="00B414C0" w:rsidRPr="00B414C0" w:rsidRDefault="00B414C0" w:rsidP="001403D1">
            <w:pPr>
              <w:spacing w:after="0" w:line="240" w:lineRule="auto"/>
              <w:jc w:val="center"/>
              <w:rPr>
                <w:rFonts w:ascii="Times New Roman" w:hAnsi="Times New Roman"/>
                <w:color w:val="000000"/>
                <w:sz w:val="20"/>
                <w:szCs w:val="20"/>
              </w:rPr>
            </w:pPr>
            <w:r w:rsidRPr="00B414C0">
              <w:rPr>
                <w:rFonts w:ascii="Times New Roman" w:hAnsi="Times New Roman"/>
                <w:color w:val="000000"/>
                <w:sz w:val="20"/>
                <w:szCs w:val="20"/>
              </w:rPr>
              <w:t>7,0622</w:t>
            </w:r>
          </w:p>
        </w:tc>
        <w:tc>
          <w:tcPr>
            <w:tcW w:w="1073" w:type="dxa"/>
            <w:tcBorders>
              <w:top w:val="nil"/>
              <w:left w:val="nil"/>
              <w:bottom w:val="double" w:sz="4" w:space="0" w:color="auto"/>
              <w:right w:val="nil"/>
            </w:tcBorders>
            <w:vAlign w:val="bottom"/>
          </w:tcPr>
          <w:p w:rsidR="00B414C0" w:rsidRPr="00B414C0" w:rsidRDefault="00B414C0" w:rsidP="001403D1">
            <w:pPr>
              <w:spacing w:after="0" w:line="240" w:lineRule="auto"/>
              <w:jc w:val="center"/>
              <w:rPr>
                <w:rFonts w:ascii="Times New Roman" w:hAnsi="Times New Roman"/>
                <w:color w:val="000000"/>
                <w:sz w:val="20"/>
                <w:szCs w:val="20"/>
              </w:rPr>
            </w:pPr>
            <w:r w:rsidRPr="00B414C0">
              <w:rPr>
                <w:rFonts w:ascii="Times New Roman" w:hAnsi="Times New Roman"/>
                <w:color w:val="000000"/>
                <w:sz w:val="20"/>
                <w:szCs w:val="20"/>
              </w:rPr>
              <w:t>5,2931</w:t>
            </w:r>
          </w:p>
        </w:tc>
        <w:tc>
          <w:tcPr>
            <w:tcW w:w="1074" w:type="dxa"/>
            <w:tcBorders>
              <w:top w:val="nil"/>
              <w:left w:val="nil"/>
              <w:bottom w:val="double" w:sz="4" w:space="0" w:color="auto"/>
              <w:right w:val="nil"/>
            </w:tcBorders>
            <w:vAlign w:val="bottom"/>
          </w:tcPr>
          <w:p w:rsidR="00B414C0" w:rsidRPr="00B414C0" w:rsidRDefault="00B414C0" w:rsidP="001403D1">
            <w:pPr>
              <w:spacing w:after="0" w:line="240" w:lineRule="auto"/>
              <w:jc w:val="center"/>
              <w:rPr>
                <w:rFonts w:ascii="Times New Roman" w:hAnsi="Times New Roman"/>
                <w:color w:val="000000"/>
                <w:sz w:val="20"/>
                <w:szCs w:val="20"/>
              </w:rPr>
            </w:pPr>
            <w:r w:rsidRPr="00B414C0">
              <w:rPr>
                <w:rFonts w:ascii="Times New Roman" w:hAnsi="Times New Roman"/>
                <w:color w:val="000000"/>
                <w:sz w:val="20"/>
                <w:szCs w:val="20"/>
              </w:rPr>
              <w:t>0,5917</w:t>
            </w:r>
          </w:p>
        </w:tc>
        <w:tc>
          <w:tcPr>
            <w:tcW w:w="1074" w:type="dxa"/>
            <w:tcBorders>
              <w:top w:val="nil"/>
              <w:left w:val="nil"/>
              <w:bottom w:val="double" w:sz="4" w:space="0" w:color="auto"/>
              <w:right w:val="nil"/>
            </w:tcBorders>
            <w:vAlign w:val="bottom"/>
          </w:tcPr>
          <w:p w:rsidR="00B414C0" w:rsidRPr="00B414C0" w:rsidRDefault="00B414C0" w:rsidP="001403D1">
            <w:pPr>
              <w:spacing w:after="0" w:line="240" w:lineRule="auto"/>
              <w:jc w:val="center"/>
              <w:rPr>
                <w:rFonts w:ascii="Times New Roman" w:hAnsi="Times New Roman"/>
                <w:color w:val="000000"/>
                <w:sz w:val="20"/>
                <w:szCs w:val="20"/>
              </w:rPr>
            </w:pPr>
            <w:r w:rsidRPr="00B414C0">
              <w:rPr>
                <w:rFonts w:ascii="Times New Roman" w:hAnsi="Times New Roman"/>
                <w:color w:val="000000"/>
                <w:sz w:val="20"/>
                <w:szCs w:val="20"/>
              </w:rPr>
              <w:t>31,1072</w:t>
            </w:r>
          </w:p>
        </w:tc>
      </w:tr>
    </w:tbl>
    <w:p w:rsidR="00D822E6" w:rsidRPr="00B33E67" w:rsidRDefault="00D822E6" w:rsidP="0027795C">
      <w:pPr>
        <w:spacing w:after="0" w:line="240" w:lineRule="auto"/>
        <w:rPr>
          <w:rFonts w:ascii="Times New Roman" w:hAnsi="Times New Roman"/>
          <w:sz w:val="20"/>
          <w:szCs w:val="20"/>
        </w:rPr>
      </w:pPr>
      <w:r w:rsidRPr="00B33E67">
        <w:rPr>
          <w:rFonts w:ascii="Times New Roman" w:hAnsi="Times New Roman"/>
          <w:i/>
          <w:sz w:val="20"/>
          <w:szCs w:val="20"/>
        </w:rPr>
        <w:t>Fonte</w:t>
      </w:r>
      <w:r>
        <w:rPr>
          <w:rFonts w:ascii="Times New Roman" w:hAnsi="Times New Roman"/>
          <w:sz w:val="20"/>
          <w:szCs w:val="20"/>
        </w:rPr>
        <w:t>: S</w:t>
      </w:r>
      <w:r w:rsidRPr="00B33E67">
        <w:rPr>
          <w:rFonts w:ascii="Times New Roman" w:hAnsi="Times New Roman"/>
          <w:sz w:val="20"/>
          <w:szCs w:val="20"/>
        </w:rPr>
        <w:t>aída do Eviews 7.0.</w:t>
      </w:r>
    </w:p>
    <w:p w:rsidR="00B81953" w:rsidRDefault="00B81953" w:rsidP="00B81953">
      <w:pPr>
        <w:spacing w:after="0" w:line="240" w:lineRule="auto"/>
        <w:ind w:left="360"/>
        <w:jc w:val="both"/>
        <w:rPr>
          <w:rFonts w:ascii="Times New Roman" w:hAnsi="Times New Roman"/>
          <w:b/>
          <w:sz w:val="24"/>
          <w:szCs w:val="24"/>
        </w:rPr>
      </w:pPr>
    </w:p>
    <w:p w:rsidR="00742EDC" w:rsidRDefault="00742EDC" w:rsidP="00B81953">
      <w:pPr>
        <w:spacing w:after="0" w:line="240" w:lineRule="auto"/>
        <w:ind w:left="360"/>
        <w:jc w:val="both"/>
        <w:rPr>
          <w:rFonts w:ascii="Times New Roman" w:hAnsi="Times New Roman"/>
          <w:b/>
          <w:sz w:val="24"/>
          <w:szCs w:val="24"/>
        </w:rPr>
      </w:pPr>
    </w:p>
    <w:p w:rsidR="00921C93" w:rsidRDefault="00921C93" w:rsidP="00921C93">
      <w:pPr>
        <w:pStyle w:val="PargrafodaLista"/>
        <w:spacing w:after="0" w:line="240" w:lineRule="auto"/>
        <w:ind w:left="0"/>
        <w:jc w:val="both"/>
        <w:rPr>
          <w:rFonts w:ascii="Times New Roman" w:hAnsi="Times New Roman"/>
          <w:sz w:val="24"/>
          <w:szCs w:val="24"/>
        </w:rPr>
      </w:pPr>
      <w:r w:rsidRPr="0006745A">
        <w:rPr>
          <w:rFonts w:ascii="Times New Roman" w:hAnsi="Times New Roman"/>
          <w:sz w:val="24"/>
          <w:szCs w:val="24"/>
        </w:rPr>
        <w:tab/>
      </w:r>
      <w:r w:rsidRPr="00742EDC">
        <w:rPr>
          <w:rFonts w:ascii="Times New Roman" w:hAnsi="Times New Roman"/>
          <w:color w:val="000000"/>
          <w:sz w:val="24"/>
          <w:szCs w:val="24"/>
          <w:shd w:val="clear" w:color="auto" w:fill="FFFFFF"/>
        </w:rPr>
        <w:t xml:space="preserve">Normalmente, a maioria da variância de previsão de uma variável </w:t>
      </w:r>
      <w:r w:rsidR="008D4383" w:rsidRPr="00742EDC">
        <w:rPr>
          <w:rFonts w:ascii="Times New Roman" w:hAnsi="Times New Roman"/>
          <w:color w:val="000000"/>
          <w:sz w:val="24"/>
          <w:szCs w:val="24"/>
          <w:shd w:val="clear" w:color="auto" w:fill="FFFFFF"/>
        </w:rPr>
        <w:t>é</w:t>
      </w:r>
      <w:r w:rsidRPr="00742EDC">
        <w:rPr>
          <w:rFonts w:ascii="Times New Roman" w:hAnsi="Times New Roman"/>
          <w:color w:val="000000"/>
          <w:sz w:val="24"/>
          <w:szCs w:val="24"/>
          <w:shd w:val="clear" w:color="auto" w:fill="FFFFFF"/>
        </w:rPr>
        <w:t xml:space="preserve"> explicada pelos choques à própria variável. Contudo, p</w:t>
      </w:r>
      <w:r w:rsidRPr="00742EDC">
        <w:rPr>
          <w:rFonts w:ascii="Times New Roman" w:hAnsi="Times New Roman"/>
          <w:sz w:val="24"/>
          <w:szCs w:val="24"/>
        </w:rPr>
        <w:t>ara o Modelo 1 (Tabela 8), mais de 32% da variância da taxa de câmbio real (DTCR) é explicada pelo choque do risco-país (DEMBI), logo após o</w:t>
      </w:r>
      <w:r w:rsidR="00462E89" w:rsidRPr="00742EDC">
        <w:rPr>
          <w:rFonts w:ascii="Times New Roman" w:hAnsi="Times New Roman"/>
          <w:sz w:val="24"/>
          <w:szCs w:val="24"/>
        </w:rPr>
        <w:t xml:space="preserve"> momento do</w:t>
      </w:r>
      <w:r w:rsidRPr="00742EDC">
        <w:rPr>
          <w:rFonts w:ascii="Times New Roman" w:hAnsi="Times New Roman"/>
          <w:sz w:val="24"/>
          <w:szCs w:val="24"/>
        </w:rPr>
        <w:t xml:space="preserve"> choque. Após doze trimestres</w:t>
      </w:r>
      <w:r w:rsidR="00741F3A">
        <w:rPr>
          <w:rFonts w:ascii="Times New Roman" w:hAnsi="Times New Roman"/>
          <w:sz w:val="24"/>
          <w:szCs w:val="24"/>
        </w:rPr>
        <w:t>,</w:t>
      </w:r>
      <w:r w:rsidRPr="00742EDC">
        <w:rPr>
          <w:rFonts w:ascii="Times New Roman" w:hAnsi="Times New Roman"/>
          <w:sz w:val="24"/>
          <w:szCs w:val="24"/>
        </w:rPr>
        <w:t xml:space="preserve"> esse percentual ainda se situa acima de 30%. A segunda maior participação na variância da</w:t>
      </w:r>
      <w:r w:rsidRPr="00742EDC">
        <w:rPr>
          <w:rFonts w:ascii="Times New Roman" w:eastAsia="SimSun" w:hAnsi="Times New Roman"/>
          <w:sz w:val="24"/>
          <w:szCs w:val="24"/>
          <w:lang w:eastAsia="zh-CN"/>
        </w:rPr>
        <w:t xml:space="preserve"> taxa de câmbio real se deve aos choques dos preços das </w:t>
      </w:r>
      <w:r w:rsidRPr="00742EDC">
        <w:rPr>
          <w:rFonts w:ascii="Times New Roman" w:eastAsia="SimSun" w:hAnsi="Times New Roman"/>
          <w:i/>
          <w:sz w:val="24"/>
          <w:szCs w:val="24"/>
          <w:lang w:eastAsia="zh-CN"/>
        </w:rPr>
        <w:t>commodities</w:t>
      </w:r>
      <w:r w:rsidRPr="00742EDC">
        <w:rPr>
          <w:rFonts w:ascii="Times New Roman" w:eastAsia="SimSun" w:hAnsi="Times New Roman"/>
          <w:sz w:val="24"/>
          <w:szCs w:val="24"/>
          <w:lang w:eastAsia="zh-CN"/>
        </w:rPr>
        <w:t xml:space="preserve"> (DIPCOM), que explicam aproximadamente 13% desta variância, seguida de choques nas entradas de investimento em carteira (DIEC), com participação </w:t>
      </w:r>
      <w:r w:rsidR="00AA73DF" w:rsidRPr="00742EDC">
        <w:rPr>
          <w:rFonts w:ascii="Times New Roman" w:eastAsia="SimSun" w:hAnsi="Times New Roman"/>
          <w:sz w:val="24"/>
          <w:szCs w:val="24"/>
          <w:lang w:eastAsia="zh-CN"/>
        </w:rPr>
        <w:t xml:space="preserve">também </w:t>
      </w:r>
      <w:r w:rsidRPr="00742EDC">
        <w:rPr>
          <w:rFonts w:ascii="Times New Roman" w:eastAsia="SimSun" w:hAnsi="Times New Roman"/>
          <w:sz w:val="24"/>
          <w:szCs w:val="24"/>
          <w:lang w:eastAsia="zh-CN"/>
        </w:rPr>
        <w:t>próxima</w:t>
      </w:r>
      <w:r w:rsidR="00AA73DF" w:rsidRPr="00742EDC">
        <w:rPr>
          <w:rFonts w:ascii="Times New Roman" w:eastAsia="SimSun" w:hAnsi="Times New Roman"/>
          <w:sz w:val="24"/>
          <w:szCs w:val="24"/>
          <w:lang w:eastAsia="zh-CN"/>
        </w:rPr>
        <w:t xml:space="preserve"> de 13</w:t>
      </w:r>
      <w:r w:rsidRPr="00742EDC">
        <w:rPr>
          <w:rFonts w:ascii="Times New Roman" w:eastAsia="SimSun" w:hAnsi="Times New Roman"/>
          <w:sz w:val="24"/>
          <w:szCs w:val="24"/>
          <w:lang w:eastAsia="zh-CN"/>
        </w:rPr>
        <w:t>%.</w:t>
      </w:r>
      <w:r w:rsidRPr="00742EDC">
        <w:rPr>
          <w:rFonts w:ascii="Times New Roman" w:hAnsi="Times New Roman"/>
          <w:sz w:val="24"/>
          <w:szCs w:val="24"/>
        </w:rPr>
        <w:t xml:space="preserve">  Há uma menor magnitude </w:t>
      </w:r>
      <w:r w:rsidRPr="00742EDC">
        <w:rPr>
          <w:rFonts w:ascii="Times New Roman" w:eastAsia="SimSun" w:hAnsi="Times New Roman"/>
          <w:sz w:val="24"/>
          <w:szCs w:val="24"/>
          <w:lang w:eastAsia="zh-CN"/>
        </w:rPr>
        <w:t>da variância da taxa de câmbio real frente aos choques d</w:t>
      </w:r>
      <w:r w:rsidR="00EE4986">
        <w:rPr>
          <w:rFonts w:ascii="Times New Roman" w:eastAsia="SimSun" w:hAnsi="Times New Roman"/>
          <w:sz w:val="24"/>
          <w:szCs w:val="24"/>
          <w:lang w:eastAsia="zh-CN"/>
        </w:rPr>
        <w:t>as exportações de</w:t>
      </w:r>
      <w:r w:rsidRPr="00742EDC">
        <w:rPr>
          <w:rFonts w:ascii="Times New Roman" w:eastAsia="SimSun" w:hAnsi="Times New Roman"/>
          <w:sz w:val="24"/>
          <w:szCs w:val="24"/>
          <w:lang w:eastAsia="zh-CN"/>
        </w:rPr>
        <w:t xml:space="preserve"> </w:t>
      </w:r>
      <w:r w:rsidRPr="00742EDC">
        <w:rPr>
          <w:rFonts w:ascii="Times New Roman" w:eastAsia="SimSun" w:hAnsi="Times New Roman"/>
          <w:i/>
          <w:sz w:val="24"/>
          <w:szCs w:val="24"/>
          <w:lang w:eastAsia="zh-CN"/>
        </w:rPr>
        <w:t>commodities</w:t>
      </w:r>
      <w:r w:rsidRPr="00742EDC">
        <w:rPr>
          <w:rFonts w:ascii="Times New Roman" w:eastAsia="SimSun" w:hAnsi="Times New Roman"/>
          <w:sz w:val="24"/>
          <w:szCs w:val="24"/>
          <w:lang w:eastAsia="zh-CN"/>
        </w:rPr>
        <w:t xml:space="preserve"> (</w:t>
      </w:r>
      <w:r w:rsidR="00EE4986">
        <w:rPr>
          <w:rFonts w:ascii="Times New Roman" w:eastAsia="SimSun" w:hAnsi="Times New Roman"/>
          <w:sz w:val="24"/>
          <w:szCs w:val="24"/>
          <w:lang w:eastAsia="zh-CN"/>
        </w:rPr>
        <w:t>XC</w:t>
      </w:r>
      <w:r w:rsidRPr="00742EDC">
        <w:rPr>
          <w:rFonts w:ascii="Times New Roman" w:eastAsia="SimSun" w:hAnsi="Times New Roman"/>
          <w:sz w:val="24"/>
          <w:szCs w:val="24"/>
          <w:lang w:eastAsia="zh-CN"/>
        </w:rPr>
        <w:t>OM) e</w:t>
      </w:r>
      <w:r w:rsidR="00AF7290" w:rsidRPr="00742EDC">
        <w:rPr>
          <w:rFonts w:ascii="Times New Roman" w:eastAsia="SimSun" w:hAnsi="Times New Roman"/>
          <w:sz w:val="24"/>
          <w:szCs w:val="24"/>
          <w:lang w:eastAsia="zh-CN"/>
        </w:rPr>
        <w:t>, por sua ve</w:t>
      </w:r>
      <w:r w:rsidR="00AF7290" w:rsidRPr="00742EDC">
        <w:rPr>
          <w:rFonts w:ascii="Times New Roman" w:hAnsi="Times New Roman"/>
          <w:sz w:val="24"/>
          <w:szCs w:val="24"/>
        </w:rPr>
        <w:t>z</w:t>
      </w:r>
      <w:r w:rsidR="00AF7290" w:rsidRPr="00742EDC">
        <w:rPr>
          <w:rFonts w:ascii="Times New Roman" w:eastAsia="SimSun" w:hAnsi="Times New Roman"/>
          <w:sz w:val="24"/>
          <w:szCs w:val="24"/>
          <w:lang w:eastAsia="zh-CN"/>
        </w:rPr>
        <w:t>,</w:t>
      </w:r>
      <w:r w:rsidRPr="00742EDC">
        <w:rPr>
          <w:rFonts w:ascii="Times New Roman" w:eastAsia="SimSun" w:hAnsi="Times New Roman"/>
          <w:sz w:val="24"/>
          <w:szCs w:val="24"/>
          <w:lang w:eastAsia="zh-CN"/>
        </w:rPr>
        <w:t xml:space="preserve"> os choques da taxa de juros (DJUROS) explicam muito pouco a variância referida (menos de 1%).</w:t>
      </w:r>
      <w:r w:rsidRPr="00742EDC">
        <w:rPr>
          <w:rFonts w:ascii="Times New Roman" w:hAnsi="Times New Roman"/>
          <w:sz w:val="24"/>
          <w:szCs w:val="24"/>
        </w:rPr>
        <w:t xml:space="preserve"> É possível dizer, destarte, que neste modelo geral há uma predominância dos choques advindos do lado financeiro para explicar a dinâmica da taxa de câmbio real. Essa interpretação se deve ao fato de que, juntos, o risco-país, as entradas de investimentos em carteira e a taxa de juros explicam mais de 45% da variância da taxa de câmbio real. Trata-se de um valor significativo, ao passo que as variáveis relativas ao desempenho comercial do país, preços e exportações de </w:t>
      </w:r>
      <w:r w:rsidRPr="00742EDC">
        <w:rPr>
          <w:rFonts w:ascii="Times New Roman" w:eastAsia="SimSun" w:hAnsi="Times New Roman"/>
          <w:i/>
          <w:sz w:val="24"/>
          <w:szCs w:val="24"/>
          <w:lang w:eastAsia="zh-CN"/>
        </w:rPr>
        <w:t>commodities</w:t>
      </w:r>
      <w:r w:rsidRPr="00742EDC">
        <w:rPr>
          <w:rFonts w:ascii="Times New Roman" w:eastAsia="SimSun" w:hAnsi="Times New Roman"/>
          <w:sz w:val="24"/>
          <w:szCs w:val="24"/>
          <w:lang w:eastAsia="zh-CN"/>
        </w:rPr>
        <w:t>, explicam apenas aproximadamente 17% de tal variância.</w:t>
      </w:r>
      <w:r>
        <w:rPr>
          <w:rFonts w:ascii="Times New Roman" w:hAnsi="Times New Roman"/>
          <w:sz w:val="24"/>
          <w:szCs w:val="24"/>
        </w:rPr>
        <w:t xml:space="preserve"> </w:t>
      </w:r>
    </w:p>
    <w:p w:rsidR="00CE56F2" w:rsidRPr="001E5B19" w:rsidRDefault="00CE56F2" w:rsidP="00921C93">
      <w:pPr>
        <w:pStyle w:val="PargrafodaLista"/>
        <w:spacing w:after="0" w:line="240" w:lineRule="auto"/>
        <w:ind w:left="0"/>
        <w:jc w:val="both"/>
        <w:rPr>
          <w:rFonts w:ascii="Times New Roman" w:hAnsi="Times New Roman"/>
          <w:sz w:val="24"/>
          <w:szCs w:val="24"/>
        </w:rPr>
      </w:pPr>
      <w:r>
        <w:rPr>
          <w:rFonts w:ascii="Times New Roman" w:hAnsi="Times New Roman"/>
          <w:sz w:val="24"/>
          <w:szCs w:val="24"/>
        </w:rPr>
        <w:tab/>
      </w:r>
      <w:r w:rsidR="00C966EF" w:rsidRPr="001E5B19">
        <w:rPr>
          <w:rFonts w:ascii="Times New Roman" w:hAnsi="Times New Roman"/>
          <w:sz w:val="24"/>
          <w:szCs w:val="24"/>
        </w:rPr>
        <w:t>Analisando</w:t>
      </w:r>
      <w:r w:rsidRPr="001E5B19">
        <w:rPr>
          <w:rFonts w:ascii="Times New Roman" w:hAnsi="Times New Roman"/>
          <w:sz w:val="24"/>
          <w:szCs w:val="24"/>
        </w:rPr>
        <w:t xml:space="preserve"> </w:t>
      </w:r>
      <w:r w:rsidRPr="001E5B19">
        <w:rPr>
          <w:rFonts w:ascii="Times New Roman" w:eastAsia="SimSun" w:hAnsi="Times New Roman"/>
          <w:sz w:val="24"/>
          <w:szCs w:val="24"/>
          <w:lang w:eastAsia="zh-CN"/>
        </w:rPr>
        <w:t xml:space="preserve">as entradas de capitais pela via do comércio de </w:t>
      </w:r>
      <w:r w:rsidRPr="001E5B19">
        <w:rPr>
          <w:rFonts w:ascii="Times New Roman" w:eastAsia="SimSun" w:hAnsi="Times New Roman"/>
          <w:i/>
          <w:sz w:val="24"/>
          <w:szCs w:val="24"/>
          <w:lang w:eastAsia="zh-CN"/>
        </w:rPr>
        <w:t>commodities</w:t>
      </w:r>
      <w:r w:rsidRPr="001E5B19">
        <w:rPr>
          <w:rFonts w:ascii="Times New Roman" w:eastAsia="SimSun" w:hAnsi="Times New Roman"/>
          <w:sz w:val="24"/>
          <w:szCs w:val="24"/>
          <w:lang w:eastAsia="zh-CN"/>
        </w:rPr>
        <w:t xml:space="preserve"> e dos investimentos em carteira de uma maneira mais desagregada, por meio do Modelo 2, </w:t>
      </w:r>
      <w:r w:rsidR="00C966EF" w:rsidRPr="001E5B19">
        <w:rPr>
          <w:rFonts w:ascii="Times New Roman" w:eastAsia="SimSun" w:hAnsi="Times New Roman"/>
          <w:sz w:val="24"/>
          <w:szCs w:val="24"/>
          <w:lang w:eastAsia="zh-CN"/>
        </w:rPr>
        <w:t xml:space="preserve">verifica-se que </w:t>
      </w:r>
      <w:r w:rsidRPr="001E5B19">
        <w:rPr>
          <w:rFonts w:ascii="Times New Roman" w:eastAsia="SimSun" w:hAnsi="Times New Roman"/>
          <w:sz w:val="24"/>
          <w:szCs w:val="24"/>
          <w:lang w:eastAsia="zh-CN"/>
        </w:rPr>
        <w:t xml:space="preserve">há um aumento da participação das exportações de </w:t>
      </w:r>
      <w:r w:rsidRPr="001E5B19">
        <w:rPr>
          <w:rFonts w:ascii="Times New Roman" w:eastAsia="SimSun" w:hAnsi="Times New Roman"/>
          <w:i/>
          <w:sz w:val="24"/>
          <w:szCs w:val="24"/>
          <w:lang w:eastAsia="zh-CN"/>
        </w:rPr>
        <w:t>commodities</w:t>
      </w:r>
      <w:r w:rsidRPr="001E5B19">
        <w:rPr>
          <w:rFonts w:ascii="Times New Roman" w:eastAsia="SimSun" w:hAnsi="Times New Roman"/>
          <w:sz w:val="24"/>
          <w:szCs w:val="24"/>
          <w:lang w:eastAsia="zh-CN"/>
        </w:rPr>
        <w:t xml:space="preserve"> na variância da taxa de câmbio real (DTCR). Neste modelo, aproximadamente 12% da variância da DTCR é explicada pelos choques nas exportações de alimentos (DXAL) e</w:t>
      </w:r>
      <w:r w:rsidR="00AD1159" w:rsidRPr="001E5B19">
        <w:rPr>
          <w:rFonts w:ascii="Times New Roman" w:eastAsia="SimSun" w:hAnsi="Times New Roman"/>
          <w:sz w:val="24"/>
          <w:szCs w:val="24"/>
          <w:lang w:eastAsia="zh-CN"/>
        </w:rPr>
        <w:t xml:space="preserve"> de</w:t>
      </w:r>
      <w:r w:rsidRPr="001E5B19">
        <w:rPr>
          <w:rFonts w:ascii="Times New Roman" w:eastAsia="SimSun" w:hAnsi="Times New Roman"/>
          <w:sz w:val="24"/>
          <w:szCs w:val="24"/>
          <w:lang w:eastAsia="zh-CN"/>
        </w:rPr>
        <w:t xml:space="preserve"> minerais (DXMIN)</w:t>
      </w:r>
      <w:r w:rsidR="003A7FE5" w:rsidRPr="001E5B19">
        <w:rPr>
          <w:rFonts w:ascii="Times New Roman" w:eastAsia="SimSun" w:hAnsi="Times New Roman"/>
          <w:sz w:val="24"/>
          <w:szCs w:val="24"/>
          <w:lang w:eastAsia="zh-CN"/>
        </w:rPr>
        <w:t>, com maior peso d</w:t>
      </w:r>
      <w:r w:rsidRPr="001E5B19">
        <w:rPr>
          <w:rFonts w:ascii="Times New Roman" w:eastAsia="SimSun" w:hAnsi="Times New Roman"/>
          <w:sz w:val="24"/>
          <w:szCs w:val="24"/>
          <w:lang w:eastAsia="zh-CN"/>
        </w:rPr>
        <w:t xml:space="preserve">as </w:t>
      </w:r>
      <w:r w:rsidRPr="001E5B19">
        <w:rPr>
          <w:rFonts w:ascii="Times New Roman" w:eastAsia="SimSun" w:hAnsi="Times New Roman"/>
          <w:i/>
          <w:sz w:val="24"/>
          <w:szCs w:val="24"/>
          <w:lang w:eastAsia="zh-CN"/>
        </w:rPr>
        <w:t>commodities</w:t>
      </w:r>
      <w:r w:rsidRPr="001E5B19">
        <w:rPr>
          <w:rFonts w:ascii="Times New Roman" w:eastAsia="SimSun" w:hAnsi="Times New Roman"/>
          <w:sz w:val="24"/>
          <w:szCs w:val="24"/>
          <w:lang w:eastAsia="zh-CN"/>
        </w:rPr>
        <w:t xml:space="preserve"> do último tipo.</w:t>
      </w:r>
      <w:r w:rsidR="001841DC" w:rsidRPr="001E5B19">
        <w:rPr>
          <w:rFonts w:ascii="Times New Roman" w:eastAsia="SimSun" w:hAnsi="Times New Roman"/>
          <w:sz w:val="24"/>
          <w:szCs w:val="24"/>
          <w:lang w:eastAsia="zh-CN"/>
        </w:rPr>
        <w:t xml:space="preserve"> Enquanto isso, após </w:t>
      </w:r>
      <w:r w:rsidR="001841DC" w:rsidRPr="001E5B19">
        <w:rPr>
          <w:rFonts w:ascii="Times New Roman" w:hAnsi="Times New Roman"/>
          <w:sz w:val="24"/>
          <w:szCs w:val="24"/>
        </w:rPr>
        <w:t>doze períodos</w:t>
      </w:r>
      <w:r w:rsidR="00C175B9" w:rsidRPr="001E5B19">
        <w:rPr>
          <w:rFonts w:ascii="Times New Roman" w:hAnsi="Times New Roman"/>
          <w:sz w:val="24"/>
          <w:szCs w:val="24"/>
        </w:rPr>
        <w:t>,</w:t>
      </w:r>
      <w:r w:rsidR="001841DC" w:rsidRPr="001E5B19">
        <w:rPr>
          <w:rFonts w:ascii="Times New Roman" w:hAnsi="Times New Roman"/>
          <w:sz w:val="24"/>
          <w:szCs w:val="24"/>
        </w:rPr>
        <w:t xml:space="preserve"> os choques das entradas de investimento em carteira </w:t>
      </w:r>
      <w:r w:rsidR="00792D25" w:rsidRPr="001E5B19">
        <w:rPr>
          <w:rFonts w:ascii="Times New Roman" w:hAnsi="Times New Roman"/>
          <w:sz w:val="24"/>
          <w:szCs w:val="24"/>
        </w:rPr>
        <w:t xml:space="preserve">continuam explicando aproximadamente 13% da variância da </w:t>
      </w:r>
      <w:r w:rsidR="002E19A6" w:rsidRPr="001E5B19">
        <w:rPr>
          <w:rFonts w:ascii="Times New Roman" w:hAnsi="Times New Roman"/>
          <w:sz w:val="24"/>
          <w:szCs w:val="24"/>
        </w:rPr>
        <w:t>taxa</w:t>
      </w:r>
      <w:r w:rsidR="00792D25" w:rsidRPr="001E5B19">
        <w:rPr>
          <w:rFonts w:ascii="Times New Roman" w:hAnsi="Times New Roman"/>
          <w:sz w:val="24"/>
          <w:szCs w:val="24"/>
        </w:rPr>
        <w:t xml:space="preserve"> de câmbio real. </w:t>
      </w:r>
      <w:r w:rsidR="001213E5" w:rsidRPr="001E5B19">
        <w:rPr>
          <w:rFonts w:ascii="Times New Roman" w:hAnsi="Times New Roman"/>
          <w:sz w:val="24"/>
          <w:szCs w:val="24"/>
        </w:rPr>
        <w:t xml:space="preserve">Todavia, a importância em desagregar os dados relativos aos </w:t>
      </w:r>
      <w:r w:rsidR="002E19A6" w:rsidRPr="001E5B19">
        <w:rPr>
          <w:rFonts w:ascii="Times New Roman" w:hAnsi="Times New Roman"/>
          <w:sz w:val="24"/>
          <w:szCs w:val="24"/>
        </w:rPr>
        <w:t>influxos</w:t>
      </w:r>
      <w:r w:rsidR="001213E5" w:rsidRPr="001E5B19">
        <w:rPr>
          <w:rFonts w:ascii="Times New Roman" w:hAnsi="Times New Roman"/>
          <w:sz w:val="24"/>
          <w:szCs w:val="24"/>
        </w:rPr>
        <w:t xml:space="preserve"> de capitais</w:t>
      </w:r>
      <w:r w:rsidR="00A27FDB" w:rsidRPr="001E5B19">
        <w:rPr>
          <w:rFonts w:ascii="Times New Roman" w:hAnsi="Times New Roman"/>
          <w:sz w:val="24"/>
          <w:szCs w:val="24"/>
        </w:rPr>
        <w:t xml:space="preserve"> está em verificarmos a </w:t>
      </w:r>
      <w:r w:rsidR="00A27FDB" w:rsidRPr="001E5B19">
        <w:rPr>
          <w:rFonts w:ascii="Times New Roman" w:hAnsi="Times New Roman"/>
          <w:sz w:val="24"/>
          <w:szCs w:val="24"/>
        </w:rPr>
        <w:lastRenderedPageBreak/>
        <w:t>origem dos</w:t>
      </w:r>
      <w:r w:rsidR="006C0AD5" w:rsidRPr="001E5B19">
        <w:rPr>
          <w:rFonts w:ascii="Times New Roman" w:hAnsi="Times New Roman"/>
          <w:sz w:val="24"/>
          <w:szCs w:val="24"/>
        </w:rPr>
        <w:t xml:space="preserve"> choques advindos do lado financeiro. Percebe-se que o mercado de ações gera um efeito maior sobre a </w:t>
      </w:r>
      <w:r w:rsidR="00BC1FFE" w:rsidRPr="001E5B19">
        <w:rPr>
          <w:rFonts w:ascii="Times New Roman" w:hAnsi="Times New Roman"/>
          <w:sz w:val="24"/>
          <w:szCs w:val="24"/>
        </w:rPr>
        <w:t>taxa</w:t>
      </w:r>
      <w:r w:rsidR="006C0AD5" w:rsidRPr="001E5B19">
        <w:rPr>
          <w:rFonts w:ascii="Times New Roman" w:hAnsi="Times New Roman"/>
          <w:sz w:val="24"/>
          <w:szCs w:val="24"/>
        </w:rPr>
        <w:t xml:space="preserve"> de câmbio real do que o mercado de títulos de renda fi</w:t>
      </w:r>
      <w:r w:rsidR="00BC1FFE" w:rsidRPr="001E5B19">
        <w:rPr>
          <w:rFonts w:ascii="Times New Roman" w:hAnsi="Times New Roman"/>
          <w:sz w:val="24"/>
          <w:szCs w:val="24"/>
        </w:rPr>
        <w:t>x</w:t>
      </w:r>
      <w:r w:rsidR="006C0AD5" w:rsidRPr="001E5B19">
        <w:rPr>
          <w:rFonts w:ascii="Times New Roman" w:hAnsi="Times New Roman"/>
          <w:sz w:val="24"/>
          <w:szCs w:val="24"/>
        </w:rPr>
        <w:t>a.</w:t>
      </w:r>
      <w:r w:rsidR="001C1AB3" w:rsidRPr="001E5B19">
        <w:rPr>
          <w:rFonts w:ascii="Times New Roman" w:hAnsi="Times New Roman"/>
          <w:sz w:val="24"/>
          <w:szCs w:val="24"/>
        </w:rPr>
        <w:t xml:space="preserve"> Destaca-se, ainda, que mais uma vez o risco-país gera efeitos significativos sobre o movimento da </w:t>
      </w:r>
      <w:r w:rsidR="00560BF3" w:rsidRPr="001E5B19">
        <w:rPr>
          <w:rFonts w:ascii="Times New Roman" w:hAnsi="Times New Roman"/>
          <w:sz w:val="24"/>
          <w:szCs w:val="24"/>
        </w:rPr>
        <w:t>taxa</w:t>
      </w:r>
      <w:r w:rsidR="001C1AB3" w:rsidRPr="001E5B19">
        <w:rPr>
          <w:rFonts w:ascii="Times New Roman" w:hAnsi="Times New Roman"/>
          <w:sz w:val="24"/>
          <w:szCs w:val="24"/>
        </w:rPr>
        <w:t xml:space="preserve"> de câmbio real, uma vez que seus choques </w:t>
      </w:r>
      <w:r w:rsidR="00560BF3" w:rsidRPr="001E5B19">
        <w:rPr>
          <w:rFonts w:ascii="Times New Roman" w:hAnsi="Times New Roman"/>
          <w:sz w:val="24"/>
          <w:szCs w:val="24"/>
        </w:rPr>
        <w:t>explicam</w:t>
      </w:r>
      <w:r w:rsidR="001C1AB3" w:rsidRPr="001E5B19">
        <w:rPr>
          <w:rFonts w:ascii="Times New Roman" w:hAnsi="Times New Roman"/>
          <w:sz w:val="24"/>
          <w:szCs w:val="24"/>
        </w:rPr>
        <w:t xml:space="preserve"> mais de 31% da variância de DTCR após doze trimestres do choque.  </w:t>
      </w:r>
    </w:p>
    <w:p w:rsidR="00B81953" w:rsidRPr="000A6B2C" w:rsidRDefault="000A6B2C" w:rsidP="000A6B2C">
      <w:pPr>
        <w:spacing w:after="0" w:line="240" w:lineRule="auto"/>
        <w:jc w:val="both"/>
        <w:rPr>
          <w:rFonts w:ascii="Times New Roman" w:hAnsi="Times New Roman"/>
          <w:sz w:val="24"/>
          <w:szCs w:val="24"/>
        </w:rPr>
      </w:pPr>
      <w:r w:rsidRPr="001E5B19">
        <w:rPr>
          <w:rFonts w:ascii="Times New Roman" w:hAnsi="Times New Roman"/>
          <w:b/>
          <w:sz w:val="24"/>
          <w:szCs w:val="24"/>
        </w:rPr>
        <w:tab/>
      </w:r>
      <w:r w:rsidRPr="001E5B19">
        <w:rPr>
          <w:rFonts w:ascii="Times New Roman" w:hAnsi="Times New Roman"/>
          <w:sz w:val="24"/>
          <w:szCs w:val="24"/>
        </w:rPr>
        <w:t xml:space="preserve">Os resultados encontrados </w:t>
      </w:r>
      <w:r w:rsidR="002F6C08" w:rsidRPr="001E5B19">
        <w:rPr>
          <w:rFonts w:ascii="Times New Roman" w:hAnsi="Times New Roman"/>
          <w:sz w:val="24"/>
          <w:szCs w:val="24"/>
        </w:rPr>
        <w:t xml:space="preserve">pela aplicação do modelo VAR </w:t>
      </w:r>
      <w:r w:rsidR="001A15AB" w:rsidRPr="001E5B19">
        <w:rPr>
          <w:rFonts w:ascii="Times New Roman" w:hAnsi="Times New Roman"/>
          <w:sz w:val="24"/>
          <w:szCs w:val="24"/>
        </w:rPr>
        <w:t>indicam que</w:t>
      </w:r>
      <w:r w:rsidR="002F6C08" w:rsidRPr="001E5B19">
        <w:rPr>
          <w:rFonts w:ascii="Times New Roman" w:hAnsi="Times New Roman"/>
          <w:sz w:val="24"/>
          <w:szCs w:val="24"/>
        </w:rPr>
        <w:t xml:space="preserve"> elementos provenientes do mercado financeiro podem </w:t>
      </w:r>
      <w:r w:rsidR="008C3F5D" w:rsidRPr="001E5B19">
        <w:rPr>
          <w:rFonts w:ascii="Times New Roman" w:hAnsi="Times New Roman"/>
          <w:sz w:val="24"/>
          <w:szCs w:val="24"/>
        </w:rPr>
        <w:t>explicar</w:t>
      </w:r>
      <w:r w:rsidR="002F6C08" w:rsidRPr="001E5B19">
        <w:rPr>
          <w:rFonts w:ascii="Times New Roman" w:hAnsi="Times New Roman"/>
          <w:sz w:val="24"/>
          <w:szCs w:val="24"/>
        </w:rPr>
        <w:t xml:space="preserve"> </w:t>
      </w:r>
      <w:r w:rsidR="00DC7EC0" w:rsidRPr="001E5B19">
        <w:rPr>
          <w:rFonts w:ascii="Times New Roman" w:hAnsi="Times New Roman"/>
          <w:sz w:val="24"/>
          <w:szCs w:val="24"/>
        </w:rPr>
        <w:t>boa parte da apreciação cambial ocorrida na economia brasileira a partir do ano 2000.</w:t>
      </w:r>
      <w:r w:rsidR="0009474D" w:rsidRPr="001E5B19">
        <w:rPr>
          <w:rFonts w:ascii="Times New Roman" w:hAnsi="Times New Roman"/>
          <w:sz w:val="24"/>
          <w:szCs w:val="24"/>
        </w:rPr>
        <w:t xml:space="preserve"> Neste sentido, é plausível a interpretação de que fatores conjunturais, sobretudo os ciclos de liquidez internacional</w:t>
      </w:r>
      <w:r w:rsidR="005C13D4" w:rsidRPr="001E5B19">
        <w:rPr>
          <w:rFonts w:ascii="Times New Roman" w:hAnsi="Times New Roman"/>
          <w:sz w:val="24"/>
          <w:szCs w:val="24"/>
        </w:rPr>
        <w:t>,</w:t>
      </w:r>
      <w:r w:rsidR="0009474D" w:rsidRPr="001E5B19">
        <w:rPr>
          <w:rFonts w:ascii="Times New Roman" w:hAnsi="Times New Roman"/>
          <w:sz w:val="24"/>
          <w:szCs w:val="24"/>
        </w:rPr>
        <w:t xml:space="preserve"> que são importante</w:t>
      </w:r>
      <w:r w:rsidR="00427909" w:rsidRPr="001E5B19">
        <w:rPr>
          <w:rFonts w:ascii="Times New Roman" w:hAnsi="Times New Roman"/>
          <w:sz w:val="24"/>
          <w:szCs w:val="24"/>
        </w:rPr>
        <w:t>s</w:t>
      </w:r>
      <w:r w:rsidR="0009474D" w:rsidRPr="001E5B19">
        <w:rPr>
          <w:rFonts w:ascii="Times New Roman" w:hAnsi="Times New Roman"/>
          <w:sz w:val="24"/>
          <w:szCs w:val="24"/>
        </w:rPr>
        <w:t xml:space="preserve"> determinantes dos </w:t>
      </w:r>
      <w:r w:rsidR="00427909" w:rsidRPr="001E5B19">
        <w:rPr>
          <w:rFonts w:ascii="Times New Roman" w:hAnsi="Times New Roman"/>
          <w:sz w:val="24"/>
          <w:szCs w:val="24"/>
        </w:rPr>
        <w:t>influxos</w:t>
      </w:r>
      <w:r w:rsidR="0009474D" w:rsidRPr="001E5B19">
        <w:rPr>
          <w:rFonts w:ascii="Times New Roman" w:hAnsi="Times New Roman"/>
          <w:sz w:val="24"/>
          <w:szCs w:val="24"/>
        </w:rPr>
        <w:t xml:space="preserve"> de capitais nas economias emergente</w:t>
      </w:r>
      <w:r w:rsidR="00427909" w:rsidRPr="001E5B19">
        <w:rPr>
          <w:rFonts w:ascii="Times New Roman" w:hAnsi="Times New Roman"/>
          <w:sz w:val="24"/>
          <w:szCs w:val="24"/>
        </w:rPr>
        <w:t>s</w:t>
      </w:r>
      <w:r w:rsidR="0009474D" w:rsidRPr="001E5B19">
        <w:rPr>
          <w:rFonts w:ascii="Times New Roman" w:hAnsi="Times New Roman"/>
          <w:sz w:val="24"/>
          <w:szCs w:val="24"/>
        </w:rPr>
        <w:t xml:space="preserve">, foram os principais responsáveis pela dinâmica do câmbio no período analisado. </w:t>
      </w:r>
      <w:r w:rsidR="00126A06" w:rsidRPr="001E5B19">
        <w:rPr>
          <w:rFonts w:ascii="Times New Roman" w:hAnsi="Times New Roman"/>
          <w:sz w:val="24"/>
          <w:szCs w:val="24"/>
        </w:rPr>
        <w:t xml:space="preserve">No entanto, não podemos desprezar que as variáveis comerciais geraram efeitos significativos sobre a </w:t>
      </w:r>
      <w:r w:rsidR="00DF0968" w:rsidRPr="001E5B19">
        <w:rPr>
          <w:rFonts w:ascii="Times New Roman" w:hAnsi="Times New Roman"/>
          <w:sz w:val="24"/>
          <w:szCs w:val="24"/>
        </w:rPr>
        <w:t>taxa</w:t>
      </w:r>
      <w:r w:rsidR="00126A06" w:rsidRPr="001E5B19">
        <w:rPr>
          <w:rFonts w:ascii="Times New Roman" w:hAnsi="Times New Roman"/>
          <w:sz w:val="24"/>
          <w:szCs w:val="24"/>
        </w:rPr>
        <w:t xml:space="preserve"> de câmbio real, de forma que também devem ser alvo dos </w:t>
      </w:r>
      <w:r w:rsidR="00126A06" w:rsidRPr="001E5B19">
        <w:rPr>
          <w:rFonts w:ascii="Times New Roman" w:hAnsi="Times New Roman"/>
          <w:i/>
          <w:sz w:val="24"/>
          <w:szCs w:val="24"/>
        </w:rPr>
        <w:t>policy ma</w:t>
      </w:r>
      <w:r w:rsidR="00DF0968" w:rsidRPr="001E5B19">
        <w:rPr>
          <w:rFonts w:ascii="Times New Roman" w:hAnsi="Times New Roman"/>
          <w:i/>
          <w:sz w:val="24"/>
          <w:szCs w:val="24"/>
        </w:rPr>
        <w:t>kers</w:t>
      </w:r>
      <w:r w:rsidR="00DF0968" w:rsidRPr="001E5B19">
        <w:rPr>
          <w:rFonts w:ascii="Times New Roman" w:hAnsi="Times New Roman"/>
          <w:sz w:val="24"/>
          <w:szCs w:val="24"/>
        </w:rPr>
        <w:t xml:space="preserve"> no Brasil.</w:t>
      </w:r>
      <w:r w:rsidR="00655796" w:rsidRPr="001E5B19">
        <w:rPr>
          <w:rFonts w:ascii="Times New Roman" w:hAnsi="Times New Roman"/>
          <w:sz w:val="24"/>
          <w:szCs w:val="24"/>
        </w:rPr>
        <w:t xml:space="preserve"> </w:t>
      </w:r>
      <w:r w:rsidR="001D57A2" w:rsidRPr="001E5B19">
        <w:rPr>
          <w:rFonts w:ascii="Times New Roman" w:hAnsi="Times New Roman"/>
          <w:sz w:val="24"/>
          <w:szCs w:val="24"/>
        </w:rPr>
        <w:t>A política econômica prudencial deve</w:t>
      </w:r>
      <w:r w:rsidR="007013FD" w:rsidRPr="001E5B19">
        <w:rPr>
          <w:rFonts w:ascii="Times New Roman" w:hAnsi="Times New Roman"/>
          <w:sz w:val="24"/>
          <w:szCs w:val="24"/>
        </w:rPr>
        <w:t>, então,</w:t>
      </w:r>
      <w:r w:rsidR="001D57A2" w:rsidRPr="001E5B19">
        <w:rPr>
          <w:rFonts w:ascii="Times New Roman" w:hAnsi="Times New Roman"/>
          <w:sz w:val="24"/>
          <w:szCs w:val="24"/>
        </w:rPr>
        <w:t xml:space="preserve"> ampliar a consideração do efeito negativo potencial dos </w:t>
      </w:r>
      <w:r w:rsidR="00603789" w:rsidRPr="001E5B19">
        <w:rPr>
          <w:rFonts w:ascii="Times New Roman" w:hAnsi="Times New Roman"/>
          <w:sz w:val="24"/>
          <w:szCs w:val="24"/>
        </w:rPr>
        <w:t>influxos</w:t>
      </w:r>
      <w:r w:rsidR="001D57A2" w:rsidRPr="001E5B19">
        <w:rPr>
          <w:rFonts w:ascii="Times New Roman" w:hAnsi="Times New Roman"/>
          <w:sz w:val="24"/>
          <w:szCs w:val="24"/>
        </w:rPr>
        <w:t xml:space="preserve"> de capitais</w:t>
      </w:r>
      <w:r w:rsidR="00603789" w:rsidRPr="001E5B19">
        <w:rPr>
          <w:rFonts w:ascii="Times New Roman" w:hAnsi="Times New Roman"/>
          <w:sz w:val="24"/>
          <w:szCs w:val="24"/>
        </w:rPr>
        <w:t xml:space="preserve"> e incluir aqueles associados à Doença Holandesa.</w:t>
      </w:r>
      <w:r w:rsidR="00603789">
        <w:rPr>
          <w:rFonts w:ascii="Times New Roman" w:hAnsi="Times New Roman"/>
          <w:sz w:val="24"/>
          <w:szCs w:val="24"/>
        </w:rPr>
        <w:t xml:space="preserve"> </w:t>
      </w:r>
      <w:r w:rsidR="001D57A2">
        <w:rPr>
          <w:rFonts w:ascii="Times New Roman" w:hAnsi="Times New Roman"/>
          <w:sz w:val="24"/>
          <w:szCs w:val="24"/>
        </w:rPr>
        <w:t xml:space="preserve"> </w:t>
      </w:r>
      <w:r w:rsidR="00126A06">
        <w:rPr>
          <w:rFonts w:ascii="Times New Roman" w:hAnsi="Times New Roman"/>
          <w:sz w:val="24"/>
          <w:szCs w:val="24"/>
        </w:rPr>
        <w:t xml:space="preserve"> </w:t>
      </w:r>
    </w:p>
    <w:p w:rsidR="003A2E95" w:rsidRPr="001E7805" w:rsidRDefault="003A2E95" w:rsidP="00C834B4">
      <w:pPr>
        <w:spacing w:after="0" w:line="240" w:lineRule="auto"/>
        <w:ind w:left="360"/>
        <w:jc w:val="both"/>
        <w:rPr>
          <w:rFonts w:ascii="Times New Roman" w:hAnsi="Times New Roman"/>
          <w:b/>
          <w:sz w:val="24"/>
          <w:szCs w:val="24"/>
        </w:rPr>
      </w:pPr>
    </w:p>
    <w:p w:rsidR="00943616" w:rsidRPr="00F62B95" w:rsidRDefault="00CF0548" w:rsidP="006E41E7">
      <w:pPr>
        <w:numPr>
          <w:ilvl w:val="0"/>
          <w:numId w:val="1"/>
        </w:numPr>
        <w:spacing w:after="0" w:line="240" w:lineRule="auto"/>
        <w:jc w:val="both"/>
        <w:rPr>
          <w:rFonts w:ascii="Times New Roman" w:hAnsi="Times New Roman"/>
          <w:b/>
          <w:sz w:val="24"/>
          <w:szCs w:val="24"/>
        </w:rPr>
      </w:pPr>
      <w:r w:rsidRPr="00F62B95">
        <w:rPr>
          <w:rFonts w:ascii="Times New Roman" w:hAnsi="Times New Roman"/>
          <w:b/>
          <w:sz w:val="24"/>
          <w:szCs w:val="24"/>
        </w:rPr>
        <w:t>Considerações Finais</w:t>
      </w:r>
      <w:r w:rsidR="00943616" w:rsidRPr="00F62B95">
        <w:rPr>
          <w:rFonts w:ascii="Times New Roman" w:hAnsi="Times New Roman"/>
          <w:b/>
          <w:sz w:val="24"/>
          <w:szCs w:val="24"/>
        </w:rPr>
        <w:t xml:space="preserve"> </w:t>
      </w:r>
    </w:p>
    <w:p w:rsidR="00074B18" w:rsidRDefault="00074B18" w:rsidP="006E41E7">
      <w:pPr>
        <w:spacing w:after="0" w:line="240" w:lineRule="auto"/>
        <w:jc w:val="both"/>
        <w:rPr>
          <w:rFonts w:ascii="Times New Roman" w:hAnsi="Times New Roman"/>
          <w:sz w:val="24"/>
          <w:szCs w:val="24"/>
        </w:rPr>
      </w:pPr>
    </w:p>
    <w:p w:rsidR="00DD6BD4" w:rsidRPr="009C52F4" w:rsidRDefault="007154E6" w:rsidP="007154E6">
      <w:pPr>
        <w:spacing w:after="0" w:line="240" w:lineRule="auto"/>
        <w:jc w:val="both"/>
        <w:rPr>
          <w:rFonts w:ascii="Times New Roman" w:hAnsi="Times New Roman"/>
          <w:sz w:val="24"/>
          <w:szCs w:val="24"/>
        </w:rPr>
      </w:pPr>
      <w:r>
        <w:rPr>
          <w:rFonts w:ascii="Times New Roman" w:hAnsi="Times New Roman"/>
          <w:sz w:val="24"/>
          <w:szCs w:val="24"/>
        </w:rPr>
        <w:tab/>
      </w:r>
      <w:r w:rsidR="00074B18" w:rsidRPr="009C52F4">
        <w:rPr>
          <w:rFonts w:ascii="Times New Roman" w:hAnsi="Times New Roman"/>
          <w:sz w:val="24"/>
          <w:szCs w:val="24"/>
        </w:rPr>
        <w:t xml:space="preserve">Este artigo </w:t>
      </w:r>
      <w:r w:rsidR="00DF5859" w:rsidRPr="009C52F4">
        <w:rPr>
          <w:rFonts w:ascii="Times New Roman" w:hAnsi="Times New Roman"/>
          <w:sz w:val="24"/>
          <w:szCs w:val="24"/>
        </w:rPr>
        <w:t xml:space="preserve">analisou </w:t>
      </w:r>
      <w:r w:rsidRPr="009C52F4">
        <w:rPr>
          <w:rFonts w:ascii="Times New Roman" w:hAnsi="Times New Roman"/>
          <w:sz w:val="24"/>
          <w:szCs w:val="24"/>
        </w:rPr>
        <w:t>dois conjuntos de efeitos sobre a taxa de câmbio real</w:t>
      </w:r>
      <w:r w:rsidR="00793992" w:rsidRPr="009C52F4">
        <w:rPr>
          <w:rFonts w:ascii="Times New Roman" w:hAnsi="Times New Roman"/>
          <w:sz w:val="24"/>
          <w:szCs w:val="24"/>
        </w:rPr>
        <w:t xml:space="preserve"> da economia brasileira</w:t>
      </w:r>
      <w:r w:rsidRPr="009C52F4">
        <w:rPr>
          <w:rFonts w:ascii="Times New Roman" w:hAnsi="Times New Roman"/>
          <w:sz w:val="24"/>
          <w:szCs w:val="24"/>
        </w:rPr>
        <w:t>: i) efeitos de variáveis que balizam o comportamento d</w:t>
      </w:r>
      <w:r w:rsidR="004146CB">
        <w:rPr>
          <w:rFonts w:ascii="Times New Roman" w:hAnsi="Times New Roman"/>
          <w:sz w:val="24"/>
          <w:szCs w:val="24"/>
        </w:rPr>
        <w:t>e investidores n</w:t>
      </w:r>
      <w:r w:rsidRPr="009C52F4">
        <w:rPr>
          <w:rFonts w:ascii="Times New Roman" w:hAnsi="Times New Roman"/>
          <w:sz w:val="24"/>
          <w:szCs w:val="24"/>
        </w:rPr>
        <w:t xml:space="preserve">o mercado financeiro, por meio </w:t>
      </w:r>
      <w:r w:rsidR="00793992" w:rsidRPr="009C52F4">
        <w:rPr>
          <w:rFonts w:ascii="Times New Roman" w:hAnsi="Times New Roman"/>
          <w:sz w:val="24"/>
          <w:szCs w:val="24"/>
        </w:rPr>
        <w:t xml:space="preserve">da análise </w:t>
      </w:r>
      <w:r w:rsidRPr="009C52F4">
        <w:rPr>
          <w:rFonts w:ascii="Times New Roman" w:hAnsi="Times New Roman"/>
          <w:sz w:val="24"/>
          <w:szCs w:val="24"/>
        </w:rPr>
        <w:t>dos influxos de capitais e seus componentes, bem como do risco-país e da taxa de juros; ii) efeitos de vari</w:t>
      </w:r>
      <w:r w:rsidR="00793992" w:rsidRPr="009C52F4">
        <w:rPr>
          <w:rFonts w:ascii="Times New Roman" w:hAnsi="Times New Roman"/>
          <w:sz w:val="24"/>
          <w:szCs w:val="24"/>
        </w:rPr>
        <w:t xml:space="preserve">áveis que </w:t>
      </w:r>
      <w:r w:rsidR="00D23BD8" w:rsidRPr="009C52F4">
        <w:rPr>
          <w:rFonts w:ascii="Times New Roman" w:hAnsi="Times New Roman"/>
          <w:sz w:val="24"/>
          <w:szCs w:val="24"/>
        </w:rPr>
        <w:t>caracterizam</w:t>
      </w:r>
      <w:r w:rsidR="00793992" w:rsidRPr="009C52F4">
        <w:rPr>
          <w:rFonts w:ascii="Times New Roman" w:hAnsi="Times New Roman"/>
          <w:sz w:val="24"/>
          <w:szCs w:val="24"/>
        </w:rPr>
        <w:t xml:space="preserve"> o perfil do comércio </w:t>
      </w:r>
      <w:r w:rsidR="003410A5" w:rsidRPr="009C52F4">
        <w:rPr>
          <w:rFonts w:ascii="Times New Roman" w:hAnsi="Times New Roman"/>
          <w:sz w:val="24"/>
          <w:szCs w:val="24"/>
        </w:rPr>
        <w:t>internacional</w:t>
      </w:r>
      <w:r w:rsidR="00D23BD8" w:rsidRPr="009C52F4">
        <w:rPr>
          <w:rFonts w:ascii="Times New Roman" w:hAnsi="Times New Roman"/>
          <w:sz w:val="24"/>
          <w:szCs w:val="24"/>
        </w:rPr>
        <w:t xml:space="preserve">, a partir da análise das exportações e preço das </w:t>
      </w:r>
      <w:r w:rsidR="00D23BD8" w:rsidRPr="009C52F4">
        <w:rPr>
          <w:rFonts w:ascii="Times New Roman" w:hAnsi="Times New Roman"/>
          <w:i/>
          <w:sz w:val="24"/>
          <w:szCs w:val="24"/>
        </w:rPr>
        <w:t>commodities</w:t>
      </w:r>
      <w:r w:rsidR="00D23BD8" w:rsidRPr="009C52F4">
        <w:rPr>
          <w:rFonts w:ascii="Times New Roman" w:hAnsi="Times New Roman"/>
          <w:sz w:val="24"/>
          <w:szCs w:val="24"/>
        </w:rPr>
        <w:t>.</w:t>
      </w:r>
      <w:r w:rsidR="00DD6BD4" w:rsidRPr="009C52F4">
        <w:rPr>
          <w:rFonts w:ascii="Times New Roman" w:hAnsi="Times New Roman"/>
          <w:sz w:val="24"/>
          <w:szCs w:val="24"/>
        </w:rPr>
        <w:t xml:space="preserve"> </w:t>
      </w:r>
    </w:p>
    <w:p w:rsidR="00BB42B7" w:rsidRPr="009C52F4" w:rsidRDefault="00DD6BD4" w:rsidP="00BB42B7">
      <w:pPr>
        <w:spacing w:after="0" w:line="240" w:lineRule="auto"/>
        <w:jc w:val="both"/>
        <w:rPr>
          <w:rFonts w:ascii="Times New Roman" w:eastAsia="SimSun" w:hAnsi="Times New Roman"/>
          <w:sz w:val="24"/>
          <w:szCs w:val="24"/>
          <w:lang w:eastAsia="zh-CN"/>
        </w:rPr>
      </w:pPr>
      <w:r w:rsidRPr="009C52F4">
        <w:rPr>
          <w:rFonts w:ascii="Times New Roman" w:hAnsi="Times New Roman"/>
          <w:sz w:val="24"/>
          <w:szCs w:val="24"/>
        </w:rPr>
        <w:tab/>
        <w:t xml:space="preserve">Os resultados encontrados em estimações de Funções de Respostas aos Impulsos </w:t>
      </w:r>
      <w:r w:rsidR="00BB42B7" w:rsidRPr="009C52F4">
        <w:rPr>
          <w:rFonts w:ascii="Times New Roman" w:hAnsi="Times New Roman"/>
          <w:sz w:val="24"/>
          <w:szCs w:val="24"/>
        </w:rPr>
        <w:t>Generalizados</w:t>
      </w:r>
      <w:r w:rsidRPr="009C52F4">
        <w:rPr>
          <w:rFonts w:ascii="Times New Roman" w:hAnsi="Times New Roman"/>
          <w:sz w:val="24"/>
          <w:szCs w:val="24"/>
        </w:rPr>
        <w:t xml:space="preserve"> e nas Análises de Decomposição da Variância </w:t>
      </w:r>
      <w:r w:rsidR="00BB42B7" w:rsidRPr="009C52F4">
        <w:rPr>
          <w:rFonts w:ascii="Times New Roman" w:hAnsi="Times New Roman"/>
          <w:sz w:val="24"/>
          <w:szCs w:val="24"/>
        </w:rPr>
        <w:t>Generalizada</w:t>
      </w:r>
      <w:r w:rsidRPr="009C52F4">
        <w:rPr>
          <w:rFonts w:ascii="Times New Roman" w:hAnsi="Times New Roman"/>
          <w:sz w:val="24"/>
          <w:szCs w:val="24"/>
        </w:rPr>
        <w:t xml:space="preserve"> indicam que</w:t>
      </w:r>
      <w:r w:rsidR="00BB42B7" w:rsidRPr="009C52F4">
        <w:rPr>
          <w:rFonts w:ascii="Times New Roman" w:hAnsi="Times New Roman"/>
          <w:sz w:val="24"/>
          <w:szCs w:val="24"/>
        </w:rPr>
        <w:t xml:space="preserve"> </w:t>
      </w:r>
      <w:r w:rsidR="00BB42B7" w:rsidRPr="009C52F4">
        <w:rPr>
          <w:rFonts w:ascii="Times New Roman" w:eastAsia="SimSun" w:hAnsi="Times New Roman"/>
          <w:sz w:val="24"/>
          <w:szCs w:val="24"/>
          <w:lang w:eastAsia="zh-CN"/>
        </w:rPr>
        <w:t xml:space="preserve">os efeitos mais robustos sobre a taxa de câmbio advêm dos choques dos preços das </w:t>
      </w:r>
      <w:r w:rsidR="00BB42B7" w:rsidRPr="009C52F4">
        <w:rPr>
          <w:rFonts w:ascii="Times New Roman" w:eastAsia="SimSun" w:hAnsi="Times New Roman"/>
          <w:i/>
          <w:sz w:val="24"/>
          <w:szCs w:val="24"/>
          <w:lang w:eastAsia="zh-CN"/>
        </w:rPr>
        <w:t>commodities</w:t>
      </w:r>
      <w:r w:rsidR="00BB42B7" w:rsidRPr="009C52F4">
        <w:rPr>
          <w:rFonts w:ascii="Times New Roman" w:eastAsia="SimSun" w:hAnsi="Times New Roman"/>
          <w:sz w:val="24"/>
          <w:szCs w:val="24"/>
          <w:lang w:eastAsia="zh-CN"/>
        </w:rPr>
        <w:t>, das entradas de investimento</w:t>
      </w:r>
      <w:r w:rsidR="002235F9" w:rsidRPr="009C52F4">
        <w:rPr>
          <w:rFonts w:ascii="Times New Roman" w:eastAsia="SimSun" w:hAnsi="Times New Roman"/>
          <w:sz w:val="24"/>
          <w:szCs w:val="24"/>
          <w:lang w:eastAsia="zh-CN"/>
        </w:rPr>
        <w:t>s</w:t>
      </w:r>
      <w:r w:rsidR="00BB42B7" w:rsidRPr="009C52F4">
        <w:rPr>
          <w:rFonts w:ascii="Times New Roman" w:eastAsia="SimSun" w:hAnsi="Times New Roman"/>
          <w:sz w:val="24"/>
          <w:szCs w:val="24"/>
          <w:lang w:eastAsia="zh-CN"/>
        </w:rPr>
        <w:t xml:space="preserve"> em carteira e do risco-país. </w:t>
      </w:r>
      <w:r w:rsidR="002235F9" w:rsidRPr="009C52F4">
        <w:rPr>
          <w:rFonts w:ascii="Times New Roman" w:eastAsia="SimSun" w:hAnsi="Times New Roman"/>
          <w:sz w:val="24"/>
          <w:szCs w:val="24"/>
          <w:lang w:eastAsia="zh-CN"/>
        </w:rPr>
        <w:t>Isso significa que</w:t>
      </w:r>
      <w:r w:rsidR="00BB42B7" w:rsidRPr="009C52F4">
        <w:rPr>
          <w:rFonts w:ascii="Times New Roman" w:eastAsia="SimSun" w:hAnsi="Times New Roman"/>
          <w:sz w:val="24"/>
          <w:szCs w:val="24"/>
          <w:lang w:eastAsia="zh-CN"/>
        </w:rPr>
        <w:t xml:space="preserve"> a dinâmica da taxa de câmbio brasileira está</w:t>
      </w:r>
      <w:r w:rsidR="002235F9" w:rsidRPr="009C52F4">
        <w:rPr>
          <w:rFonts w:ascii="Times New Roman" w:eastAsia="SimSun" w:hAnsi="Times New Roman"/>
          <w:sz w:val="24"/>
          <w:szCs w:val="24"/>
          <w:lang w:eastAsia="zh-CN"/>
        </w:rPr>
        <w:t xml:space="preserve"> fortemente</w:t>
      </w:r>
      <w:r w:rsidR="00BB42B7" w:rsidRPr="009C52F4">
        <w:rPr>
          <w:rFonts w:ascii="Times New Roman" w:eastAsia="SimSun" w:hAnsi="Times New Roman"/>
          <w:sz w:val="24"/>
          <w:szCs w:val="24"/>
          <w:lang w:eastAsia="zh-CN"/>
        </w:rPr>
        <w:t xml:space="preserve"> sujeita </w:t>
      </w:r>
      <w:r w:rsidR="003D5D87" w:rsidRPr="009C52F4">
        <w:rPr>
          <w:rFonts w:ascii="Times New Roman" w:eastAsia="SimSun" w:hAnsi="Times New Roman"/>
          <w:sz w:val="24"/>
          <w:szCs w:val="24"/>
          <w:lang w:eastAsia="zh-CN"/>
        </w:rPr>
        <w:t>às</w:t>
      </w:r>
      <w:r w:rsidR="00BB42B7" w:rsidRPr="009C52F4">
        <w:rPr>
          <w:rFonts w:ascii="Times New Roman" w:eastAsia="SimSun" w:hAnsi="Times New Roman"/>
          <w:sz w:val="24"/>
          <w:szCs w:val="24"/>
          <w:lang w:eastAsia="zh-CN"/>
        </w:rPr>
        <w:t xml:space="preserve"> especulações </w:t>
      </w:r>
      <w:r w:rsidR="003F0198" w:rsidRPr="009C52F4">
        <w:rPr>
          <w:rFonts w:ascii="Times New Roman" w:eastAsia="SimSun" w:hAnsi="Times New Roman"/>
          <w:sz w:val="24"/>
          <w:szCs w:val="24"/>
          <w:lang w:eastAsia="zh-CN"/>
        </w:rPr>
        <w:t>subjacentes tanto a</w:t>
      </w:r>
      <w:r w:rsidR="00BB42B7" w:rsidRPr="009C52F4">
        <w:rPr>
          <w:rFonts w:ascii="Times New Roman" w:eastAsia="SimSun" w:hAnsi="Times New Roman"/>
          <w:sz w:val="24"/>
          <w:szCs w:val="24"/>
          <w:lang w:eastAsia="zh-CN"/>
        </w:rPr>
        <w:t>o com</w:t>
      </w:r>
      <w:r w:rsidR="003F0198" w:rsidRPr="009C52F4">
        <w:rPr>
          <w:rFonts w:ascii="Times New Roman" w:eastAsia="SimSun" w:hAnsi="Times New Roman"/>
          <w:sz w:val="24"/>
          <w:szCs w:val="24"/>
          <w:lang w:eastAsia="zh-CN"/>
        </w:rPr>
        <w:t xml:space="preserve">ércio internacional </w:t>
      </w:r>
      <w:r w:rsidR="003D5D87" w:rsidRPr="009C52F4">
        <w:rPr>
          <w:rFonts w:ascii="Times New Roman" w:eastAsia="SimSun" w:hAnsi="Times New Roman"/>
          <w:sz w:val="24"/>
          <w:szCs w:val="24"/>
          <w:lang w:eastAsia="zh-CN"/>
        </w:rPr>
        <w:t xml:space="preserve">de </w:t>
      </w:r>
      <w:r w:rsidR="003D5D87" w:rsidRPr="009C52F4">
        <w:rPr>
          <w:rFonts w:ascii="Times New Roman" w:eastAsia="SimSun" w:hAnsi="Times New Roman"/>
          <w:i/>
          <w:sz w:val="24"/>
          <w:szCs w:val="24"/>
          <w:lang w:eastAsia="zh-CN"/>
        </w:rPr>
        <w:t>commodities</w:t>
      </w:r>
      <w:r w:rsidR="003D5D87" w:rsidRPr="009C52F4">
        <w:rPr>
          <w:rFonts w:ascii="Times New Roman" w:eastAsia="SimSun" w:hAnsi="Times New Roman"/>
          <w:sz w:val="24"/>
          <w:szCs w:val="24"/>
          <w:lang w:eastAsia="zh-CN"/>
        </w:rPr>
        <w:t xml:space="preserve"> </w:t>
      </w:r>
      <w:r w:rsidR="003F0198" w:rsidRPr="009C52F4">
        <w:rPr>
          <w:rFonts w:ascii="Times New Roman" w:eastAsia="SimSun" w:hAnsi="Times New Roman"/>
          <w:sz w:val="24"/>
          <w:szCs w:val="24"/>
          <w:lang w:eastAsia="zh-CN"/>
        </w:rPr>
        <w:t>como às</w:t>
      </w:r>
      <w:r w:rsidR="00BB42B7" w:rsidRPr="009C52F4">
        <w:rPr>
          <w:rFonts w:ascii="Times New Roman" w:eastAsia="SimSun" w:hAnsi="Times New Roman"/>
          <w:sz w:val="24"/>
          <w:szCs w:val="24"/>
          <w:lang w:eastAsia="zh-CN"/>
        </w:rPr>
        <w:t xml:space="preserve"> transações financeiras internacionais.</w:t>
      </w:r>
      <w:r w:rsidR="003F0198" w:rsidRPr="009C52F4">
        <w:rPr>
          <w:rFonts w:ascii="Times New Roman" w:eastAsia="SimSun" w:hAnsi="Times New Roman"/>
          <w:sz w:val="24"/>
          <w:szCs w:val="24"/>
          <w:lang w:eastAsia="zh-CN"/>
        </w:rPr>
        <w:t xml:space="preserve"> </w:t>
      </w:r>
      <w:r w:rsidR="002235F9" w:rsidRPr="009C52F4">
        <w:rPr>
          <w:rFonts w:ascii="Times New Roman" w:eastAsia="SimSun" w:hAnsi="Times New Roman"/>
          <w:sz w:val="24"/>
          <w:szCs w:val="24"/>
          <w:lang w:eastAsia="zh-CN"/>
        </w:rPr>
        <w:t xml:space="preserve">Neste sentido, os movimentos recentes do câmbio </w:t>
      </w:r>
      <w:r w:rsidR="003B68D1" w:rsidRPr="009C52F4">
        <w:rPr>
          <w:rFonts w:ascii="Times New Roman" w:eastAsia="SimSun" w:hAnsi="Times New Roman"/>
          <w:sz w:val="24"/>
          <w:szCs w:val="24"/>
          <w:lang w:eastAsia="zh-CN"/>
        </w:rPr>
        <w:t xml:space="preserve">praticamente </w:t>
      </w:r>
      <w:r w:rsidR="002235F9" w:rsidRPr="009C52F4">
        <w:rPr>
          <w:rFonts w:ascii="Times New Roman" w:eastAsia="SimSun" w:hAnsi="Times New Roman"/>
          <w:sz w:val="24"/>
          <w:szCs w:val="24"/>
          <w:lang w:eastAsia="zh-CN"/>
        </w:rPr>
        <w:t>independem das condições econômicas domésticas.</w:t>
      </w:r>
    </w:p>
    <w:p w:rsidR="00096C1F" w:rsidRPr="009C52F4" w:rsidRDefault="00096C1F" w:rsidP="00BB42B7">
      <w:pPr>
        <w:spacing w:after="0" w:line="240" w:lineRule="auto"/>
        <w:jc w:val="both"/>
        <w:rPr>
          <w:rFonts w:ascii="Times New Roman" w:eastAsia="SimSun" w:hAnsi="Times New Roman"/>
          <w:sz w:val="24"/>
          <w:szCs w:val="24"/>
          <w:lang w:eastAsia="zh-CN"/>
        </w:rPr>
      </w:pPr>
      <w:r w:rsidRPr="009C52F4">
        <w:rPr>
          <w:rFonts w:ascii="Times New Roman" w:eastAsia="SimSun" w:hAnsi="Times New Roman"/>
          <w:sz w:val="24"/>
          <w:szCs w:val="24"/>
          <w:lang w:eastAsia="zh-CN"/>
        </w:rPr>
        <w:tab/>
        <w:t xml:space="preserve">Cabe destacar que este estudo </w:t>
      </w:r>
      <w:r w:rsidRPr="009C52F4">
        <w:rPr>
          <w:rFonts w:ascii="Times New Roman" w:hAnsi="Times New Roman"/>
          <w:color w:val="000000"/>
          <w:sz w:val="24"/>
          <w:szCs w:val="24"/>
          <w:shd w:val="clear" w:color="auto" w:fill="FFFFFF"/>
        </w:rPr>
        <w:t>tem a vantagem de determinar as ordens da modelagem VAR de maneira diferenciada</w:t>
      </w:r>
      <w:r w:rsidR="007470C7" w:rsidRPr="009C52F4">
        <w:rPr>
          <w:rFonts w:ascii="Times New Roman" w:hAnsi="Times New Roman"/>
          <w:color w:val="000000"/>
          <w:sz w:val="24"/>
          <w:szCs w:val="24"/>
          <w:shd w:val="clear" w:color="auto" w:fill="FFFFFF"/>
        </w:rPr>
        <w:t>. São emprega</w:t>
      </w:r>
      <w:r w:rsidRPr="009C52F4">
        <w:rPr>
          <w:rFonts w:ascii="Times New Roman" w:hAnsi="Times New Roman"/>
          <w:color w:val="000000"/>
          <w:sz w:val="24"/>
          <w:szCs w:val="24"/>
          <w:shd w:val="clear" w:color="auto" w:fill="FFFFFF"/>
        </w:rPr>
        <w:t>do</w:t>
      </w:r>
      <w:r w:rsidR="007470C7" w:rsidRPr="009C52F4">
        <w:rPr>
          <w:rFonts w:ascii="Times New Roman" w:hAnsi="Times New Roman"/>
          <w:color w:val="000000"/>
          <w:sz w:val="24"/>
          <w:szCs w:val="24"/>
          <w:shd w:val="clear" w:color="auto" w:fill="FFFFFF"/>
        </w:rPr>
        <w:t>s</w:t>
      </w:r>
      <w:r w:rsidRPr="009C52F4">
        <w:rPr>
          <w:rFonts w:ascii="Times New Roman" w:hAnsi="Times New Roman"/>
          <w:color w:val="000000"/>
          <w:sz w:val="24"/>
          <w:szCs w:val="24"/>
          <w:shd w:val="clear" w:color="auto" w:fill="FFFFFF"/>
        </w:rPr>
        <w:t xml:space="preserve"> critérios objetivos de seleção, por meio da </w:t>
      </w:r>
      <w:r w:rsidR="00A324F2" w:rsidRPr="009C52F4">
        <w:rPr>
          <w:rFonts w:ascii="Times New Roman" w:hAnsi="Times New Roman"/>
          <w:color w:val="000000"/>
          <w:sz w:val="24"/>
          <w:szCs w:val="24"/>
          <w:shd w:val="clear" w:color="auto" w:fill="FFFFFF"/>
        </w:rPr>
        <w:t>generalização</w:t>
      </w:r>
      <w:r w:rsidRPr="009C52F4">
        <w:rPr>
          <w:rFonts w:ascii="Times New Roman" w:hAnsi="Times New Roman"/>
          <w:color w:val="000000"/>
          <w:sz w:val="24"/>
          <w:szCs w:val="24"/>
          <w:shd w:val="clear" w:color="auto" w:fill="FFFFFF"/>
        </w:rPr>
        <w:t xml:space="preserve"> das ordens</w:t>
      </w:r>
      <w:r w:rsidR="007470C7" w:rsidRPr="009C52F4">
        <w:rPr>
          <w:rFonts w:ascii="Times New Roman" w:hAnsi="Times New Roman"/>
          <w:color w:val="000000"/>
          <w:sz w:val="24"/>
          <w:szCs w:val="24"/>
          <w:shd w:val="clear" w:color="auto" w:fill="FFFFFF"/>
        </w:rPr>
        <w:t xml:space="preserve"> das variáveis </w:t>
      </w:r>
      <w:r w:rsidR="00C175B9" w:rsidRPr="009C52F4">
        <w:rPr>
          <w:rFonts w:ascii="Times New Roman" w:hAnsi="Times New Roman"/>
          <w:color w:val="000000"/>
          <w:sz w:val="24"/>
          <w:szCs w:val="24"/>
          <w:shd w:val="clear" w:color="auto" w:fill="FFFFFF"/>
        </w:rPr>
        <w:t>analisadas</w:t>
      </w:r>
      <w:r w:rsidRPr="009C52F4">
        <w:rPr>
          <w:rFonts w:ascii="Times New Roman" w:hAnsi="Times New Roman"/>
          <w:color w:val="000000"/>
          <w:sz w:val="24"/>
          <w:szCs w:val="24"/>
          <w:shd w:val="clear" w:color="auto" w:fill="FFFFFF"/>
        </w:rPr>
        <w:t xml:space="preserve">, </w:t>
      </w:r>
      <w:r w:rsidR="00F21705" w:rsidRPr="009C52F4">
        <w:rPr>
          <w:rFonts w:ascii="Times New Roman" w:hAnsi="Times New Roman"/>
          <w:color w:val="000000"/>
          <w:sz w:val="24"/>
          <w:szCs w:val="24"/>
          <w:shd w:val="clear" w:color="auto" w:fill="FFFFFF"/>
        </w:rPr>
        <w:t>ao invés</w:t>
      </w:r>
      <w:r w:rsidRPr="009C52F4">
        <w:rPr>
          <w:rFonts w:ascii="Times New Roman" w:hAnsi="Times New Roman"/>
          <w:color w:val="000000"/>
          <w:sz w:val="24"/>
          <w:szCs w:val="24"/>
          <w:shd w:val="clear" w:color="auto" w:fill="FFFFFF"/>
        </w:rPr>
        <w:t xml:space="preserve"> de defini-las arbitrariamente</w:t>
      </w:r>
      <w:r w:rsidR="005C3C35" w:rsidRPr="009C52F4">
        <w:rPr>
          <w:rFonts w:ascii="Times New Roman" w:hAnsi="Times New Roman"/>
          <w:color w:val="000000"/>
          <w:sz w:val="24"/>
          <w:szCs w:val="24"/>
          <w:shd w:val="clear" w:color="auto" w:fill="FFFFFF"/>
        </w:rPr>
        <w:t xml:space="preserve"> ou </w:t>
      </w:r>
      <w:r w:rsidR="005059D7" w:rsidRPr="009C52F4">
        <w:rPr>
          <w:rFonts w:ascii="Times New Roman" w:hAnsi="Times New Roman"/>
          <w:color w:val="000000"/>
          <w:sz w:val="24"/>
          <w:szCs w:val="24"/>
          <w:shd w:val="clear" w:color="auto" w:fill="FFFFFF"/>
        </w:rPr>
        <w:t>por meio</w:t>
      </w:r>
      <w:r w:rsidR="005C3C35" w:rsidRPr="009C52F4">
        <w:rPr>
          <w:rFonts w:ascii="Times New Roman" w:hAnsi="Times New Roman"/>
          <w:color w:val="000000"/>
          <w:sz w:val="24"/>
          <w:szCs w:val="24"/>
          <w:shd w:val="clear" w:color="auto" w:fill="FFFFFF"/>
        </w:rPr>
        <w:t xml:space="preserve"> de testes de causalidade entre as variáveis,</w:t>
      </w:r>
      <w:r w:rsidRPr="009C52F4">
        <w:rPr>
          <w:rFonts w:ascii="Times New Roman" w:hAnsi="Times New Roman"/>
          <w:color w:val="000000"/>
          <w:sz w:val="24"/>
          <w:szCs w:val="24"/>
          <w:shd w:val="clear" w:color="auto" w:fill="FFFFFF"/>
        </w:rPr>
        <w:t xml:space="preserve"> como feito pela maioria das pesquisas que </w:t>
      </w:r>
      <w:r w:rsidR="00A324F2" w:rsidRPr="009C52F4">
        <w:rPr>
          <w:rFonts w:ascii="Times New Roman" w:hAnsi="Times New Roman"/>
          <w:color w:val="000000"/>
          <w:sz w:val="24"/>
          <w:szCs w:val="24"/>
          <w:shd w:val="clear" w:color="auto" w:fill="FFFFFF"/>
        </w:rPr>
        <w:t>utilizam</w:t>
      </w:r>
      <w:r w:rsidRPr="009C52F4">
        <w:rPr>
          <w:rFonts w:ascii="Times New Roman" w:hAnsi="Times New Roman"/>
          <w:color w:val="000000"/>
          <w:sz w:val="24"/>
          <w:szCs w:val="24"/>
          <w:shd w:val="clear" w:color="auto" w:fill="FFFFFF"/>
        </w:rPr>
        <w:t xml:space="preserve"> os vetores </w:t>
      </w:r>
      <w:r w:rsidR="00A324F2" w:rsidRPr="009C52F4">
        <w:rPr>
          <w:rFonts w:ascii="Times New Roman" w:hAnsi="Times New Roman"/>
          <w:color w:val="000000"/>
          <w:sz w:val="24"/>
          <w:szCs w:val="24"/>
          <w:shd w:val="clear" w:color="auto" w:fill="FFFFFF"/>
        </w:rPr>
        <w:t>auto-regressivos</w:t>
      </w:r>
      <w:r w:rsidRPr="009C52F4">
        <w:rPr>
          <w:rFonts w:ascii="Times New Roman" w:hAnsi="Times New Roman"/>
          <w:color w:val="000000"/>
          <w:sz w:val="24"/>
          <w:szCs w:val="24"/>
          <w:shd w:val="clear" w:color="auto" w:fill="FFFFFF"/>
        </w:rPr>
        <w:t xml:space="preserve"> para </w:t>
      </w:r>
      <w:r w:rsidR="00A324F2" w:rsidRPr="009C52F4">
        <w:rPr>
          <w:rFonts w:ascii="Times New Roman" w:hAnsi="Times New Roman"/>
          <w:color w:val="000000"/>
          <w:sz w:val="24"/>
          <w:szCs w:val="24"/>
          <w:shd w:val="clear" w:color="auto" w:fill="FFFFFF"/>
        </w:rPr>
        <w:t>explicar</w:t>
      </w:r>
      <w:r w:rsidRPr="009C52F4">
        <w:rPr>
          <w:rFonts w:ascii="Times New Roman" w:hAnsi="Times New Roman"/>
          <w:color w:val="000000"/>
          <w:sz w:val="24"/>
          <w:szCs w:val="24"/>
          <w:shd w:val="clear" w:color="auto" w:fill="FFFFFF"/>
        </w:rPr>
        <w:t xml:space="preserve"> </w:t>
      </w:r>
      <w:r w:rsidR="00982AEA" w:rsidRPr="009C52F4">
        <w:rPr>
          <w:rFonts w:ascii="Times New Roman" w:hAnsi="Times New Roman"/>
          <w:color w:val="000000"/>
          <w:sz w:val="24"/>
          <w:szCs w:val="24"/>
          <w:shd w:val="clear" w:color="auto" w:fill="FFFFFF"/>
        </w:rPr>
        <w:t>movimentos</w:t>
      </w:r>
      <w:r w:rsidRPr="009C52F4">
        <w:rPr>
          <w:rFonts w:ascii="Times New Roman" w:hAnsi="Times New Roman"/>
          <w:color w:val="000000"/>
          <w:sz w:val="24"/>
          <w:szCs w:val="24"/>
          <w:shd w:val="clear" w:color="auto" w:fill="FFFFFF"/>
        </w:rPr>
        <w:t xml:space="preserve"> da </w:t>
      </w:r>
      <w:r w:rsidR="00A324F2" w:rsidRPr="009C52F4">
        <w:rPr>
          <w:rFonts w:ascii="Times New Roman" w:hAnsi="Times New Roman"/>
          <w:color w:val="000000"/>
          <w:sz w:val="24"/>
          <w:szCs w:val="24"/>
          <w:shd w:val="clear" w:color="auto" w:fill="FFFFFF"/>
        </w:rPr>
        <w:t>taxa</w:t>
      </w:r>
      <w:r w:rsidRPr="009C52F4">
        <w:rPr>
          <w:rFonts w:ascii="Times New Roman" w:hAnsi="Times New Roman"/>
          <w:color w:val="000000"/>
          <w:sz w:val="24"/>
          <w:szCs w:val="24"/>
          <w:shd w:val="clear" w:color="auto" w:fill="FFFFFF"/>
        </w:rPr>
        <w:t xml:space="preserve"> de câmbio.</w:t>
      </w:r>
      <w:r w:rsidRPr="009C52F4">
        <w:rPr>
          <w:rStyle w:val="apple-converted-space"/>
          <w:rFonts w:ascii="Times New Roman" w:hAnsi="Times New Roman"/>
          <w:color w:val="000000"/>
          <w:sz w:val="24"/>
          <w:szCs w:val="24"/>
          <w:shd w:val="clear" w:color="auto" w:fill="FFFFFF"/>
        </w:rPr>
        <w:t> </w:t>
      </w:r>
    </w:p>
    <w:p w:rsidR="00C709B1" w:rsidRPr="009C52F4" w:rsidRDefault="0064660C" w:rsidP="00C709B1">
      <w:pPr>
        <w:spacing w:after="0" w:line="240" w:lineRule="auto"/>
        <w:ind w:firstLine="708"/>
        <w:jc w:val="both"/>
        <w:rPr>
          <w:rFonts w:ascii="Times New Roman" w:hAnsi="Times New Roman"/>
          <w:sz w:val="24"/>
          <w:szCs w:val="24"/>
        </w:rPr>
      </w:pPr>
      <w:r w:rsidRPr="009C52F4">
        <w:rPr>
          <w:rFonts w:ascii="Times New Roman" w:hAnsi="Times New Roman"/>
          <w:sz w:val="24"/>
          <w:szCs w:val="24"/>
        </w:rPr>
        <w:t>Em virtude do papel do mercado financeiro e do perfil do comércio internacional em movimentos recentes da taxa de câmbio, há implicações potencialmente importantes para a formulação de políticas econômicas a serem desenvolvidas.</w:t>
      </w:r>
      <w:r w:rsidR="00D72F54" w:rsidRPr="009C52F4">
        <w:rPr>
          <w:rFonts w:ascii="Times New Roman" w:hAnsi="Times New Roman"/>
          <w:sz w:val="24"/>
          <w:szCs w:val="24"/>
        </w:rPr>
        <w:t xml:space="preserve"> </w:t>
      </w:r>
      <w:r w:rsidRPr="009C52F4">
        <w:rPr>
          <w:rFonts w:ascii="Times New Roman" w:hAnsi="Times New Roman"/>
          <w:sz w:val="24"/>
          <w:szCs w:val="24"/>
        </w:rPr>
        <w:t xml:space="preserve">Em primeiro lugar, </w:t>
      </w:r>
      <w:r w:rsidR="004B4AF7" w:rsidRPr="009C52F4">
        <w:rPr>
          <w:rFonts w:ascii="Times New Roman" w:hAnsi="Times New Roman"/>
          <w:sz w:val="24"/>
          <w:szCs w:val="24"/>
        </w:rPr>
        <w:t xml:space="preserve">os </w:t>
      </w:r>
      <w:r w:rsidR="004B4AF7" w:rsidRPr="009C52F4">
        <w:rPr>
          <w:rFonts w:ascii="Times New Roman" w:hAnsi="Times New Roman"/>
          <w:i/>
          <w:sz w:val="24"/>
          <w:szCs w:val="24"/>
        </w:rPr>
        <w:t>policy makers</w:t>
      </w:r>
      <w:r w:rsidR="004B4AF7" w:rsidRPr="009C52F4">
        <w:rPr>
          <w:rFonts w:ascii="Times New Roman" w:hAnsi="Times New Roman"/>
          <w:sz w:val="24"/>
          <w:szCs w:val="24"/>
        </w:rPr>
        <w:t xml:space="preserve"> brasileiros</w:t>
      </w:r>
      <w:r w:rsidRPr="009C52F4">
        <w:rPr>
          <w:rFonts w:ascii="Times New Roman" w:hAnsi="Times New Roman"/>
          <w:sz w:val="24"/>
          <w:szCs w:val="24"/>
        </w:rPr>
        <w:t xml:space="preserve"> preocupados com os movimentos cambiais adversos </w:t>
      </w:r>
      <w:r w:rsidR="00BF791F" w:rsidRPr="009C52F4">
        <w:rPr>
          <w:rFonts w:ascii="Times New Roman" w:hAnsi="Times New Roman"/>
          <w:sz w:val="24"/>
          <w:szCs w:val="24"/>
        </w:rPr>
        <w:t>devem focar esforços para</w:t>
      </w:r>
      <w:r w:rsidR="00D05B01" w:rsidRPr="009C52F4">
        <w:rPr>
          <w:rFonts w:ascii="Times New Roman" w:hAnsi="Times New Roman"/>
          <w:sz w:val="24"/>
          <w:szCs w:val="24"/>
        </w:rPr>
        <w:t xml:space="preserve"> a</w:t>
      </w:r>
      <w:r w:rsidRPr="009C52F4">
        <w:rPr>
          <w:rFonts w:ascii="Times New Roman" w:hAnsi="Times New Roman"/>
          <w:sz w:val="24"/>
          <w:szCs w:val="24"/>
        </w:rPr>
        <w:t xml:space="preserve"> </w:t>
      </w:r>
      <w:r w:rsidR="00BF791F" w:rsidRPr="009C52F4">
        <w:rPr>
          <w:rFonts w:ascii="Times New Roman" w:hAnsi="Times New Roman"/>
          <w:sz w:val="24"/>
          <w:szCs w:val="24"/>
        </w:rPr>
        <w:t>redução dos</w:t>
      </w:r>
      <w:r w:rsidRPr="009C52F4">
        <w:rPr>
          <w:rFonts w:ascii="Times New Roman" w:hAnsi="Times New Roman"/>
          <w:sz w:val="24"/>
          <w:szCs w:val="24"/>
        </w:rPr>
        <w:t xml:space="preserve"> </w:t>
      </w:r>
      <w:r w:rsidR="00BF791F" w:rsidRPr="009C52F4">
        <w:rPr>
          <w:rFonts w:ascii="Times New Roman" w:hAnsi="Times New Roman"/>
          <w:sz w:val="24"/>
          <w:szCs w:val="24"/>
        </w:rPr>
        <w:t>in</w:t>
      </w:r>
      <w:r w:rsidRPr="009C52F4">
        <w:rPr>
          <w:rFonts w:ascii="Times New Roman" w:hAnsi="Times New Roman"/>
          <w:sz w:val="24"/>
          <w:szCs w:val="24"/>
        </w:rPr>
        <w:t xml:space="preserve">fluxos </w:t>
      </w:r>
      <w:r w:rsidR="00BF791F" w:rsidRPr="009C52F4">
        <w:rPr>
          <w:rFonts w:ascii="Times New Roman" w:hAnsi="Times New Roman"/>
          <w:sz w:val="24"/>
          <w:szCs w:val="24"/>
        </w:rPr>
        <w:t>especulativos de capitais, sobretudo aqueles que inundam</w:t>
      </w:r>
      <w:r w:rsidRPr="009C52F4">
        <w:rPr>
          <w:rFonts w:ascii="Times New Roman" w:hAnsi="Times New Roman"/>
          <w:sz w:val="24"/>
          <w:szCs w:val="24"/>
        </w:rPr>
        <w:t xml:space="preserve"> o mercado de ações</w:t>
      </w:r>
      <w:r w:rsidR="00BF791F" w:rsidRPr="009C52F4">
        <w:rPr>
          <w:rFonts w:ascii="Times New Roman" w:hAnsi="Times New Roman"/>
          <w:sz w:val="24"/>
          <w:szCs w:val="24"/>
        </w:rPr>
        <w:t xml:space="preserve"> no Brasil</w:t>
      </w:r>
      <w:r w:rsidRPr="009C52F4">
        <w:rPr>
          <w:rFonts w:ascii="Times New Roman" w:hAnsi="Times New Roman"/>
          <w:sz w:val="24"/>
          <w:szCs w:val="24"/>
        </w:rPr>
        <w:t>.</w:t>
      </w:r>
      <w:r w:rsidR="0095335A" w:rsidRPr="009C52F4">
        <w:rPr>
          <w:rFonts w:ascii="Times New Roman" w:hAnsi="Times New Roman"/>
          <w:sz w:val="24"/>
          <w:szCs w:val="24"/>
        </w:rPr>
        <w:t xml:space="preserve"> Acredita-se que a perda de competitividade comercial possa estar associada à apreciação cambial decorrente dos </w:t>
      </w:r>
      <w:r w:rsidR="00662F2C" w:rsidRPr="009C52F4">
        <w:rPr>
          <w:rFonts w:ascii="Times New Roman" w:hAnsi="Times New Roman"/>
          <w:sz w:val="24"/>
          <w:szCs w:val="24"/>
        </w:rPr>
        <w:t>influxos</w:t>
      </w:r>
      <w:r w:rsidR="0095335A" w:rsidRPr="009C52F4">
        <w:rPr>
          <w:rFonts w:ascii="Times New Roman" w:hAnsi="Times New Roman"/>
          <w:sz w:val="24"/>
          <w:szCs w:val="24"/>
        </w:rPr>
        <w:t xml:space="preserve"> d</w:t>
      </w:r>
      <w:r w:rsidR="00C5252B" w:rsidRPr="009C52F4">
        <w:rPr>
          <w:rFonts w:ascii="Times New Roman" w:hAnsi="Times New Roman"/>
          <w:sz w:val="24"/>
          <w:szCs w:val="24"/>
        </w:rPr>
        <w:t>e capitais que o país</w:t>
      </w:r>
      <w:r w:rsidR="0095335A" w:rsidRPr="009C52F4">
        <w:rPr>
          <w:rFonts w:ascii="Times New Roman" w:hAnsi="Times New Roman"/>
          <w:sz w:val="24"/>
          <w:szCs w:val="24"/>
        </w:rPr>
        <w:t xml:space="preserve"> e outras economias emergentes </w:t>
      </w:r>
      <w:r w:rsidR="00A66CB2" w:rsidRPr="009C52F4">
        <w:rPr>
          <w:rFonts w:ascii="Times New Roman" w:hAnsi="Times New Roman"/>
          <w:sz w:val="24"/>
          <w:szCs w:val="24"/>
        </w:rPr>
        <w:t>vêm</w:t>
      </w:r>
      <w:r w:rsidR="0095335A" w:rsidRPr="009C52F4">
        <w:rPr>
          <w:rFonts w:ascii="Times New Roman" w:hAnsi="Times New Roman"/>
          <w:sz w:val="24"/>
          <w:szCs w:val="24"/>
        </w:rPr>
        <w:t xml:space="preserve"> mais fortemente atraindo desde a década de 1990. </w:t>
      </w:r>
      <w:r w:rsidR="00C709B1" w:rsidRPr="009C52F4">
        <w:rPr>
          <w:rFonts w:ascii="Times New Roman" w:hAnsi="Times New Roman"/>
          <w:sz w:val="24"/>
          <w:szCs w:val="24"/>
        </w:rPr>
        <w:t xml:space="preserve">Assim, a regulamentação da </w:t>
      </w:r>
      <w:r w:rsidR="00220586" w:rsidRPr="009C52F4">
        <w:rPr>
          <w:rFonts w:ascii="Times New Roman" w:hAnsi="Times New Roman"/>
          <w:sz w:val="24"/>
          <w:szCs w:val="24"/>
        </w:rPr>
        <w:t>conta de capitais deve ser vista</w:t>
      </w:r>
      <w:r w:rsidR="00C709B1" w:rsidRPr="009C52F4">
        <w:rPr>
          <w:rFonts w:ascii="Times New Roman" w:hAnsi="Times New Roman"/>
          <w:sz w:val="24"/>
          <w:szCs w:val="24"/>
        </w:rPr>
        <w:t xml:space="preserve"> como parte essencial da política m</w:t>
      </w:r>
      <w:r w:rsidR="00D74CBE">
        <w:rPr>
          <w:rFonts w:ascii="Times New Roman" w:hAnsi="Times New Roman"/>
          <w:sz w:val="24"/>
          <w:szCs w:val="24"/>
        </w:rPr>
        <w:t>acroeconômica e não como medida</w:t>
      </w:r>
      <w:r w:rsidR="00C709B1" w:rsidRPr="009C52F4">
        <w:rPr>
          <w:rFonts w:ascii="Times New Roman" w:hAnsi="Times New Roman"/>
          <w:sz w:val="24"/>
          <w:szCs w:val="24"/>
        </w:rPr>
        <w:t xml:space="preserve"> de última instância</w:t>
      </w:r>
      <w:r w:rsidR="00220586" w:rsidRPr="009C52F4">
        <w:rPr>
          <w:rFonts w:ascii="Times New Roman" w:hAnsi="Times New Roman"/>
          <w:sz w:val="24"/>
          <w:szCs w:val="24"/>
        </w:rPr>
        <w:t>.</w:t>
      </w:r>
    </w:p>
    <w:p w:rsidR="0074685F" w:rsidRPr="009C52F4" w:rsidRDefault="007C596E" w:rsidP="0074685F">
      <w:pPr>
        <w:spacing w:after="0" w:line="240" w:lineRule="auto"/>
        <w:ind w:firstLine="708"/>
        <w:jc w:val="both"/>
        <w:rPr>
          <w:rFonts w:ascii="Times New Roman" w:hAnsi="Times New Roman"/>
          <w:sz w:val="24"/>
          <w:szCs w:val="24"/>
        </w:rPr>
      </w:pPr>
      <w:r w:rsidRPr="009C52F4">
        <w:rPr>
          <w:rFonts w:ascii="Times New Roman" w:hAnsi="Times New Roman"/>
          <w:sz w:val="24"/>
          <w:szCs w:val="24"/>
        </w:rPr>
        <w:t xml:space="preserve">Segundo, deve-se reconhecer que o </w:t>
      </w:r>
      <w:r w:rsidRPr="009C52F4">
        <w:rPr>
          <w:rFonts w:ascii="Times New Roman" w:hAnsi="Times New Roman"/>
          <w:i/>
          <w:sz w:val="24"/>
          <w:szCs w:val="24"/>
        </w:rPr>
        <w:t>boom</w:t>
      </w:r>
      <w:r w:rsidRPr="009C52F4">
        <w:rPr>
          <w:rFonts w:ascii="Times New Roman" w:hAnsi="Times New Roman"/>
          <w:sz w:val="24"/>
          <w:szCs w:val="24"/>
        </w:rPr>
        <w:t xml:space="preserve"> nos preços das </w:t>
      </w:r>
      <w:r w:rsidRPr="009C52F4">
        <w:rPr>
          <w:rFonts w:ascii="Times New Roman" w:hAnsi="Times New Roman"/>
          <w:i/>
          <w:sz w:val="24"/>
          <w:szCs w:val="24"/>
        </w:rPr>
        <w:t>commodities</w:t>
      </w:r>
      <w:r w:rsidRPr="009C52F4">
        <w:rPr>
          <w:rFonts w:ascii="Times New Roman" w:hAnsi="Times New Roman"/>
          <w:sz w:val="24"/>
          <w:szCs w:val="24"/>
        </w:rPr>
        <w:t xml:space="preserve"> na década de 2000 foi uma oportunidade para reduzir o passivo externo brasileiro e para o acúmulo de reservas internacionais. Contudo, a despeito da redução dos fluxos de </w:t>
      </w:r>
      <w:r w:rsidR="00DE6C26" w:rsidRPr="009C52F4">
        <w:rPr>
          <w:rFonts w:ascii="Times New Roman" w:hAnsi="Times New Roman"/>
          <w:sz w:val="24"/>
          <w:szCs w:val="24"/>
        </w:rPr>
        <w:t>endividamento</w:t>
      </w:r>
      <w:r w:rsidRPr="009C52F4">
        <w:rPr>
          <w:rFonts w:ascii="Times New Roman" w:hAnsi="Times New Roman"/>
          <w:sz w:val="24"/>
          <w:szCs w:val="24"/>
        </w:rPr>
        <w:t xml:space="preserve">, tem-se aumentado nos últimos anos o passivo externo denominado em </w:t>
      </w:r>
      <w:r w:rsidR="009C52F4">
        <w:rPr>
          <w:rFonts w:ascii="Times New Roman" w:hAnsi="Times New Roman"/>
          <w:sz w:val="24"/>
          <w:szCs w:val="24"/>
        </w:rPr>
        <w:t>R</w:t>
      </w:r>
      <w:r w:rsidRPr="009C52F4">
        <w:rPr>
          <w:rFonts w:ascii="Times New Roman" w:hAnsi="Times New Roman"/>
          <w:sz w:val="24"/>
          <w:szCs w:val="24"/>
        </w:rPr>
        <w:t xml:space="preserve">eais, que são compostos por investimentos de estrangeiros em títulos de renda fixa negociados no país. Assim, </w:t>
      </w:r>
      <w:r w:rsidR="00C667F9" w:rsidRPr="009C52F4">
        <w:rPr>
          <w:rFonts w:ascii="Times New Roman" w:hAnsi="Times New Roman"/>
          <w:sz w:val="24"/>
          <w:szCs w:val="24"/>
        </w:rPr>
        <w:t>o governo deve estar atento com</w:t>
      </w:r>
      <w:r w:rsidR="007D6FC7" w:rsidRPr="009C52F4">
        <w:rPr>
          <w:rFonts w:ascii="Times New Roman" w:hAnsi="Times New Roman"/>
          <w:sz w:val="24"/>
          <w:szCs w:val="24"/>
        </w:rPr>
        <w:t xml:space="preserve"> os efeitos auto-</w:t>
      </w:r>
      <w:r w:rsidR="00DA0729" w:rsidRPr="009C52F4">
        <w:rPr>
          <w:rFonts w:ascii="Times New Roman" w:hAnsi="Times New Roman"/>
          <w:sz w:val="24"/>
          <w:szCs w:val="24"/>
        </w:rPr>
        <w:t>reforçadores</w:t>
      </w:r>
      <w:r w:rsidR="007D6FC7" w:rsidRPr="009C52F4">
        <w:rPr>
          <w:rFonts w:ascii="Times New Roman" w:hAnsi="Times New Roman"/>
          <w:sz w:val="24"/>
          <w:szCs w:val="24"/>
        </w:rPr>
        <w:t xml:space="preserve"> entre o câmbio e </w:t>
      </w:r>
      <w:r w:rsidR="0074685F" w:rsidRPr="009C52F4">
        <w:rPr>
          <w:rFonts w:ascii="Times New Roman" w:hAnsi="Times New Roman"/>
          <w:sz w:val="24"/>
          <w:szCs w:val="24"/>
        </w:rPr>
        <w:t xml:space="preserve">os influxos de capitais, pois o aumento da participação </w:t>
      </w:r>
      <w:r w:rsidR="0074685F" w:rsidRPr="009C52F4">
        <w:rPr>
          <w:rFonts w:ascii="Times New Roman" w:hAnsi="Times New Roman"/>
          <w:sz w:val="24"/>
          <w:szCs w:val="24"/>
        </w:rPr>
        <w:lastRenderedPageBreak/>
        <w:t xml:space="preserve">estrangeira nos ativos denominados em moeda nacional embute riscos potenciais, uma vez que a </w:t>
      </w:r>
      <w:r w:rsidR="00DE6C26" w:rsidRPr="009C52F4">
        <w:rPr>
          <w:rFonts w:ascii="Times New Roman" w:hAnsi="Times New Roman"/>
          <w:sz w:val="24"/>
          <w:szCs w:val="24"/>
        </w:rPr>
        <w:t>taxa</w:t>
      </w:r>
      <w:r w:rsidR="0074685F" w:rsidRPr="009C52F4">
        <w:rPr>
          <w:rFonts w:ascii="Times New Roman" w:hAnsi="Times New Roman"/>
          <w:sz w:val="24"/>
          <w:szCs w:val="24"/>
        </w:rPr>
        <w:t xml:space="preserve"> de câmbio se torna um elemento importante dos retornos internacionais.</w:t>
      </w:r>
      <w:r w:rsidR="009B23A8" w:rsidRPr="009C52F4">
        <w:rPr>
          <w:rFonts w:ascii="Times New Roman" w:hAnsi="Times New Roman"/>
          <w:sz w:val="24"/>
          <w:szCs w:val="24"/>
        </w:rPr>
        <w:t xml:space="preserve"> Assim, os fortes influxos de capitais </w:t>
      </w:r>
      <w:r w:rsidR="004F2061" w:rsidRPr="009C52F4">
        <w:rPr>
          <w:rFonts w:ascii="Times New Roman" w:hAnsi="Times New Roman"/>
          <w:sz w:val="24"/>
          <w:szCs w:val="24"/>
        </w:rPr>
        <w:t xml:space="preserve">e as divisas </w:t>
      </w:r>
      <w:r w:rsidR="00E77B5F" w:rsidRPr="009C52F4">
        <w:rPr>
          <w:rFonts w:ascii="Times New Roman" w:hAnsi="Times New Roman"/>
          <w:sz w:val="24"/>
          <w:szCs w:val="24"/>
        </w:rPr>
        <w:t>obtidas por meio do aumento de exportações devidas</w:t>
      </w:r>
      <w:r w:rsidR="004F2061" w:rsidRPr="009C52F4">
        <w:rPr>
          <w:rFonts w:ascii="Times New Roman" w:hAnsi="Times New Roman"/>
          <w:sz w:val="24"/>
          <w:szCs w:val="24"/>
        </w:rPr>
        <w:t xml:space="preserve"> à</w:t>
      </w:r>
      <w:r w:rsidR="009B23A8" w:rsidRPr="009C52F4">
        <w:rPr>
          <w:rFonts w:ascii="Times New Roman" w:hAnsi="Times New Roman"/>
          <w:sz w:val="24"/>
          <w:szCs w:val="24"/>
        </w:rPr>
        <w:t xml:space="preserve"> especulação dos preços de </w:t>
      </w:r>
      <w:r w:rsidR="009B23A8" w:rsidRPr="009C52F4">
        <w:rPr>
          <w:rFonts w:ascii="Times New Roman" w:hAnsi="Times New Roman"/>
          <w:i/>
          <w:sz w:val="24"/>
          <w:szCs w:val="24"/>
        </w:rPr>
        <w:t>commodities</w:t>
      </w:r>
      <w:r w:rsidR="009B23A8" w:rsidRPr="009C52F4">
        <w:rPr>
          <w:rFonts w:ascii="Times New Roman" w:hAnsi="Times New Roman"/>
          <w:sz w:val="24"/>
          <w:szCs w:val="24"/>
        </w:rPr>
        <w:t xml:space="preserve"> podem camuflar </w:t>
      </w:r>
      <w:r w:rsidR="00D01C4A" w:rsidRPr="009C52F4">
        <w:rPr>
          <w:rFonts w:ascii="Times New Roman" w:hAnsi="Times New Roman"/>
          <w:sz w:val="24"/>
          <w:szCs w:val="24"/>
        </w:rPr>
        <w:t>fragilidades</w:t>
      </w:r>
      <w:r w:rsidR="009B23A8" w:rsidRPr="009C52F4">
        <w:rPr>
          <w:rFonts w:ascii="Times New Roman" w:hAnsi="Times New Roman"/>
          <w:sz w:val="24"/>
          <w:szCs w:val="24"/>
        </w:rPr>
        <w:t xml:space="preserve"> externas da economia brasileira.</w:t>
      </w:r>
    </w:p>
    <w:p w:rsidR="009C52F4" w:rsidRDefault="009C52F4" w:rsidP="0074685F">
      <w:pPr>
        <w:spacing w:after="0" w:line="240" w:lineRule="auto"/>
        <w:ind w:firstLine="708"/>
        <w:jc w:val="both"/>
        <w:rPr>
          <w:rFonts w:ascii="Times New Roman" w:hAnsi="Times New Roman"/>
          <w:sz w:val="24"/>
          <w:szCs w:val="24"/>
        </w:rPr>
      </w:pPr>
      <w:r w:rsidRPr="0021760A">
        <w:rPr>
          <w:rFonts w:ascii="Times New Roman" w:hAnsi="Times New Roman"/>
          <w:sz w:val="24"/>
          <w:szCs w:val="24"/>
        </w:rPr>
        <w:t xml:space="preserve">Terceiro, a fim de minorar os efeitos do lado comercial sobre o comportamento cambial e estimular o crescimento econômico, os </w:t>
      </w:r>
      <w:r w:rsidRPr="0021760A">
        <w:rPr>
          <w:rFonts w:ascii="Times New Roman" w:hAnsi="Times New Roman"/>
          <w:i/>
          <w:sz w:val="24"/>
          <w:szCs w:val="24"/>
        </w:rPr>
        <w:t>policy makers</w:t>
      </w:r>
      <w:r w:rsidRPr="0021760A">
        <w:rPr>
          <w:rFonts w:ascii="Times New Roman" w:hAnsi="Times New Roman"/>
          <w:sz w:val="24"/>
          <w:szCs w:val="24"/>
        </w:rPr>
        <w:t xml:space="preserve"> também devem estar atentos à composição da pauta exportadora. Isso implica a adoção de medidas que possam promover uma alteração dessa pauta em direção aos produtos de conteúdo tecnológico mais sofisticado, o que deve passar pela aplicação de medidas estruturais, tais como a definição de uma política industrial, de inovaç</w:t>
      </w:r>
      <w:r w:rsidR="00C1071D" w:rsidRPr="0021760A">
        <w:rPr>
          <w:rFonts w:ascii="Times New Roman" w:hAnsi="Times New Roman"/>
          <w:sz w:val="24"/>
          <w:szCs w:val="24"/>
        </w:rPr>
        <w:t>ão</w:t>
      </w:r>
      <w:r w:rsidRPr="0021760A">
        <w:rPr>
          <w:rFonts w:ascii="Times New Roman" w:hAnsi="Times New Roman"/>
          <w:sz w:val="24"/>
          <w:szCs w:val="24"/>
        </w:rPr>
        <w:t xml:space="preserve"> e de infraestrutura mais ativa, e por medidas conjunturais, que conduzam a uma taxa de câmbio mais competitiva para os produtos manufaturados, dado que este tipo de bem possui efeitos relativos sobre o crescimento do produto mais dinâmicos.</w:t>
      </w:r>
    </w:p>
    <w:p w:rsidR="00455AC1" w:rsidRDefault="00455AC1" w:rsidP="0074685F">
      <w:pPr>
        <w:spacing w:after="0" w:line="240" w:lineRule="auto"/>
        <w:ind w:firstLine="708"/>
        <w:jc w:val="both"/>
        <w:rPr>
          <w:rFonts w:ascii="Times New Roman" w:hAnsi="Times New Roman"/>
          <w:sz w:val="24"/>
          <w:szCs w:val="24"/>
        </w:rPr>
      </w:pPr>
      <w:r w:rsidRPr="009C52F4">
        <w:rPr>
          <w:rFonts w:ascii="Times New Roman" w:hAnsi="Times New Roman"/>
          <w:sz w:val="24"/>
          <w:szCs w:val="24"/>
        </w:rPr>
        <w:t>Portanto,</w:t>
      </w:r>
      <w:r w:rsidR="002D3B1B" w:rsidRPr="009C52F4">
        <w:rPr>
          <w:rFonts w:ascii="Times New Roman" w:hAnsi="Times New Roman"/>
          <w:sz w:val="24"/>
          <w:szCs w:val="24"/>
        </w:rPr>
        <w:t xml:space="preserve"> o componente financeiro e especulativo de determinação da </w:t>
      </w:r>
      <w:r w:rsidR="000344D8" w:rsidRPr="009C52F4">
        <w:rPr>
          <w:rFonts w:ascii="Times New Roman" w:hAnsi="Times New Roman"/>
          <w:sz w:val="24"/>
          <w:szCs w:val="24"/>
        </w:rPr>
        <w:t>taxa</w:t>
      </w:r>
      <w:r w:rsidRPr="009C52F4">
        <w:rPr>
          <w:rFonts w:ascii="Times New Roman" w:hAnsi="Times New Roman"/>
          <w:sz w:val="24"/>
          <w:szCs w:val="24"/>
        </w:rPr>
        <w:t xml:space="preserve"> de câmbio</w:t>
      </w:r>
      <w:r w:rsidR="002D3B1B" w:rsidRPr="009C52F4">
        <w:rPr>
          <w:rFonts w:ascii="Times New Roman" w:hAnsi="Times New Roman"/>
          <w:sz w:val="24"/>
          <w:szCs w:val="24"/>
        </w:rPr>
        <w:t xml:space="preserve"> no Brasil provoca distorções em sua trajetória que devem ser alvo</w:t>
      </w:r>
      <w:r w:rsidRPr="009C52F4">
        <w:rPr>
          <w:rFonts w:ascii="Times New Roman" w:hAnsi="Times New Roman"/>
          <w:sz w:val="24"/>
          <w:szCs w:val="24"/>
        </w:rPr>
        <w:t xml:space="preserve"> da política </w:t>
      </w:r>
      <w:r w:rsidR="00C923A3" w:rsidRPr="009C52F4">
        <w:rPr>
          <w:rFonts w:ascii="Times New Roman" w:hAnsi="Times New Roman"/>
          <w:sz w:val="24"/>
          <w:szCs w:val="24"/>
        </w:rPr>
        <w:t>macro</w:t>
      </w:r>
      <w:r w:rsidRPr="009C52F4">
        <w:rPr>
          <w:rFonts w:ascii="Times New Roman" w:hAnsi="Times New Roman"/>
          <w:sz w:val="24"/>
          <w:szCs w:val="24"/>
        </w:rPr>
        <w:t>econômica</w:t>
      </w:r>
      <w:r w:rsidR="00843573" w:rsidRPr="009C52F4">
        <w:rPr>
          <w:rFonts w:ascii="Times New Roman" w:hAnsi="Times New Roman"/>
          <w:sz w:val="24"/>
          <w:szCs w:val="24"/>
        </w:rPr>
        <w:t>. Uma taxa de câmbio real estável e competitiva deve ser meta intermediária</w:t>
      </w:r>
      <w:r w:rsidRPr="009C52F4">
        <w:rPr>
          <w:rFonts w:ascii="Times New Roman" w:hAnsi="Times New Roman"/>
          <w:sz w:val="24"/>
          <w:szCs w:val="24"/>
        </w:rPr>
        <w:t xml:space="preserve"> </w:t>
      </w:r>
      <w:r w:rsidR="00843573" w:rsidRPr="009C52F4">
        <w:rPr>
          <w:rFonts w:ascii="Times New Roman" w:hAnsi="Times New Roman"/>
          <w:sz w:val="24"/>
          <w:szCs w:val="24"/>
        </w:rPr>
        <w:t>para</w:t>
      </w:r>
      <w:r w:rsidR="002D3B1B" w:rsidRPr="009C52F4">
        <w:rPr>
          <w:rFonts w:ascii="Times New Roman" w:hAnsi="Times New Roman"/>
          <w:sz w:val="24"/>
          <w:szCs w:val="24"/>
        </w:rPr>
        <w:t xml:space="preserve"> o desenvolvimento econômico nesta economia.</w:t>
      </w:r>
      <w:r>
        <w:rPr>
          <w:rFonts w:ascii="Times New Roman" w:hAnsi="Times New Roman"/>
          <w:sz w:val="24"/>
          <w:szCs w:val="24"/>
        </w:rPr>
        <w:t xml:space="preserve"> </w:t>
      </w:r>
    </w:p>
    <w:p w:rsidR="000344D8" w:rsidRDefault="000344D8" w:rsidP="000344D8">
      <w:pPr>
        <w:spacing w:after="0" w:line="240" w:lineRule="auto"/>
        <w:jc w:val="both"/>
        <w:rPr>
          <w:rFonts w:ascii="Times New Roman" w:hAnsi="Times New Roman"/>
          <w:b/>
          <w:sz w:val="24"/>
          <w:szCs w:val="24"/>
        </w:rPr>
      </w:pPr>
    </w:p>
    <w:p w:rsidR="001E5855" w:rsidRDefault="001E5855" w:rsidP="000344D8">
      <w:pPr>
        <w:spacing w:after="0" w:line="240" w:lineRule="auto"/>
        <w:jc w:val="both"/>
        <w:rPr>
          <w:rFonts w:ascii="Times New Roman" w:hAnsi="Times New Roman"/>
          <w:b/>
          <w:sz w:val="24"/>
          <w:szCs w:val="24"/>
        </w:rPr>
      </w:pPr>
    </w:p>
    <w:p w:rsidR="001F3851" w:rsidRPr="0095335A" w:rsidRDefault="008E611C" w:rsidP="000344D8">
      <w:pPr>
        <w:spacing w:after="0" w:line="240" w:lineRule="auto"/>
        <w:jc w:val="both"/>
        <w:rPr>
          <w:rFonts w:ascii="Times New Roman" w:hAnsi="Times New Roman"/>
          <w:sz w:val="24"/>
          <w:szCs w:val="24"/>
        </w:rPr>
      </w:pPr>
      <w:r w:rsidRPr="008E611C">
        <w:rPr>
          <w:rFonts w:ascii="Times New Roman" w:hAnsi="Times New Roman"/>
          <w:b/>
          <w:sz w:val="24"/>
          <w:szCs w:val="24"/>
        </w:rPr>
        <w:t>Referências</w:t>
      </w:r>
    </w:p>
    <w:p w:rsidR="008E611C" w:rsidRDefault="008E611C" w:rsidP="006E41E7">
      <w:pPr>
        <w:spacing w:after="0" w:line="240" w:lineRule="auto"/>
        <w:jc w:val="both"/>
        <w:rPr>
          <w:rFonts w:ascii="Times New Roman" w:hAnsi="Times New Roman"/>
          <w:sz w:val="24"/>
          <w:szCs w:val="24"/>
        </w:rPr>
      </w:pPr>
    </w:p>
    <w:p w:rsidR="00BD7DF8" w:rsidRDefault="00BD7DF8" w:rsidP="00BD7DF8">
      <w:pPr>
        <w:spacing w:after="0" w:line="240" w:lineRule="auto"/>
        <w:jc w:val="both"/>
        <w:rPr>
          <w:rFonts w:ascii="Times New Roman" w:hAnsi="Times New Roman"/>
          <w:sz w:val="24"/>
          <w:szCs w:val="24"/>
        </w:rPr>
      </w:pPr>
      <w:r w:rsidRPr="00670CAF">
        <w:rPr>
          <w:rFonts w:ascii="Times New Roman" w:hAnsi="Times New Roman"/>
          <w:sz w:val="24"/>
          <w:szCs w:val="24"/>
        </w:rPr>
        <w:t xml:space="preserve">BCB. Banco Central do Brasil. </w:t>
      </w:r>
      <w:r w:rsidRPr="00670CAF">
        <w:rPr>
          <w:rFonts w:ascii="Times New Roman" w:hAnsi="Times New Roman"/>
          <w:b/>
          <w:sz w:val="24"/>
          <w:szCs w:val="24"/>
        </w:rPr>
        <w:t>Economia e Finanças</w:t>
      </w:r>
      <w:r w:rsidRPr="00670CAF">
        <w:rPr>
          <w:rFonts w:ascii="Times New Roman" w:hAnsi="Times New Roman"/>
          <w:sz w:val="24"/>
          <w:szCs w:val="24"/>
        </w:rPr>
        <w:t xml:space="preserve">. Séries Temporais. Disponível em: </w:t>
      </w:r>
      <w:hyperlink r:id="rId21" w:history="1">
        <w:r w:rsidR="00843573" w:rsidRPr="0039232C">
          <w:rPr>
            <w:rStyle w:val="Hyperlink"/>
            <w:rFonts w:ascii="Times New Roman" w:hAnsi="Times New Roman"/>
            <w:sz w:val="24"/>
            <w:szCs w:val="24"/>
          </w:rPr>
          <w:t>http://www4.bcb.gov.br/?SERIESTEMP</w:t>
        </w:r>
      </w:hyperlink>
      <w:r>
        <w:rPr>
          <w:rFonts w:ascii="Times New Roman" w:hAnsi="Times New Roman"/>
          <w:sz w:val="24"/>
          <w:szCs w:val="24"/>
        </w:rPr>
        <w:t>.</w:t>
      </w:r>
      <w:r w:rsidRPr="00670CAF">
        <w:rPr>
          <w:rFonts w:ascii="Times New Roman" w:hAnsi="Times New Roman"/>
          <w:sz w:val="24"/>
          <w:szCs w:val="24"/>
        </w:rPr>
        <w:t xml:space="preserve"> Acesso em </w:t>
      </w:r>
      <w:r>
        <w:rPr>
          <w:rFonts w:ascii="Times New Roman" w:hAnsi="Times New Roman"/>
          <w:sz w:val="24"/>
          <w:szCs w:val="24"/>
        </w:rPr>
        <w:t xml:space="preserve">Março </w:t>
      </w:r>
      <w:r w:rsidRPr="00670CAF">
        <w:rPr>
          <w:rFonts w:ascii="Times New Roman" w:hAnsi="Times New Roman"/>
          <w:sz w:val="24"/>
          <w:szCs w:val="24"/>
        </w:rPr>
        <w:t>de 201</w:t>
      </w:r>
      <w:r>
        <w:rPr>
          <w:rFonts w:ascii="Times New Roman" w:hAnsi="Times New Roman"/>
          <w:sz w:val="24"/>
          <w:szCs w:val="24"/>
        </w:rPr>
        <w:t>3</w:t>
      </w:r>
      <w:r w:rsidRPr="00670CAF">
        <w:rPr>
          <w:rFonts w:ascii="Times New Roman" w:hAnsi="Times New Roman"/>
          <w:sz w:val="24"/>
          <w:szCs w:val="24"/>
        </w:rPr>
        <w:t xml:space="preserve">.  </w:t>
      </w:r>
    </w:p>
    <w:p w:rsidR="00BD7DF8" w:rsidRDefault="00BD7DF8" w:rsidP="006E41E7">
      <w:pPr>
        <w:spacing w:after="0" w:line="240" w:lineRule="auto"/>
        <w:jc w:val="both"/>
        <w:rPr>
          <w:rFonts w:ascii="Times New Roman" w:hAnsi="Times New Roman"/>
          <w:sz w:val="24"/>
          <w:szCs w:val="24"/>
        </w:rPr>
      </w:pPr>
    </w:p>
    <w:p w:rsidR="008E611C" w:rsidRDefault="008E611C" w:rsidP="006E41E7">
      <w:pPr>
        <w:spacing w:after="0" w:line="240" w:lineRule="auto"/>
        <w:jc w:val="both"/>
        <w:rPr>
          <w:rFonts w:ascii="Times New Roman" w:hAnsi="Times New Roman"/>
          <w:sz w:val="24"/>
          <w:szCs w:val="24"/>
        </w:rPr>
      </w:pPr>
      <w:r w:rsidRPr="008E611C">
        <w:rPr>
          <w:rFonts w:ascii="Times New Roman" w:hAnsi="Times New Roman"/>
          <w:sz w:val="24"/>
          <w:szCs w:val="24"/>
        </w:rPr>
        <w:t>BRESSER-PEREIRA</w:t>
      </w:r>
      <w:r>
        <w:rPr>
          <w:rFonts w:ascii="Times New Roman" w:hAnsi="Times New Roman"/>
          <w:sz w:val="24"/>
          <w:szCs w:val="24"/>
        </w:rPr>
        <w:t>, L. C.</w:t>
      </w:r>
      <w:r w:rsidRPr="008E611C">
        <w:rPr>
          <w:rFonts w:ascii="Times New Roman" w:hAnsi="Times New Roman"/>
          <w:sz w:val="24"/>
          <w:szCs w:val="24"/>
        </w:rPr>
        <w:t xml:space="preserve"> Uma escola de pensamento</w:t>
      </w:r>
      <w:r>
        <w:rPr>
          <w:rFonts w:ascii="Times New Roman" w:hAnsi="Times New Roman"/>
          <w:sz w:val="24"/>
          <w:szCs w:val="24"/>
        </w:rPr>
        <w:t xml:space="preserve"> </w:t>
      </w:r>
      <w:r w:rsidRPr="008E611C">
        <w:rPr>
          <w:rFonts w:ascii="Times New Roman" w:hAnsi="Times New Roman"/>
          <w:sz w:val="24"/>
          <w:szCs w:val="24"/>
        </w:rPr>
        <w:t>keynesiano-estruturalista no Brasil?</w:t>
      </w:r>
      <w:r>
        <w:rPr>
          <w:rFonts w:ascii="Times New Roman" w:hAnsi="Times New Roman"/>
          <w:sz w:val="24"/>
          <w:szCs w:val="24"/>
        </w:rPr>
        <w:t xml:space="preserve"> </w:t>
      </w:r>
      <w:r w:rsidRPr="008E611C">
        <w:rPr>
          <w:rFonts w:ascii="Times New Roman" w:hAnsi="Times New Roman"/>
          <w:b/>
          <w:sz w:val="24"/>
          <w:szCs w:val="24"/>
        </w:rPr>
        <w:t>Revista de Economia Política</w:t>
      </w:r>
      <w:r>
        <w:rPr>
          <w:rFonts w:ascii="Times New Roman" w:hAnsi="Times New Roman"/>
          <w:sz w:val="24"/>
          <w:szCs w:val="24"/>
        </w:rPr>
        <w:t>,</w:t>
      </w:r>
      <w:r w:rsidRPr="008E611C">
        <w:rPr>
          <w:rFonts w:ascii="Times New Roman" w:hAnsi="Times New Roman"/>
          <w:sz w:val="24"/>
          <w:szCs w:val="24"/>
        </w:rPr>
        <w:t xml:space="preserve"> 31 (2), 2011</w:t>
      </w:r>
      <w:r>
        <w:rPr>
          <w:rFonts w:ascii="Times New Roman" w:hAnsi="Times New Roman"/>
          <w:sz w:val="24"/>
          <w:szCs w:val="24"/>
        </w:rPr>
        <w:t>.</w:t>
      </w:r>
    </w:p>
    <w:p w:rsidR="00900C07" w:rsidRDefault="00900C07" w:rsidP="006E41E7">
      <w:pPr>
        <w:spacing w:after="0" w:line="240" w:lineRule="auto"/>
        <w:jc w:val="both"/>
        <w:rPr>
          <w:rFonts w:ascii="Times New Roman" w:hAnsi="Times New Roman"/>
          <w:sz w:val="24"/>
          <w:szCs w:val="24"/>
        </w:rPr>
      </w:pPr>
    </w:p>
    <w:p w:rsidR="0088046C" w:rsidRDefault="0088046C" w:rsidP="00C01761">
      <w:pPr>
        <w:spacing w:after="0" w:line="240" w:lineRule="auto"/>
        <w:jc w:val="both"/>
        <w:rPr>
          <w:rFonts w:ascii="Times New Roman" w:hAnsi="Times New Roman"/>
          <w:sz w:val="24"/>
          <w:szCs w:val="24"/>
        </w:rPr>
      </w:pPr>
      <w:r w:rsidRPr="0088046C">
        <w:rPr>
          <w:rFonts w:ascii="Times New Roman" w:hAnsi="Times New Roman"/>
          <w:sz w:val="24"/>
          <w:szCs w:val="24"/>
        </w:rPr>
        <w:t xml:space="preserve">BRESSER-PEREIRA, L. C. A Doença Holandesa. In: BRESSER-PEREIRA, L. C. </w:t>
      </w:r>
      <w:r w:rsidRPr="0088046C">
        <w:rPr>
          <w:rFonts w:ascii="Times New Roman" w:hAnsi="Times New Roman"/>
          <w:b/>
          <w:sz w:val="24"/>
          <w:szCs w:val="24"/>
        </w:rPr>
        <w:t>Globalização e Competição:</w:t>
      </w:r>
      <w:r w:rsidRPr="0088046C">
        <w:rPr>
          <w:rFonts w:ascii="Times New Roman" w:hAnsi="Times New Roman"/>
          <w:sz w:val="24"/>
          <w:szCs w:val="24"/>
        </w:rPr>
        <w:t xml:space="preserve"> Por que alguns países emergentes têm sucesso e outros não. </w:t>
      </w:r>
      <w:r w:rsidRPr="007119E2">
        <w:rPr>
          <w:rFonts w:ascii="Times New Roman" w:hAnsi="Times New Roman"/>
          <w:sz w:val="24"/>
          <w:szCs w:val="24"/>
        </w:rPr>
        <w:t>Rio de Janeiro: Elsevier, Cap. 5, p141-171, 2009.</w:t>
      </w:r>
    </w:p>
    <w:p w:rsidR="003568F9" w:rsidRDefault="003568F9" w:rsidP="00C01761">
      <w:pPr>
        <w:spacing w:after="0" w:line="240" w:lineRule="auto"/>
        <w:jc w:val="both"/>
        <w:rPr>
          <w:rFonts w:ascii="Times New Roman" w:hAnsi="Times New Roman"/>
          <w:sz w:val="24"/>
          <w:szCs w:val="24"/>
        </w:rPr>
      </w:pPr>
    </w:p>
    <w:p w:rsidR="003568F9" w:rsidRPr="003568F9" w:rsidRDefault="003568F9" w:rsidP="003568F9">
      <w:pPr>
        <w:spacing w:after="0" w:line="240" w:lineRule="auto"/>
        <w:jc w:val="both"/>
        <w:rPr>
          <w:rFonts w:ascii="Verdana" w:hAnsi="Verdana"/>
          <w:color w:val="333333"/>
          <w:sz w:val="23"/>
          <w:szCs w:val="23"/>
          <w:lang w:val="en-US"/>
        </w:rPr>
      </w:pPr>
      <w:r w:rsidRPr="003568F9">
        <w:rPr>
          <w:rFonts w:ascii="Times New Roman" w:hAnsi="Times New Roman"/>
          <w:sz w:val="24"/>
          <w:szCs w:val="24"/>
          <w:lang w:val="en-US"/>
        </w:rPr>
        <w:t xml:space="preserve">CALVO, G. &amp; REINHART, C. </w:t>
      </w:r>
      <w:r w:rsidRPr="003568F9">
        <w:rPr>
          <w:rFonts w:ascii="Times New Roman" w:hAnsi="Times New Roman"/>
          <w:b/>
          <w:sz w:val="24"/>
          <w:szCs w:val="24"/>
          <w:lang w:val="en-US"/>
        </w:rPr>
        <w:t>When capital inflows come to a sudden stop: consequences and policy option</w:t>
      </w:r>
      <w:r>
        <w:rPr>
          <w:rFonts w:ascii="Times New Roman" w:hAnsi="Times New Roman"/>
          <w:sz w:val="24"/>
          <w:szCs w:val="24"/>
          <w:lang w:val="en-US"/>
        </w:rPr>
        <w:t>, MPRA Paper 6982, University Library of Munich, Germany, 2000.</w:t>
      </w:r>
      <w:r w:rsidRPr="003568F9">
        <w:rPr>
          <w:rFonts w:ascii="Verdana" w:hAnsi="Verdana"/>
          <w:color w:val="333333"/>
          <w:sz w:val="23"/>
          <w:szCs w:val="23"/>
          <w:lang w:val="en-US"/>
        </w:rPr>
        <w:t xml:space="preserve"> </w:t>
      </w:r>
    </w:p>
    <w:p w:rsidR="003568F9" w:rsidRPr="003568F9" w:rsidRDefault="003568F9" w:rsidP="00C01761">
      <w:pPr>
        <w:spacing w:after="0" w:line="240" w:lineRule="auto"/>
        <w:jc w:val="both"/>
        <w:rPr>
          <w:rFonts w:ascii="Times New Roman" w:hAnsi="Times New Roman"/>
          <w:sz w:val="24"/>
          <w:szCs w:val="24"/>
          <w:lang w:val="en-US"/>
        </w:rPr>
      </w:pPr>
    </w:p>
    <w:p w:rsidR="003156F0" w:rsidRPr="007119E2" w:rsidRDefault="003156F0" w:rsidP="003156F0">
      <w:pPr>
        <w:widowControl w:val="0"/>
        <w:autoSpaceDE w:val="0"/>
        <w:autoSpaceDN w:val="0"/>
        <w:adjustRightInd w:val="0"/>
        <w:spacing w:after="0" w:line="240" w:lineRule="auto"/>
        <w:ind w:right="96"/>
        <w:jc w:val="both"/>
        <w:rPr>
          <w:rFonts w:ascii="Times New Roman" w:hAnsi="Times New Roman"/>
          <w:sz w:val="24"/>
          <w:szCs w:val="24"/>
        </w:rPr>
      </w:pPr>
      <w:r w:rsidRPr="00FC2F41">
        <w:rPr>
          <w:rFonts w:ascii="Times New Roman" w:hAnsi="Times New Roman"/>
          <w:sz w:val="24"/>
          <w:szCs w:val="24"/>
          <w:lang w:val="en-US"/>
        </w:rPr>
        <w:t xml:space="preserve">CARDARELLI, R. et al. </w:t>
      </w:r>
      <w:r w:rsidRPr="0025613A">
        <w:rPr>
          <w:rFonts w:ascii="Times New Roman" w:hAnsi="Times New Roman"/>
          <w:b/>
          <w:sz w:val="24"/>
          <w:szCs w:val="24"/>
          <w:lang w:val="en-US"/>
        </w:rPr>
        <w:t>Capital Inflows: Macroeconomic Implications and Policy Responses</w:t>
      </w:r>
      <w:r w:rsidRPr="0025613A">
        <w:rPr>
          <w:rFonts w:ascii="Times New Roman" w:hAnsi="Times New Roman"/>
          <w:sz w:val="24"/>
          <w:szCs w:val="24"/>
          <w:lang w:val="en-US"/>
        </w:rPr>
        <w:t xml:space="preserve">. </w:t>
      </w:r>
      <w:r w:rsidRPr="007119E2">
        <w:rPr>
          <w:rFonts w:ascii="Times New Roman" w:hAnsi="Times New Roman"/>
          <w:i/>
          <w:sz w:val="24"/>
          <w:szCs w:val="24"/>
        </w:rPr>
        <w:t>IMF Working Paper</w:t>
      </w:r>
      <w:r w:rsidRPr="007119E2">
        <w:rPr>
          <w:rFonts w:ascii="Times New Roman" w:hAnsi="Times New Roman"/>
          <w:sz w:val="24"/>
          <w:szCs w:val="24"/>
        </w:rPr>
        <w:t xml:space="preserve"> WP/09/40, 2009.</w:t>
      </w:r>
    </w:p>
    <w:p w:rsidR="003156F0" w:rsidRPr="007119E2" w:rsidRDefault="003156F0" w:rsidP="00C01761">
      <w:pPr>
        <w:spacing w:after="0" w:line="240" w:lineRule="auto"/>
        <w:jc w:val="both"/>
        <w:rPr>
          <w:rFonts w:ascii="Times New Roman" w:hAnsi="Times New Roman"/>
          <w:sz w:val="24"/>
          <w:szCs w:val="24"/>
        </w:rPr>
      </w:pPr>
    </w:p>
    <w:p w:rsidR="001F5E0A" w:rsidRPr="00D6228A" w:rsidRDefault="001F5E0A" w:rsidP="003C4591">
      <w:pPr>
        <w:autoSpaceDE w:val="0"/>
        <w:autoSpaceDN w:val="0"/>
        <w:adjustRightInd w:val="0"/>
        <w:spacing w:after="0" w:line="240" w:lineRule="auto"/>
        <w:jc w:val="both"/>
        <w:rPr>
          <w:rFonts w:ascii="Times New Roman" w:hAnsi="Times New Roman"/>
          <w:sz w:val="24"/>
          <w:szCs w:val="24"/>
          <w:lang w:val="en-US"/>
        </w:rPr>
      </w:pPr>
      <w:r w:rsidRPr="003C4591">
        <w:rPr>
          <w:rFonts w:ascii="Times New Roman" w:hAnsi="Times New Roman"/>
          <w:sz w:val="24"/>
          <w:szCs w:val="24"/>
        </w:rPr>
        <w:t xml:space="preserve">CAVALCANTI, M. A. F. H. </w:t>
      </w:r>
      <w:r w:rsidR="003C4591" w:rsidRPr="003C4591">
        <w:rPr>
          <w:rFonts w:ascii="Times New Roman" w:hAnsi="Times New Roman"/>
          <w:sz w:val="24"/>
          <w:szCs w:val="24"/>
          <w:lang w:eastAsia="pt-BR"/>
        </w:rPr>
        <w:t xml:space="preserve">Identificação de modelos </w:t>
      </w:r>
      <w:r w:rsidR="003C4591">
        <w:rPr>
          <w:rFonts w:ascii="Times New Roman" w:hAnsi="Times New Roman"/>
          <w:sz w:val="24"/>
          <w:szCs w:val="24"/>
          <w:lang w:eastAsia="pt-BR"/>
        </w:rPr>
        <w:t>VAR</w:t>
      </w:r>
      <w:r w:rsidR="003C4591" w:rsidRPr="003C4591">
        <w:rPr>
          <w:rFonts w:ascii="Times New Roman" w:hAnsi="Times New Roman"/>
          <w:sz w:val="24"/>
          <w:szCs w:val="24"/>
          <w:lang w:eastAsia="pt-BR"/>
        </w:rPr>
        <w:t xml:space="preserve"> e causalidade de granger: uma nota de advertência</w:t>
      </w:r>
      <w:r w:rsidRPr="003C4591">
        <w:rPr>
          <w:rFonts w:ascii="Times New Roman" w:hAnsi="Times New Roman"/>
          <w:sz w:val="24"/>
          <w:szCs w:val="24"/>
          <w:lang w:eastAsia="pt-BR"/>
        </w:rPr>
        <w:t xml:space="preserve">. </w:t>
      </w:r>
      <w:r w:rsidRPr="00D6228A">
        <w:rPr>
          <w:rFonts w:ascii="Times New Roman" w:hAnsi="Times New Roman"/>
          <w:b/>
          <w:iCs/>
          <w:color w:val="000000"/>
          <w:sz w:val="24"/>
          <w:szCs w:val="24"/>
          <w:lang w:val="en-US" w:eastAsia="pt-BR"/>
        </w:rPr>
        <w:t>Economia Aplicada</w:t>
      </w:r>
      <w:r w:rsidRPr="00D6228A">
        <w:rPr>
          <w:rFonts w:ascii="Times New Roman" w:hAnsi="Times New Roman"/>
          <w:color w:val="000000"/>
          <w:sz w:val="24"/>
          <w:szCs w:val="24"/>
          <w:lang w:val="en-US" w:eastAsia="pt-BR"/>
        </w:rPr>
        <w:t>, v. 14, n. 2,  pp. 251-</w:t>
      </w:r>
      <w:r w:rsidRPr="00D6228A">
        <w:rPr>
          <w:rFonts w:ascii="Times New Roman" w:hAnsi="Times New Roman"/>
          <w:color w:val="000080"/>
          <w:sz w:val="24"/>
          <w:szCs w:val="24"/>
          <w:lang w:val="en-US" w:eastAsia="pt-BR"/>
        </w:rPr>
        <w:t xml:space="preserve">260, </w:t>
      </w:r>
      <w:r w:rsidRPr="00D6228A">
        <w:rPr>
          <w:rFonts w:ascii="Times New Roman" w:hAnsi="Times New Roman"/>
          <w:color w:val="000000"/>
          <w:sz w:val="24"/>
          <w:szCs w:val="24"/>
          <w:lang w:val="en-US" w:eastAsia="pt-BR"/>
        </w:rPr>
        <w:t>2010.</w:t>
      </w:r>
    </w:p>
    <w:p w:rsidR="001F5E0A" w:rsidRPr="00D6228A" w:rsidRDefault="001F5E0A" w:rsidP="00C01761">
      <w:pPr>
        <w:spacing w:after="0" w:line="240" w:lineRule="auto"/>
        <w:jc w:val="both"/>
        <w:rPr>
          <w:rFonts w:ascii="Times New Roman" w:hAnsi="Times New Roman"/>
          <w:sz w:val="24"/>
          <w:szCs w:val="24"/>
          <w:lang w:val="en-US"/>
        </w:rPr>
      </w:pPr>
    </w:p>
    <w:p w:rsidR="00C01761" w:rsidRPr="00C01761" w:rsidRDefault="00C01761" w:rsidP="00C01761">
      <w:pPr>
        <w:autoSpaceDE w:val="0"/>
        <w:autoSpaceDN w:val="0"/>
        <w:adjustRightInd w:val="0"/>
        <w:spacing w:after="0" w:line="240" w:lineRule="auto"/>
        <w:jc w:val="both"/>
        <w:rPr>
          <w:rFonts w:ascii="Times New Roman" w:hAnsi="Times New Roman"/>
          <w:sz w:val="24"/>
          <w:szCs w:val="24"/>
        </w:rPr>
      </w:pPr>
      <w:r w:rsidRPr="00C01761">
        <w:rPr>
          <w:rFonts w:ascii="Times New Roman" w:hAnsi="Times New Roman"/>
          <w:sz w:val="24"/>
          <w:szCs w:val="24"/>
          <w:lang w:val="en-US"/>
        </w:rPr>
        <w:t xml:space="preserve">CHEN, Y.; ROGOFF, K. </w:t>
      </w:r>
      <w:r w:rsidRPr="00982CFA">
        <w:rPr>
          <w:rFonts w:ascii="Times New Roman" w:hAnsi="Times New Roman"/>
          <w:b/>
          <w:sz w:val="24"/>
          <w:szCs w:val="24"/>
          <w:lang w:val="en-US"/>
        </w:rPr>
        <w:t>Commodity Currency and Empirical Exchange Rate Puzzles</w:t>
      </w:r>
      <w:r w:rsidRPr="00C01761">
        <w:rPr>
          <w:rFonts w:ascii="Times New Roman" w:hAnsi="Times New Roman"/>
          <w:sz w:val="24"/>
          <w:szCs w:val="24"/>
          <w:lang w:val="en-US"/>
        </w:rPr>
        <w:t xml:space="preserve">. </w:t>
      </w:r>
      <w:r w:rsidRPr="00C01761">
        <w:rPr>
          <w:rFonts w:ascii="Times New Roman" w:hAnsi="Times New Roman"/>
          <w:sz w:val="24"/>
          <w:szCs w:val="24"/>
        </w:rPr>
        <w:t xml:space="preserve">IMF Working Paper No. 02/27, February, 2002. Disponível em:  </w:t>
      </w:r>
      <w:hyperlink r:id="rId22" w:history="1">
        <w:r w:rsidRPr="00C01761">
          <w:rPr>
            <w:rStyle w:val="Hyperlink"/>
            <w:rFonts w:ascii="Times New Roman" w:hAnsi="Times New Roman"/>
            <w:sz w:val="24"/>
            <w:szCs w:val="24"/>
          </w:rPr>
          <w:t>http://www.imf.org/eXternal/pubs/ft/wp/2002/wp0227.pdf</w:t>
        </w:r>
      </w:hyperlink>
      <w:r w:rsidR="00982CFA">
        <w:rPr>
          <w:rFonts w:ascii="Times New Roman" w:hAnsi="Times New Roman"/>
          <w:sz w:val="24"/>
          <w:szCs w:val="24"/>
        </w:rPr>
        <w:t>. Acesso em Março de 2013</w:t>
      </w:r>
      <w:r w:rsidRPr="00C01761">
        <w:rPr>
          <w:rFonts w:ascii="Times New Roman" w:hAnsi="Times New Roman"/>
          <w:sz w:val="24"/>
          <w:szCs w:val="24"/>
        </w:rPr>
        <w:t>.</w:t>
      </w:r>
    </w:p>
    <w:p w:rsidR="00C01761" w:rsidRPr="00D62966" w:rsidRDefault="00C01761" w:rsidP="00C01761">
      <w:pPr>
        <w:spacing w:after="0" w:line="240" w:lineRule="auto"/>
        <w:jc w:val="both"/>
        <w:rPr>
          <w:rFonts w:ascii="Times New Roman" w:hAnsi="Times New Roman"/>
          <w:sz w:val="24"/>
          <w:szCs w:val="24"/>
        </w:rPr>
      </w:pPr>
    </w:p>
    <w:p w:rsidR="00C01761" w:rsidRPr="00DD19DD" w:rsidRDefault="00C01761" w:rsidP="00DD19DD">
      <w:pPr>
        <w:spacing w:after="0" w:line="240" w:lineRule="auto"/>
        <w:jc w:val="both"/>
        <w:rPr>
          <w:rFonts w:ascii="Times New Roman" w:hAnsi="Times New Roman"/>
          <w:sz w:val="24"/>
          <w:szCs w:val="24"/>
          <w:lang w:val="en-US"/>
        </w:rPr>
      </w:pPr>
      <w:r w:rsidRPr="00C01761">
        <w:rPr>
          <w:rFonts w:ascii="Times New Roman" w:hAnsi="Times New Roman"/>
          <w:sz w:val="24"/>
          <w:szCs w:val="24"/>
          <w:lang w:val="en-US"/>
        </w:rPr>
        <w:t xml:space="preserve">CLEMENTS, K. W.; FRY, R. </w:t>
      </w:r>
      <w:r w:rsidRPr="00DD19DD">
        <w:rPr>
          <w:rFonts w:ascii="Times New Roman" w:hAnsi="Times New Roman"/>
          <w:b/>
          <w:sz w:val="24"/>
          <w:szCs w:val="24"/>
          <w:lang w:val="en-US"/>
        </w:rPr>
        <w:t>Commodity Currencies and Currency Commodities</w:t>
      </w:r>
      <w:r w:rsidRPr="00C01761">
        <w:rPr>
          <w:rFonts w:ascii="Times New Roman" w:hAnsi="Times New Roman"/>
          <w:sz w:val="24"/>
          <w:szCs w:val="24"/>
          <w:lang w:val="en-US"/>
        </w:rPr>
        <w:t xml:space="preserve">. Economics Discussion / Working Papers 06-17, The University of Western Australia, </w:t>
      </w:r>
      <w:r w:rsidRPr="00DD19DD">
        <w:rPr>
          <w:rFonts w:ascii="Times New Roman" w:hAnsi="Times New Roman"/>
          <w:sz w:val="24"/>
          <w:szCs w:val="24"/>
          <w:lang w:val="en-US"/>
        </w:rPr>
        <w:t xml:space="preserve">Department of Economics, July, 2006. </w:t>
      </w:r>
      <w:r w:rsidRPr="00DD19DD">
        <w:rPr>
          <w:rFonts w:ascii="Times New Roman" w:hAnsi="Times New Roman"/>
          <w:sz w:val="24"/>
          <w:szCs w:val="24"/>
        </w:rPr>
        <w:t xml:space="preserve">Disponível em: </w:t>
      </w:r>
      <w:hyperlink r:id="rId23" w:history="1">
        <w:r w:rsidRPr="00DD19DD">
          <w:rPr>
            <w:rStyle w:val="Hyperlink"/>
            <w:rFonts w:ascii="Times New Roman" w:hAnsi="Times New Roman"/>
            <w:sz w:val="24"/>
            <w:szCs w:val="24"/>
          </w:rPr>
          <w:t>http://ideas.repec.org/p/uwa/wpaper/06-17.html</w:t>
        </w:r>
      </w:hyperlink>
      <w:r w:rsidRPr="00DD19DD">
        <w:rPr>
          <w:rFonts w:ascii="Times New Roman" w:hAnsi="Times New Roman"/>
          <w:sz w:val="24"/>
          <w:szCs w:val="24"/>
        </w:rPr>
        <w:t xml:space="preserve">. </w:t>
      </w:r>
      <w:r w:rsidR="005D6F49" w:rsidRPr="00DD19DD">
        <w:rPr>
          <w:rFonts w:ascii="Times New Roman" w:hAnsi="Times New Roman"/>
          <w:sz w:val="24"/>
          <w:szCs w:val="24"/>
          <w:lang w:val="en-US"/>
        </w:rPr>
        <w:t>Acesso em M</w:t>
      </w:r>
      <w:r w:rsidR="00982CFA">
        <w:rPr>
          <w:rFonts w:ascii="Times New Roman" w:hAnsi="Times New Roman"/>
          <w:sz w:val="24"/>
          <w:szCs w:val="24"/>
          <w:lang w:val="en-US"/>
        </w:rPr>
        <w:t>arço de 2013</w:t>
      </w:r>
      <w:r w:rsidR="005D6F49" w:rsidRPr="00DD19DD">
        <w:rPr>
          <w:rFonts w:ascii="Times New Roman" w:hAnsi="Times New Roman"/>
          <w:sz w:val="24"/>
          <w:szCs w:val="24"/>
          <w:lang w:val="en-US"/>
        </w:rPr>
        <w:t>.</w:t>
      </w:r>
    </w:p>
    <w:p w:rsidR="00C01761" w:rsidRDefault="00C01761" w:rsidP="00DD19DD">
      <w:pPr>
        <w:spacing w:after="0" w:line="240" w:lineRule="auto"/>
        <w:jc w:val="both"/>
        <w:rPr>
          <w:rFonts w:ascii="Times New Roman" w:hAnsi="Times New Roman"/>
          <w:sz w:val="24"/>
          <w:szCs w:val="24"/>
          <w:lang w:val="en-US"/>
        </w:rPr>
      </w:pPr>
    </w:p>
    <w:p w:rsidR="00CB5BD5" w:rsidRDefault="00CB5BD5" w:rsidP="00CB5BD5">
      <w:pPr>
        <w:spacing w:after="0" w:line="240" w:lineRule="auto"/>
        <w:jc w:val="both"/>
        <w:rPr>
          <w:rFonts w:ascii="Times New Roman" w:hAnsi="Times New Roman"/>
          <w:noProof/>
          <w:sz w:val="24"/>
          <w:szCs w:val="24"/>
          <w:lang w:val="en-GB"/>
        </w:rPr>
      </w:pPr>
      <w:r w:rsidRPr="00CB5BD5">
        <w:rPr>
          <w:rFonts w:ascii="Times New Roman" w:hAnsi="Times New Roman"/>
          <w:noProof/>
          <w:sz w:val="24"/>
          <w:szCs w:val="24"/>
          <w:lang w:val="en-GB"/>
        </w:rPr>
        <w:t xml:space="preserve">COMBES, J.-L., KINDA, </w:t>
      </w:r>
      <w:r>
        <w:rPr>
          <w:rFonts w:ascii="Times New Roman" w:hAnsi="Times New Roman"/>
          <w:noProof/>
          <w:sz w:val="24"/>
          <w:szCs w:val="24"/>
          <w:lang w:val="en-GB"/>
        </w:rPr>
        <w:t xml:space="preserve">T., </w:t>
      </w:r>
      <w:r w:rsidRPr="00CB5BD5">
        <w:rPr>
          <w:rFonts w:ascii="Times New Roman" w:hAnsi="Times New Roman"/>
          <w:noProof/>
          <w:sz w:val="24"/>
          <w:szCs w:val="24"/>
          <w:lang w:val="en-GB"/>
        </w:rPr>
        <w:t xml:space="preserve">PLANE, P. </w:t>
      </w:r>
      <w:r w:rsidRPr="00CB5BD5">
        <w:rPr>
          <w:rFonts w:ascii="Times New Roman" w:hAnsi="Times New Roman"/>
          <w:b/>
          <w:noProof/>
          <w:sz w:val="24"/>
          <w:szCs w:val="24"/>
          <w:lang w:val="en-GB"/>
        </w:rPr>
        <w:t>Capital Flows and their Impact on the Real Effective Exchange Rate</w:t>
      </w:r>
      <w:r w:rsidRPr="00CB5BD5">
        <w:rPr>
          <w:rFonts w:ascii="Times New Roman" w:hAnsi="Times New Roman"/>
          <w:noProof/>
          <w:sz w:val="24"/>
          <w:szCs w:val="24"/>
          <w:lang w:val="en-GB"/>
        </w:rPr>
        <w:t>. IMF Working Paper 9</w:t>
      </w:r>
      <w:r>
        <w:rPr>
          <w:rFonts w:ascii="Times New Roman" w:hAnsi="Times New Roman"/>
          <w:noProof/>
          <w:sz w:val="24"/>
          <w:szCs w:val="24"/>
          <w:lang w:val="en-GB"/>
        </w:rPr>
        <w:t xml:space="preserve">, </w:t>
      </w:r>
      <w:r w:rsidRPr="00CB5BD5">
        <w:rPr>
          <w:rFonts w:ascii="Times New Roman" w:hAnsi="Times New Roman"/>
          <w:noProof/>
          <w:sz w:val="24"/>
          <w:szCs w:val="24"/>
          <w:lang w:val="en-GB"/>
        </w:rPr>
        <w:t>2011.</w:t>
      </w:r>
    </w:p>
    <w:p w:rsidR="00B2433C" w:rsidRDefault="007F2332" w:rsidP="00B2433C">
      <w:pPr>
        <w:spacing w:after="0" w:line="240" w:lineRule="auto"/>
        <w:jc w:val="both"/>
        <w:rPr>
          <w:rFonts w:ascii="Times New Roman" w:hAnsi="Times New Roman"/>
          <w:sz w:val="24"/>
          <w:szCs w:val="24"/>
        </w:rPr>
      </w:pPr>
      <w:r w:rsidRPr="00DD19DD">
        <w:rPr>
          <w:rFonts w:ascii="Times New Roman" w:hAnsi="Times New Roman"/>
          <w:sz w:val="24"/>
          <w:szCs w:val="24"/>
          <w:lang w:val="en-US"/>
        </w:rPr>
        <w:lastRenderedPageBreak/>
        <w:t xml:space="preserve">ENDERS, W. </w:t>
      </w:r>
      <w:r w:rsidRPr="00DD19DD">
        <w:rPr>
          <w:rFonts w:ascii="Times New Roman" w:hAnsi="Times New Roman"/>
          <w:b/>
          <w:sz w:val="24"/>
          <w:szCs w:val="24"/>
          <w:lang w:val="en-US"/>
        </w:rPr>
        <w:t>Applied Econometric Time Series</w:t>
      </w:r>
      <w:r w:rsidRPr="00DD19DD">
        <w:rPr>
          <w:rFonts w:ascii="Times New Roman" w:hAnsi="Times New Roman"/>
          <w:sz w:val="24"/>
          <w:szCs w:val="24"/>
          <w:lang w:val="en-US"/>
        </w:rPr>
        <w:t>. New York, 2</w:t>
      </w:r>
      <w:r w:rsidRPr="00DD19DD">
        <w:rPr>
          <w:rFonts w:ascii="Times New Roman" w:hAnsi="Times New Roman"/>
          <w:sz w:val="24"/>
          <w:szCs w:val="24"/>
          <w:vertAlign w:val="superscript"/>
          <w:lang w:val="en-US"/>
        </w:rPr>
        <w:t>nd</w:t>
      </w:r>
      <w:r w:rsidRPr="00DD19DD">
        <w:rPr>
          <w:rFonts w:ascii="Times New Roman" w:hAnsi="Times New Roman"/>
          <w:sz w:val="24"/>
          <w:szCs w:val="24"/>
          <w:lang w:val="en-US"/>
        </w:rPr>
        <w:t xml:space="preserve"> ed. </w:t>
      </w:r>
      <w:r w:rsidRPr="00D6228A">
        <w:rPr>
          <w:rFonts w:ascii="Times New Roman" w:hAnsi="Times New Roman"/>
          <w:sz w:val="24"/>
          <w:szCs w:val="24"/>
          <w:lang w:val="en-US"/>
        </w:rPr>
        <w:t xml:space="preserve">Wiley. </w:t>
      </w:r>
      <w:r w:rsidRPr="00DD19DD">
        <w:rPr>
          <w:rFonts w:ascii="Times New Roman" w:hAnsi="Times New Roman"/>
          <w:sz w:val="24"/>
          <w:szCs w:val="24"/>
        </w:rPr>
        <w:t>2004.</w:t>
      </w:r>
    </w:p>
    <w:p w:rsidR="00B2433C" w:rsidRDefault="00B2433C" w:rsidP="00B2433C">
      <w:pPr>
        <w:spacing w:after="0" w:line="240" w:lineRule="auto"/>
        <w:jc w:val="both"/>
        <w:rPr>
          <w:rFonts w:ascii="Times New Roman" w:hAnsi="Times New Roman"/>
          <w:sz w:val="24"/>
          <w:szCs w:val="24"/>
        </w:rPr>
      </w:pPr>
    </w:p>
    <w:p w:rsidR="00C01761" w:rsidRPr="00FC2F41" w:rsidRDefault="00C01761" w:rsidP="00B2433C">
      <w:pPr>
        <w:spacing w:line="240" w:lineRule="auto"/>
        <w:jc w:val="both"/>
        <w:rPr>
          <w:rFonts w:ascii="Times New Roman" w:hAnsi="Times New Roman"/>
          <w:sz w:val="24"/>
          <w:szCs w:val="24"/>
          <w:lang w:val="en-US"/>
        </w:rPr>
      </w:pPr>
      <w:r w:rsidRPr="00DD19DD">
        <w:rPr>
          <w:rFonts w:ascii="Times New Roman" w:hAnsi="Times New Roman"/>
          <w:sz w:val="24"/>
          <w:szCs w:val="24"/>
        </w:rPr>
        <w:t xml:space="preserve">FERNANDEZ, C. Y. H. </w:t>
      </w:r>
      <w:r w:rsidRPr="00DD19DD">
        <w:rPr>
          <w:rFonts w:ascii="Times New Roman" w:hAnsi="Times New Roman"/>
          <w:b/>
          <w:sz w:val="24"/>
          <w:szCs w:val="24"/>
        </w:rPr>
        <w:t>Câmbio Real e Preços de Commodities: Relação Identificada Através da Mudança de Regime Cambial.</w:t>
      </w:r>
      <w:r w:rsidRPr="00DD19DD">
        <w:rPr>
          <w:rFonts w:ascii="Times New Roman" w:hAnsi="Times New Roman"/>
          <w:sz w:val="24"/>
          <w:szCs w:val="24"/>
        </w:rPr>
        <w:t xml:space="preserve"> Rio de Janeiro. Dissertação de Mestrado.</w:t>
      </w:r>
      <w:r w:rsidRPr="00C01761">
        <w:rPr>
          <w:rFonts w:ascii="Times New Roman" w:hAnsi="Times New Roman"/>
          <w:sz w:val="24"/>
          <w:szCs w:val="24"/>
        </w:rPr>
        <w:t xml:space="preserve"> Pontifícia Universidade Católica. Departamento de Economia. </w:t>
      </w:r>
      <w:r w:rsidRPr="00C01761">
        <w:rPr>
          <w:rFonts w:ascii="Times New Roman" w:hAnsi="Times New Roman"/>
          <w:sz w:val="24"/>
          <w:szCs w:val="24"/>
          <w:lang w:val="en-US"/>
        </w:rPr>
        <w:t>86p. 2003.</w:t>
      </w:r>
    </w:p>
    <w:p w:rsidR="00C01761" w:rsidRDefault="00C01761" w:rsidP="00C01761">
      <w:pPr>
        <w:spacing w:after="0" w:line="240" w:lineRule="auto"/>
        <w:jc w:val="both"/>
        <w:rPr>
          <w:rFonts w:ascii="Times New Roman" w:hAnsi="Times New Roman"/>
          <w:sz w:val="24"/>
          <w:szCs w:val="24"/>
          <w:lang w:val="en-US"/>
        </w:rPr>
      </w:pPr>
    </w:p>
    <w:p w:rsidR="00900C07" w:rsidRPr="00D6228A" w:rsidRDefault="00900C07" w:rsidP="00C01761">
      <w:pPr>
        <w:spacing w:after="0" w:line="240" w:lineRule="auto"/>
        <w:jc w:val="both"/>
        <w:rPr>
          <w:rFonts w:ascii="Times New Roman" w:hAnsi="Times New Roman"/>
          <w:sz w:val="24"/>
          <w:szCs w:val="24"/>
          <w:lang w:val="en-US"/>
        </w:rPr>
      </w:pPr>
      <w:r w:rsidRPr="00C01761">
        <w:rPr>
          <w:rFonts w:ascii="Times New Roman" w:hAnsi="Times New Roman"/>
          <w:sz w:val="24"/>
          <w:szCs w:val="24"/>
          <w:lang w:val="en-US"/>
        </w:rPr>
        <w:t xml:space="preserve">FRENKEL, R.; RAPETTI, M. External Fragility or Deindustrialization: What is the Main Threat to Latin American Countries in the 2010s? </w:t>
      </w:r>
      <w:r w:rsidRPr="00D6228A">
        <w:rPr>
          <w:rFonts w:ascii="Times New Roman" w:hAnsi="Times New Roman"/>
          <w:b/>
          <w:sz w:val="24"/>
          <w:szCs w:val="24"/>
          <w:lang w:val="en-US"/>
        </w:rPr>
        <w:t>World Economic Review</w:t>
      </w:r>
      <w:r w:rsidRPr="00D6228A">
        <w:rPr>
          <w:rFonts w:ascii="Times New Roman" w:hAnsi="Times New Roman"/>
          <w:sz w:val="24"/>
          <w:szCs w:val="24"/>
          <w:lang w:val="en-US"/>
        </w:rPr>
        <w:t>, Vol</w:t>
      </w:r>
      <w:r w:rsidR="0057090A" w:rsidRPr="00D6228A">
        <w:rPr>
          <w:rFonts w:ascii="Times New Roman" w:hAnsi="Times New Roman"/>
          <w:sz w:val="24"/>
          <w:szCs w:val="24"/>
          <w:lang w:val="en-US"/>
        </w:rPr>
        <w:t>.</w:t>
      </w:r>
      <w:r w:rsidRPr="00D6228A">
        <w:rPr>
          <w:rFonts w:ascii="Times New Roman" w:hAnsi="Times New Roman"/>
          <w:sz w:val="24"/>
          <w:szCs w:val="24"/>
          <w:lang w:val="en-US"/>
        </w:rPr>
        <w:t xml:space="preserve"> 1: 37-57, 2012.</w:t>
      </w:r>
    </w:p>
    <w:p w:rsidR="004F5E88" w:rsidRPr="00D6228A" w:rsidRDefault="004F5E88" w:rsidP="006E41E7">
      <w:pPr>
        <w:spacing w:after="0" w:line="240" w:lineRule="auto"/>
        <w:jc w:val="both"/>
        <w:rPr>
          <w:rFonts w:ascii="Times New Roman" w:hAnsi="Times New Roman"/>
          <w:sz w:val="24"/>
          <w:szCs w:val="24"/>
          <w:lang w:val="en-US"/>
        </w:rPr>
      </w:pPr>
    </w:p>
    <w:p w:rsidR="00CB5BD5" w:rsidRPr="00CB5BD5" w:rsidRDefault="00CB5BD5" w:rsidP="00CB5BD5">
      <w:pPr>
        <w:spacing w:after="0" w:line="240" w:lineRule="auto"/>
        <w:jc w:val="both"/>
        <w:rPr>
          <w:rFonts w:ascii="Times New Roman" w:hAnsi="Times New Roman"/>
          <w:noProof/>
          <w:sz w:val="24"/>
          <w:szCs w:val="24"/>
          <w:lang w:val="en-GB"/>
        </w:rPr>
      </w:pPr>
      <w:r w:rsidRPr="00CB5BD5">
        <w:rPr>
          <w:rFonts w:ascii="Times New Roman" w:hAnsi="Times New Roman"/>
          <w:noProof/>
          <w:sz w:val="24"/>
          <w:szCs w:val="24"/>
          <w:lang w:val="en-GB"/>
        </w:rPr>
        <w:t xml:space="preserve">IBARRA, C.A. Capital Flows and Real Exchange Rate Appreciation in Mexico. </w:t>
      </w:r>
      <w:r w:rsidRPr="00CB5BD5">
        <w:rPr>
          <w:rFonts w:ascii="Times New Roman" w:hAnsi="Times New Roman"/>
          <w:b/>
          <w:noProof/>
          <w:sz w:val="24"/>
          <w:szCs w:val="24"/>
          <w:lang w:val="en-GB"/>
        </w:rPr>
        <w:t>World Development</w:t>
      </w:r>
      <w:r w:rsidRPr="00CB5BD5">
        <w:rPr>
          <w:rFonts w:ascii="Times New Roman" w:hAnsi="Times New Roman"/>
          <w:noProof/>
          <w:sz w:val="24"/>
          <w:szCs w:val="24"/>
          <w:lang w:val="en-GB"/>
        </w:rPr>
        <w:t xml:space="preserve"> 39, 2080-2090</w:t>
      </w:r>
      <w:r>
        <w:rPr>
          <w:rFonts w:ascii="Times New Roman" w:hAnsi="Times New Roman"/>
          <w:noProof/>
          <w:sz w:val="24"/>
          <w:szCs w:val="24"/>
          <w:lang w:val="en-GB"/>
        </w:rPr>
        <w:t xml:space="preserve">, </w:t>
      </w:r>
      <w:r w:rsidRPr="00CB5BD5">
        <w:rPr>
          <w:rFonts w:ascii="Times New Roman" w:hAnsi="Times New Roman"/>
          <w:noProof/>
          <w:sz w:val="24"/>
          <w:szCs w:val="24"/>
          <w:lang w:val="en-GB"/>
        </w:rPr>
        <w:t xml:space="preserve">2011. </w:t>
      </w:r>
    </w:p>
    <w:p w:rsidR="00CB5BD5" w:rsidRPr="00CB5BD5" w:rsidRDefault="00CB5BD5" w:rsidP="006E41E7">
      <w:pPr>
        <w:spacing w:after="0" w:line="240" w:lineRule="auto"/>
        <w:jc w:val="both"/>
        <w:rPr>
          <w:rFonts w:ascii="Times New Roman" w:hAnsi="Times New Roman"/>
          <w:sz w:val="24"/>
          <w:szCs w:val="24"/>
          <w:lang w:val="en-US"/>
        </w:rPr>
      </w:pPr>
    </w:p>
    <w:p w:rsidR="00BD7DF8" w:rsidRPr="001E7805" w:rsidRDefault="00BD7DF8" w:rsidP="00BD7DF8">
      <w:pPr>
        <w:spacing w:after="0" w:line="240" w:lineRule="auto"/>
        <w:jc w:val="both"/>
        <w:rPr>
          <w:rFonts w:ascii="Times New Roman" w:hAnsi="Times New Roman"/>
          <w:sz w:val="24"/>
          <w:szCs w:val="24"/>
          <w:lang w:val="en-US"/>
        </w:rPr>
      </w:pPr>
      <w:r w:rsidRPr="00670CAF">
        <w:rPr>
          <w:rFonts w:ascii="Times New Roman" w:hAnsi="Times New Roman"/>
          <w:sz w:val="24"/>
          <w:szCs w:val="24"/>
        </w:rPr>
        <w:t xml:space="preserve">IBGE. Instituto Brasileiro de Geografia e Estatística. </w:t>
      </w:r>
      <w:r w:rsidRPr="00670CAF">
        <w:rPr>
          <w:rFonts w:ascii="Times New Roman" w:hAnsi="Times New Roman"/>
          <w:b/>
          <w:sz w:val="24"/>
          <w:szCs w:val="24"/>
        </w:rPr>
        <w:t xml:space="preserve">Indicadores. </w:t>
      </w:r>
      <w:r w:rsidRPr="00111FA9">
        <w:rPr>
          <w:rFonts w:ascii="Times New Roman" w:hAnsi="Times New Roman"/>
          <w:sz w:val="24"/>
          <w:szCs w:val="24"/>
        </w:rPr>
        <w:t xml:space="preserve">Pesquisa Industrial Mensal – Produção Física. </w:t>
      </w:r>
      <w:r w:rsidRPr="00670CAF">
        <w:rPr>
          <w:rFonts w:ascii="Times New Roman" w:hAnsi="Times New Roman"/>
          <w:sz w:val="24"/>
          <w:szCs w:val="24"/>
        </w:rPr>
        <w:t>Disponível em:</w:t>
      </w:r>
      <w:r>
        <w:rPr>
          <w:rFonts w:ascii="Times New Roman" w:hAnsi="Times New Roman"/>
          <w:sz w:val="24"/>
          <w:szCs w:val="24"/>
        </w:rPr>
        <w:t xml:space="preserve"> </w:t>
      </w:r>
      <w:hyperlink r:id="rId24" w:history="1">
        <w:r w:rsidRPr="004B55D2">
          <w:rPr>
            <w:rStyle w:val="Hyperlink"/>
            <w:rFonts w:ascii="Times New Roman" w:hAnsi="Times New Roman"/>
            <w:sz w:val="24"/>
            <w:szCs w:val="24"/>
          </w:rPr>
          <w:t>http://www.sidra.ibge.gov.br/bda/acervo/acervo2.asp?e=c&amp;p=PZ&amp;v=28&amp;z=t&amp;o=22</w:t>
        </w:r>
      </w:hyperlink>
      <w:r>
        <w:rPr>
          <w:rFonts w:ascii="Times New Roman" w:hAnsi="Times New Roman"/>
          <w:sz w:val="24"/>
          <w:szCs w:val="24"/>
        </w:rPr>
        <w:t>.</w:t>
      </w:r>
      <w:r w:rsidR="00DD19DD">
        <w:rPr>
          <w:rFonts w:ascii="Times New Roman" w:hAnsi="Times New Roman"/>
          <w:sz w:val="24"/>
          <w:szCs w:val="24"/>
        </w:rPr>
        <w:t xml:space="preserve"> </w:t>
      </w:r>
      <w:r w:rsidR="005D6F49" w:rsidRPr="001E7805">
        <w:rPr>
          <w:rFonts w:ascii="Times New Roman" w:hAnsi="Times New Roman"/>
          <w:sz w:val="24"/>
          <w:szCs w:val="24"/>
          <w:lang w:val="en-US"/>
        </w:rPr>
        <w:t>Acesso em Março de 2013.</w:t>
      </w:r>
    </w:p>
    <w:p w:rsidR="00BD7DF8" w:rsidRPr="001E7805" w:rsidRDefault="00BD7DF8" w:rsidP="00BD7DF8">
      <w:pPr>
        <w:spacing w:after="0" w:line="240" w:lineRule="auto"/>
        <w:jc w:val="both"/>
        <w:rPr>
          <w:rFonts w:ascii="Times New Roman" w:hAnsi="Times New Roman"/>
          <w:sz w:val="24"/>
          <w:szCs w:val="24"/>
          <w:lang w:val="en-US"/>
        </w:rPr>
      </w:pPr>
    </w:p>
    <w:p w:rsidR="00BD7DF8" w:rsidRPr="001E7805" w:rsidRDefault="005D6F49" w:rsidP="00BD7DF8">
      <w:pPr>
        <w:spacing w:after="0" w:line="240" w:lineRule="auto"/>
        <w:jc w:val="both"/>
        <w:rPr>
          <w:rFonts w:ascii="Times New Roman" w:hAnsi="Times New Roman"/>
          <w:sz w:val="24"/>
          <w:szCs w:val="24"/>
          <w:lang w:val="en-US"/>
        </w:rPr>
      </w:pPr>
      <w:r w:rsidRPr="001E7805">
        <w:rPr>
          <w:rFonts w:ascii="Times New Roman" w:hAnsi="Times New Roman"/>
          <w:sz w:val="24"/>
          <w:szCs w:val="24"/>
          <w:lang w:val="en-US"/>
        </w:rPr>
        <w:t xml:space="preserve">IFS. </w:t>
      </w:r>
      <w:r w:rsidRPr="001E7805">
        <w:rPr>
          <w:rFonts w:ascii="Times New Roman" w:hAnsi="Times New Roman"/>
          <w:b/>
          <w:sz w:val="24"/>
          <w:szCs w:val="24"/>
          <w:lang w:val="en-US"/>
        </w:rPr>
        <w:t>International Financial Statistics Database.</w:t>
      </w:r>
      <w:r w:rsidRPr="001E7805">
        <w:rPr>
          <w:rFonts w:ascii="Times New Roman" w:hAnsi="Times New Roman"/>
          <w:sz w:val="24"/>
          <w:szCs w:val="24"/>
          <w:lang w:val="en-US"/>
        </w:rPr>
        <w:t xml:space="preserve"> CD-ROM, International Monetary Fund (IMF), Washington, DC, February, 2013.</w:t>
      </w:r>
    </w:p>
    <w:p w:rsidR="00BD7DF8" w:rsidRDefault="00BD7DF8" w:rsidP="00BD7DF8">
      <w:pPr>
        <w:spacing w:after="0" w:line="240" w:lineRule="auto"/>
        <w:jc w:val="both"/>
        <w:rPr>
          <w:rFonts w:ascii="Times New Roman" w:hAnsi="Times New Roman"/>
          <w:sz w:val="24"/>
          <w:szCs w:val="24"/>
          <w:lang w:val="en-US"/>
        </w:rPr>
      </w:pPr>
    </w:p>
    <w:p w:rsidR="00C0740F" w:rsidRDefault="00C0740F" w:rsidP="00C0740F">
      <w:pPr>
        <w:spacing w:line="240" w:lineRule="auto"/>
        <w:jc w:val="both"/>
        <w:rPr>
          <w:rFonts w:ascii="Times New Roman" w:hAnsi="Times New Roman"/>
          <w:sz w:val="24"/>
          <w:szCs w:val="24"/>
          <w:lang w:val="en-US"/>
        </w:rPr>
      </w:pPr>
      <w:r>
        <w:rPr>
          <w:rFonts w:ascii="Times New Roman" w:hAnsi="Times New Roman"/>
          <w:sz w:val="24"/>
          <w:szCs w:val="24"/>
          <w:lang w:val="en-US"/>
        </w:rPr>
        <w:t>IMF</w:t>
      </w:r>
      <w:r w:rsidRPr="0025613A">
        <w:rPr>
          <w:rFonts w:ascii="Times New Roman" w:hAnsi="Times New Roman"/>
          <w:sz w:val="24"/>
          <w:szCs w:val="24"/>
          <w:lang w:val="en-US"/>
        </w:rPr>
        <w:t xml:space="preserve">. </w:t>
      </w:r>
      <w:r w:rsidRPr="0025613A">
        <w:rPr>
          <w:rFonts w:ascii="Times New Roman" w:hAnsi="Times New Roman"/>
          <w:b/>
          <w:sz w:val="24"/>
          <w:szCs w:val="24"/>
          <w:lang w:val="en-US"/>
        </w:rPr>
        <w:t>Global financial stability report: market developments and issues</w:t>
      </w:r>
      <w:r w:rsidRPr="0025613A">
        <w:rPr>
          <w:rFonts w:ascii="Times New Roman" w:hAnsi="Times New Roman"/>
          <w:i/>
          <w:sz w:val="24"/>
          <w:szCs w:val="24"/>
          <w:lang w:val="en-US"/>
        </w:rPr>
        <w:t>.</w:t>
      </w:r>
      <w:r w:rsidRPr="0025613A">
        <w:rPr>
          <w:rFonts w:ascii="Times New Roman" w:hAnsi="Times New Roman"/>
          <w:sz w:val="24"/>
          <w:szCs w:val="24"/>
          <w:lang w:val="en-US"/>
        </w:rPr>
        <w:t xml:space="preserve"> Washington, DC: IMF, april</w:t>
      </w:r>
      <w:r>
        <w:rPr>
          <w:rFonts w:ascii="Times New Roman" w:hAnsi="Times New Roman"/>
          <w:sz w:val="24"/>
          <w:szCs w:val="24"/>
          <w:lang w:val="en-US"/>
        </w:rPr>
        <w:t xml:space="preserve">, </w:t>
      </w:r>
      <w:r w:rsidRPr="0025613A">
        <w:rPr>
          <w:rFonts w:ascii="Times New Roman" w:hAnsi="Times New Roman"/>
          <w:sz w:val="24"/>
          <w:szCs w:val="24"/>
          <w:lang w:val="en-US"/>
        </w:rPr>
        <w:t xml:space="preserve">2003. </w:t>
      </w:r>
    </w:p>
    <w:p w:rsidR="00C0740F" w:rsidRPr="0025613A" w:rsidRDefault="00C0740F" w:rsidP="00C0740F">
      <w:pPr>
        <w:autoSpaceDE w:val="0"/>
        <w:autoSpaceDN w:val="0"/>
        <w:adjustRightInd w:val="0"/>
        <w:spacing w:line="240" w:lineRule="auto"/>
        <w:jc w:val="both"/>
        <w:rPr>
          <w:rFonts w:ascii="Times New Roman" w:hAnsi="Times New Roman"/>
          <w:sz w:val="24"/>
          <w:szCs w:val="24"/>
          <w:lang w:val="en-US"/>
        </w:rPr>
      </w:pPr>
      <w:r w:rsidRPr="0025613A">
        <w:rPr>
          <w:rFonts w:ascii="Times New Roman" w:hAnsi="Times New Roman"/>
          <w:sz w:val="24"/>
          <w:szCs w:val="24"/>
          <w:lang w:val="en-US"/>
        </w:rPr>
        <w:t xml:space="preserve">__________ . </w:t>
      </w:r>
      <w:r w:rsidRPr="0025613A">
        <w:rPr>
          <w:rFonts w:ascii="Times New Roman" w:hAnsi="Times New Roman"/>
          <w:b/>
          <w:sz w:val="24"/>
          <w:szCs w:val="24"/>
          <w:lang w:val="en-US"/>
        </w:rPr>
        <w:t>Recent Experiences in Managing Capital Inflows—Cross-Cutting Themes and Possible Guidelines</w:t>
      </w:r>
      <w:r w:rsidRPr="0025613A">
        <w:rPr>
          <w:rFonts w:ascii="Times New Roman" w:hAnsi="Times New Roman"/>
          <w:sz w:val="24"/>
          <w:szCs w:val="24"/>
          <w:lang w:val="en-US"/>
        </w:rPr>
        <w:t>,</w:t>
      </w:r>
      <w:r w:rsidRPr="0025613A">
        <w:rPr>
          <w:rFonts w:ascii="Times New Roman" w:hAnsi="Times New Roman"/>
          <w:i/>
          <w:sz w:val="24"/>
          <w:szCs w:val="24"/>
          <w:lang w:val="en-US"/>
        </w:rPr>
        <w:t xml:space="preserve"> IMF Policy Paper</w:t>
      </w:r>
      <w:r>
        <w:rPr>
          <w:rFonts w:ascii="Times New Roman" w:hAnsi="Times New Roman"/>
          <w:i/>
          <w:sz w:val="24"/>
          <w:szCs w:val="24"/>
          <w:lang w:val="en-US"/>
        </w:rPr>
        <w:t xml:space="preserve"> </w:t>
      </w:r>
      <w:r w:rsidRPr="0025613A">
        <w:rPr>
          <w:rFonts w:ascii="Times New Roman" w:hAnsi="Times New Roman"/>
          <w:sz w:val="24"/>
          <w:szCs w:val="24"/>
          <w:lang w:val="en-US"/>
        </w:rPr>
        <w:t>(Washington), April</w:t>
      </w:r>
      <w:r>
        <w:rPr>
          <w:rFonts w:ascii="Times New Roman" w:hAnsi="Times New Roman"/>
          <w:sz w:val="24"/>
          <w:szCs w:val="24"/>
          <w:lang w:val="en-US"/>
        </w:rPr>
        <w:t xml:space="preserve">, </w:t>
      </w:r>
      <w:r w:rsidRPr="0025613A">
        <w:rPr>
          <w:rFonts w:ascii="Times New Roman" w:hAnsi="Times New Roman"/>
          <w:sz w:val="24"/>
          <w:szCs w:val="24"/>
          <w:lang w:val="en-US"/>
        </w:rPr>
        <w:t>2011.</w:t>
      </w:r>
    </w:p>
    <w:p w:rsidR="00C0740F" w:rsidRDefault="009078CF" w:rsidP="00C0740F">
      <w:pPr>
        <w:spacing w:line="240" w:lineRule="auto"/>
        <w:jc w:val="both"/>
        <w:rPr>
          <w:rFonts w:ascii="Times New Roman" w:hAnsi="Times New Roman"/>
          <w:sz w:val="24"/>
          <w:szCs w:val="24"/>
          <w:lang w:val="en-US"/>
        </w:rPr>
      </w:pPr>
      <w:r>
        <w:rPr>
          <w:rFonts w:ascii="Times New Roman" w:hAnsi="Times New Roman"/>
          <w:sz w:val="24"/>
          <w:szCs w:val="24"/>
          <w:lang w:val="en-US"/>
        </w:rPr>
        <w:t xml:space="preserve">__________ </w:t>
      </w:r>
      <w:r w:rsidR="00C0740F" w:rsidRPr="0025613A">
        <w:rPr>
          <w:rFonts w:ascii="Times New Roman" w:hAnsi="Times New Roman"/>
          <w:sz w:val="24"/>
          <w:szCs w:val="24"/>
          <w:lang w:val="en-US"/>
        </w:rPr>
        <w:t xml:space="preserve">. </w:t>
      </w:r>
      <w:r w:rsidR="00C0740F" w:rsidRPr="0025613A">
        <w:rPr>
          <w:rFonts w:ascii="Times New Roman" w:hAnsi="Times New Roman"/>
          <w:b/>
          <w:sz w:val="24"/>
          <w:szCs w:val="24"/>
          <w:lang w:val="en-US"/>
        </w:rPr>
        <w:t>Liberalizing Capital Flows and Managing Outflows</w:t>
      </w:r>
      <w:r w:rsidR="00C0740F" w:rsidRPr="0025613A">
        <w:rPr>
          <w:rFonts w:ascii="Times New Roman" w:hAnsi="Times New Roman"/>
          <w:sz w:val="24"/>
          <w:szCs w:val="24"/>
          <w:lang w:val="en-US"/>
        </w:rPr>
        <w:t xml:space="preserve">.  </w:t>
      </w:r>
      <w:r w:rsidR="00C0740F" w:rsidRPr="0025613A">
        <w:rPr>
          <w:rFonts w:ascii="Times New Roman" w:hAnsi="Times New Roman"/>
          <w:i/>
          <w:sz w:val="24"/>
          <w:szCs w:val="24"/>
          <w:lang w:val="en-US"/>
        </w:rPr>
        <w:t>IMF Public Information Notice</w:t>
      </w:r>
      <w:r w:rsidR="00C0740F" w:rsidRPr="0025613A">
        <w:rPr>
          <w:rFonts w:ascii="Times New Roman" w:hAnsi="Times New Roman"/>
          <w:sz w:val="24"/>
          <w:szCs w:val="24"/>
          <w:lang w:val="en-US"/>
        </w:rPr>
        <w:t xml:space="preserve"> (PIN) No. 12/42. May, 2012</w:t>
      </w:r>
      <w:r>
        <w:rPr>
          <w:rFonts w:ascii="Times New Roman" w:hAnsi="Times New Roman"/>
          <w:sz w:val="24"/>
          <w:szCs w:val="24"/>
          <w:lang w:val="en-US"/>
        </w:rPr>
        <w:t>a</w:t>
      </w:r>
      <w:r w:rsidR="00C0740F" w:rsidRPr="0025613A">
        <w:rPr>
          <w:rFonts w:ascii="Times New Roman" w:hAnsi="Times New Roman"/>
          <w:sz w:val="24"/>
          <w:szCs w:val="24"/>
          <w:lang w:val="en-US"/>
        </w:rPr>
        <w:t xml:space="preserve">.  </w:t>
      </w:r>
    </w:p>
    <w:p w:rsidR="00C0740F" w:rsidRDefault="00C0740F" w:rsidP="00C0740F">
      <w:pPr>
        <w:spacing w:line="240" w:lineRule="auto"/>
        <w:jc w:val="both"/>
      </w:pPr>
      <w:r w:rsidRPr="0025613A">
        <w:rPr>
          <w:rFonts w:ascii="Times New Roman" w:hAnsi="Times New Roman"/>
          <w:sz w:val="24"/>
          <w:szCs w:val="24"/>
          <w:lang w:val="en-US"/>
        </w:rPr>
        <w:t xml:space="preserve">__________. </w:t>
      </w:r>
      <w:r w:rsidRPr="009078CF">
        <w:rPr>
          <w:rStyle w:val="nfase"/>
          <w:rFonts w:ascii="Times New Roman" w:hAnsi="Times New Roman"/>
          <w:b/>
          <w:i w:val="0"/>
          <w:sz w:val="24"/>
          <w:szCs w:val="24"/>
          <w:bdr w:val="none" w:sz="0" w:space="0" w:color="auto" w:frame="1"/>
          <w:shd w:val="clear" w:color="auto" w:fill="FFFFFF"/>
          <w:lang w:val="en-US"/>
        </w:rPr>
        <w:t>The liberalization and management of capital flows: an institutional view</w:t>
      </w:r>
      <w:r w:rsidRPr="002C5ED9">
        <w:rPr>
          <w:rFonts w:ascii="Times New Roman" w:hAnsi="Times New Roman"/>
          <w:b/>
          <w:i/>
          <w:sz w:val="24"/>
          <w:szCs w:val="24"/>
          <w:shd w:val="clear" w:color="auto" w:fill="FFFFFF"/>
          <w:lang w:val="en-US"/>
        </w:rPr>
        <w:t>.</w:t>
      </w:r>
      <w:r w:rsidRPr="00E12004">
        <w:rPr>
          <w:rFonts w:ascii="Times New Roman" w:hAnsi="Times New Roman"/>
          <w:sz w:val="24"/>
          <w:szCs w:val="24"/>
          <w:shd w:val="clear" w:color="auto" w:fill="FFFFFF"/>
          <w:lang w:val="en-US"/>
        </w:rPr>
        <w:t xml:space="preserve"> </w:t>
      </w:r>
      <w:r w:rsidRPr="00D6228A">
        <w:rPr>
          <w:rFonts w:ascii="Times New Roman" w:hAnsi="Times New Roman"/>
          <w:sz w:val="24"/>
          <w:szCs w:val="24"/>
          <w:shd w:val="clear" w:color="auto" w:fill="FFFFFF"/>
          <w:lang w:val="en-US"/>
        </w:rPr>
        <w:t>Washington, DC.</w:t>
      </w:r>
      <w:r w:rsidRPr="00D6228A">
        <w:rPr>
          <w:rStyle w:val="apple-converted-space"/>
          <w:rFonts w:ascii="Times New Roman" w:hAnsi="Times New Roman"/>
          <w:sz w:val="24"/>
          <w:szCs w:val="24"/>
          <w:shd w:val="clear" w:color="auto" w:fill="FFFFFF"/>
          <w:lang w:val="en-US"/>
        </w:rPr>
        <w:t> </w:t>
      </w:r>
      <w:hyperlink r:id="rId25" w:history="1">
        <w:r w:rsidRPr="00D6228A">
          <w:rPr>
            <w:rStyle w:val="Hyperlink"/>
            <w:rFonts w:ascii="Times New Roman" w:hAnsi="Times New Roman"/>
            <w:sz w:val="24"/>
            <w:szCs w:val="24"/>
            <w:bdr w:val="none" w:sz="0" w:space="0" w:color="auto" w:frame="1"/>
            <w:shd w:val="clear" w:color="auto" w:fill="FFFFFF"/>
            <w:lang w:val="en-US"/>
          </w:rPr>
          <w:t>www.imf.org/external/np/pp/eng/2012/111412.pdf</w:t>
        </w:r>
      </w:hyperlink>
      <w:r w:rsidR="009078CF" w:rsidRPr="00D6228A">
        <w:rPr>
          <w:lang w:val="en-US"/>
        </w:rPr>
        <w:t xml:space="preserve">. </w:t>
      </w:r>
      <w:r w:rsidR="009078CF" w:rsidRPr="0025613A">
        <w:rPr>
          <w:rFonts w:ascii="Times New Roman" w:hAnsi="Times New Roman"/>
          <w:sz w:val="24"/>
          <w:szCs w:val="24"/>
          <w:lang w:val="en-US"/>
        </w:rPr>
        <w:t>2012</w:t>
      </w:r>
      <w:r w:rsidR="009078CF">
        <w:rPr>
          <w:rFonts w:ascii="Times New Roman" w:hAnsi="Times New Roman"/>
          <w:sz w:val="24"/>
          <w:szCs w:val="24"/>
          <w:lang w:val="en-US"/>
        </w:rPr>
        <w:t>b.</w:t>
      </w:r>
    </w:p>
    <w:p w:rsidR="00F7426E" w:rsidRPr="00D6228A" w:rsidRDefault="005D6F49" w:rsidP="00351328">
      <w:pPr>
        <w:spacing w:after="0" w:line="240" w:lineRule="auto"/>
        <w:jc w:val="both"/>
        <w:rPr>
          <w:rFonts w:ascii="Times New Roman" w:hAnsi="Times New Roman"/>
          <w:sz w:val="24"/>
          <w:szCs w:val="24"/>
          <w:lang w:val="en-US"/>
        </w:rPr>
      </w:pPr>
      <w:r w:rsidRPr="009078CF">
        <w:rPr>
          <w:rFonts w:ascii="Times New Roman" w:hAnsi="Times New Roman"/>
          <w:sz w:val="24"/>
          <w:szCs w:val="24"/>
        </w:rPr>
        <w:t xml:space="preserve">MDIC. </w:t>
      </w:r>
      <w:r w:rsidR="00F7426E">
        <w:rPr>
          <w:rFonts w:ascii="Times New Roman" w:hAnsi="Times New Roman"/>
          <w:sz w:val="24"/>
          <w:szCs w:val="24"/>
        </w:rPr>
        <w:t xml:space="preserve">Ministério do Desenvolvimento, Indústria e Comércio Exterior. </w:t>
      </w:r>
      <w:r w:rsidR="00351328" w:rsidRPr="00351328">
        <w:rPr>
          <w:rFonts w:ascii="Times New Roman" w:hAnsi="Times New Roman"/>
          <w:sz w:val="24"/>
          <w:szCs w:val="24"/>
        </w:rPr>
        <w:t xml:space="preserve">Estatísticas de Comércio Exterior (DEPLA). Balança Comercial Brasileira Mensal. </w:t>
      </w:r>
      <w:r w:rsidR="00351328" w:rsidRPr="00590C5D">
        <w:rPr>
          <w:rFonts w:ascii="Times New Roman" w:hAnsi="Times New Roman"/>
          <w:sz w:val="24"/>
          <w:szCs w:val="24"/>
        </w:rPr>
        <w:t xml:space="preserve">Disponível em: </w:t>
      </w:r>
      <w:hyperlink r:id="rId26" w:history="1">
        <w:r w:rsidR="00351328" w:rsidRPr="00590C5D">
          <w:rPr>
            <w:rStyle w:val="Hyperlink"/>
            <w:rFonts w:ascii="Times New Roman" w:hAnsi="Times New Roman"/>
            <w:sz w:val="24"/>
            <w:szCs w:val="24"/>
          </w:rPr>
          <w:t>http://www.desenvolvimento.gov.br/sitio/interna/interna.php?area=5&amp;menu=1161</w:t>
        </w:r>
      </w:hyperlink>
      <w:r w:rsidR="00351328" w:rsidRPr="00590C5D">
        <w:rPr>
          <w:rFonts w:ascii="Times New Roman" w:hAnsi="Times New Roman"/>
          <w:sz w:val="24"/>
          <w:szCs w:val="24"/>
        </w:rPr>
        <w:t xml:space="preserve">. </w:t>
      </w:r>
      <w:r w:rsidR="00351328" w:rsidRPr="00D6228A">
        <w:rPr>
          <w:rFonts w:ascii="Times New Roman" w:hAnsi="Times New Roman"/>
          <w:sz w:val="24"/>
          <w:szCs w:val="24"/>
          <w:lang w:val="en-US"/>
        </w:rPr>
        <w:t>Acesso em Março de 2013.</w:t>
      </w:r>
    </w:p>
    <w:p w:rsidR="00351328" w:rsidRPr="00D6228A" w:rsidRDefault="00351328" w:rsidP="00F62B95">
      <w:pPr>
        <w:spacing w:after="0" w:line="240" w:lineRule="auto"/>
        <w:jc w:val="both"/>
        <w:rPr>
          <w:rFonts w:ascii="Times New Roman" w:hAnsi="Times New Roman"/>
          <w:sz w:val="24"/>
          <w:szCs w:val="24"/>
          <w:lang w:val="en-US"/>
        </w:rPr>
      </w:pPr>
    </w:p>
    <w:p w:rsidR="009078CF" w:rsidRPr="003B71EA" w:rsidRDefault="009078CF" w:rsidP="009078CF">
      <w:pPr>
        <w:autoSpaceDE w:val="0"/>
        <w:autoSpaceDN w:val="0"/>
        <w:adjustRightInd w:val="0"/>
        <w:spacing w:after="0" w:line="240" w:lineRule="auto"/>
        <w:jc w:val="both"/>
        <w:rPr>
          <w:rFonts w:ascii="Times New Roman" w:hAnsi="Times New Roman"/>
          <w:sz w:val="24"/>
          <w:szCs w:val="24"/>
          <w:lang w:val="en-US"/>
        </w:rPr>
      </w:pPr>
      <w:r w:rsidRPr="0025613A">
        <w:rPr>
          <w:rFonts w:ascii="Times New Roman" w:hAnsi="Times New Roman"/>
          <w:sz w:val="24"/>
          <w:szCs w:val="24"/>
          <w:lang w:val="en-US"/>
        </w:rPr>
        <w:t xml:space="preserve">OSTRY, J.; </w:t>
      </w:r>
      <w:r>
        <w:rPr>
          <w:rFonts w:ascii="Times New Roman" w:hAnsi="Times New Roman"/>
          <w:sz w:val="24"/>
          <w:szCs w:val="24"/>
          <w:lang w:val="en-US"/>
        </w:rPr>
        <w:t>et al</w:t>
      </w:r>
      <w:r w:rsidRPr="0025613A">
        <w:rPr>
          <w:rFonts w:ascii="Times New Roman" w:hAnsi="Times New Roman"/>
          <w:sz w:val="24"/>
          <w:szCs w:val="24"/>
          <w:lang w:val="en-US"/>
        </w:rPr>
        <w:t xml:space="preserve">. </w:t>
      </w:r>
      <w:r w:rsidRPr="0025613A">
        <w:rPr>
          <w:rFonts w:ascii="Times New Roman" w:hAnsi="Times New Roman"/>
          <w:b/>
          <w:sz w:val="24"/>
          <w:szCs w:val="24"/>
          <w:lang w:val="en-US"/>
        </w:rPr>
        <w:t>Managing Capital Flows: what tools to use?.</w:t>
      </w:r>
      <w:r w:rsidRPr="0025613A">
        <w:rPr>
          <w:rFonts w:ascii="Times New Roman" w:hAnsi="Times New Roman"/>
          <w:sz w:val="24"/>
          <w:szCs w:val="24"/>
          <w:lang w:val="en-US"/>
        </w:rPr>
        <w:t xml:space="preserve"> </w:t>
      </w:r>
      <w:r w:rsidRPr="003B71EA">
        <w:rPr>
          <w:rFonts w:ascii="Times New Roman" w:hAnsi="Times New Roman"/>
          <w:sz w:val="24"/>
          <w:szCs w:val="24"/>
          <w:lang w:val="en-US"/>
        </w:rPr>
        <w:t>IMF Staff Discussion Note. 2011.</w:t>
      </w:r>
    </w:p>
    <w:p w:rsidR="009078CF" w:rsidRPr="003B71EA" w:rsidRDefault="009078CF" w:rsidP="009078CF">
      <w:pPr>
        <w:autoSpaceDE w:val="0"/>
        <w:autoSpaceDN w:val="0"/>
        <w:adjustRightInd w:val="0"/>
        <w:spacing w:after="0" w:line="240" w:lineRule="auto"/>
        <w:jc w:val="both"/>
        <w:rPr>
          <w:rFonts w:ascii="Times New Roman" w:hAnsi="Times New Roman"/>
          <w:sz w:val="24"/>
          <w:szCs w:val="24"/>
          <w:lang w:val="en-US"/>
        </w:rPr>
      </w:pPr>
    </w:p>
    <w:p w:rsidR="00491041" w:rsidRPr="00D6228A" w:rsidRDefault="00491041" w:rsidP="00491041">
      <w:pPr>
        <w:autoSpaceDE w:val="0"/>
        <w:autoSpaceDN w:val="0"/>
        <w:adjustRightInd w:val="0"/>
        <w:spacing w:after="0" w:line="240" w:lineRule="auto"/>
        <w:jc w:val="both"/>
        <w:rPr>
          <w:rFonts w:ascii="Times New Roman" w:hAnsi="Times New Roman"/>
          <w:sz w:val="24"/>
          <w:szCs w:val="24"/>
        </w:rPr>
      </w:pPr>
      <w:r w:rsidRPr="00BA0D8C">
        <w:rPr>
          <w:rFonts w:ascii="Times New Roman" w:hAnsi="Times New Roman"/>
          <w:caps/>
          <w:sz w:val="24"/>
          <w:szCs w:val="24"/>
          <w:lang w:val="en-US"/>
        </w:rPr>
        <w:t>Pesaran</w:t>
      </w:r>
      <w:r w:rsidRPr="00BA0D8C">
        <w:rPr>
          <w:rFonts w:ascii="Times New Roman" w:hAnsi="Times New Roman"/>
          <w:sz w:val="24"/>
          <w:szCs w:val="24"/>
          <w:lang w:val="en-US"/>
        </w:rPr>
        <w:t xml:space="preserve">, M. H. &amp; </w:t>
      </w:r>
      <w:r w:rsidRPr="00BA0D8C">
        <w:rPr>
          <w:rFonts w:ascii="Times New Roman" w:hAnsi="Times New Roman"/>
          <w:caps/>
          <w:sz w:val="24"/>
          <w:szCs w:val="24"/>
          <w:lang w:val="en-US"/>
        </w:rPr>
        <w:t>Shin</w:t>
      </w:r>
      <w:r>
        <w:rPr>
          <w:rFonts w:ascii="Times New Roman" w:hAnsi="Times New Roman"/>
          <w:sz w:val="24"/>
          <w:szCs w:val="24"/>
          <w:lang w:val="en-US"/>
        </w:rPr>
        <w:t>, Y</w:t>
      </w:r>
      <w:r w:rsidRPr="00BA0D8C">
        <w:rPr>
          <w:rFonts w:ascii="Times New Roman" w:hAnsi="Times New Roman"/>
          <w:sz w:val="24"/>
          <w:szCs w:val="24"/>
          <w:lang w:val="en-US"/>
        </w:rPr>
        <w:t xml:space="preserve">. Generalized Impulse Response Analysis in Linear Multivariate Models. </w:t>
      </w:r>
      <w:r w:rsidRPr="00D6228A">
        <w:rPr>
          <w:rFonts w:ascii="Times New Roman" w:hAnsi="Times New Roman"/>
          <w:b/>
          <w:iCs/>
          <w:sz w:val="24"/>
          <w:szCs w:val="24"/>
        </w:rPr>
        <w:t>Economics Letters</w:t>
      </w:r>
      <w:r w:rsidRPr="00D6228A">
        <w:rPr>
          <w:rFonts w:ascii="Times New Roman" w:hAnsi="Times New Roman"/>
          <w:sz w:val="24"/>
          <w:szCs w:val="24"/>
        </w:rPr>
        <w:t>, 58, p. 17-29, 1998.</w:t>
      </w:r>
    </w:p>
    <w:p w:rsidR="00491041" w:rsidRPr="00D6228A" w:rsidRDefault="00491041" w:rsidP="009078CF">
      <w:pPr>
        <w:autoSpaceDE w:val="0"/>
        <w:autoSpaceDN w:val="0"/>
        <w:adjustRightInd w:val="0"/>
        <w:spacing w:after="0" w:line="240" w:lineRule="auto"/>
        <w:jc w:val="both"/>
        <w:rPr>
          <w:rFonts w:ascii="Times New Roman" w:hAnsi="Times New Roman"/>
          <w:sz w:val="24"/>
          <w:szCs w:val="24"/>
        </w:rPr>
      </w:pPr>
    </w:p>
    <w:p w:rsidR="00F62B95" w:rsidRPr="004F6F23" w:rsidRDefault="009078CF" w:rsidP="00C50287">
      <w:pPr>
        <w:autoSpaceDE w:val="0"/>
        <w:autoSpaceDN w:val="0"/>
        <w:adjustRightInd w:val="0"/>
        <w:spacing w:line="240" w:lineRule="auto"/>
        <w:jc w:val="both"/>
        <w:rPr>
          <w:rFonts w:ascii="Times New Roman" w:hAnsi="Times New Roman"/>
          <w:sz w:val="24"/>
          <w:szCs w:val="24"/>
        </w:rPr>
      </w:pPr>
      <w:r>
        <w:rPr>
          <w:rFonts w:ascii="Times New Roman" w:hAnsi="Times New Roman"/>
          <w:sz w:val="24"/>
          <w:szCs w:val="24"/>
        </w:rPr>
        <w:t>PRATES, D</w:t>
      </w:r>
      <w:r w:rsidRPr="0025613A">
        <w:rPr>
          <w:rFonts w:ascii="Times New Roman" w:hAnsi="Times New Roman"/>
          <w:sz w:val="24"/>
          <w:szCs w:val="24"/>
        </w:rPr>
        <w:t>.</w:t>
      </w:r>
      <w:r>
        <w:rPr>
          <w:rFonts w:ascii="Times New Roman" w:hAnsi="Times New Roman"/>
          <w:sz w:val="24"/>
          <w:szCs w:val="24"/>
        </w:rPr>
        <w:t xml:space="preserve"> M.</w:t>
      </w:r>
      <w:r w:rsidRPr="0025613A">
        <w:rPr>
          <w:rFonts w:ascii="Times New Roman" w:hAnsi="Times New Roman"/>
          <w:sz w:val="24"/>
          <w:szCs w:val="24"/>
        </w:rPr>
        <w:t xml:space="preserve"> </w:t>
      </w:r>
      <w:r w:rsidRPr="009078CF">
        <w:rPr>
          <w:rFonts w:ascii="Times New Roman" w:hAnsi="Times New Roman"/>
          <w:sz w:val="24"/>
          <w:szCs w:val="24"/>
        </w:rPr>
        <w:t>As Assimetrias do Sistema Monetário e Financeiro Internacional</w:t>
      </w:r>
      <w:r w:rsidRPr="0025613A">
        <w:rPr>
          <w:rFonts w:ascii="Times New Roman" w:hAnsi="Times New Roman"/>
          <w:b/>
          <w:sz w:val="24"/>
          <w:szCs w:val="24"/>
        </w:rPr>
        <w:t>.</w:t>
      </w:r>
      <w:r w:rsidRPr="0025613A">
        <w:rPr>
          <w:rFonts w:ascii="Times New Roman" w:hAnsi="Times New Roman"/>
          <w:sz w:val="24"/>
          <w:szCs w:val="24"/>
        </w:rPr>
        <w:t xml:space="preserve"> </w:t>
      </w:r>
      <w:r w:rsidRPr="009078CF">
        <w:rPr>
          <w:rFonts w:ascii="Times New Roman" w:hAnsi="Times New Roman"/>
          <w:b/>
          <w:iCs/>
          <w:sz w:val="24"/>
          <w:szCs w:val="24"/>
        </w:rPr>
        <w:t>Revista de Economia Contemporânea</w:t>
      </w:r>
      <w:r w:rsidRPr="009078CF">
        <w:rPr>
          <w:rFonts w:ascii="Times New Roman" w:hAnsi="Times New Roman"/>
          <w:sz w:val="24"/>
          <w:szCs w:val="24"/>
        </w:rPr>
        <w:t>, V. 9. n. 2, maio/agosto</w:t>
      </w:r>
      <w:r>
        <w:rPr>
          <w:rFonts w:ascii="Times New Roman" w:hAnsi="Times New Roman"/>
          <w:sz w:val="24"/>
          <w:szCs w:val="24"/>
        </w:rPr>
        <w:t xml:space="preserve">, </w:t>
      </w:r>
      <w:r w:rsidRPr="0025613A">
        <w:rPr>
          <w:rFonts w:ascii="Times New Roman" w:hAnsi="Times New Roman"/>
          <w:sz w:val="24"/>
          <w:szCs w:val="24"/>
        </w:rPr>
        <w:t>2005</w:t>
      </w:r>
      <w:r w:rsidRPr="009078CF">
        <w:rPr>
          <w:rFonts w:ascii="Times New Roman" w:hAnsi="Times New Roman"/>
          <w:sz w:val="24"/>
          <w:szCs w:val="24"/>
        </w:rPr>
        <w:t>.</w:t>
      </w:r>
    </w:p>
    <w:sectPr w:rsidR="00F62B95" w:rsidRPr="004F6F23" w:rsidSect="00C72EEC">
      <w:footerReference w:type="default" r:id="rId27"/>
      <w:pgSz w:w="11906" w:h="16838"/>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5463" w:rsidRDefault="002A5463" w:rsidP="00314E0D">
      <w:pPr>
        <w:spacing w:after="0" w:line="240" w:lineRule="auto"/>
      </w:pPr>
      <w:r>
        <w:separator/>
      </w:r>
    </w:p>
  </w:endnote>
  <w:endnote w:type="continuationSeparator" w:id="1">
    <w:p w:rsidR="002A5463" w:rsidRDefault="002A5463" w:rsidP="00314E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463" w:rsidRDefault="00833DA7">
    <w:pPr>
      <w:pStyle w:val="Rodap"/>
      <w:jc w:val="right"/>
    </w:pPr>
    <w:fldSimple w:instr=" PAGE   \* MERGEFORMAT ">
      <w:r w:rsidR="00AE6E27">
        <w:rPr>
          <w:noProof/>
        </w:rPr>
        <w:t>1</w:t>
      </w:r>
    </w:fldSimple>
  </w:p>
  <w:p w:rsidR="002A5463" w:rsidRDefault="002A5463">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5463" w:rsidRDefault="002A5463" w:rsidP="00314E0D">
      <w:pPr>
        <w:spacing w:after="0" w:line="240" w:lineRule="auto"/>
      </w:pPr>
      <w:r>
        <w:separator/>
      </w:r>
    </w:p>
  </w:footnote>
  <w:footnote w:type="continuationSeparator" w:id="1">
    <w:p w:rsidR="002A5463" w:rsidRDefault="002A5463" w:rsidP="00314E0D">
      <w:pPr>
        <w:spacing w:after="0" w:line="240" w:lineRule="auto"/>
      </w:pPr>
      <w:r>
        <w:continuationSeparator/>
      </w:r>
    </w:p>
  </w:footnote>
  <w:footnote w:id="2">
    <w:p w:rsidR="00AE6EBD" w:rsidRPr="00AE6EBD" w:rsidRDefault="00AE6EBD" w:rsidP="00AE6EBD">
      <w:pPr>
        <w:pStyle w:val="Textodenotaderodap"/>
        <w:rPr>
          <w:rFonts w:ascii="Times New Roman" w:hAnsi="Times New Roman"/>
        </w:rPr>
      </w:pPr>
      <w:r w:rsidRPr="00AE6EBD">
        <w:rPr>
          <w:rStyle w:val="Refdenotaderodap"/>
          <w:rFonts w:ascii="Times New Roman" w:hAnsi="Times New Roman"/>
        </w:rPr>
        <w:footnoteRef/>
      </w:r>
      <w:r w:rsidRPr="00AE6EBD">
        <w:rPr>
          <w:rFonts w:ascii="Times New Roman" w:hAnsi="Times New Roman"/>
        </w:rPr>
        <w:t xml:space="preserve"> As autoras agradecem o apoio financeiro da Fapemig.</w:t>
      </w:r>
    </w:p>
  </w:footnote>
  <w:footnote w:id="3">
    <w:p w:rsidR="002A5463" w:rsidRPr="00053EA5" w:rsidRDefault="002A5463" w:rsidP="006B508D">
      <w:pPr>
        <w:pStyle w:val="Textodenotaderodap"/>
        <w:jc w:val="both"/>
        <w:rPr>
          <w:rFonts w:ascii="Times New Roman" w:hAnsi="Times New Roman"/>
        </w:rPr>
      </w:pPr>
      <w:r w:rsidRPr="00053EA5">
        <w:rPr>
          <w:rStyle w:val="Refdenotaderodap"/>
          <w:rFonts w:ascii="Times New Roman" w:hAnsi="Times New Roman"/>
        </w:rPr>
        <w:footnoteRef/>
      </w:r>
      <w:r w:rsidRPr="00053EA5">
        <w:rPr>
          <w:rFonts w:ascii="Times New Roman" w:hAnsi="Times New Roman"/>
        </w:rPr>
        <w:t xml:space="preserve"> É sabido que estudos do </w:t>
      </w:r>
      <w:r w:rsidRPr="00053EA5">
        <w:rPr>
          <w:rFonts w:ascii="Times New Roman" w:hAnsi="Times New Roman"/>
          <w:i/>
          <w:iCs/>
        </w:rPr>
        <w:t>staff</w:t>
      </w:r>
      <w:r w:rsidRPr="00053EA5">
        <w:rPr>
          <w:rFonts w:ascii="Times New Roman" w:hAnsi="Times New Roman"/>
        </w:rPr>
        <w:t xml:space="preserve"> do fundo vê</w:t>
      </w:r>
      <w:r>
        <w:rPr>
          <w:rFonts w:ascii="Times New Roman" w:hAnsi="Times New Roman"/>
        </w:rPr>
        <w:t xml:space="preserve">m defendendo </w:t>
      </w:r>
      <w:r w:rsidRPr="00053EA5">
        <w:rPr>
          <w:rFonts w:ascii="Times New Roman" w:hAnsi="Times New Roman"/>
        </w:rPr>
        <w:t xml:space="preserve">o uso de controles sobre influxos de capitais sob certas circunstâncias, como </w:t>
      </w:r>
      <w:r>
        <w:rPr>
          <w:rFonts w:ascii="Times New Roman" w:hAnsi="Times New Roman"/>
        </w:rPr>
        <w:t xml:space="preserve">divulgado em </w:t>
      </w:r>
      <w:r w:rsidRPr="00053EA5">
        <w:rPr>
          <w:rFonts w:ascii="Times New Roman" w:hAnsi="Times New Roman"/>
        </w:rPr>
        <w:t>IMF (2011, 2012a), Os</w:t>
      </w:r>
      <w:r>
        <w:rPr>
          <w:rFonts w:ascii="Times New Roman" w:hAnsi="Times New Roman"/>
        </w:rPr>
        <w:t>try et al (2011).</w:t>
      </w:r>
      <w:r w:rsidRPr="00053EA5">
        <w:rPr>
          <w:rFonts w:ascii="Times New Roman" w:hAnsi="Times New Roman"/>
        </w:rPr>
        <w:t xml:space="preserve"> </w:t>
      </w:r>
      <w:r>
        <w:rPr>
          <w:rFonts w:ascii="Times New Roman" w:hAnsi="Times New Roman"/>
        </w:rPr>
        <w:t xml:space="preserve">Ademais, </w:t>
      </w:r>
      <w:r w:rsidRPr="00053EA5">
        <w:rPr>
          <w:rFonts w:ascii="Times New Roman" w:hAnsi="Times New Roman"/>
        </w:rPr>
        <w:t xml:space="preserve">recentemente </w:t>
      </w:r>
      <w:r>
        <w:rPr>
          <w:rFonts w:ascii="Times New Roman" w:hAnsi="Times New Roman"/>
        </w:rPr>
        <w:t>o FMI se posicionou explicitamente a favor dos controles por meio</w:t>
      </w:r>
      <w:r w:rsidRPr="00053EA5">
        <w:rPr>
          <w:rFonts w:ascii="Times New Roman" w:hAnsi="Times New Roman"/>
        </w:rPr>
        <w:t xml:space="preserve"> </w:t>
      </w:r>
      <w:r>
        <w:rPr>
          <w:rFonts w:ascii="Times New Roman" w:hAnsi="Times New Roman"/>
        </w:rPr>
        <w:t>da publicação de uma</w:t>
      </w:r>
      <w:r w:rsidRPr="00053EA5">
        <w:rPr>
          <w:rFonts w:ascii="Times New Roman" w:hAnsi="Times New Roman"/>
        </w:rPr>
        <w:t xml:space="preserve"> </w:t>
      </w:r>
      <w:r w:rsidRPr="00053EA5">
        <w:rPr>
          <w:rStyle w:val="hps"/>
          <w:rFonts w:ascii="Times New Roman" w:hAnsi="Times New Roman"/>
          <w:lang w:val="pt-PT"/>
        </w:rPr>
        <w:t>visão institucional sobre a liberalização e gerenciamento d</w:t>
      </w:r>
      <w:r>
        <w:rPr>
          <w:rStyle w:val="hps"/>
          <w:rFonts w:ascii="Times New Roman" w:hAnsi="Times New Roman"/>
          <w:lang w:val="pt-PT"/>
        </w:rPr>
        <w:t xml:space="preserve">os fluxos de capitais. Ver </w:t>
      </w:r>
      <w:r w:rsidRPr="00053EA5">
        <w:rPr>
          <w:rStyle w:val="hps"/>
          <w:rFonts w:ascii="Times New Roman" w:hAnsi="Times New Roman"/>
          <w:lang w:val="pt-PT"/>
        </w:rPr>
        <w:t>IMF (2012b).</w:t>
      </w:r>
    </w:p>
  </w:footnote>
  <w:footnote w:id="4">
    <w:p w:rsidR="002A5463" w:rsidRPr="000B15E3" w:rsidRDefault="002A5463" w:rsidP="006B508D">
      <w:pPr>
        <w:pStyle w:val="Textodenotaderodap"/>
        <w:jc w:val="both"/>
        <w:rPr>
          <w:rFonts w:ascii="Times New Roman" w:hAnsi="Times New Roman"/>
        </w:rPr>
      </w:pPr>
      <w:r w:rsidRPr="000B15E3">
        <w:rPr>
          <w:rStyle w:val="Refdenotaderodap"/>
          <w:rFonts w:ascii="Times New Roman" w:hAnsi="Times New Roman"/>
        </w:rPr>
        <w:footnoteRef/>
      </w:r>
      <w:r w:rsidRPr="000B15E3">
        <w:rPr>
          <w:rFonts w:ascii="Times New Roman" w:hAnsi="Times New Roman"/>
        </w:rPr>
        <w:t xml:space="preserve"> O efeito dos influxos de capitais sobre o câmbio, </w:t>
      </w:r>
      <w:r>
        <w:rPr>
          <w:rFonts w:ascii="Times New Roman" w:hAnsi="Times New Roman"/>
        </w:rPr>
        <w:t xml:space="preserve">o </w:t>
      </w:r>
      <w:r w:rsidRPr="000B15E3">
        <w:rPr>
          <w:rFonts w:ascii="Times New Roman" w:hAnsi="Times New Roman"/>
        </w:rPr>
        <w:t xml:space="preserve">crescimento econômico e outras implicações macroeconômicas, sob uma perspectiva </w:t>
      </w:r>
      <w:r w:rsidRPr="000B15E3">
        <w:rPr>
          <w:rFonts w:ascii="Times New Roman" w:hAnsi="Times New Roman"/>
          <w:i/>
        </w:rPr>
        <w:t>mainstream</w:t>
      </w:r>
      <w:r w:rsidRPr="000B15E3">
        <w:rPr>
          <w:rFonts w:ascii="Times New Roman" w:hAnsi="Times New Roman"/>
        </w:rPr>
        <w:t>, é apresentado extensivamente em Cardarelli et al (2009).</w:t>
      </w:r>
    </w:p>
  </w:footnote>
  <w:footnote w:id="5">
    <w:p w:rsidR="002A5463" w:rsidRPr="00BF7B0B" w:rsidRDefault="002A5463" w:rsidP="00BF7B0B">
      <w:pPr>
        <w:pStyle w:val="Textodenotaderodap"/>
        <w:jc w:val="both"/>
        <w:rPr>
          <w:rFonts w:ascii="Times New Roman" w:hAnsi="Times New Roman"/>
        </w:rPr>
      </w:pPr>
      <w:r w:rsidRPr="00BF7B0B">
        <w:rPr>
          <w:rStyle w:val="Refdenotaderodap"/>
          <w:rFonts w:ascii="Times New Roman" w:hAnsi="Times New Roman"/>
        </w:rPr>
        <w:footnoteRef/>
      </w:r>
      <w:r w:rsidRPr="00BF7B0B">
        <w:rPr>
          <w:rFonts w:ascii="Times New Roman" w:hAnsi="Times New Roman"/>
        </w:rPr>
        <w:t xml:space="preserve"> Esta saída mais forte se deu por três fatores: 1) aumento dos ativos dos bancos brasileiros no exterior; 2) maior número de empresas exportadoras que utilizaram a prerrogativa de manter suas receitas no exterior; e 3) em menor medida, os créditos comerciais ativos concedidos por residentes, em razão de uma mudança de ordem metodológica efetuada pelo Banco Central do Brasil, passaram a ser contabilizados nessa conta (OIB).</w:t>
      </w:r>
    </w:p>
  </w:footnote>
  <w:footnote w:id="6">
    <w:p w:rsidR="002A5463" w:rsidRPr="00DC253F" w:rsidRDefault="002A5463" w:rsidP="00074F3D">
      <w:pPr>
        <w:pStyle w:val="Textodenotaderodap"/>
        <w:jc w:val="both"/>
        <w:rPr>
          <w:rFonts w:ascii="Times New Roman" w:hAnsi="Times New Roman"/>
        </w:rPr>
      </w:pPr>
      <w:r w:rsidRPr="00DC253F">
        <w:rPr>
          <w:rStyle w:val="Refdenotaderodap"/>
          <w:rFonts w:ascii="Times New Roman" w:hAnsi="Times New Roman"/>
        </w:rPr>
        <w:footnoteRef/>
      </w:r>
      <w:r w:rsidRPr="00DC253F">
        <w:rPr>
          <w:rFonts w:ascii="Times New Roman" w:hAnsi="Times New Roman"/>
        </w:rPr>
        <w:t xml:space="preserve"> Em termos acumulados, foi observada uma apreciação do Real de 40% entre o terceiro trimestre de 2009 e 2011.</w:t>
      </w:r>
    </w:p>
  </w:footnote>
  <w:footnote w:id="7">
    <w:p w:rsidR="002A5463" w:rsidRPr="00895BA7" w:rsidRDefault="002A5463" w:rsidP="00074F3D">
      <w:pPr>
        <w:pStyle w:val="Textodenotaderodap"/>
        <w:jc w:val="both"/>
        <w:rPr>
          <w:rFonts w:ascii="Times New Roman" w:hAnsi="Times New Roman"/>
        </w:rPr>
      </w:pPr>
      <w:r w:rsidRPr="00895BA7">
        <w:rPr>
          <w:rStyle w:val="Refdenotaderodap"/>
          <w:rFonts w:ascii="Times New Roman" w:hAnsi="Times New Roman"/>
        </w:rPr>
        <w:footnoteRef/>
      </w:r>
      <w:r w:rsidRPr="00895BA7">
        <w:rPr>
          <w:rFonts w:ascii="Times New Roman" w:hAnsi="Times New Roman"/>
        </w:rPr>
        <w:t xml:space="preserve"> Em 2012, houve uma redução expressiva da taxa de juros básica e a menor volatilidade da taxa de câmbio.</w:t>
      </w:r>
    </w:p>
  </w:footnote>
  <w:footnote w:id="8">
    <w:p w:rsidR="002A5463" w:rsidRPr="007B0F62" w:rsidRDefault="002A5463" w:rsidP="007B0F62">
      <w:pPr>
        <w:pStyle w:val="Textodenotaderodap"/>
        <w:jc w:val="both"/>
        <w:rPr>
          <w:rFonts w:ascii="Times New Roman" w:hAnsi="Times New Roman"/>
        </w:rPr>
      </w:pPr>
      <w:r>
        <w:rPr>
          <w:rStyle w:val="Refdenotaderodap"/>
        </w:rPr>
        <w:footnoteRef/>
      </w:r>
      <w:r>
        <w:t xml:space="preserve"> </w:t>
      </w:r>
      <w:r w:rsidRPr="007B0F62">
        <w:rPr>
          <w:rFonts w:ascii="Times New Roman" w:hAnsi="Times New Roman"/>
        </w:rPr>
        <w:t xml:space="preserve">Há que se ressaltar que o objetivo do trabalho não consiste em estimar um modelo de determinação da taxa de câmbio real, mas sim, em avaliar os efeitos de variáveis comerciais (exportações de </w:t>
      </w:r>
      <w:r w:rsidRPr="00F26E73">
        <w:rPr>
          <w:rFonts w:ascii="Times New Roman" w:hAnsi="Times New Roman"/>
          <w:i/>
        </w:rPr>
        <w:t>commodities</w:t>
      </w:r>
      <w:r w:rsidRPr="007B0F62">
        <w:rPr>
          <w:rFonts w:ascii="Times New Roman" w:hAnsi="Times New Roman"/>
        </w:rPr>
        <w:t xml:space="preserve">) e financeiras (fluxos de investimento em carteira) sobre o comportamento cambial, controlando o modelo pelos preços das commodities, taxa de juros e risco-país. Sendo assim, justifica-se a utilização da metodologia VAR, uma vez que o objetivo do trabalho é avaliar a interação entre as diversas variáveis, sem que se defina previamente uma relação </w:t>
      </w:r>
      <w:r>
        <w:rPr>
          <w:rFonts w:ascii="Times New Roman" w:hAnsi="Times New Roman"/>
        </w:rPr>
        <w:t xml:space="preserve">de </w:t>
      </w:r>
      <w:r w:rsidRPr="007B0F62">
        <w:rPr>
          <w:rFonts w:ascii="Times New Roman" w:hAnsi="Times New Roman"/>
        </w:rPr>
        <w:t>causal</w:t>
      </w:r>
      <w:r>
        <w:rPr>
          <w:rFonts w:ascii="Times New Roman" w:hAnsi="Times New Roman"/>
        </w:rPr>
        <w:t>idade</w:t>
      </w:r>
      <w:r w:rsidRPr="007B0F62">
        <w:rPr>
          <w:rFonts w:ascii="Times New Roman" w:hAnsi="Times New Roman"/>
        </w:rPr>
        <w:t xml:space="preserve"> entre elas.  </w:t>
      </w:r>
    </w:p>
  </w:footnote>
  <w:footnote w:id="9">
    <w:p w:rsidR="002A5463" w:rsidRPr="0033328A" w:rsidRDefault="002A5463" w:rsidP="0033328A">
      <w:pPr>
        <w:pStyle w:val="Textodenotaderodap"/>
        <w:jc w:val="both"/>
        <w:rPr>
          <w:rFonts w:ascii="Times New Roman" w:hAnsi="Times New Roman"/>
        </w:rPr>
      </w:pPr>
      <w:r w:rsidRPr="0033328A">
        <w:rPr>
          <w:rStyle w:val="Refdenotaderodap"/>
          <w:rFonts w:ascii="Times New Roman" w:hAnsi="Times New Roman"/>
        </w:rPr>
        <w:footnoteRef/>
      </w:r>
      <w:r w:rsidRPr="0033328A">
        <w:rPr>
          <w:rFonts w:ascii="Times New Roman" w:hAnsi="Times New Roman"/>
        </w:rPr>
        <w:t xml:space="preserve"> A </w:t>
      </w:r>
      <w:r>
        <w:rPr>
          <w:rFonts w:ascii="Times New Roman" w:hAnsi="Times New Roman"/>
        </w:rPr>
        <w:t>variável XCOM se refere</w:t>
      </w:r>
      <w:r w:rsidRPr="0033328A">
        <w:rPr>
          <w:rFonts w:ascii="Times New Roman" w:hAnsi="Times New Roman"/>
        </w:rPr>
        <w:t xml:space="preserve"> </w:t>
      </w:r>
      <w:r>
        <w:rPr>
          <w:rFonts w:ascii="Times New Roman" w:hAnsi="Times New Roman"/>
        </w:rPr>
        <w:t xml:space="preserve">os </w:t>
      </w:r>
      <w:r w:rsidRPr="0033328A">
        <w:rPr>
          <w:rFonts w:ascii="Times New Roman" w:hAnsi="Times New Roman"/>
        </w:rPr>
        <w:t>produtos intensivos em recursos naturais em estado bruto (primários) ou com pequeno grau de industrialização</w:t>
      </w:r>
      <w:r>
        <w:rPr>
          <w:rFonts w:ascii="Times New Roman" w:hAnsi="Times New Roman"/>
        </w:rPr>
        <w:t xml:space="preserve">, incluindo Alimentos e animais vivos; Bebidas e fumo; </w:t>
      </w:r>
      <w:r w:rsidRPr="0033328A">
        <w:rPr>
          <w:rFonts w:ascii="Times New Roman" w:hAnsi="Times New Roman"/>
        </w:rPr>
        <w:t>Óleos, gorduras e ceras de origem animal e vegetal</w:t>
      </w:r>
      <w:r>
        <w:rPr>
          <w:rFonts w:ascii="Times New Roman" w:hAnsi="Times New Roman"/>
        </w:rPr>
        <w:t xml:space="preserve">; Matérias-primas não comestíveis; Minerais e metais; e Combustíveis. </w:t>
      </w:r>
    </w:p>
  </w:footnote>
  <w:footnote w:id="10">
    <w:p w:rsidR="002A5463" w:rsidRDefault="002A5463" w:rsidP="00C01761">
      <w:pPr>
        <w:pStyle w:val="Textodenotaderodap"/>
        <w:jc w:val="both"/>
      </w:pPr>
      <w:r>
        <w:rPr>
          <w:rStyle w:val="Refdenotaderodap"/>
        </w:rPr>
        <w:footnoteRef/>
      </w:r>
      <w:r>
        <w:t xml:space="preserve"> </w:t>
      </w:r>
      <w:r w:rsidRPr="00C01761">
        <w:rPr>
          <w:rFonts w:ascii="Times New Roman" w:hAnsi="Times New Roman"/>
        </w:rPr>
        <w:t xml:space="preserve">Sobre </w:t>
      </w:r>
      <w:r w:rsidRPr="00C01761">
        <w:rPr>
          <w:rFonts w:ascii="Times New Roman" w:hAnsi="Times New Roman"/>
          <w:i/>
        </w:rPr>
        <w:t>commodities currencies</w:t>
      </w:r>
      <w:r w:rsidRPr="00C01761">
        <w:rPr>
          <w:rFonts w:ascii="Times New Roman" w:hAnsi="Times New Roman"/>
        </w:rPr>
        <w:t>, ver Chen e Rogoff (2002), Fernandez (2003), Clements e Fry (2006).</w:t>
      </w:r>
    </w:p>
  </w:footnote>
  <w:footnote w:id="11">
    <w:p w:rsidR="002A5463" w:rsidRPr="00B959C3" w:rsidRDefault="002A5463" w:rsidP="00C668A3">
      <w:pPr>
        <w:pStyle w:val="Textodenotaderodap"/>
        <w:jc w:val="both"/>
        <w:rPr>
          <w:rFonts w:ascii="Times New Roman" w:hAnsi="Times New Roman"/>
        </w:rPr>
      </w:pPr>
      <w:r w:rsidRPr="00B959C3">
        <w:rPr>
          <w:rStyle w:val="Refdenotaderodap"/>
          <w:rFonts w:ascii="Times New Roman" w:hAnsi="Times New Roman"/>
        </w:rPr>
        <w:footnoteRef/>
      </w:r>
      <w:r w:rsidRPr="00B959C3">
        <w:rPr>
          <w:rFonts w:ascii="Times New Roman" w:hAnsi="Times New Roman"/>
        </w:rPr>
        <w:t xml:space="preserve"> Embora tenha havido um aumento da participação do fluxo de IED na composição dos fluxos financeiros no Brasil, não consideramos pertinente sua inclusão no modelo econométrico aqui proposto, pois trata-se de uma série menos volátil em relação aos fluxos de IEC . Neste sent</w:t>
      </w:r>
      <w:r>
        <w:rPr>
          <w:rFonts w:ascii="Times New Roman" w:hAnsi="Times New Roman"/>
        </w:rPr>
        <w:t xml:space="preserve">ido, tem menor correlação </w:t>
      </w:r>
      <w:r w:rsidRPr="00E644D3">
        <w:rPr>
          <w:rFonts w:ascii="Times New Roman" w:hAnsi="Times New Roman"/>
        </w:rPr>
        <w:t>com o nível da tax</w:t>
      </w:r>
      <w:r w:rsidRPr="00B959C3">
        <w:rPr>
          <w:rFonts w:ascii="Times New Roman" w:hAnsi="Times New Roman"/>
        </w:rPr>
        <w:t>a de câmbio.</w:t>
      </w:r>
    </w:p>
  </w:footnote>
  <w:footnote w:id="12">
    <w:p w:rsidR="002A5463" w:rsidRPr="00A50C63" w:rsidRDefault="002A5463" w:rsidP="00C72EEC">
      <w:pPr>
        <w:pStyle w:val="Textodenotaderodap"/>
        <w:jc w:val="both"/>
        <w:rPr>
          <w:rFonts w:ascii="Times New Roman" w:hAnsi="Times New Roman"/>
        </w:rPr>
      </w:pPr>
      <w:r w:rsidRPr="006D5C98">
        <w:rPr>
          <w:rStyle w:val="Refdenotaderodap"/>
          <w:rFonts w:ascii="Times New Roman" w:hAnsi="Times New Roman"/>
        </w:rPr>
        <w:footnoteRef/>
      </w:r>
      <w:r w:rsidRPr="006D5C98">
        <w:rPr>
          <w:rFonts w:ascii="Times New Roman" w:hAnsi="Times New Roman"/>
        </w:rPr>
        <w:t xml:space="preserve"> Para tratamento das séries financeiras relativas aos investimentos estrangeiros em carteira foram realizados testes para verificação de presença de heterocedasticidade condicional, haja vista a forte volatilidade dessas séries. Para tanto, foram estimados os modelos ARMA e ARCH e, a partir deles, foram verificados os testes ARCH. Todos os testes para as três séries financeiras rejeitaram a hipótese nula de presença de heterocesdasticidade condicional, o que indica que um modelo GARCH para tratamento das volatilidades não é um modelo a ser considerado. Isso nos habilita a utilizar essas séries em conjuntos com as demais selecionadas </w:t>
      </w:r>
      <w:r w:rsidRPr="00A50C63">
        <w:rPr>
          <w:rFonts w:ascii="Times New Roman" w:hAnsi="Times New Roman"/>
        </w:rPr>
        <w:t>para os modelos VARs.</w:t>
      </w:r>
    </w:p>
  </w:footnote>
  <w:footnote w:id="13">
    <w:p w:rsidR="002A5463" w:rsidRPr="004C1CEA" w:rsidRDefault="002A5463" w:rsidP="00D6228A">
      <w:pPr>
        <w:autoSpaceDE w:val="0"/>
        <w:autoSpaceDN w:val="0"/>
        <w:adjustRightInd w:val="0"/>
        <w:spacing w:after="0" w:line="240" w:lineRule="auto"/>
        <w:jc w:val="both"/>
        <w:rPr>
          <w:rFonts w:ascii="Times New Roman" w:hAnsi="Times New Roman"/>
          <w:sz w:val="20"/>
          <w:szCs w:val="20"/>
          <w:lang w:eastAsia="pt-BR"/>
        </w:rPr>
      </w:pPr>
      <w:r w:rsidRPr="00A50C63">
        <w:rPr>
          <w:rStyle w:val="Refdenotaderodap"/>
          <w:rFonts w:ascii="Times New Roman" w:hAnsi="Times New Roman"/>
          <w:sz w:val="20"/>
          <w:szCs w:val="20"/>
        </w:rPr>
        <w:footnoteRef/>
      </w:r>
      <w:r w:rsidRPr="00A50C63">
        <w:rPr>
          <w:rFonts w:ascii="Times New Roman" w:hAnsi="Times New Roman"/>
          <w:sz w:val="20"/>
          <w:szCs w:val="20"/>
        </w:rPr>
        <w:t xml:space="preserve"> Desta maneira este artigo utiliza uma forma alternativa </w:t>
      </w:r>
      <w:r w:rsidRPr="00A50C63">
        <w:rPr>
          <w:rFonts w:ascii="Times New Roman" w:hAnsi="Times New Roman"/>
          <w:sz w:val="20"/>
          <w:szCs w:val="20"/>
          <w:lang w:eastAsia="pt-BR"/>
        </w:rPr>
        <w:t>ao método comum presente na literatura macroeconômica aplicada ao Brasil, que identifica modelos VAR com base nos resultados de testes de causalidade de Granger. Para Cavalcanti (2010), o emprego deste método incorre em erros.</w:t>
      </w:r>
    </w:p>
  </w:footnote>
  <w:footnote w:id="14">
    <w:p w:rsidR="002A5463" w:rsidRPr="0027795C" w:rsidRDefault="002A5463">
      <w:pPr>
        <w:pStyle w:val="Textodenotaderodap"/>
        <w:rPr>
          <w:rFonts w:ascii="Times New Roman" w:hAnsi="Times New Roman"/>
        </w:rPr>
      </w:pPr>
      <w:r w:rsidRPr="0027795C">
        <w:rPr>
          <w:rStyle w:val="Refdenotaderodap"/>
          <w:rFonts w:ascii="Times New Roman" w:hAnsi="Times New Roman"/>
        </w:rPr>
        <w:footnoteRef/>
      </w:r>
      <w:r w:rsidRPr="0027795C">
        <w:rPr>
          <w:rFonts w:ascii="Times New Roman" w:hAnsi="Times New Roman"/>
        </w:rPr>
        <w:t xml:space="preserve"> No caso da ADV, os resultados foram obtidos utilizando-se o software Microfit 4.0.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A47F1"/>
    <w:multiLevelType w:val="multilevel"/>
    <w:tmpl w:val="51302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950DAC"/>
    <w:multiLevelType w:val="multilevel"/>
    <w:tmpl w:val="FA42416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08"/>
  <w:hyphenationZone w:val="425"/>
  <w:characterSpacingControl w:val="doNotCompress"/>
  <w:footnotePr>
    <w:footnote w:id="0"/>
    <w:footnote w:id="1"/>
  </w:footnotePr>
  <w:endnotePr>
    <w:endnote w:id="0"/>
    <w:endnote w:id="1"/>
  </w:endnotePr>
  <w:compat/>
  <w:rsids>
    <w:rsidRoot w:val="00C4683A"/>
    <w:rsid w:val="0000706F"/>
    <w:rsid w:val="00013942"/>
    <w:rsid w:val="000139F5"/>
    <w:rsid w:val="00015E46"/>
    <w:rsid w:val="00023907"/>
    <w:rsid w:val="00027D12"/>
    <w:rsid w:val="00032E87"/>
    <w:rsid w:val="000344D8"/>
    <w:rsid w:val="00034CBB"/>
    <w:rsid w:val="00041613"/>
    <w:rsid w:val="0004328A"/>
    <w:rsid w:val="0005289F"/>
    <w:rsid w:val="00056C0E"/>
    <w:rsid w:val="000576E6"/>
    <w:rsid w:val="0006745A"/>
    <w:rsid w:val="00071D82"/>
    <w:rsid w:val="00071EBF"/>
    <w:rsid w:val="000720BA"/>
    <w:rsid w:val="000736CA"/>
    <w:rsid w:val="00074B18"/>
    <w:rsid w:val="00074F3D"/>
    <w:rsid w:val="0007698B"/>
    <w:rsid w:val="0008189D"/>
    <w:rsid w:val="000821B9"/>
    <w:rsid w:val="00083389"/>
    <w:rsid w:val="00084CC2"/>
    <w:rsid w:val="0009073E"/>
    <w:rsid w:val="00092F7B"/>
    <w:rsid w:val="0009474D"/>
    <w:rsid w:val="00095038"/>
    <w:rsid w:val="00096C1F"/>
    <w:rsid w:val="000A37C2"/>
    <w:rsid w:val="000A6B2C"/>
    <w:rsid w:val="000B1FEB"/>
    <w:rsid w:val="000B4EAD"/>
    <w:rsid w:val="000C0FAE"/>
    <w:rsid w:val="000C676C"/>
    <w:rsid w:val="000D3B58"/>
    <w:rsid w:val="000D5A6F"/>
    <w:rsid w:val="000D5A9D"/>
    <w:rsid w:val="000E2A75"/>
    <w:rsid w:val="000E4EE0"/>
    <w:rsid w:val="000E7B2C"/>
    <w:rsid w:val="000F46C3"/>
    <w:rsid w:val="000F49BA"/>
    <w:rsid w:val="00100736"/>
    <w:rsid w:val="00106E0B"/>
    <w:rsid w:val="00111582"/>
    <w:rsid w:val="00114F95"/>
    <w:rsid w:val="001201D9"/>
    <w:rsid w:val="00121329"/>
    <w:rsid w:val="001213E5"/>
    <w:rsid w:val="00123DC5"/>
    <w:rsid w:val="001252D0"/>
    <w:rsid w:val="00126A06"/>
    <w:rsid w:val="00127815"/>
    <w:rsid w:val="00130CEF"/>
    <w:rsid w:val="001312DA"/>
    <w:rsid w:val="001336A7"/>
    <w:rsid w:val="00137BBD"/>
    <w:rsid w:val="00137F33"/>
    <w:rsid w:val="001403D1"/>
    <w:rsid w:val="00141F85"/>
    <w:rsid w:val="001436F0"/>
    <w:rsid w:val="00145B63"/>
    <w:rsid w:val="0015077C"/>
    <w:rsid w:val="00154501"/>
    <w:rsid w:val="00161496"/>
    <w:rsid w:val="0016375F"/>
    <w:rsid w:val="00164659"/>
    <w:rsid w:val="001674AF"/>
    <w:rsid w:val="001709D5"/>
    <w:rsid w:val="001841DC"/>
    <w:rsid w:val="00187838"/>
    <w:rsid w:val="0019171E"/>
    <w:rsid w:val="001947F5"/>
    <w:rsid w:val="001A15AB"/>
    <w:rsid w:val="001A165E"/>
    <w:rsid w:val="001A477E"/>
    <w:rsid w:val="001A7227"/>
    <w:rsid w:val="001A7309"/>
    <w:rsid w:val="001B1F89"/>
    <w:rsid w:val="001B3D1A"/>
    <w:rsid w:val="001B5FEE"/>
    <w:rsid w:val="001B7A27"/>
    <w:rsid w:val="001C1AB3"/>
    <w:rsid w:val="001C3CF3"/>
    <w:rsid w:val="001C684D"/>
    <w:rsid w:val="001D0D6D"/>
    <w:rsid w:val="001D40A4"/>
    <w:rsid w:val="001D57A2"/>
    <w:rsid w:val="001E4D7D"/>
    <w:rsid w:val="001E4F74"/>
    <w:rsid w:val="001E5855"/>
    <w:rsid w:val="001E5B19"/>
    <w:rsid w:val="001E7805"/>
    <w:rsid w:val="001F35CA"/>
    <w:rsid w:val="001F3851"/>
    <w:rsid w:val="001F5E0A"/>
    <w:rsid w:val="00202F82"/>
    <w:rsid w:val="002054BA"/>
    <w:rsid w:val="00206E59"/>
    <w:rsid w:val="00213322"/>
    <w:rsid w:val="0021760A"/>
    <w:rsid w:val="00220586"/>
    <w:rsid w:val="002235F9"/>
    <w:rsid w:val="00225D9B"/>
    <w:rsid w:val="002355F3"/>
    <w:rsid w:val="002359B3"/>
    <w:rsid w:val="002407D6"/>
    <w:rsid w:val="00246405"/>
    <w:rsid w:val="002469AD"/>
    <w:rsid w:val="002469D1"/>
    <w:rsid w:val="002513CC"/>
    <w:rsid w:val="0025796F"/>
    <w:rsid w:val="0026675C"/>
    <w:rsid w:val="00267CB4"/>
    <w:rsid w:val="00271E2A"/>
    <w:rsid w:val="00272D6A"/>
    <w:rsid w:val="00274E3C"/>
    <w:rsid w:val="0027795C"/>
    <w:rsid w:val="00281970"/>
    <w:rsid w:val="002845E0"/>
    <w:rsid w:val="00284E60"/>
    <w:rsid w:val="00286D63"/>
    <w:rsid w:val="002871D6"/>
    <w:rsid w:val="00293861"/>
    <w:rsid w:val="0029527F"/>
    <w:rsid w:val="002A0BF9"/>
    <w:rsid w:val="002A5463"/>
    <w:rsid w:val="002A6EFB"/>
    <w:rsid w:val="002B6269"/>
    <w:rsid w:val="002C0878"/>
    <w:rsid w:val="002C0FA0"/>
    <w:rsid w:val="002C2DEE"/>
    <w:rsid w:val="002D3B1B"/>
    <w:rsid w:val="002D3E77"/>
    <w:rsid w:val="002D5145"/>
    <w:rsid w:val="002E078A"/>
    <w:rsid w:val="002E19A6"/>
    <w:rsid w:val="002E61D1"/>
    <w:rsid w:val="002F5ED0"/>
    <w:rsid w:val="002F6C08"/>
    <w:rsid w:val="002F6D06"/>
    <w:rsid w:val="002F7102"/>
    <w:rsid w:val="002F749A"/>
    <w:rsid w:val="0030094F"/>
    <w:rsid w:val="00300EE5"/>
    <w:rsid w:val="00304E39"/>
    <w:rsid w:val="003061E3"/>
    <w:rsid w:val="00306D9C"/>
    <w:rsid w:val="003076F6"/>
    <w:rsid w:val="00314E0D"/>
    <w:rsid w:val="003156F0"/>
    <w:rsid w:val="003216CF"/>
    <w:rsid w:val="003240B1"/>
    <w:rsid w:val="0033328A"/>
    <w:rsid w:val="003341DE"/>
    <w:rsid w:val="00337619"/>
    <w:rsid w:val="003410A5"/>
    <w:rsid w:val="0034573C"/>
    <w:rsid w:val="00347B35"/>
    <w:rsid w:val="00351328"/>
    <w:rsid w:val="00352DDE"/>
    <w:rsid w:val="00353884"/>
    <w:rsid w:val="00355CE9"/>
    <w:rsid w:val="003568F9"/>
    <w:rsid w:val="00361A32"/>
    <w:rsid w:val="00362CB7"/>
    <w:rsid w:val="0036569F"/>
    <w:rsid w:val="00371EA8"/>
    <w:rsid w:val="00377256"/>
    <w:rsid w:val="00380C67"/>
    <w:rsid w:val="003818A4"/>
    <w:rsid w:val="003822D8"/>
    <w:rsid w:val="00383E94"/>
    <w:rsid w:val="003918AD"/>
    <w:rsid w:val="00394503"/>
    <w:rsid w:val="0039674C"/>
    <w:rsid w:val="00396CA7"/>
    <w:rsid w:val="003A2E95"/>
    <w:rsid w:val="003A408E"/>
    <w:rsid w:val="003A4343"/>
    <w:rsid w:val="003A4CEF"/>
    <w:rsid w:val="003A7FE5"/>
    <w:rsid w:val="003B1A12"/>
    <w:rsid w:val="003B270C"/>
    <w:rsid w:val="003B324A"/>
    <w:rsid w:val="003B68D1"/>
    <w:rsid w:val="003B71EA"/>
    <w:rsid w:val="003C0444"/>
    <w:rsid w:val="003C3688"/>
    <w:rsid w:val="003C3CCF"/>
    <w:rsid w:val="003C4591"/>
    <w:rsid w:val="003C7E2E"/>
    <w:rsid w:val="003D38A3"/>
    <w:rsid w:val="003D583D"/>
    <w:rsid w:val="003D5D87"/>
    <w:rsid w:val="003D5D88"/>
    <w:rsid w:val="003E041E"/>
    <w:rsid w:val="003E7C51"/>
    <w:rsid w:val="003F0198"/>
    <w:rsid w:val="003F0EEF"/>
    <w:rsid w:val="003F4D19"/>
    <w:rsid w:val="00403574"/>
    <w:rsid w:val="004050DA"/>
    <w:rsid w:val="00413E23"/>
    <w:rsid w:val="004146CB"/>
    <w:rsid w:val="004207AD"/>
    <w:rsid w:val="00420823"/>
    <w:rsid w:val="004227D2"/>
    <w:rsid w:val="00424C5E"/>
    <w:rsid w:val="00424C8C"/>
    <w:rsid w:val="00426D85"/>
    <w:rsid w:val="00427909"/>
    <w:rsid w:val="004321F0"/>
    <w:rsid w:val="004514F9"/>
    <w:rsid w:val="004536D8"/>
    <w:rsid w:val="00454592"/>
    <w:rsid w:val="00455AC1"/>
    <w:rsid w:val="00462E89"/>
    <w:rsid w:val="004644B8"/>
    <w:rsid w:val="00466823"/>
    <w:rsid w:val="004716E6"/>
    <w:rsid w:val="00475835"/>
    <w:rsid w:val="00490440"/>
    <w:rsid w:val="00490F0E"/>
    <w:rsid w:val="00491041"/>
    <w:rsid w:val="0049409F"/>
    <w:rsid w:val="00494A54"/>
    <w:rsid w:val="004A1998"/>
    <w:rsid w:val="004A54DD"/>
    <w:rsid w:val="004B04CC"/>
    <w:rsid w:val="004B1DB8"/>
    <w:rsid w:val="004B2339"/>
    <w:rsid w:val="004B4AF7"/>
    <w:rsid w:val="004C03B2"/>
    <w:rsid w:val="004C1CEA"/>
    <w:rsid w:val="004C7502"/>
    <w:rsid w:val="004C75D2"/>
    <w:rsid w:val="004D44E0"/>
    <w:rsid w:val="004D56FE"/>
    <w:rsid w:val="004D6CCE"/>
    <w:rsid w:val="004E33F4"/>
    <w:rsid w:val="004E4396"/>
    <w:rsid w:val="004F0065"/>
    <w:rsid w:val="004F1ED8"/>
    <w:rsid w:val="004F2061"/>
    <w:rsid w:val="004F5212"/>
    <w:rsid w:val="004F5E88"/>
    <w:rsid w:val="004F6F23"/>
    <w:rsid w:val="00502F56"/>
    <w:rsid w:val="005059D7"/>
    <w:rsid w:val="0051412D"/>
    <w:rsid w:val="005153C0"/>
    <w:rsid w:val="005247C1"/>
    <w:rsid w:val="00526810"/>
    <w:rsid w:val="00532192"/>
    <w:rsid w:val="00540A8C"/>
    <w:rsid w:val="00545540"/>
    <w:rsid w:val="00551320"/>
    <w:rsid w:val="005545C1"/>
    <w:rsid w:val="00560BF3"/>
    <w:rsid w:val="005610F7"/>
    <w:rsid w:val="0056383B"/>
    <w:rsid w:val="005640D4"/>
    <w:rsid w:val="00565C05"/>
    <w:rsid w:val="0057090A"/>
    <w:rsid w:val="005744DF"/>
    <w:rsid w:val="005809BB"/>
    <w:rsid w:val="0058422A"/>
    <w:rsid w:val="00590C5D"/>
    <w:rsid w:val="005956F7"/>
    <w:rsid w:val="00596A8F"/>
    <w:rsid w:val="005B0C83"/>
    <w:rsid w:val="005C13D4"/>
    <w:rsid w:val="005C3C35"/>
    <w:rsid w:val="005D45F2"/>
    <w:rsid w:val="005D5967"/>
    <w:rsid w:val="005D654A"/>
    <w:rsid w:val="005D6F49"/>
    <w:rsid w:val="005F04D2"/>
    <w:rsid w:val="005F55E1"/>
    <w:rsid w:val="005F6674"/>
    <w:rsid w:val="00603789"/>
    <w:rsid w:val="00605EEC"/>
    <w:rsid w:val="00613864"/>
    <w:rsid w:val="006168C6"/>
    <w:rsid w:val="006215FD"/>
    <w:rsid w:val="00627281"/>
    <w:rsid w:val="0064660C"/>
    <w:rsid w:val="006519CA"/>
    <w:rsid w:val="00654FF3"/>
    <w:rsid w:val="00655796"/>
    <w:rsid w:val="006564DD"/>
    <w:rsid w:val="00657E84"/>
    <w:rsid w:val="006608BD"/>
    <w:rsid w:val="0066257A"/>
    <w:rsid w:val="00662F2C"/>
    <w:rsid w:val="00666D3D"/>
    <w:rsid w:val="00670A44"/>
    <w:rsid w:val="00671610"/>
    <w:rsid w:val="00671D09"/>
    <w:rsid w:val="00672BF9"/>
    <w:rsid w:val="00674248"/>
    <w:rsid w:val="0068116D"/>
    <w:rsid w:val="0068275C"/>
    <w:rsid w:val="00691615"/>
    <w:rsid w:val="00691A58"/>
    <w:rsid w:val="006A3568"/>
    <w:rsid w:val="006A5218"/>
    <w:rsid w:val="006A5E48"/>
    <w:rsid w:val="006A746F"/>
    <w:rsid w:val="006B1746"/>
    <w:rsid w:val="006B2421"/>
    <w:rsid w:val="006B2D99"/>
    <w:rsid w:val="006B3833"/>
    <w:rsid w:val="006B508D"/>
    <w:rsid w:val="006B65CE"/>
    <w:rsid w:val="006B7A86"/>
    <w:rsid w:val="006C0AD5"/>
    <w:rsid w:val="006C4208"/>
    <w:rsid w:val="006C5BAC"/>
    <w:rsid w:val="006D5C98"/>
    <w:rsid w:val="006D63C7"/>
    <w:rsid w:val="006D7801"/>
    <w:rsid w:val="006E230C"/>
    <w:rsid w:val="006E41E7"/>
    <w:rsid w:val="006E4210"/>
    <w:rsid w:val="006E4B2B"/>
    <w:rsid w:val="006E51F2"/>
    <w:rsid w:val="006E605C"/>
    <w:rsid w:val="006E7098"/>
    <w:rsid w:val="006F41C7"/>
    <w:rsid w:val="006F43B2"/>
    <w:rsid w:val="006F4418"/>
    <w:rsid w:val="007013FD"/>
    <w:rsid w:val="007023AD"/>
    <w:rsid w:val="0070772A"/>
    <w:rsid w:val="0071106F"/>
    <w:rsid w:val="007119E2"/>
    <w:rsid w:val="007154E6"/>
    <w:rsid w:val="00723336"/>
    <w:rsid w:val="00724262"/>
    <w:rsid w:val="00732062"/>
    <w:rsid w:val="00734B81"/>
    <w:rsid w:val="007365AD"/>
    <w:rsid w:val="00741F3A"/>
    <w:rsid w:val="00742EDC"/>
    <w:rsid w:val="0074335C"/>
    <w:rsid w:val="00744DBA"/>
    <w:rsid w:val="00745010"/>
    <w:rsid w:val="00746370"/>
    <w:rsid w:val="0074685F"/>
    <w:rsid w:val="007470C7"/>
    <w:rsid w:val="0075220B"/>
    <w:rsid w:val="00752EF4"/>
    <w:rsid w:val="00761BD2"/>
    <w:rsid w:val="00771C44"/>
    <w:rsid w:val="00792D25"/>
    <w:rsid w:val="007931D3"/>
    <w:rsid w:val="00793992"/>
    <w:rsid w:val="0079464A"/>
    <w:rsid w:val="00795B98"/>
    <w:rsid w:val="0079631C"/>
    <w:rsid w:val="007A0D67"/>
    <w:rsid w:val="007A5699"/>
    <w:rsid w:val="007B0F62"/>
    <w:rsid w:val="007C596E"/>
    <w:rsid w:val="007C7DA8"/>
    <w:rsid w:val="007D1AAD"/>
    <w:rsid w:val="007D471C"/>
    <w:rsid w:val="007D6FC7"/>
    <w:rsid w:val="007E60B6"/>
    <w:rsid w:val="007E7B9B"/>
    <w:rsid w:val="007F06DC"/>
    <w:rsid w:val="007F2332"/>
    <w:rsid w:val="007F3476"/>
    <w:rsid w:val="007F73A9"/>
    <w:rsid w:val="00807E96"/>
    <w:rsid w:val="00810321"/>
    <w:rsid w:val="00811761"/>
    <w:rsid w:val="00813F8B"/>
    <w:rsid w:val="0081506C"/>
    <w:rsid w:val="008151D9"/>
    <w:rsid w:val="008200D7"/>
    <w:rsid w:val="008210A3"/>
    <w:rsid w:val="00830AFA"/>
    <w:rsid w:val="00832DE6"/>
    <w:rsid w:val="00833DA7"/>
    <w:rsid w:val="00835149"/>
    <w:rsid w:val="00840D50"/>
    <w:rsid w:val="00843573"/>
    <w:rsid w:val="00846CD0"/>
    <w:rsid w:val="00853C55"/>
    <w:rsid w:val="00855EAC"/>
    <w:rsid w:val="008566E8"/>
    <w:rsid w:val="00856C96"/>
    <w:rsid w:val="00856EBD"/>
    <w:rsid w:val="00857855"/>
    <w:rsid w:val="00862B8B"/>
    <w:rsid w:val="00865B83"/>
    <w:rsid w:val="008667D7"/>
    <w:rsid w:val="00874F78"/>
    <w:rsid w:val="00874FC1"/>
    <w:rsid w:val="0088046C"/>
    <w:rsid w:val="00880BC2"/>
    <w:rsid w:val="00887176"/>
    <w:rsid w:val="00893A59"/>
    <w:rsid w:val="00894B44"/>
    <w:rsid w:val="00897A24"/>
    <w:rsid w:val="008A26CD"/>
    <w:rsid w:val="008A6746"/>
    <w:rsid w:val="008B0D89"/>
    <w:rsid w:val="008B11BA"/>
    <w:rsid w:val="008C3F5D"/>
    <w:rsid w:val="008D4383"/>
    <w:rsid w:val="008E3645"/>
    <w:rsid w:val="008E403E"/>
    <w:rsid w:val="008E5878"/>
    <w:rsid w:val="008E611C"/>
    <w:rsid w:val="008F41B6"/>
    <w:rsid w:val="008F45FD"/>
    <w:rsid w:val="00900C07"/>
    <w:rsid w:val="009078CF"/>
    <w:rsid w:val="00912146"/>
    <w:rsid w:val="0091227F"/>
    <w:rsid w:val="00913058"/>
    <w:rsid w:val="00913D4C"/>
    <w:rsid w:val="0091410D"/>
    <w:rsid w:val="00920FBE"/>
    <w:rsid w:val="00921C93"/>
    <w:rsid w:val="00930A16"/>
    <w:rsid w:val="00936595"/>
    <w:rsid w:val="00943616"/>
    <w:rsid w:val="00945CE1"/>
    <w:rsid w:val="00946567"/>
    <w:rsid w:val="00946E22"/>
    <w:rsid w:val="00950AD2"/>
    <w:rsid w:val="0095335A"/>
    <w:rsid w:val="009574CF"/>
    <w:rsid w:val="00964A01"/>
    <w:rsid w:val="00965006"/>
    <w:rsid w:val="00975232"/>
    <w:rsid w:val="00982AEA"/>
    <w:rsid w:val="00982CFA"/>
    <w:rsid w:val="00987203"/>
    <w:rsid w:val="00990440"/>
    <w:rsid w:val="009904E8"/>
    <w:rsid w:val="0099077C"/>
    <w:rsid w:val="00990C6A"/>
    <w:rsid w:val="0099668B"/>
    <w:rsid w:val="00996A8C"/>
    <w:rsid w:val="009A0EAC"/>
    <w:rsid w:val="009A111D"/>
    <w:rsid w:val="009A1FCB"/>
    <w:rsid w:val="009A7589"/>
    <w:rsid w:val="009B23A8"/>
    <w:rsid w:val="009B2D6C"/>
    <w:rsid w:val="009B4C54"/>
    <w:rsid w:val="009B5C27"/>
    <w:rsid w:val="009C52F4"/>
    <w:rsid w:val="009D32E8"/>
    <w:rsid w:val="009D48B6"/>
    <w:rsid w:val="009D4B0C"/>
    <w:rsid w:val="009D6DF2"/>
    <w:rsid w:val="009E41B4"/>
    <w:rsid w:val="009E4B48"/>
    <w:rsid w:val="009F6611"/>
    <w:rsid w:val="00A00F39"/>
    <w:rsid w:val="00A04C14"/>
    <w:rsid w:val="00A06908"/>
    <w:rsid w:val="00A10E32"/>
    <w:rsid w:val="00A16181"/>
    <w:rsid w:val="00A20CF6"/>
    <w:rsid w:val="00A238AD"/>
    <w:rsid w:val="00A238DA"/>
    <w:rsid w:val="00A258D9"/>
    <w:rsid w:val="00A263EE"/>
    <w:rsid w:val="00A26800"/>
    <w:rsid w:val="00A27195"/>
    <w:rsid w:val="00A27FDB"/>
    <w:rsid w:val="00A324F2"/>
    <w:rsid w:val="00A34578"/>
    <w:rsid w:val="00A36666"/>
    <w:rsid w:val="00A4097E"/>
    <w:rsid w:val="00A429AB"/>
    <w:rsid w:val="00A42CE4"/>
    <w:rsid w:val="00A46EE5"/>
    <w:rsid w:val="00A50C63"/>
    <w:rsid w:val="00A52542"/>
    <w:rsid w:val="00A66CB2"/>
    <w:rsid w:val="00A67529"/>
    <w:rsid w:val="00A70B1E"/>
    <w:rsid w:val="00A729FE"/>
    <w:rsid w:val="00A767EC"/>
    <w:rsid w:val="00A77FCA"/>
    <w:rsid w:val="00A81B28"/>
    <w:rsid w:val="00A81B58"/>
    <w:rsid w:val="00A83A4A"/>
    <w:rsid w:val="00A84D04"/>
    <w:rsid w:val="00A8529D"/>
    <w:rsid w:val="00A86E53"/>
    <w:rsid w:val="00A95C45"/>
    <w:rsid w:val="00A97A5D"/>
    <w:rsid w:val="00AA0FD5"/>
    <w:rsid w:val="00AA73DF"/>
    <w:rsid w:val="00AB53B9"/>
    <w:rsid w:val="00AC15E5"/>
    <w:rsid w:val="00AC4065"/>
    <w:rsid w:val="00AC4F76"/>
    <w:rsid w:val="00AC5057"/>
    <w:rsid w:val="00AD083B"/>
    <w:rsid w:val="00AD1159"/>
    <w:rsid w:val="00AD40D8"/>
    <w:rsid w:val="00AD4BBD"/>
    <w:rsid w:val="00AD7D94"/>
    <w:rsid w:val="00AE6E27"/>
    <w:rsid w:val="00AE6EBD"/>
    <w:rsid w:val="00AF10C2"/>
    <w:rsid w:val="00AF7290"/>
    <w:rsid w:val="00B00516"/>
    <w:rsid w:val="00B062A3"/>
    <w:rsid w:val="00B15621"/>
    <w:rsid w:val="00B178C5"/>
    <w:rsid w:val="00B21ED5"/>
    <w:rsid w:val="00B2433C"/>
    <w:rsid w:val="00B329F5"/>
    <w:rsid w:val="00B32FF7"/>
    <w:rsid w:val="00B33E67"/>
    <w:rsid w:val="00B348CE"/>
    <w:rsid w:val="00B40E64"/>
    <w:rsid w:val="00B414C0"/>
    <w:rsid w:val="00B43A27"/>
    <w:rsid w:val="00B445D7"/>
    <w:rsid w:val="00B44711"/>
    <w:rsid w:val="00B560CF"/>
    <w:rsid w:val="00B568C3"/>
    <w:rsid w:val="00B56CC1"/>
    <w:rsid w:val="00B60CB5"/>
    <w:rsid w:val="00B65234"/>
    <w:rsid w:val="00B6788F"/>
    <w:rsid w:val="00B7683B"/>
    <w:rsid w:val="00B804F4"/>
    <w:rsid w:val="00B81953"/>
    <w:rsid w:val="00B8223F"/>
    <w:rsid w:val="00B86347"/>
    <w:rsid w:val="00B959C3"/>
    <w:rsid w:val="00BA37DA"/>
    <w:rsid w:val="00BA3FD7"/>
    <w:rsid w:val="00BA48C2"/>
    <w:rsid w:val="00BA5092"/>
    <w:rsid w:val="00BA569C"/>
    <w:rsid w:val="00BA5C42"/>
    <w:rsid w:val="00BA78CC"/>
    <w:rsid w:val="00BB2DD3"/>
    <w:rsid w:val="00BB42B7"/>
    <w:rsid w:val="00BB74A0"/>
    <w:rsid w:val="00BC1FFE"/>
    <w:rsid w:val="00BC3B03"/>
    <w:rsid w:val="00BC5C78"/>
    <w:rsid w:val="00BD1936"/>
    <w:rsid w:val="00BD35BF"/>
    <w:rsid w:val="00BD7DF8"/>
    <w:rsid w:val="00BE1D5A"/>
    <w:rsid w:val="00BE1DB0"/>
    <w:rsid w:val="00BE74DF"/>
    <w:rsid w:val="00BF791F"/>
    <w:rsid w:val="00BF7B0B"/>
    <w:rsid w:val="00C01761"/>
    <w:rsid w:val="00C0740F"/>
    <w:rsid w:val="00C1071D"/>
    <w:rsid w:val="00C12676"/>
    <w:rsid w:val="00C16C46"/>
    <w:rsid w:val="00C175B9"/>
    <w:rsid w:val="00C2005F"/>
    <w:rsid w:val="00C25CFB"/>
    <w:rsid w:val="00C305BD"/>
    <w:rsid w:val="00C325EA"/>
    <w:rsid w:val="00C33EC8"/>
    <w:rsid w:val="00C46526"/>
    <w:rsid w:val="00C4683A"/>
    <w:rsid w:val="00C46EF4"/>
    <w:rsid w:val="00C50287"/>
    <w:rsid w:val="00C5252B"/>
    <w:rsid w:val="00C6392A"/>
    <w:rsid w:val="00C65450"/>
    <w:rsid w:val="00C667F9"/>
    <w:rsid w:val="00C668A3"/>
    <w:rsid w:val="00C70550"/>
    <w:rsid w:val="00C709B1"/>
    <w:rsid w:val="00C72EEC"/>
    <w:rsid w:val="00C82D21"/>
    <w:rsid w:val="00C834B4"/>
    <w:rsid w:val="00C839B8"/>
    <w:rsid w:val="00C83E28"/>
    <w:rsid w:val="00C86F8E"/>
    <w:rsid w:val="00C879C6"/>
    <w:rsid w:val="00C923A3"/>
    <w:rsid w:val="00C92CF1"/>
    <w:rsid w:val="00C966EF"/>
    <w:rsid w:val="00CA123E"/>
    <w:rsid w:val="00CA3D08"/>
    <w:rsid w:val="00CB1128"/>
    <w:rsid w:val="00CB219E"/>
    <w:rsid w:val="00CB5BD5"/>
    <w:rsid w:val="00CC05D3"/>
    <w:rsid w:val="00CC4FDD"/>
    <w:rsid w:val="00CC5E43"/>
    <w:rsid w:val="00CD169B"/>
    <w:rsid w:val="00CE2BB5"/>
    <w:rsid w:val="00CE3534"/>
    <w:rsid w:val="00CE4122"/>
    <w:rsid w:val="00CE56F2"/>
    <w:rsid w:val="00CE5AAE"/>
    <w:rsid w:val="00CF0548"/>
    <w:rsid w:val="00D01C4A"/>
    <w:rsid w:val="00D04771"/>
    <w:rsid w:val="00D05B01"/>
    <w:rsid w:val="00D0792B"/>
    <w:rsid w:val="00D112B3"/>
    <w:rsid w:val="00D15991"/>
    <w:rsid w:val="00D23190"/>
    <w:rsid w:val="00D23BD8"/>
    <w:rsid w:val="00D25DB9"/>
    <w:rsid w:val="00D27AB0"/>
    <w:rsid w:val="00D33B5F"/>
    <w:rsid w:val="00D44277"/>
    <w:rsid w:val="00D4509F"/>
    <w:rsid w:val="00D50740"/>
    <w:rsid w:val="00D5397C"/>
    <w:rsid w:val="00D53E82"/>
    <w:rsid w:val="00D54A01"/>
    <w:rsid w:val="00D56847"/>
    <w:rsid w:val="00D57FFB"/>
    <w:rsid w:val="00D6228A"/>
    <w:rsid w:val="00D62966"/>
    <w:rsid w:val="00D64F42"/>
    <w:rsid w:val="00D72F54"/>
    <w:rsid w:val="00D74CBE"/>
    <w:rsid w:val="00D8069F"/>
    <w:rsid w:val="00D822E6"/>
    <w:rsid w:val="00D84FDD"/>
    <w:rsid w:val="00D91AA7"/>
    <w:rsid w:val="00D93F78"/>
    <w:rsid w:val="00DA0426"/>
    <w:rsid w:val="00DA0729"/>
    <w:rsid w:val="00DA4A9B"/>
    <w:rsid w:val="00DA60CB"/>
    <w:rsid w:val="00DA684B"/>
    <w:rsid w:val="00DA6AAD"/>
    <w:rsid w:val="00DB00BA"/>
    <w:rsid w:val="00DB7E3D"/>
    <w:rsid w:val="00DC1D51"/>
    <w:rsid w:val="00DC7EC0"/>
    <w:rsid w:val="00DD19DD"/>
    <w:rsid w:val="00DD6BD4"/>
    <w:rsid w:val="00DE07C0"/>
    <w:rsid w:val="00DE0E76"/>
    <w:rsid w:val="00DE153D"/>
    <w:rsid w:val="00DE2472"/>
    <w:rsid w:val="00DE6B77"/>
    <w:rsid w:val="00DE6C26"/>
    <w:rsid w:val="00DE71F7"/>
    <w:rsid w:val="00DE7ACE"/>
    <w:rsid w:val="00DF0968"/>
    <w:rsid w:val="00DF148A"/>
    <w:rsid w:val="00DF166A"/>
    <w:rsid w:val="00DF17FA"/>
    <w:rsid w:val="00DF5859"/>
    <w:rsid w:val="00DF71ED"/>
    <w:rsid w:val="00E04B9A"/>
    <w:rsid w:val="00E05F0F"/>
    <w:rsid w:val="00E12185"/>
    <w:rsid w:val="00E121AE"/>
    <w:rsid w:val="00E139A4"/>
    <w:rsid w:val="00E23123"/>
    <w:rsid w:val="00E31FD9"/>
    <w:rsid w:val="00E34532"/>
    <w:rsid w:val="00E363DD"/>
    <w:rsid w:val="00E42D9F"/>
    <w:rsid w:val="00E43F36"/>
    <w:rsid w:val="00E60389"/>
    <w:rsid w:val="00E63182"/>
    <w:rsid w:val="00E644D3"/>
    <w:rsid w:val="00E70DA5"/>
    <w:rsid w:val="00E71162"/>
    <w:rsid w:val="00E71B2C"/>
    <w:rsid w:val="00E724CA"/>
    <w:rsid w:val="00E72904"/>
    <w:rsid w:val="00E77B5F"/>
    <w:rsid w:val="00E84E97"/>
    <w:rsid w:val="00E85961"/>
    <w:rsid w:val="00EA0659"/>
    <w:rsid w:val="00EA6326"/>
    <w:rsid w:val="00EB3F03"/>
    <w:rsid w:val="00EC1576"/>
    <w:rsid w:val="00EC3730"/>
    <w:rsid w:val="00EC4993"/>
    <w:rsid w:val="00EE0791"/>
    <w:rsid w:val="00EE15CC"/>
    <w:rsid w:val="00EE2504"/>
    <w:rsid w:val="00EE43D2"/>
    <w:rsid w:val="00EE4986"/>
    <w:rsid w:val="00EE6C62"/>
    <w:rsid w:val="00EF1819"/>
    <w:rsid w:val="00EF3B4F"/>
    <w:rsid w:val="00EF3F16"/>
    <w:rsid w:val="00EF5990"/>
    <w:rsid w:val="00F12DF9"/>
    <w:rsid w:val="00F13387"/>
    <w:rsid w:val="00F17F69"/>
    <w:rsid w:val="00F21705"/>
    <w:rsid w:val="00F21D49"/>
    <w:rsid w:val="00F26E73"/>
    <w:rsid w:val="00F270C4"/>
    <w:rsid w:val="00F328BB"/>
    <w:rsid w:val="00F35449"/>
    <w:rsid w:val="00F43F70"/>
    <w:rsid w:val="00F4786C"/>
    <w:rsid w:val="00F50925"/>
    <w:rsid w:val="00F52685"/>
    <w:rsid w:val="00F554C6"/>
    <w:rsid w:val="00F62B95"/>
    <w:rsid w:val="00F65787"/>
    <w:rsid w:val="00F7231F"/>
    <w:rsid w:val="00F7314A"/>
    <w:rsid w:val="00F7426E"/>
    <w:rsid w:val="00F74B40"/>
    <w:rsid w:val="00F75D54"/>
    <w:rsid w:val="00F8214B"/>
    <w:rsid w:val="00F82928"/>
    <w:rsid w:val="00F865F2"/>
    <w:rsid w:val="00F90453"/>
    <w:rsid w:val="00F96B61"/>
    <w:rsid w:val="00FA37B7"/>
    <w:rsid w:val="00FA5CFF"/>
    <w:rsid w:val="00FA7CD6"/>
    <w:rsid w:val="00FB5335"/>
    <w:rsid w:val="00FC2F41"/>
    <w:rsid w:val="00FD3413"/>
    <w:rsid w:val="00FD452E"/>
    <w:rsid w:val="00FD6F49"/>
    <w:rsid w:val="00FD6F60"/>
    <w:rsid w:val="00FD7AA8"/>
    <w:rsid w:val="00FF666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6CD"/>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4683A"/>
    <w:pPr>
      <w:ind w:left="720"/>
      <w:contextualSpacing/>
    </w:pPr>
  </w:style>
  <w:style w:type="paragraph" w:styleId="Cabealho">
    <w:name w:val="header"/>
    <w:basedOn w:val="Normal"/>
    <w:link w:val="CabealhoChar"/>
    <w:uiPriority w:val="99"/>
    <w:semiHidden/>
    <w:unhideWhenUsed/>
    <w:rsid w:val="00314E0D"/>
    <w:pPr>
      <w:tabs>
        <w:tab w:val="center" w:pos="4252"/>
        <w:tab w:val="right" w:pos="8504"/>
      </w:tabs>
    </w:pPr>
  </w:style>
  <w:style w:type="character" w:customStyle="1" w:styleId="CabealhoChar">
    <w:name w:val="Cabeçalho Char"/>
    <w:basedOn w:val="Fontepargpadro"/>
    <w:link w:val="Cabealho"/>
    <w:uiPriority w:val="99"/>
    <w:semiHidden/>
    <w:rsid w:val="00314E0D"/>
    <w:rPr>
      <w:sz w:val="22"/>
      <w:szCs w:val="22"/>
      <w:lang w:eastAsia="en-US"/>
    </w:rPr>
  </w:style>
  <w:style w:type="paragraph" w:styleId="Rodap">
    <w:name w:val="footer"/>
    <w:basedOn w:val="Normal"/>
    <w:link w:val="RodapChar"/>
    <w:uiPriority w:val="99"/>
    <w:unhideWhenUsed/>
    <w:rsid w:val="00314E0D"/>
    <w:pPr>
      <w:tabs>
        <w:tab w:val="center" w:pos="4252"/>
        <w:tab w:val="right" w:pos="8504"/>
      </w:tabs>
    </w:pPr>
  </w:style>
  <w:style w:type="character" w:customStyle="1" w:styleId="RodapChar">
    <w:name w:val="Rodapé Char"/>
    <w:basedOn w:val="Fontepargpadro"/>
    <w:link w:val="Rodap"/>
    <w:uiPriority w:val="99"/>
    <w:rsid w:val="00314E0D"/>
    <w:rPr>
      <w:sz w:val="22"/>
      <w:szCs w:val="22"/>
      <w:lang w:eastAsia="en-US"/>
    </w:rPr>
  </w:style>
  <w:style w:type="character" w:styleId="Hyperlink">
    <w:name w:val="Hyperlink"/>
    <w:basedOn w:val="Fontepargpadro"/>
    <w:unhideWhenUsed/>
    <w:rsid w:val="004F6F23"/>
    <w:rPr>
      <w:color w:val="0000FF"/>
      <w:u w:val="single"/>
    </w:rPr>
  </w:style>
  <w:style w:type="character" w:customStyle="1" w:styleId="hps">
    <w:name w:val="hps"/>
    <w:basedOn w:val="Fontepargpadro"/>
    <w:uiPriority w:val="99"/>
    <w:rsid w:val="006B508D"/>
  </w:style>
  <w:style w:type="paragraph" w:styleId="Textodenotaderodap">
    <w:name w:val="footnote text"/>
    <w:basedOn w:val="Normal"/>
    <w:link w:val="TextodenotaderodapChar"/>
    <w:uiPriority w:val="99"/>
    <w:unhideWhenUsed/>
    <w:rsid w:val="006B508D"/>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6B508D"/>
    <w:rPr>
      <w:lang w:eastAsia="en-US"/>
    </w:rPr>
  </w:style>
  <w:style w:type="character" w:styleId="Refdenotaderodap">
    <w:name w:val="footnote reference"/>
    <w:basedOn w:val="Fontepargpadro"/>
    <w:uiPriority w:val="99"/>
    <w:unhideWhenUsed/>
    <w:rsid w:val="006B508D"/>
    <w:rPr>
      <w:vertAlign w:val="superscript"/>
    </w:rPr>
  </w:style>
  <w:style w:type="character" w:styleId="Refdecomentrio">
    <w:name w:val="annotation reference"/>
    <w:basedOn w:val="Fontepargpadro"/>
    <w:uiPriority w:val="99"/>
    <w:semiHidden/>
    <w:unhideWhenUsed/>
    <w:rsid w:val="006B508D"/>
    <w:rPr>
      <w:sz w:val="16"/>
      <w:szCs w:val="16"/>
    </w:rPr>
  </w:style>
  <w:style w:type="paragraph" w:styleId="Textodecomentrio">
    <w:name w:val="annotation text"/>
    <w:basedOn w:val="Normal"/>
    <w:link w:val="TextodecomentrioChar"/>
    <w:uiPriority w:val="99"/>
    <w:semiHidden/>
    <w:unhideWhenUsed/>
    <w:rsid w:val="006B508D"/>
    <w:rPr>
      <w:sz w:val="20"/>
      <w:szCs w:val="20"/>
    </w:rPr>
  </w:style>
  <w:style w:type="character" w:customStyle="1" w:styleId="TextodecomentrioChar">
    <w:name w:val="Texto de comentário Char"/>
    <w:basedOn w:val="Fontepargpadro"/>
    <w:link w:val="Textodecomentrio"/>
    <w:uiPriority w:val="99"/>
    <w:semiHidden/>
    <w:rsid w:val="006B508D"/>
    <w:rPr>
      <w:lang w:eastAsia="en-US"/>
    </w:rPr>
  </w:style>
  <w:style w:type="paragraph" w:styleId="Assuntodocomentrio">
    <w:name w:val="annotation subject"/>
    <w:basedOn w:val="Textodecomentrio"/>
    <w:next w:val="Textodecomentrio"/>
    <w:link w:val="AssuntodocomentrioChar"/>
    <w:uiPriority w:val="99"/>
    <w:semiHidden/>
    <w:unhideWhenUsed/>
    <w:rsid w:val="006B508D"/>
    <w:rPr>
      <w:b/>
      <w:bCs/>
    </w:rPr>
  </w:style>
  <w:style w:type="character" w:customStyle="1" w:styleId="AssuntodocomentrioChar">
    <w:name w:val="Assunto do comentário Char"/>
    <w:basedOn w:val="TextodecomentrioChar"/>
    <w:link w:val="Assuntodocomentrio"/>
    <w:uiPriority w:val="99"/>
    <w:semiHidden/>
    <w:rsid w:val="006B508D"/>
    <w:rPr>
      <w:b/>
      <w:bCs/>
    </w:rPr>
  </w:style>
  <w:style w:type="paragraph" w:styleId="Textodebalo">
    <w:name w:val="Balloon Text"/>
    <w:basedOn w:val="Normal"/>
    <w:link w:val="TextodebaloChar"/>
    <w:uiPriority w:val="99"/>
    <w:semiHidden/>
    <w:unhideWhenUsed/>
    <w:rsid w:val="006B508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B508D"/>
    <w:rPr>
      <w:rFonts w:ascii="Tahoma" w:hAnsi="Tahoma" w:cs="Tahoma"/>
      <w:sz w:val="16"/>
      <w:szCs w:val="16"/>
      <w:lang w:eastAsia="en-US"/>
    </w:rPr>
  </w:style>
  <w:style w:type="paragraph" w:customStyle="1" w:styleId="Ilustrao">
    <w:name w:val="Ilustração"/>
    <w:basedOn w:val="Normal"/>
    <w:rsid w:val="00B81953"/>
    <w:pPr>
      <w:spacing w:after="0" w:line="240" w:lineRule="auto"/>
      <w:jc w:val="center"/>
    </w:pPr>
    <w:rPr>
      <w:rFonts w:ascii="Times New Roman" w:eastAsia="SimSun" w:hAnsi="Times New Roman"/>
      <w:b/>
      <w:sz w:val="24"/>
      <w:szCs w:val="24"/>
      <w:lang w:eastAsia="zh-CN"/>
    </w:rPr>
  </w:style>
  <w:style w:type="character" w:customStyle="1" w:styleId="apple-converted-space">
    <w:name w:val="apple-converted-space"/>
    <w:basedOn w:val="Fontepargpadro"/>
    <w:rsid w:val="00C0740F"/>
  </w:style>
  <w:style w:type="character" w:styleId="nfase">
    <w:name w:val="Emphasis"/>
    <w:basedOn w:val="Fontepargpadro"/>
    <w:uiPriority w:val="20"/>
    <w:qFormat/>
    <w:rsid w:val="00C0740F"/>
    <w:rPr>
      <w:i/>
      <w:iCs/>
    </w:rPr>
  </w:style>
</w:styles>
</file>

<file path=word/webSettings.xml><?xml version="1.0" encoding="utf-8"?>
<w:webSettings xmlns:r="http://schemas.openxmlformats.org/officeDocument/2006/relationships" xmlns:w="http://schemas.openxmlformats.org/wordprocessingml/2006/main">
  <w:divs>
    <w:div w:id="1416198844">
      <w:bodyDiv w:val="1"/>
      <w:marLeft w:val="0"/>
      <w:marRight w:val="0"/>
      <w:marTop w:val="0"/>
      <w:marBottom w:val="0"/>
      <w:divBdr>
        <w:top w:val="none" w:sz="0" w:space="0" w:color="auto"/>
        <w:left w:val="none" w:sz="0" w:space="0" w:color="auto"/>
        <w:bottom w:val="none" w:sz="0" w:space="0" w:color="auto"/>
        <w:right w:val="none" w:sz="0" w:space="0" w:color="auto"/>
      </w:divBdr>
      <w:divsChild>
        <w:div w:id="1553346128">
          <w:marLeft w:val="3209"/>
          <w:marRight w:val="0"/>
          <w:marTop w:val="0"/>
          <w:marBottom w:val="0"/>
          <w:divBdr>
            <w:top w:val="single" w:sz="6" w:space="4" w:color="CCCCCC"/>
            <w:left w:val="single" w:sz="6" w:space="16" w:color="CCCCCC"/>
            <w:bottom w:val="single" w:sz="6" w:space="4" w:color="CCCCCC"/>
            <w:right w:val="single" w:sz="6" w:space="16" w:color="CCCCCC"/>
          </w:divBdr>
        </w:div>
      </w:divsChild>
    </w:div>
    <w:div w:id="195192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anessacostaval@ie.ufu.br" TargetMode="External"/><Relationship Id="rId13" Type="http://schemas.openxmlformats.org/officeDocument/2006/relationships/image" Target="media/image4.emf"/><Relationship Id="rId18" Type="http://schemas.openxmlformats.org/officeDocument/2006/relationships/image" Target="media/image9.wmf"/><Relationship Id="rId26" Type="http://schemas.openxmlformats.org/officeDocument/2006/relationships/hyperlink" Target="http://www.desenvolvimento.gov.br/sitio/interna/interna.php?area=5&amp;menu=1161" TargetMode="External"/><Relationship Id="rId3" Type="http://schemas.openxmlformats.org/officeDocument/2006/relationships/styles" Target="styles.xml"/><Relationship Id="rId21" Type="http://schemas.openxmlformats.org/officeDocument/2006/relationships/hyperlink" Target="http://www4.bcb.gov.br/?SERIESTEMP"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wmf"/><Relationship Id="rId25" Type="http://schemas.openxmlformats.org/officeDocument/2006/relationships/hyperlink" Target="http://www.imf.org/external/np/pp/eng/2012/111412.pdf" TargetMode="Externa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www.sidra.ibge.gov.br/bda/acervo/acervo2.asp?e=c&amp;p=PZ&amp;v=28&amp;z=t&amp;o=22" TargetMode="Externa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hyperlink" Target="http://ideas.repec.org/p/uwa/wpaper/06-17.html" TargetMode="External"/><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yperlink" Target="mailto:michele@ie.ufu.br" TargetMode="External"/><Relationship Id="rId14" Type="http://schemas.openxmlformats.org/officeDocument/2006/relationships/image" Target="media/image5.emf"/><Relationship Id="rId22" Type="http://schemas.openxmlformats.org/officeDocument/2006/relationships/hyperlink" Target="http://www.imf.org/eXternal/pubs/ft/wp/2002/wp0227.pdf" TargetMode="External"/><Relationship Id="rId27"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568264-B220-49B6-AF72-70FE7DFA8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20</Pages>
  <Words>9945</Words>
  <Characters>53706</Characters>
  <Application>Microsoft Office Word</Application>
  <DocSecurity>0</DocSecurity>
  <Lines>447</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Vanessa</cp:lastModifiedBy>
  <cp:revision>20</cp:revision>
  <dcterms:created xsi:type="dcterms:W3CDTF">2013-07-17T17:58:00Z</dcterms:created>
  <dcterms:modified xsi:type="dcterms:W3CDTF">2013-07-19T11:52:00Z</dcterms:modified>
</cp:coreProperties>
</file>