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ABB" w:rsidRPr="00313C30" w:rsidRDefault="00C74F6E" w:rsidP="008A7ABB">
      <w:pPr>
        <w:pStyle w:val="Default"/>
        <w:jc w:val="center"/>
        <w:rPr>
          <w:b/>
          <w:color w:val="auto"/>
        </w:rPr>
      </w:pPr>
      <w:r>
        <w:rPr>
          <w:b/>
        </w:rPr>
        <w:t xml:space="preserve">A </w:t>
      </w:r>
      <w:proofErr w:type="gramStart"/>
      <w:r>
        <w:rPr>
          <w:b/>
        </w:rPr>
        <w:t>PERFORMANCE</w:t>
      </w:r>
      <w:proofErr w:type="gramEnd"/>
      <w:r>
        <w:rPr>
          <w:b/>
        </w:rPr>
        <w:t xml:space="preserve"> DAS AGÊNCIAS DE</w:t>
      </w:r>
      <w:r w:rsidR="008A7ABB" w:rsidRPr="000E6732">
        <w:rPr>
          <w:b/>
        </w:rPr>
        <w:t xml:space="preserve"> RATINGS DE RISCO SOBERANO E OS FUNDAMENTOS </w:t>
      </w:r>
      <w:r w:rsidR="008A7ABB" w:rsidRPr="00313C30">
        <w:rPr>
          <w:b/>
          <w:color w:val="auto"/>
        </w:rPr>
        <w:t xml:space="preserve">MACROECONÔMICOS DOS PAÍSES: UM ESTUDO </w:t>
      </w:r>
      <w:r w:rsidRPr="00313C30">
        <w:rPr>
          <w:b/>
          <w:color w:val="auto"/>
        </w:rPr>
        <w:t>SOBRE AS ATRIBUIÇÕES DE RISCO</w:t>
      </w:r>
      <w:r w:rsidR="00D578C6">
        <w:rPr>
          <w:b/>
          <w:color w:val="auto"/>
        </w:rPr>
        <w:t xml:space="preserve"> E SUA UTILIZAÇÃO NA PREDIÇÃO DE CRISES INTERNACIONAIS</w:t>
      </w:r>
    </w:p>
    <w:p w:rsidR="00C74F6E" w:rsidRPr="00313C30" w:rsidRDefault="00C74F6E" w:rsidP="001C0249">
      <w:pPr>
        <w:pStyle w:val="Default"/>
        <w:jc w:val="center"/>
        <w:rPr>
          <w:color w:val="auto"/>
        </w:rPr>
      </w:pPr>
    </w:p>
    <w:p w:rsidR="00313C30" w:rsidRPr="00313C30" w:rsidRDefault="000E6732" w:rsidP="00721756">
      <w:pPr>
        <w:pStyle w:val="Default"/>
        <w:rPr>
          <w:bCs/>
        </w:rPr>
      </w:pPr>
      <w:r w:rsidRPr="00313C30">
        <w:rPr>
          <w:color w:val="auto"/>
        </w:rPr>
        <w:t xml:space="preserve">Bruno Ferreira </w:t>
      </w:r>
      <w:proofErr w:type="spellStart"/>
      <w:r w:rsidRPr="00313C30">
        <w:rPr>
          <w:color w:val="auto"/>
        </w:rPr>
        <w:t>Frascaroli</w:t>
      </w:r>
      <w:proofErr w:type="spellEnd"/>
      <w:r w:rsidR="00721756">
        <w:rPr>
          <w:color w:val="auto"/>
        </w:rPr>
        <w:t xml:space="preserve"> / </w:t>
      </w:r>
      <w:r w:rsidRPr="00313C30">
        <w:rPr>
          <w:color w:val="auto"/>
        </w:rPr>
        <w:t xml:space="preserve">Professor </w:t>
      </w:r>
      <w:r w:rsidR="00313C30">
        <w:rPr>
          <w:color w:val="auto"/>
        </w:rPr>
        <w:t>A</w:t>
      </w:r>
      <w:r w:rsidRPr="00313C30">
        <w:rPr>
          <w:color w:val="auto"/>
        </w:rPr>
        <w:t>djunto do Departamento de Economia UFPB e do PPGE/UFPB</w:t>
      </w:r>
      <w:r w:rsidRPr="00313C30">
        <w:rPr>
          <w:color w:val="auto"/>
        </w:rPr>
        <w:br/>
      </w:r>
      <w:proofErr w:type="spellStart"/>
      <w:r w:rsidRPr="00313C30">
        <w:rPr>
          <w:color w:val="auto"/>
        </w:rPr>
        <w:t>Jailson</w:t>
      </w:r>
      <w:proofErr w:type="spellEnd"/>
      <w:r w:rsidRPr="00313C30">
        <w:rPr>
          <w:color w:val="auto"/>
        </w:rPr>
        <w:t xml:space="preserve"> da Conceição Teixeira de Oliveira</w:t>
      </w:r>
      <w:r w:rsidR="00721756">
        <w:rPr>
          <w:color w:val="auto"/>
        </w:rPr>
        <w:t xml:space="preserve"> / </w:t>
      </w:r>
      <w:r w:rsidRPr="00313C30">
        <w:t>Doutorando em Economia pelo PPGE/UFPB</w:t>
      </w:r>
      <w:r w:rsidRPr="00313C30">
        <w:br/>
      </w:r>
    </w:p>
    <w:p w:rsidR="005D6D5C" w:rsidRPr="00AD7692" w:rsidRDefault="005D6D5C" w:rsidP="001C0249">
      <w:pPr>
        <w:pStyle w:val="Estilo1"/>
        <w:jc w:val="center"/>
      </w:pPr>
      <w:r w:rsidRPr="00AD7692">
        <w:t>RESUMO</w:t>
      </w:r>
    </w:p>
    <w:p w:rsidR="000E6732" w:rsidRPr="00D15917" w:rsidRDefault="005D6D5C" w:rsidP="00A33839">
      <w:pPr>
        <w:jc w:val="both"/>
      </w:pPr>
      <w:r w:rsidRPr="00D15917">
        <w:t>Um d</w:t>
      </w:r>
      <w:r w:rsidR="00E818E2" w:rsidRPr="00D15917">
        <w:t>o</w:t>
      </w:r>
      <w:r w:rsidRPr="00D15917">
        <w:t xml:space="preserve">s dispositivos </w:t>
      </w:r>
      <w:r w:rsidR="00E469F6" w:rsidRPr="00D15917">
        <w:t xml:space="preserve">mais importantes </w:t>
      </w:r>
      <w:r w:rsidR="00E818E2" w:rsidRPr="00D15917">
        <w:t xml:space="preserve">do mercado financeiro internacional para reduzir a presença de </w:t>
      </w:r>
      <w:r w:rsidR="00E818E2" w:rsidRPr="00D15917">
        <w:rPr>
          <w:bCs/>
        </w:rPr>
        <w:t>assimetria de informação</w:t>
      </w:r>
      <w:r w:rsidR="00E818E2" w:rsidRPr="00D15917">
        <w:t xml:space="preserve"> </w:t>
      </w:r>
      <w:r w:rsidRPr="00D15917">
        <w:t xml:space="preserve">é o </w:t>
      </w:r>
      <w:r w:rsidRPr="00D15917">
        <w:rPr>
          <w:i/>
        </w:rPr>
        <w:t>rating</w:t>
      </w:r>
      <w:r w:rsidRPr="00D15917">
        <w:t xml:space="preserve"> de risco soberano</w:t>
      </w:r>
      <w:r w:rsidR="008A7ABB">
        <w:t>. Ele</w:t>
      </w:r>
      <w:r w:rsidRPr="00D15917">
        <w:t xml:space="preserve"> constitui peça chave para determinar as condições dos mercados de crédito</w:t>
      </w:r>
      <w:r w:rsidR="005B0832" w:rsidRPr="00D15917">
        <w:t>,</w:t>
      </w:r>
      <w:r w:rsidRPr="00D15917">
        <w:t xml:space="preserve"> fundamentais</w:t>
      </w:r>
      <w:r w:rsidR="005B0832" w:rsidRPr="00D15917">
        <w:t>, sobretudo,</w:t>
      </w:r>
      <w:r w:rsidRPr="00D15917">
        <w:t xml:space="preserve"> para o desenvolvimento de países emergentes. O objet</w:t>
      </w:r>
      <w:r w:rsidR="006668C9" w:rsidRPr="00D15917">
        <w:t>ivo</w:t>
      </w:r>
      <w:r w:rsidRPr="00D15917">
        <w:t xml:space="preserve"> do presente </w:t>
      </w:r>
      <w:r w:rsidR="005B0832" w:rsidRPr="00D15917">
        <w:t>trabalho foi</w:t>
      </w:r>
      <w:r w:rsidRPr="00D15917">
        <w:t xml:space="preserve"> estudar </w:t>
      </w:r>
      <w:r w:rsidR="005B0832" w:rsidRPr="00D15917">
        <w:t xml:space="preserve">os determinantes da </w:t>
      </w:r>
      <w:r w:rsidRPr="00D15917">
        <w:t xml:space="preserve">classificação dos </w:t>
      </w:r>
      <w:r w:rsidRPr="00D15917">
        <w:rPr>
          <w:i/>
        </w:rPr>
        <w:t>ratings</w:t>
      </w:r>
      <w:r w:rsidRPr="00D15917">
        <w:t xml:space="preserve"> de risco soberano realizadas pelas agências de </w:t>
      </w:r>
      <w:r w:rsidRPr="00D15917">
        <w:rPr>
          <w:i/>
        </w:rPr>
        <w:t>rating</w:t>
      </w:r>
      <w:r w:rsidR="001F2533" w:rsidRPr="00D15917">
        <w:rPr>
          <w:i/>
        </w:rPr>
        <w:t>s</w:t>
      </w:r>
      <w:r w:rsidR="005B0832" w:rsidRPr="00D15917">
        <w:t>, mensurando os efeitos de cada variável explicativa.</w:t>
      </w:r>
      <w:r w:rsidRPr="00D15917">
        <w:t xml:space="preserve"> </w:t>
      </w:r>
      <w:r w:rsidR="005B0832" w:rsidRPr="00D15917">
        <w:t>Para tanto, tomou-se os</w:t>
      </w:r>
      <w:r w:rsidRPr="00D15917">
        <w:t xml:space="preserve"> </w:t>
      </w:r>
      <w:r w:rsidR="005B0832" w:rsidRPr="00D15917">
        <w:t xml:space="preserve">principais </w:t>
      </w:r>
      <w:r w:rsidRPr="00D15917">
        <w:t>fundamentos macroeconômicos</w:t>
      </w:r>
      <w:r w:rsidR="005B0832" w:rsidRPr="00D15917">
        <w:t xml:space="preserve"> dos países que remetem </w:t>
      </w:r>
      <w:r w:rsidR="008A7ABB">
        <w:t>às</w:t>
      </w:r>
      <w:r w:rsidR="005B0832" w:rsidRPr="00D15917">
        <w:t xml:space="preserve"> características de solvência, liquidez, e desenvolvimento e estabilidade econômica e estimou-se um modelo de dados em painel. </w:t>
      </w:r>
      <w:r w:rsidR="00D31447">
        <w:t xml:space="preserve">A ideia central foi testar a hipótese de </w:t>
      </w:r>
      <w:r w:rsidR="00D31447" w:rsidRPr="001C0249">
        <w:t xml:space="preserve">Cantor e </w:t>
      </w:r>
      <w:proofErr w:type="spellStart"/>
      <w:r w:rsidR="00D31447" w:rsidRPr="001C0249">
        <w:t>Packer</w:t>
      </w:r>
      <w:proofErr w:type="spellEnd"/>
      <w:r w:rsidR="00D31447" w:rsidRPr="001C0249">
        <w:t xml:space="preserve"> (1996) </w:t>
      </w:r>
      <w:r w:rsidR="00D31447">
        <w:t xml:space="preserve">de que os ratings dos países não tem relação clara com seus fundamentos macroeconômicos. </w:t>
      </w:r>
      <w:r w:rsidR="005B0832" w:rsidRPr="00D15917">
        <w:t>Como principais resultados, obteve-se</w:t>
      </w:r>
      <w:r w:rsidR="00AC54BE" w:rsidRPr="00D15917">
        <w:t xml:space="preserve"> que</w:t>
      </w:r>
      <w:r w:rsidR="00A23683" w:rsidRPr="00D15917">
        <w:t xml:space="preserve"> </w:t>
      </w:r>
      <w:r w:rsidR="008A7ABB">
        <w:t xml:space="preserve">para o </w:t>
      </w:r>
      <w:r w:rsidR="00A23683" w:rsidRPr="00D15917">
        <w:t>modelo estimado por efeitos fixos</w:t>
      </w:r>
      <w:r w:rsidR="00AC54BE" w:rsidRPr="00D15917">
        <w:t>,</w:t>
      </w:r>
      <w:r w:rsidR="00A23683" w:rsidRPr="00D15917">
        <w:t xml:space="preserve"> </w:t>
      </w:r>
      <w:r w:rsidR="00A33839" w:rsidRPr="00D15917">
        <w:t xml:space="preserve">nem todas as </w:t>
      </w:r>
      <w:r w:rsidR="00A23683" w:rsidRPr="00D15917">
        <w:t>variáveis se mostr</w:t>
      </w:r>
      <w:r w:rsidR="00A33839" w:rsidRPr="00D15917">
        <w:t>aram significativas, além disso, apenas o parâmetro estimado para o crescimento das exportações se mostrou contra intuitivo. As estimações</w:t>
      </w:r>
      <w:r w:rsidR="00AC54BE" w:rsidRPr="00D15917">
        <w:t xml:space="preserve"> </w:t>
      </w:r>
      <w:r w:rsidR="001D3A8A">
        <w:t xml:space="preserve">através do </w:t>
      </w:r>
      <w:r w:rsidR="001D3A8A" w:rsidRPr="00D15917">
        <w:t xml:space="preserve">modelo </w:t>
      </w:r>
      <w:r w:rsidR="00AC54BE" w:rsidRPr="00D15917">
        <w:t>por efeitos aleatórios diferem da</w:t>
      </w:r>
      <w:r w:rsidR="001D3A8A">
        <w:t>s primeiras</w:t>
      </w:r>
      <w:r w:rsidR="00AC54BE" w:rsidRPr="00D15917">
        <w:t xml:space="preserve">, </w:t>
      </w:r>
      <w:r w:rsidR="001D3A8A" w:rsidRPr="00D15917">
        <w:t>na medida em que</w:t>
      </w:r>
      <w:r w:rsidR="00AC54BE" w:rsidRPr="00D15917">
        <w:t xml:space="preserve"> outras variáveis passaram a ser estatisticamente significa</w:t>
      </w:r>
      <w:r w:rsidR="00A33839" w:rsidRPr="00D15917">
        <w:t>tivas</w:t>
      </w:r>
      <w:r w:rsidR="00AC54BE" w:rsidRPr="00D15917">
        <w:t xml:space="preserve">. </w:t>
      </w:r>
      <w:r w:rsidR="00D15917" w:rsidRPr="00D15917">
        <w:t>Entre elas, tem-se o</w:t>
      </w:r>
      <w:r w:rsidR="00AC54BE" w:rsidRPr="00D15917">
        <w:t xml:space="preserve"> serviço da dívida total como percentual das exportações de bens e serviços (SD/EXP)</w:t>
      </w:r>
      <w:r w:rsidR="00AC54BE" w:rsidRPr="00D15917">
        <w:rPr>
          <w:i/>
        </w:rPr>
        <w:t xml:space="preserve"> </w:t>
      </w:r>
      <w:r w:rsidR="00AC54BE" w:rsidRPr="00D15917">
        <w:t>e o grau de abertura econômica (GAE</w:t>
      </w:r>
      <w:r w:rsidR="00A33839" w:rsidRPr="00D15917">
        <w:t>).</w:t>
      </w:r>
    </w:p>
    <w:p w:rsidR="005B0832" w:rsidRPr="00AD7692" w:rsidRDefault="007046F4" w:rsidP="000064A1">
      <w:pPr>
        <w:pStyle w:val="Default"/>
        <w:jc w:val="both"/>
        <w:rPr>
          <w:color w:val="auto"/>
        </w:rPr>
      </w:pPr>
      <w:r w:rsidRPr="00AD7692">
        <w:rPr>
          <w:b/>
          <w:color w:val="auto"/>
        </w:rPr>
        <w:t>Palavras-chave</w:t>
      </w:r>
      <w:r w:rsidRPr="00AD7692">
        <w:rPr>
          <w:color w:val="auto"/>
        </w:rPr>
        <w:t>:</w:t>
      </w:r>
      <w:r w:rsidR="005B0832" w:rsidRPr="00AD7692">
        <w:rPr>
          <w:color w:val="auto"/>
        </w:rPr>
        <w:t xml:space="preserve"> Rating</w:t>
      </w:r>
      <w:r w:rsidR="006A1AC6">
        <w:rPr>
          <w:color w:val="auto"/>
        </w:rPr>
        <w:t>s</w:t>
      </w:r>
      <w:r w:rsidR="005B0832" w:rsidRPr="00AD7692">
        <w:rPr>
          <w:color w:val="auto"/>
        </w:rPr>
        <w:t xml:space="preserve"> de risco soberano, fundamentos macroeconômicos, </w:t>
      </w:r>
      <w:r w:rsidR="00721756">
        <w:rPr>
          <w:color w:val="auto"/>
        </w:rPr>
        <w:t xml:space="preserve">risco moral, agências de ratings, </w:t>
      </w:r>
      <w:r w:rsidR="005B0832" w:rsidRPr="00AD7692">
        <w:rPr>
          <w:color w:val="auto"/>
        </w:rPr>
        <w:t xml:space="preserve">dados em </w:t>
      </w:r>
      <w:proofErr w:type="gramStart"/>
      <w:r w:rsidR="005B0832" w:rsidRPr="00AD7692">
        <w:rPr>
          <w:color w:val="auto"/>
        </w:rPr>
        <w:t>painel</w:t>
      </w:r>
      <w:proofErr w:type="gramEnd"/>
    </w:p>
    <w:p w:rsidR="007046F4" w:rsidRDefault="007046F4" w:rsidP="001C0249">
      <w:pPr>
        <w:pStyle w:val="Default"/>
        <w:rPr>
          <w:color w:val="auto"/>
        </w:rPr>
      </w:pPr>
    </w:p>
    <w:p w:rsidR="007046F4" w:rsidRPr="00024B64" w:rsidRDefault="007046F4" w:rsidP="00984F19">
      <w:pPr>
        <w:pStyle w:val="Default"/>
        <w:jc w:val="center"/>
        <w:rPr>
          <w:color w:val="auto"/>
          <w:lang w:val="en-US"/>
        </w:rPr>
      </w:pPr>
      <w:r w:rsidRPr="00024B64">
        <w:rPr>
          <w:color w:val="auto"/>
          <w:lang w:val="en-US"/>
        </w:rPr>
        <w:t>ABSTRACT</w:t>
      </w:r>
    </w:p>
    <w:p w:rsidR="00E469F6" w:rsidRPr="00D15917" w:rsidRDefault="00AD7692" w:rsidP="00D15917">
      <w:pPr>
        <w:jc w:val="both"/>
        <w:rPr>
          <w:lang w:val="en-US"/>
        </w:rPr>
      </w:pPr>
      <w:r w:rsidRPr="00D15917">
        <w:rPr>
          <w:rStyle w:val="hps"/>
          <w:lang w:val="en-US"/>
        </w:rPr>
        <w:t>One of the</w:t>
      </w:r>
      <w:r w:rsidRPr="00D15917">
        <w:rPr>
          <w:lang w:val="en-US"/>
        </w:rPr>
        <w:t xml:space="preserve"> </w:t>
      </w:r>
      <w:r w:rsidR="00E469F6" w:rsidRPr="00D15917">
        <w:rPr>
          <w:lang w:val="en-US"/>
        </w:rPr>
        <w:t xml:space="preserve">most important </w:t>
      </w:r>
      <w:r w:rsidRPr="00D15917">
        <w:rPr>
          <w:rStyle w:val="hps"/>
          <w:lang w:val="en-US"/>
        </w:rPr>
        <w:t>provisions of</w:t>
      </w:r>
      <w:r w:rsidRPr="00D15917">
        <w:rPr>
          <w:lang w:val="en-US"/>
        </w:rPr>
        <w:t xml:space="preserve"> </w:t>
      </w:r>
      <w:r w:rsidRPr="00D15917">
        <w:rPr>
          <w:rStyle w:val="hps"/>
          <w:lang w:val="en-US"/>
        </w:rPr>
        <w:t>the international financial market</w:t>
      </w:r>
      <w:r w:rsidRPr="00D15917">
        <w:rPr>
          <w:lang w:val="en-US"/>
        </w:rPr>
        <w:t xml:space="preserve"> </w:t>
      </w:r>
      <w:r w:rsidRPr="00D15917">
        <w:rPr>
          <w:rStyle w:val="hps"/>
          <w:lang w:val="en-US"/>
        </w:rPr>
        <w:t>to reduce</w:t>
      </w:r>
      <w:r w:rsidRPr="00D15917">
        <w:rPr>
          <w:lang w:val="en-US"/>
        </w:rPr>
        <w:t xml:space="preserve"> </w:t>
      </w:r>
      <w:r w:rsidRPr="00D15917">
        <w:rPr>
          <w:rStyle w:val="hps"/>
          <w:lang w:val="en-US"/>
        </w:rPr>
        <w:t>the presence of</w:t>
      </w:r>
      <w:r w:rsidRPr="00D15917">
        <w:rPr>
          <w:lang w:val="en-US"/>
        </w:rPr>
        <w:t xml:space="preserve"> </w:t>
      </w:r>
      <w:r w:rsidRPr="00D15917">
        <w:rPr>
          <w:rStyle w:val="hps"/>
          <w:lang w:val="en-US"/>
        </w:rPr>
        <w:t>information asymmetry</w:t>
      </w:r>
      <w:r w:rsidRPr="00D15917">
        <w:rPr>
          <w:lang w:val="en-US"/>
        </w:rPr>
        <w:t xml:space="preserve"> </w:t>
      </w:r>
      <w:r w:rsidRPr="00D15917">
        <w:rPr>
          <w:rStyle w:val="hps"/>
          <w:lang w:val="en-US"/>
        </w:rPr>
        <w:t>is</w:t>
      </w:r>
      <w:r w:rsidRPr="00D15917">
        <w:rPr>
          <w:lang w:val="en-US"/>
        </w:rPr>
        <w:t xml:space="preserve"> </w:t>
      </w:r>
      <w:r w:rsidRPr="00D15917">
        <w:rPr>
          <w:rStyle w:val="hps"/>
          <w:lang w:val="en-US"/>
        </w:rPr>
        <w:t xml:space="preserve">the </w:t>
      </w:r>
      <w:r w:rsidRPr="00D15917">
        <w:rPr>
          <w:rStyle w:val="nfase"/>
          <w:i w:val="0"/>
          <w:lang w:val="en-US"/>
        </w:rPr>
        <w:t>sovereign risk rating</w:t>
      </w:r>
      <w:r w:rsidR="00A33984">
        <w:rPr>
          <w:rStyle w:val="nfase"/>
          <w:i w:val="0"/>
          <w:lang w:val="en-US"/>
        </w:rPr>
        <w:t>. It is</w:t>
      </w:r>
      <w:r w:rsidRPr="00D15917">
        <w:rPr>
          <w:lang w:val="en-US"/>
        </w:rPr>
        <w:t xml:space="preserve"> </w:t>
      </w:r>
      <w:r w:rsidR="00A33984">
        <w:rPr>
          <w:lang w:val="en-US"/>
        </w:rPr>
        <w:t>a</w:t>
      </w:r>
      <w:r w:rsidRPr="00D15917">
        <w:rPr>
          <w:rStyle w:val="hps"/>
          <w:lang w:val="en-US"/>
        </w:rPr>
        <w:t xml:space="preserve"> </w:t>
      </w:r>
      <w:r w:rsidR="006668C9" w:rsidRPr="00D15917">
        <w:rPr>
          <w:rStyle w:val="hps"/>
          <w:lang w:val="en-US"/>
        </w:rPr>
        <w:t>key-piece</w:t>
      </w:r>
      <w:r w:rsidRPr="00D15917">
        <w:rPr>
          <w:lang w:val="en-US"/>
        </w:rPr>
        <w:t xml:space="preserve"> </w:t>
      </w:r>
      <w:r w:rsidRPr="00D15917">
        <w:rPr>
          <w:rStyle w:val="hps"/>
          <w:lang w:val="en-US"/>
        </w:rPr>
        <w:t>to determine</w:t>
      </w:r>
      <w:r w:rsidRPr="00D15917">
        <w:rPr>
          <w:lang w:val="en-US"/>
        </w:rPr>
        <w:t xml:space="preserve"> </w:t>
      </w:r>
      <w:r w:rsidRPr="00D15917">
        <w:rPr>
          <w:rStyle w:val="hps"/>
          <w:lang w:val="en-US"/>
        </w:rPr>
        <w:t>the conditions</w:t>
      </w:r>
      <w:r w:rsidRPr="00D15917">
        <w:rPr>
          <w:lang w:val="en-US"/>
        </w:rPr>
        <w:t xml:space="preserve"> </w:t>
      </w:r>
      <w:r w:rsidRPr="00D15917">
        <w:rPr>
          <w:rStyle w:val="hps"/>
          <w:lang w:val="en-US"/>
        </w:rPr>
        <w:t>of the credit markets</w:t>
      </w:r>
      <w:r w:rsidRPr="00D15917">
        <w:rPr>
          <w:lang w:val="en-US"/>
        </w:rPr>
        <w:t xml:space="preserve">, </w:t>
      </w:r>
      <w:r w:rsidRPr="00D15917">
        <w:rPr>
          <w:rStyle w:val="hps"/>
          <w:lang w:val="en-US"/>
        </w:rPr>
        <w:t>fundamental</w:t>
      </w:r>
      <w:r w:rsidRPr="00D15917">
        <w:rPr>
          <w:lang w:val="en-US"/>
        </w:rPr>
        <w:t xml:space="preserve">, </w:t>
      </w:r>
      <w:r w:rsidRPr="00D15917">
        <w:rPr>
          <w:rStyle w:val="hps"/>
          <w:lang w:val="en-US"/>
        </w:rPr>
        <w:t>especially</w:t>
      </w:r>
      <w:r w:rsidRPr="00D15917">
        <w:rPr>
          <w:lang w:val="en-US"/>
        </w:rPr>
        <w:t xml:space="preserve"> </w:t>
      </w:r>
      <w:r w:rsidRPr="00D15917">
        <w:rPr>
          <w:rStyle w:val="hps"/>
          <w:lang w:val="en-US"/>
        </w:rPr>
        <w:t>for th</w:t>
      </w:r>
      <w:r w:rsidR="006668C9" w:rsidRPr="00D15917">
        <w:rPr>
          <w:rStyle w:val="hps"/>
          <w:lang w:val="en-US"/>
        </w:rPr>
        <w:t>e</w:t>
      </w:r>
      <w:r w:rsidRPr="00D15917">
        <w:rPr>
          <w:rStyle w:val="hps"/>
          <w:lang w:val="en-US"/>
        </w:rPr>
        <w:t xml:space="preserve"> development of</w:t>
      </w:r>
      <w:r w:rsidRPr="00D15917">
        <w:rPr>
          <w:lang w:val="en-US"/>
        </w:rPr>
        <w:t xml:space="preserve"> </w:t>
      </w:r>
      <w:r w:rsidRPr="00D15917">
        <w:rPr>
          <w:rStyle w:val="hps"/>
          <w:lang w:val="en-US"/>
        </w:rPr>
        <w:t>emerging countries</w:t>
      </w:r>
      <w:r w:rsidRPr="00D15917">
        <w:rPr>
          <w:lang w:val="en-US"/>
        </w:rPr>
        <w:t xml:space="preserve">. </w:t>
      </w:r>
      <w:r w:rsidRPr="00D15917">
        <w:rPr>
          <w:rStyle w:val="hps"/>
          <w:lang w:val="en-US"/>
        </w:rPr>
        <w:t xml:space="preserve">The </w:t>
      </w:r>
      <w:r w:rsidR="006668C9" w:rsidRPr="00D15917">
        <w:rPr>
          <w:rStyle w:val="hps"/>
          <w:lang w:val="en-US"/>
        </w:rPr>
        <w:t>main goal</w:t>
      </w:r>
      <w:r w:rsidRPr="00D15917">
        <w:rPr>
          <w:rStyle w:val="hps"/>
          <w:lang w:val="en-US"/>
        </w:rPr>
        <w:t xml:space="preserve"> of </w:t>
      </w:r>
      <w:r w:rsidR="006668C9" w:rsidRPr="00D15917">
        <w:rPr>
          <w:rStyle w:val="hps"/>
          <w:lang w:val="en-US"/>
        </w:rPr>
        <w:t xml:space="preserve">this work was </w:t>
      </w:r>
      <w:r w:rsidRPr="00D15917">
        <w:rPr>
          <w:rStyle w:val="hps"/>
          <w:lang w:val="en-US"/>
        </w:rPr>
        <w:t>study</w:t>
      </w:r>
      <w:r w:rsidRPr="00D15917">
        <w:rPr>
          <w:lang w:val="en-US"/>
        </w:rPr>
        <w:t xml:space="preserve"> </w:t>
      </w:r>
      <w:r w:rsidRPr="00D15917">
        <w:rPr>
          <w:rStyle w:val="hps"/>
          <w:lang w:val="en-US"/>
        </w:rPr>
        <w:t>the determinants</w:t>
      </w:r>
      <w:r w:rsidRPr="00D15917">
        <w:rPr>
          <w:lang w:val="en-US"/>
        </w:rPr>
        <w:t xml:space="preserve"> </w:t>
      </w:r>
      <w:r w:rsidRPr="00D15917">
        <w:rPr>
          <w:rStyle w:val="hps"/>
          <w:lang w:val="en-US"/>
        </w:rPr>
        <w:t>of the</w:t>
      </w:r>
      <w:r w:rsidR="006668C9" w:rsidRPr="00D15917">
        <w:rPr>
          <w:rStyle w:val="hps"/>
          <w:lang w:val="en-US"/>
        </w:rPr>
        <w:t xml:space="preserve"> sovereign</w:t>
      </w:r>
      <w:r w:rsidR="006668C9" w:rsidRPr="00D15917">
        <w:rPr>
          <w:lang w:val="en-US"/>
        </w:rPr>
        <w:t xml:space="preserve"> </w:t>
      </w:r>
      <w:r w:rsidR="006668C9" w:rsidRPr="00D15917">
        <w:rPr>
          <w:rStyle w:val="hps"/>
          <w:lang w:val="en-US"/>
        </w:rPr>
        <w:t>ratings</w:t>
      </w:r>
      <w:r w:rsidRPr="00D15917">
        <w:rPr>
          <w:rStyle w:val="hps"/>
          <w:lang w:val="en-US"/>
        </w:rPr>
        <w:t xml:space="preserve"> classification </w:t>
      </w:r>
      <w:r w:rsidR="00E469F6" w:rsidRPr="00D15917">
        <w:rPr>
          <w:rStyle w:val="hps"/>
          <w:lang w:val="en-US"/>
        </w:rPr>
        <w:t xml:space="preserve">performed </w:t>
      </w:r>
      <w:r w:rsidRPr="00D15917">
        <w:rPr>
          <w:rStyle w:val="hps"/>
          <w:lang w:val="en-US"/>
        </w:rPr>
        <w:t>by</w:t>
      </w:r>
      <w:r w:rsidRPr="00D15917">
        <w:rPr>
          <w:lang w:val="en-US"/>
        </w:rPr>
        <w:t xml:space="preserve"> </w:t>
      </w:r>
      <w:r w:rsidRPr="00D15917">
        <w:rPr>
          <w:rStyle w:val="hps"/>
          <w:lang w:val="en-US"/>
        </w:rPr>
        <w:t>rating agencies</w:t>
      </w:r>
      <w:r w:rsidRPr="00D15917">
        <w:rPr>
          <w:lang w:val="en-US"/>
        </w:rPr>
        <w:t xml:space="preserve">, measuring </w:t>
      </w:r>
      <w:r w:rsidRPr="00D15917">
        <w:rPr>
          <w:rStyle w:val="hps"/>
          <w:lang w:val="en-US"/>
        </w:rPr>
        <w:t>the effects</w:t>
      </w:r>
      <w:r w:rsidRPr="00D15917">
        <w:rPr>
          <w:lang w:val="en-US"/>
        </w:rPr>
        <w:t xml:space="preserve"> </w:t>
      </w:r>
      <w:r w:rsidRPr="00D15917">
        <w:rPr>
          <w:rStyle w:val="hps"/>
          <w:lang w:val="en-US"/>
        </w:rPr>
        <w:t>of each</w:t>
      </w:r>
      <w:r w:rsidRPr="00D15917">
        <w:rPr>
          <w:lang w:val="en-US"/>
        </w:rPr>
        <w:t xml:space="preserve"> </w:t>
      </w:r>
      <w:r w:rsidRPr="00D15917">
        <w:rPr>
          <w:rStyle w:val="hps"/>
          <w:lang w:val="en-US"/>
        </w:rPr>
        <w:t>explanatory variable</w:t>
      </w:r>
      <w:r w:rsidR="000921CD" w:rsidRPr="00D15917">
        <w:rPr>
          <w:lang w:val="en-US"/>
        </w:rPr>
        <w:t>.</w:t>
      </w:r>
      <w:r w:rsidR="000921CD" w:rsidRPr="00D15917">
        <w:rPr>
          <w:rStyle w:val="hps"/>
          <w:lang w:val="en-US"/>
        </w:rPr>
        <w:t xml:space="preserve"> In order to do it, we start with the main</w:t>
      </w:r>
      <w:r w:rsidR="000921CD" w:rsidRPr="00D15917">
        <w:rPr>
          <w:lang w:val="en-US"/>
        </w:rPr>
        <w:t xml:space="preserve"> </w:t>
      </w:r>
      <w:r w:rsidR="000921CD" w:rsidRPr="00D15917">
        <w:rPr>
          <w:rStyle w:val="hps"/>
          <w:lang w:val="en-US"/>
        </w:rPr>
        <w:t xml:space="preserve">macroeconomic </w:t>
      </w:r>
      <w:r w:rsidR="006D0CFD" w:rsidRPr="00D15917">
        <w:rPr>
          <w:rStyle w:val="hps"/>
          <w:lang w:val="en-US"/>
        </w:rPr>
        <w:t>fundamentals</w:t>
      </w:r>
      <w:r w:rsidR="000921CD" w:rsidRPr="00D15917">
        <w:rPr>
          <w:rStyle w:val="hps"/>
          <w:lang w:val="en-US"/>
        </w:rPr>
        <w:t xml:space="preserve"> of the countries that somehow</w:t>
      </w:r>
      <w:r w:rsidR="000921CD" w:rsidRPr="00D15917">
        <w:rPr>
          <w:lang w:val="en-US"/>
        </w:rPr>
        <w:t xml:space="preserve"> are </w:t>
      </w:r>
      <w:r w:rsidR="000921CD" w:rsidRPr="00D15917">
        <w:rPr>
          <w:rStyle w:val="hps"/>
          <w:lang w:val="en-US"/>
        </w:rPr>
        <w:t>related</w:t>
      </w:r>
      <w:r w:rsidR="000921CD" w:rsidRPr="00D15917">
        <w:rPr>
          <w:lang w:val="en-US"/>
        </w:rPr>
        <w:t xml:space="preserve"> </w:t>
      </w:r>
      <w:r w:rsidR="000921CD" w:rsidRPr="00D15917">
        <w:rPr>
          <w:rStyle w:val="hps"/>
          <w:lang w:val="en-US"/>
        </w:rPr>
        <w:t>to characteristics</w:t>
      </w:r>
      <w:r w:rsidR="000921CD" w:rsidRPr="00D15917">
        <w:rPr>
          <w:lang w:val="en-US"/>
        </w:rPr>
        <w:t xml:space="preserve"> </w:t>
      </w:r>
      <w:r w:rsidR="000921CD" w:rsidRPr="00D15917">
        <w:rPr>
          <w:rStyle w:val="hps"/>
          <w:lang w:val="en-US"/>
        </w:rPr>
        <w:t>of solvency,</w:t>
      </w:r>
      <w:r w:rsidR="000921CD" w:rsidRPr="00D15917">
        <w:rPr>
          <w:lang w:val="en-US"/>
        </w:rPr>
        <w:t xml:space="preserve"> </w:t>
      </w:r>
      <w:r w:rsidR="000921CD" w:rsidRPr="00D15917">
        <w:rPr>
          <w:rStyle w:val="hps"/>
          <w:lang w:val="en-US"/>
        </w:rPr>
        <w:t>liquidity</w:t>
      </w:r>
      <w:r w:rsidR="000921CD" w:rsidRPr="00D15917">
        <w:rPr>
          <w:lang w:val="en-US"/>
        </w:rPr>
        <w:t xml:space="preserve">, </w:t>
      </w:r>
      <w:r w:rsidR="000921CD" w:rsidRPr="00D15917">
        <w:rPr>
          <w:rStyle w:val="hps"/>
          <w:lang w:val="en-US"/>
        </w:rPr>
        <w:t>and</w:t>
      </w:r>
      <w:r w:rsidR="000921CD" w:rsidRPr="00D15917">
        <w:rPr>
          <w:lang w:val="en-US"/>
        </w:rPr>
        <w:t xml:space="preserve"> </w:t>
      </w:r>
      <w:r w:rsidR="000921CD" w:rsidRPr="00D15917">
        <w:rPr>
          <w:rStyle w:val="hps"/>
          <w:lang w:val="en-US"/>
        </w:rPr>
        <w:t>the development and</w:t>
      </w:r>
      <w:r w:rsidR="000921CD" w:rsidRPr="00D15917">
        <w:rPr>
          <w:lang w:val="en-US"/>
        </w:rPr>
        <w:t xml:space="preserve"> </w:t>
      </w:r>
      <w:r w:rsidR="000921CD" w:rsidRPr="00D15917">
        <w:rPr>
          <w:rStyle w:val="hps"/>
          <w:lang w:val="en-US"/>
        </w:rPr>
        <w:t>economic stability and</w:t>
      </w:r>
      <w:r w:rsidR="000921CD" w:rsidRPr="00D15917">
        <w:rPr>
          <w:lang w:val="en-US"/>
        </w:rPr>
        <w:t xml:space="preserve"> </w:t>
      </w:r>
      <w:r w:rsidR="000921CD" w:rsidRPr="00D15917">
        <w:rPr>
          <w:rStyle w:val="hps"/>
          <w:lang w:val="en-US"/>
        </w:rPr>
        <w:t>estimated a</w:t>
      </w:r>
      <w:r w:rsidR="000921CD" w:rsidRPr="00D15917">
        <w:rPr>
          <w:lang w:val="en-US"/>
        </w:rPr>
        <w:t xml:space="preserve"> </w:t>
      </w:r>
      <w:r w:rsidR="000921CD" w:rsidRPr="00D15917">
        <w:rPr>
          <w:rStyle w:val="hps"/>
          <w:lang w:val="en-US"/>
        </w:rPr>
        <w:t>panel data</w:t>
      </w:r>
      <w:r w:rsidR="000921CD" w:rsidRPr="00D15917">
        <w:rPr>
          <w:lang w:val="en-US"/>
        </w:rPr>
        <w:t xml:space="preserve"> </w:t>
      </w:r>
      <w:r w:rsidR="000921CD" w:rsidRPr="00D15917">
        <w:rPr>
          <w:rStyle w:val="hps"/>
          <w:lang w:val="en-US"/>
        </w:rPr>
        <w:t>model</w:t>
      </w:r>
      <w:r w:rsidR="00D31447">
        <w:rPr>
          <w:rStyle w:val="hps"/>
          <w:lang w:val="en-US"/>
        </w:rPr>
        <w:t>.</w:t>
      </w:r>
      <w:r w:rsidR="000921CD" w:rsidRPr="00D15917">
        <w:rPr>
          <w:lang w:val="en-US"/>
        </w:rPr>
        <w:t xml:space="preserve"> </w:t>
      </w:r>
      <w:r w:rsidR="000F69A6" w:rsidRPr="000F69A6">
        <w:rPr>
          <w:lang w:val="en-US"/>
        </w:rPr>
        <w:t>The main idea was to test the hypothesis of Cantor and Packer (1996) that the ratings of the countries have no clear relation to its macroeconomic fundamentals.</w:t>
      </w:r>
      <w:r w:rsidR="00D31447" w:rsidRPr="000F69A6">
        <w:rPr>
          <w:lang w:val="en-US"/>
        </w:rPr>
        <w:t xml:space="preserve"> </w:t>
      </w:r>
      <w:r w:rsidR="000921CD" w:rsidRPr="00D15917">
        <w:rPr>
          <w:rStyle w:val="hps"/>
          <w:lang w:val="en-US"/>
        </w:rPr>
        <w:t>The main results</w:t>
      </w:r>
      <w:r w:rsidR="000921CD" w:rsidRPr="00D15917">
        <w:rPr>
          <w:lang w:val="en-US"/>
        </w:rPr>
        <w:t xml:space="preserve"> </w:t>
      </w:r>
      <w:r w:rsidR="00AA3D7D" w:rsidRPr="00D15917">
        <w:rPr>
          <w:rStyle w:val="hps"/>
          <w:lang w:val="en-US"/>
        </w:rPr>
        <w:t xml:space="preserve">obtained </w:t>
      </w:r>
      <w:r w:rsidR="00D15917" w:rsidRPr="00D15917">
        <w:rPr>
          <w:rStyle w:val="hps"/>
          <w:lang w:val="en-US"/>
        </w:rPr>
        <w:t xml:space="preserve">with fixed effects model </w:t>
      </w:r>
      <w:r w:rsidR="00AA3D7D" w:rsidRPr="00D15917">
        <w:rPr>
          <w:rStyle w:val="hps"/>
          <w:lang w:val="en-US"/>
        </w:rPr>
        <w:t>pointed</w:t>
      </w:r>
      <w:r w:rsidR="00D15917" w:rsidRPr="00D15917">
        <w:rPr>
          <w:rStyle w:val="hps"/>
          <w:lang w:val="en-US"/>
        </w:rPr>
        <w:t xml:space="preserve"> that not all explanatory variables seemed to be statistically significant and, besides that, the parameter estimated to exports increasing was contra intuitive. The estimations obtained using the random effects model differ from those with the fixed effects model because another variables became statistically significant. They are the total debt service (% of exports of goods and services) </w:t>
      </w:r>
      <w:r w:rsidR="00D15917" w:rsidRPr="00D15917">
        <w:rPr>
          <w:lang w:val="en-US"/>
        </w:rPr>
        <w:t xml:space="preserve">(SD/EXP) and the level </w:t>
      </w:r>
      <w:r w:rsidR="00D15917" w:rsidRPr="009672BA">
        <w:rPr>
          <w:rStyle w:val="hps"/>
          <w:lang w:val="en-US"/>
        </w:rPr>
        <w:t>of</w:t>
      </w:r>
      <w:r w:rsidR="00D15917" w:rsidRPr="009672BA">
        <w:rPr>
          <w:rStyle w:val="shorttext"/>
          <w:lang w:val="en-US"/>
        </w:rPr>
        <w:t xml:space="preserve"> </w:t>
      </w:r>
      <w:r w:rsidR="00D15917" w:rsidRPr="009672BA">
        <w:rPr>
          <w:rStyle w:val="hps"/>
          <w:lang w:val="en-US"/>
        </w:rPr>
        <w:t xml:space="preserve">economic openness </w:t>
      </w:r>
      <w:r w:rsidR="00D15917" w:rsidRPr="00D15917">
        <w:rPr>
          <w:lang w:val="en-US"/>
        </w:rPr>
        <w:t xml:space="preserve">(GAE). </w:t>
      </w:r>
      <w:r w:rsidR="00D15917" w:rsidRPr="00D15917">
        <w:rPr>
          <w:rStyle w:val="hps"/>
          <w:lang w:val="en-US"/>
        </w:rPr>
        <w:t xml:space="preserve">    </w:t>
      </w:r>
    </w:p>
    <w:p w:rsidR="007046F4" w:rsidRPr="00AD7692" w:rsidRDefault="007046F4" w:rsidP="000064A1">
      <w:pPr>
        <w:pStyle w:val="Default"/>
        <w:jc w:val="both"/>
        <w:rPr>
          <w:color w:val="auto"/>
          <w:lang w:val="en-US"/>
        </w:rPr>
      </w:pPr>
      <w:r w:rsidRPr="00AD7692">
        <w:rPr>
          <w:b/>
          <w:color w:val="auto"/>
          <w:lang w:val="en-US"/>
        </w:rPr>
        <w:t>Key-words</w:t>
      </w:r>
      <w:r w:rsidRPr="00AD7692">
        <w:rPr>
          <w:color w:val="auto"/>
          <w:lang w:val="en-US"/>
        </w:rPr>
        <w:t>:</w:t>
      </w:r>
      <w:r w:rsidR="005B0832" w:rsidRPr="00AD7692">
        <w:rPr>
          <w:color w:val="auto"/>
          <w:lang w:val="en-US"/>
        </w:rPr>
        <w:t xml:space="preserve"> </w:t>
      </w:r>
      <w:r w:rsidR="006A1AC6">
        <w:rPr>
          <w:color w:val="auto"/>
          <w:lang w:val="en-US"/>
        </w:rPr>
        <w:t>S</w:t>
      </w:r>
      <w:r w:rsidR="005B0832" w:rsidRPr="00AD7692">
        <w:rPr>
          <w:color w:val="auto"/>
          <w:lang w:val="en-US"/>
        </w:rPr>
        <w:t>overeign risk</w:t>
      </w:r>
      <w:r w:rsidR="006A1AC6">
        <w:rPr>
          <w:color w:val="auto"/>
          <w:lang w:val="en-US"/>
        </w:rPr>
        <w:t xml:space="preserve"> ratings</w:t>
      </w:r>
      <w:r w:rsidR="005B0832" w:rsidRPr="00AD7692">
        <w:rPr>
          <w:color w:val="auto"/>
          <w:lang w:val="en-US"/>
        </w:rPr>
        <w:t xml:space="preserve">, macroeconomics foundations, </w:t>
      </w:r>
      <w:r w:rsidR="00721756">
        <w:rPr>
          <w:color w:val="auto"/>
          <w:lang w:val="en-US"/>
        </w:rPr>
        <w:t xml:space="preserve">moral hazard, rating agencies, </w:t>
      </w:r>
      <w:r w:rsidR="005B0832" w:rsidRPr="00AD7692">
        <w:rPr>
          <w:color w:val="auto"/>
          <w:lang w:val="en-US"/>
        </w:rPr>
        <w:t>panel data</w:t>
      </w:r>
    </w:p>
    <w:p w:rsidR="007C1EBD" w:rsidRDefault="007E72E2" w:rsidP="007C1EBD">
      <w:pPr>
        <w:pStyle w:val="Default"/>
        <w:rPr>
          <w:color w:val="auto"/>
        </w:rPr>
      </w:pPr>
      <w:r w:rsidRPr="00AD7692">
        <w:rPr>
          <w:b/>
          <w:color w:val="auto"/>
        </w:rPr>
        <w:t>C</w:t>
      </w:r>
      <w:r w:rsidR="00814D12" w:rsidRPr="00AD7692">
        <w:rPr>
          <w:b/>
          <w:color w:val="auto"/>
        </w:rPr>
        <w:t>lassificação</w:t>
      </w:r>
      <w:r w:rsidRPr="00AD7692">
        <w:rPr>
          <w:b/>
          <w:color w:val="auto"/>
        </w:rPr>
        <w:t xml:space="preserve"> JEL</w:t>
      </w:r>
      <w:r w:rsidR="00814D12" w:rsidRPr="00AD7692">
        <w:rPr>
          <w:color w:val="auto"/>
        </w:rPr>
        <w:t>:</w:t>
      </w:r>
      <w:r w:rsidR="00814D12" w:rsidRPr="00AD7692">
        <w:rPr>
          <w:b/>
          <w:color w:val="auto"/>
        </w:rPr>
        <w:t xml:space="preserve"> </w:t>
      </w:r>
      <w:r w:rsidR="00AD7692" w:rsidRPr="00AD7692">
        <w:rPr>
          <w:color w:val="auto"/>
        </w:rPr>
        <w:t xml:space="preserve">G15, </w:t>
      </w:r>
      <w:r w:rsidR="00814D12" w:rsidRPr="00AD7692">
        <w:rPr>
          <w:color w:val="auto"/>
        </w:rPr>
        <w:t>E44, D82</w:t>
      </w:r>
    </w:p>
    <w:p w:rsidR="00313C30" w:rsidRPr="00313C30" w:rsidRDefault="00313C30" w:rsidP="00313C30">
      <w:pPr>
        <w:pStyle w:val="Estilo1"/>
        <w:rPr>
          <w:b/>
        </w:rPr>
      </w:pPr>
      <w:r w:rsidRPr="00313C30">
        <w:rPr>
          <w:b/>
          <w:bCs/>
        </w:rPr>
        <w:t>Área 7 - Economia Internacional</w:t>
      </w:r>
      <w:r w:rsidRPr="00313C30">
        <w:rPr>
          <w:b/>
        </w:rPr>
        <w:t xml:space="preserve"> </w:t>
      </w:r>
      <w:bookmarkStart w:id="0" w:name="_GoBack"/>
      <w:bookmarkEnd w:id="0"/>
    </w:p>
    <w:p w:rsidR="005D6D5C" w:rsidRPr="007C1EBD" w:rsidRDefault="005D6D5C" w:rsidP="007C1EBD">
      <w:pPr>
        <w:pStyle w:val="Default"/>
        <w:rPr>
          <w:color w:val="auto"/>
        </w:rPr>
      </w:pPr>
      <w:proofErr w:type="gramStart"/>
      <w:r w:rsidRPr="00BD1669">
        <w:lastRenderedPageBreak/>
        <w:t>1</w:t>
      </w:r>
      <w:proofErr w:type="gramEnd"/>
      <w:r w:rsidRPr="00BD1669">
        <w:t xml:space="preserve"> INTRODUÇÃO</w:t>
      </w:r>
    </w:p>
    <w:p w:rsidR="005D6D5C" w:rsidRPr="00BD1669" w:rsidRDefault="005D6D5C" w:rsidP="001C0249">
      <w:pPr>
        <w:pStyle w:val="Default"/>
        <w:rPr>
          <w:color w:val="auto"/>
        </w:rPr>
      </w:pPr>
    </w:p>
    <w:p w:rsidR="00BF1E8A" w:rsidRPr="00BD1669" w:rsidRDefault="00BF1E8A" w:rsidP="00226D03">
      <w:pPr>
        <w:ind w:firstLine="708"/>
        <w:jc w:val="both"/>
      </w:pPr>
      <w:r w:rsidRPr="00BD1669">
        <w:t>O</w:t>
      </w:r>
      <w:r w:rsidR="00FC1104" w:rsidRPr="00BD1669">
        <w:t xml:space="preserve"> objeto</w:t>
      </w:r>
      <w:r w:rsidR="00A00E08" w:rsidRPr="00BD1669">
        <w:t xml:space="preserve"> de estudo </w:t>
      </w:r>
      <w:r w:rsidR="00FC1104" w:rsidRPr="00BD1669">
        <w:t xml:space="preserve">do presente trabalho é </w:t>
      </w:r>
      <w:r w:rsidRPr="00BD1669">
        <w:t>avalia</w:t>
      </w:r>
      <w:r w:rsidR="00226D03">
        <w:t>r</w:t>
      </w:r>
      <w:r w:rsidRPr="00BD1669">
        <w:t xml:space="preserve"> </w:t>
      </w:r>
      <w:r w:rsidR="00226D03">
        <w:t>como as agências de ratings</w:t>
      </w:r>
      <w:r w:rsidRPr="00BD1669">
        <w:t xml:space="preserve"> </w:t>
      </w:r>
      <w:r w:rsidR="00226D03">
        <w:t xml:space="preserve">atribuem notas de </w:t>
      </w:r>
      <w:r w:rsidR="006D0CFD">
        <w:t xml:space="preserve">riscos soberanos </w:t>
      </w:r>
      <w:r w:rsidR="00226D03">
        <w:t>a</w:t>
      </w:r>
      <w:r w:rsidR="006D0CFD">
        <w:t>os países.</w:t>
      </w:r>
      <w:r w:rsidRPr="00BD1669">
        <w:t xml:space="preserve"> </w:t>
      </w:r>
      <w:r w:rsidR="006D0CFD">
        <w:t>Elas remetem a</w:t>
      </w:r>
      <w:r w:rsidRPr="00BD1669">
        <w:t xml:space="preserve"> várias informações</w:t>
      </w:r>
      <w:r w:rsidR="006D0CFD">
        <w:t xml:space="preserve"> e formam</w:t>
      </w:r>
      <w:r w:rsidRPr="00BD1669">
        <w:t xml:space="preserve"> uma medida de risco simplificada associada aos papéis de dívidas emitid</w:t>
      </w:r>
      <w:r w:rsidR="00226D03">
        <w:t>o</w:t>
      </w:r>
      <w:r w:rsidRPr="00BD1669">
        <w:t xml:space="preserve">s por cada país. </w:t>
      </w:r>
      <w:r w:rsidR="006D0CFD">
        <w:t>El</w:t>
      </w:r>
      <w:r w:rsidR="00226D03">
        <w:t xml:space="preserve">a constitui uma importante medida de risco e é </w:t>
      </w:r>
      <w:r w:rsidR="006D0CFD">
        <w:t>explicad</w:t>
      </w:r>
      <w:r w:rsidR="00226D03">
        <w:t>a</w:t>
      </w:r>
      <w:r w:rsidR="006D0CFD">
        <w:t xml:space="preserve"> por</w:t>
      </w:r>
      <w:r w:rsidR="001E5AEE" w:rsidRPr="00BD1669">
        <w:t xml:space="preserve"> variáveis macroeconômicas, políticas, lega</w:t>
      </w:r>
      <w:r w:rsidR="00226D03">
        <w:t xml:space="preserve">is, etc. que vão indicar ao seu </w:t>
      </w:r>
      <w:r w:rsidR="001E5AEE" w:rsidRPr="00BD1669">
        <w:t>portador, o risco associado ao retorno do mesmo.</w:t>
      </w:r>
      <w:r w:rsidR="00226D03">
        <w:t xml:space="preserve"> Dada </w:t>
      </w:r>
      <w:proofErr w:type="gramStart"/>
      <w:r w:rsidR="00226D03">
        <w:t>a</w:t>
      </w:r>
      <w:proofErr w:type="gramEnd"/>
      <w:r w:rsidR="00226D03">
        <w:t xml:space="preserve"> complexa tarefa de atribuir risco aos papéis, não existe regra, conjunto de determinantes ou modelo que explique como funciona a análise das agências. Isso cria um problema de risco moral, pois </w:t>
      </w:r>
      <w:r w:rsidR="009E7D02">
        <w:t>uma vez</w:t>
      </w:r>
      <w:r w:rsidR="00226D03">
        <w:t xml:space="preserve"> que esses </w:t>
      </w:r>
      <w:r w:rsidR="00226D03" w:rsidRPr="001C0249">
        <w:t xml:space="preserve">critérios </w:t>
      </w:r>
      <w:r w:rsidR="00226D03">
        <w:t>n</w:t>
      </w:r>
      <w:r w:rsidR="00226D03" w:rsidRPr="001C0249">
        <w:t>em sempre s</w:t>
      </w:r>
      <w:r w:rsidR="009E7D02">
        <w:t>ejam</w:t>
      </w:r>
      <w:r w:rsidR="00226D03" w:rsidRPr="001C0249">
        <w:t xml:space="preserve"> claros</w:t>
      </w:r>
      <w:r w:rsidR="00226D03">
        <w:t>, as agências falham sistematicamente em prever adequadamente os riscos associados a cada papel, como no recente episódio da crise americana</w:t>
      </w:r>
      <w:r w:rsidR="009E7D02">
        <w:t>, deflagrada em 2008</w:t>
      </w:r>
      <w:r w:rsidR="00226D03">
        <w:t>.</w:t>
      </w:r>
    </w:p>
    <w:p w:rsidR="00A00E08" w:rsidRPr="00BD1669" w:rsidRDefault="00226D03" w:rsidP="001C0249">
      <w:pPr>
        <w:autoSpaceDE w:val="0"/>
        <w:autoSpaceDN w:val="0"/>
        <w:adjustRightInd w:val="0"/>
        <w:ind w:firstLine="708"/>
        <w:jc w:val="both"/>
      </w:pPr>
      <w:r>
        <w:t>Recorda-se que</w:t>
      </w:r>
      <w:r w:rsidR="00A00E08" w:rsidRPr="00BD1669">
        <w:t xml:space="preserve"> nos mercados financeiros têm-se a inexorável presença de </w:t>
      </w:r>
      <w:r w:rsidR="00A00E08" w:rsidRPr="00BD1669">
        <w:rPr>
          <w:bCs/>
        </w:rPr>
        <w:t>assimetrias de informaç</w:t>
      </w:r>
      <w:r>
        <w:rPr>
          <w:bCs/>
        </w:rPr>
        <w:t>ão</w:t>
      </w:r>
      <w:r w:rsidR="00A00E08" w:rsidRPr="00BD1669">
        <w:rPr>
          <w:bCs/>
        </w:rPr>
        <w:t>. Ela está presente no mercado de capitais e no mercado de crédito</w:t>
      </w:r>
      <w:r>
        <w:rPr>
          <w:bCs/>
        </w:rPr>
        <w:t>, pois</w:t>
      </w:r>
      <w:r w:rsidR="00A00E08" w:rsidRPr="00BD1669">
        <w:t xml:space="preserve">, </w:t>
      </w:r>
      <w:r>
        <w:t xml:space="preserve">para todos os efeitos, </w:t>
      </w:r>
      <w:r w:rsidR="00A00E08" w:rsidRPr="00BD1669">
        <w:t>os tomadores</w:t>
      </w:r>
      <w:r>
        <w:t xml:space="preserve"> de recursos</w:t>
      </w:r>
      <w:r w:rsidR="00A00E08" w:rsidRPr="00BD1669">
        <w:t xml:space="preserve"> têm necessariamente conhecimento mais amplo sobre sua própria capacidade de pagamento</w:t>
      </w:r>
      <w:r>
        <w:t>,</w:t>
      </w:r>
      <w:r w:rsidR="00A00E08" w:rsidRPr="00BD1669">
        <w:t xml:space="preserve"> tanto a respeito da disposição de recursos e prazo de pagamento</w:t>
      </w:r>
      <w:r w:rsidR="00B020FC">
        <w:t>,</w:t>
      </w:r>
      <w:r w:rsidR="00A00E08" w:rsidRPr="00BD1669">
        <w:t xml:space="preserve"> do que aqueles que lhes fornecem recursos. Logo, tal assimetria afetará os prêmios pelos riscos de crédito exigidos em qualquer operação de crédito e aquisição de títulos financeiros (</w:t>
      </w:r>
      <w:r w:rsidR="0030612B" w:rsidRPr="000E6732">
        <w:t>AREZKI et</w:t>
      </w:r>
      <w:r w:rsidR="0030612B">
        <w:t>.</w:t>
      </w:r>
      <w:r w:rsidR="0030612B" w:rsidRPr="000E6732">
        <w:t xml:space="preserve"> al</w:t>
      </w:r>
      <w:r w:rsidR="0030612B">
        <w:t xml:space="preserve">., </w:t>
      </w:r>
      <w:r w:rsidR="0030612B" w:rsidRPr="000E6732">
        <w:t>2011</w:t>
      </w:r>
      <w:r w:rsidR="00A00E08" w:rsidRPr="00BD1669">
        <w:t>).</w:t>
      </w:r>
    </w:p>
    <w:p w:rsidR="00A3650D" w:rsidRPr="00E12531" w:rsidRDefault="00B1235B" w:rsidP="001C0249">
      <w:pPr>
        <w:autoSpaceDE w:val="0"/>
        <w:autoSpaceDN w:val="0"/>
        <w:adjustRightInd w:val="0"/>
        <w:ind w:firstLine="708"/>
        <w:jc w:val="both"/>
      </w:pPr>
      <w:r w:rsidRPr="00BD1669">
        <w:t>Neste sentido</w:t>
      </w:r>
      <w:r w:rsidR="001E5AEE" w:rsidRPr="00BD1669">
        <w:t xml:space="preserve">, as condições de endividamento dos países, ou seja, o custo de oportunidade dos seus investimentos, </w:t>
      </w:r>
      <w:r w:rsidRPr="00BD1669">
        <w:t xml:space="preserve">que envolvem </w:t>
      </w:r>
      <w:r w:rsidR="001E5AEE" w:rsidRPr="00BD1669">
        <w:t>decisões de</w:t>
      </w:r>
      <w:r w:rsidRPr="00BD1669">
        <w:t xml:space="preserve"> financiamentos de curto, médio e </w:t>
      </w:r>
      <w:r w:rsidR="00FC1104" w:rsidRPr="00BD1669">
        <w:t>longo prazo</w:t>
      </w:r>
      <w:r w:rsidRPr="00BD1669">
        <w:t xml:space="preserve">, manutenção de políticas </w:t>
      </w:r>
      <w:r w:rsidR="004623D8">
        <w:t>econômicas</w:t>
      </w:r>
      <w:r w:rsidRPr="00BD1669">
        <w:t xml:space="preserve">, entre outras importantes decisões. </w:t>
      </w:r>
      <w:r w:rsidR="00511D37" w:rsidRPr="00BD1669">
        <w:t xml:space="preserve">É clara a importância das condições do mercado de crédito internacional para países emergentes </w:t>
      </w:r>
      <w:r w:rsidR="00511D37" w:rsidRPr="00E12531">
        <w:t xml:space="preserve">como o Brasil, por exemplo. Pois, por não serem </w:t>
      </w:r>
      <w:r w:rsidR="005D70D3" w:rsidRPr="00E12531">
        <w:t>autossuficientes</w:t>
      </w:r>
      <w:r w:rsidR="00511D37" w:rsidRPr="00E12531">
        <w:t xml:space="preserve"> em recursos financeiros, tornam-se tomadores líquidos de recursos neste mercado. </w:t>
      </w:r>
    </w:p>
    <w:p w:rsidR="00A3650D" w:rsidRPr="00BD1669" w:rsidRDefault="00511D37" w:rsidP="001C0249">
      <w:pPr>
        <w:autoSpaceDE w:val="0"/>
        <w:autoSpaceDN w:val="0"/>
        <w:adjustRightInd w:val="0"/>
        <w:ind w:firstLine="708"/>
        <w:jc w:val="both"/>
      </w:pPr>
      <w:proofErr w:type="spellStart"/>
      <w:r w:rsidRPr="00E12531">
        <w:t>Reinhart</w:t>
      </w:r>
      <w:proofErr w:type="spellEnd"/>
      <w:r w:rsidRPr="00E12531">
        <w:t xml:space="preserve"> (2001) salienta que, justamente para países emergentes tomadores líquidos de recursos, as condições de captação de recursos é mais crítica. Para estes países, as agências de </w:t>
      </w:r>
      <w:r w:rsidRPr="00E12531">
        <w:rPr>
          <w:i/>
        </w:rPr>
        <w:t>rating</w:t>
      </w:r>
      <w:r w:rsidR="001F2533" w:rsidRPr="00E12531">
        <w:rPr>
          <w:i/>
        </w:rPr>
        <w:t>s</w:t>
      </w:r>
      <w:r w:rsidRPr="00E12531">
        <w:t xml:space="preserve"> possuem um comportamento mais severo, no sentido de, freq</w:t>
      </w:r>
      <w:r w:rsidR="00A00E08" w:rsidRPr="00E12531">
        <w:t>u</w:t>
      </w:r>
      <w:r w:rsidRPr="00E12531">
        <w:t xml:space="preserve">entemente, penalizar estes países com </w:t>
      </w:r>
      <w:proofErr w:type="spellStart"/>
      <w:r w:rsidRPr="00E12531">
        <w:rPr>
          <w:i/>
        </w:rPr>
        <w:t>downgrades</w:t>
      </w:r>
      <w:proofErr w:type="spellEnd"/>
      <w:r w:rsidRPr="00BD1669">
        <w:rPr>
          <w:rStyle w:val="Refdenotaderodap"/>
        </w:rPr>
        <w:footnoteReference w:id="1"/>
      </w:r>
      <w:r w:rsidR="00A00E08" w:rsidRPr="00BD1669">
        <w:t>,</w:t>
      </w:r>
      <w:r w:rsidRPr="00BD1669">
        <w:t xml:space="preserve"> mesmo que seus fundamentos macroeconômicos estejam estáveis.</w:t>
      </w:r>
      <w:r w:rsidR="00A3650D" w:rsidRPr="00BD1669">
        <w:t xml:space="preserve"> Quanto maior o risco que investidores assumem em adquirir algum título de um governo soberano, menor a capacidade deste governo em tornar atraente esta aquisição e, portanto, atrair capital estrangeiro. Em consequência, maior é o prêmio remunerado aos investidores para compensá-los por assumir esse risco. </w:t>
      </w:r>
    </w:p>
    <w:p w:rsidR="00FC1104" w:rsidRPr="00BD1669" w:rsidRDefault="00FC1104" w:rsidP="001C0249">
      <w:pPr>
        <w:ind w:firstLine="708"/>
        <w:jc w:val="both"/>
        <w:rPr>
          <w:color w:val="000000"/>
        </w:rPr>
      </w:pPr>
      <w:r w:rsidRPr="00BD1669">
        <w:t>Desta forma, o</w:t>
      </w:r>
      <w:r w:rsidR="005D6D5C" w:rsidRPr="00BD1669">
        <w:t xml:space="preserve"> objet</w:t>
      </w:r>
      <w:r w:rsidRPr="00BD1669">
        <w:t>ivo</w:t>
      </w:r>
      <w:r w:rsidR="005D6D5C" w:rsidRPr="00BD1669">
        <w:t xml:space="preserve"> d</w:t>
      </w:r>
      <w:r w:rsidRPr="00BD1669">
        <w:t xml:space="preserve">o presente </w:t>
      </w:r>
      <w:r w:rsidR="005D6D5C" w:rsidRPr="00BD1669">
        <w:t xml:space="preserve">estudo é analisar a classificação dos </w:t>
      </w:r>
      <w:r w:rsidR="005D6D5C" w:rsidRPr="00BD1669">
        <w:rPr>
          <w:i/>
        </w:rPr>
        <w:t>ratings</w:t>
      </w:r>
      <w:r w:rsidR="005D6D5C" w:rsidRPr="00BD1669">
        <w:t xml:space="preserve"> de risco soberano realizadas pelas agências de </w:t>
      </w:r>
      <w:r w:rsidR="005D6D5C" w:rsidRPr="00BD1669">
        <w:rPr>
          <w:i/>
        </w:rPr>
        <w:t>rating</w:t>
      </w:r>
      <w:r w:rsidR="005D6D5C" w:rsidRPr="00BD1669">
        <w:t xml:space="preserve"> obtendo parametrizações a </w:t>
      </w:r>
      <w:r w:rsidRPr="00BD1669">
        <w:t>partir dos seus</w:t>
      </w:r>
      <w:r w:rsidR="005D6D5C" w:rsidRPr="00BD1669">
        <w:t xml:space="preserve"> fundamentos macroeconômicos</w:t>
      </w:r>
      <w:r w:rsidRPr="00BD1669">
        <w:t xml:space="preserve">. Parte-se do suposto que </w:t>
      </w:r>
      <w:r w:rsidR="009C05C5" w:rsidRPr="00BD1669">
        <w:t xml:space="preserve">os </w:t>
      </w:r>
      <w:r w:rsidRPr="00BD1669">
        <w:t xml:space="preserve">fundamentos macroeconômicos </w:t>
      </w:r>
      <w:r w:rsidR="009C05C5" w:rsidRPr="00BD1669">
        <w:t xml:space="preserve">refletem as demais condições de cada país e, por conseguinte, podem ser utilizados como </w:t>
      </w:r>
      <w:r w:rsidR="005D6D5C" w:rsidRPr="00BD1669">
        <w:t xml:space="preserve">determinantes </w:t>
      </w:r>
      <w:r w:rsidR="009C05C5" w:rsidRPr="00BD1669">
        <w:t>das classificações.</w:t>
      </w:r>
      <w:r w:rsidR="00721756">
        <w:t xml:space="preserve"> Sendo assim, será testada a</w:t>
      </w:r>
      <w:r w:rsidR="00721756">
        <w:t xml:space="preserve"> hipótese de </w:t>
      </w:r>
      <w:r w:rsidR="00721756" w:rsidRPr="001C0249">
        <w:t xml:space="preserve">Cantor e </w:t>
      </w:r>
      <w:proofErr w:type="spellStart"/>
      <w:r w:rsidR="00721756" w:rsidRPr="001C0249">
        <w:t>Packer</w:t>
      </w:r>
      <w:proofErr w:type="spellEnd"/>
      <w:r w:rsidR="00721756" w:rsidRPr="001C0249">
        <w:t xml:space="preserve"> (1996) </w:t>
      </w:r>
      <w:r w:rsidR="00721756">
        <w:t>de que os ratings dos países não tem relação clara com s</w:t>
      </w:r>
      <w:r w:rsidR="00721756">
        <w:t>eus fundamentos macroeconômicos e, portanto, os últimos não podem ser utilizados para prever as atribuições dos ratings dos países.</w:t>
      </w:r>
    </w:p>
    <w:p w:rsidR="005D6D5C" w:rsidRPr="00BD1669" w:rsidRDefault="005D6D5C" w:rsidP="001C0249">
      <w:pPr>
        <w:ind w:firstLine="708"/>
        <w:jc w:val="both"/>
        <w:rPr>
          <w:color w:val="000000"/>
        </w:rPr>
      </w:pPr>
      <w:r w:rsidRPr="00BD1669">
        <w:rPr>
          <w:color w:val="000000"/>
        </w:rPr>
        <w:t xml:space="preserve">Para tanto, avançando nos moldes de Rowland (2007), será estimado um modelo econométrico de </w:t>
      </w:r>
      <w:r w:rsidR="00FC1104" w:rsidRPr="00BD1669">
        <w:rPr>
          <w:color w:val="000000"/>
        </w:rPr>
        <w:t xml:space="preserve">dados </w:t>
      </w:r>
      <w:proofErr w:type="gramStart"/>
      <w:r w:rsidR="00FC1104" w:rsidRPr="00BD1669">
        <w:rPr>
          <w:color w:val="000000"/>
        </w:rPr>
        <w:t>empilhados, também conhecido</w:t>
      </w:r>
      <w:proofErr w:type="gramEnd"/>
      <w:r w:rsidR="00FC1104" w:rsidRPr="00BD1669">
        <w:rPr>
          <w:color w:val="000000"/>
        </w:rPr>
        <w:t xml:space="preserve"> como modelo de dados </w:t>
      </w:r>
      <w:r w:rsidRPr="00BD1669">
        <w:rPr>
          <w:color w:val="000000"/>
        </w:rPr>
        <w:t xml:space="preserve">em </w:t>
      </w:r>
      <w:r w:rsidR="00FC1104" w:rsidRPr="00BD1669">
        <w:rPr>
          <w:color w:val="000000"/>
        </w:rPr>
        <w:t>p</w:t>
      </w:r>
      <w:r w:rsidRPr="00BD1669">
        <w:rPr>
          <w:color w:val="000000"/>
        </w:rPr>
        <w:t>ainel</w:t>
      </w:r>
      <w:r w:rsidR="00FC1104" w:rsidRPr="00BD1669">
        <w:rPr>
          <w:color w:val="000000"/>
        </w:rPr>
        <w:t>,</w:t>
      </w:r>
      <w:r w:rsidRPr="00BD1669">
        <w:rPr>
          <w:color w:val="000000"/>
        </w:rPr>
        <w:t xml:space="preserve"> a partir de observações d</w:t>
      </w:r>
      <w:r w:rsidR="00FC1104" w:rsidRPr="00BD1669">
        <w:rPr>
          <w:color w:val="000000"/>
        </w:rPr>
        <w:t>o</w:t>
      </w:r>
      <w:r w:rsidRPr="00BD1669">
        <w:rPr>
          <w:color w:val="000000"/>
        </w:rPr>
        <w:t xml:space="preserve">s </w:t>
      </w:r>
      <w:r w:rsidR="00FC1104" w:rsidRPr="00BD1669">
        <w:rPr>
          <w:color w:val="000000"/>
        </w:rPr>
        <w:t xml:space="preserve">de </w:t>
      </w:r>
      <w:r w:rsidR="00FC1104" w:rsidRPr="00BD1669">
        <w:rPr>
          <w:i/>
          <w:color w:val="000000"/>
        </w:rPr>
        <w:t>ratings</w:t>
      </w:r>
      <w:r w:rsidR="00FC1104" w:rsidRPr="00BD1669">
        <w:rPr>
          <w:color w:val="000000"/>
        </w:rPr>
        <w:t xml:space="preserve"> e seus determinantes para os </w:t>
      </w:r>
      <w:r w:rsidRPr="00BD1669">
        <w:rPr>
          <w:color w:val="000000"/>
        </w:rPr>
        <w:t>divers</w:t>
      </w:r>
      <w:r w:rsidR="00FC1104" w:rsidRPr="00BD1669">
        <w:rPr>
          <w:color w:val="000000"/>
        </w:rPr>
        <w:t>o</w:t>
      </w:r>
      <w:r w:rsidRPr="00BD1669">
        <w:rPr>
          <w:color w:val="000000"/>
        </w:rPr>
        <w:t xml:space="preserve">s </w:t>
      </w:r>
      <w:r w:rsidR="00FC1104" w:rsidRPr="00BD1669">
        <w:rPr>
          <w:color w:val="000000"/>
        </w:rPr>
        <w:t>países</w:t>
      </w:r>
      <w:r w:rsidRPr="00BD1669">
        <w:rPr>
          <w:color w:val="000000"/>
        </w:rPr>
        <w:t xml:space="preserve">, classificando os riscos soberanos utilizando critérios estimados </w:t>
      </w:r>
      <w:r w:rsidR="00035A81">
        <w:rPr>
          <w:color w:val="000000"/>
        </w:rPr>
        <w:t>por modelos com efeitos fixos e</w:t>
      </w:r>
      <w:r w:rsidRPr="00BD1669">
        <w:rPr>
          <w:color w:val="000000"/>
        </w:rPr>
        <w:t xml:space="preserve"> aleatórios. </w:t>
      </w:r>
    </w:p>
    <w:p w:rsidR="005D6D5C" w:rsidRPr="00BD1669" w:rsidRDefault="00946145" w:rsidP="001C0249">
      <w:pPr>
        <w:autoSpaceDE w:val="0"/>
        <w:autoSpaceDN w:val="0"/>
        <w:adjustRightInd w:val="0"/>
        <w:ind w:firstLine="708"/>
        <w:jc w:val="both"/>
      </w:pPr>
      <w:r w:rsidRPr="00BD1669">
        <w:t>A a</w:t>
      </w:r>
      <w:r w:rsidR="005D6D5C" w:rsidRPr="00BD1669">
        <w:t xml:space="preserve">nálise </w:t>
      </w:r>
      <w:r w:rsidRPr="00BD1669">
        <w:t xml:space="preserve">empírica aqui empregada </w:t>
      </w:r>
      <w:r w:rsidR="005D6D5C" w:rsidRPr="00BD1669">
        <w:t xml:space="preserve">será direcionada para a relação entre as atribuições de </w:t>
      </w:r>
      <w:r w:rsidR="005D6D5C" w:rsidRPr="00BD1669">
        <w:rPr>
          <w:i/>
        </w:rPr>
        <w:t>ratings</w:t>
      </w:r>
      <w:r w:rsidR="005D6D5C" w:rsidRPr="00BD1669">
        <w:t xml:space="preserve"> dos países e seus respectivos fundamentos macroeconômicos, no sentido de </w:t>
      </w:r>
      <w:r w:rsidR="005D6D5C" w:rsidRPr="00BD1669">
        <w:lastRenderedPageBreak/>
        <w:t>examinar se realmente há uma relação próxima de causalidade entre a primeira e a segunda, aqui assumida como a capacidade dos países</w:t>
      </w:r>
      <w:r w:rsidRPr="00BD1669">
        <w:t xml:space="preserve"> de</w:t>
      </w:r>
      <w:r w:rsidR="005D6D5C" w:rsidRPr="00BD1669">
        <w:t xml:space="preserve"> saldarem suas obrigações. </w:t>
      </w:r>
    </w:p>
    <w:p w:rsidR="005D6D5C" w:rsidRPr="00BD1669" w:rsidRDefault="005D6D5C" w:rsidP="001C0249">
      <w:pPr>
        <w:ind w:firstLine="708"/>
        <w:jc w:val="both"/>
      </w:pPr>
      <w:r w:rsidRPr="00BD1669">
        <w:t xml:space="preserve">Tomando-se as estimações obtidas, </w:t>
      </w:r>
      <w:r w:rsidR="00D53726" w:rsidRPr="00BD1669">
        <w:t xml:space="preserve">primeiro será testado se os </w:t>
      </w:r>
      <w:proofErr w:type="spellStart"/>
      <w:r w:rsidR="00D53726" w:rsidRPr="00BD1669">
        <w:t>regressores</w:t>
      </w:r>
      <w:proofErr w:type="spellEnd"/>
      <w:r w:rsidR="00D53726" w:rsidRPr="00BD1669">
        <w:t xml:space="preserve"> são estatisticamente significativos, posteriormente </w:t>
      </w:r>
      <w:r w:rsidRPr="00BD1669">
        <w:t xml:space="preserve">será observado se existe alguma homogeneidade entre as atribuições das agências e os fundamentos macroeconômicos dos países da amostra. Esta classificação se baseará na localização de elementos constituintes e parametrizações das mudanças de estado dos movimentos das séries temporais macroeconômicas determinantes das atribuições dos </w:t>
      </w:r>
      <w:r w:rsidRPr="00BD1669">
        <w:rPr>
          <w:i/>
        </w:rPr>
        <w:t>ratings</w:t>
      </w:r>
      <w:r w:rsidRPr="00BD1669">
        <w:t xml:space="preserve"> de risco soberano desses países e das séries de risco soberano fornecidas pelas agências de </w:t>
      </w:r>
      <w:r w:rsidRPr="00BD1669">
        <w:rPr>
          <w:i/>
        </w:rPr>
        <w:t>rating</w:t>
      </w:r>
      <w:r w:rsidR="001F2533">
        <w:rPr>
          <w:i/>
        </w:rPr>
        <w:t>s</w:t>
      </w:r>
      <w:r w:rsidRPr="00BD1669">
        <w:t>. Desta forma, a intenção é de que as estimações refinem informações</w:t>
      </w:r>
      <w:r w:rsidR="00D53726" w:rsidRPr="00BD1669">
        <w:t xml:space="preserve"> ao</w:t>
      </w:r>
      <w:r w:rsidRPr="00BD1669">
        <w:t xml:space="preserve"> fornece</w:t>
      </w:r>
      <w:r w:rsidR="00D53726" w:rsidRPr="00BD1669">
        <w:t>r</w:t>
      </w:r>
      <w:r w:rsidRPr="00BD1669">
        <w:t xml:space="preserve"> ferramentas objetivas de</w:t>
      </w:r>
      <w:r w:rsidR="00D53726" w:rsidRPr="00BD1669">
        <w:t xml:space="preserve"> apoio às </w:t>
      </w:r>
      <w:r w:rsidRPr="00BD1669">
        <w:t>decis</w:t>
      </w:r>
      <w:r w:rsidR="00D53726" w:rsidRPr="00BD1669">
        <w:t>ões dos agentes deste mercado</w:t>
      </w:r>
      <w:r w:rsidRPr="00BD1669">
        <w:t>.</w:t>
      </w:r>
    </w:p>
    <w:p w:rsidR="005D6D5C" w:rsidRPr="00BD1669" w:rsidRDefault="005D6D5C" w:rsidP="001C0249">
      <w:pPr>
        <w:autoSpaceDE w:val="0"/>
        <w:autoSpaceDN w:val="0"/>
        <w:adjustRightInd w:val="0"/>
        <w:ind w:firstLine="720"/>
        <w:jc w:val="both"/>
      </w:pPr>
      <w:r w:rsidRPr="00BD1669">
        <w:t>Em complemento,</w:t>
      </w:r>
      <w:r w:rsidRPr="00BD1669">
        <w:rPr>
          <w:i/>
        </w:rPr>
        <w:t xml:space="preserve"> </w:t>
      </w:r>
      <w:r w:rsidRPr="00BD1669">
        <w:t xml:space="preserve">este </w:t>
      </w:r>
      <w:r w:rsidR="0095390C" w:rsidRPr="00BD1669">
        <w:t>trabalho</w:t>
      </w:r>
      <w:r w:rsidRPr="00BD1669">
        <w:t xml:space="preserve"> faz uma breve análise acerca </w:t>
      </w:r>
      <w:r w:rsidR="00035A81">
        <w:t>d</w:t>
      </w:r>
      <w:r w:rsidRPr="00BD1669">
        <w:t>as estimações experimentais. Serão executados estágios para se encontrar qual a melhor especificação para o modelo</w:t>
      </w:r>
      <w:r w:rsidR="0095390C" w:rsidRPr="00BD1669">
        <w:t>,</w:t>
      </w:r>
      <w:r w:rsidRPr="00BD1669">
        <w:t xml:space="preserve"> seguindo-se as premissas estatísticas tradicionais para analisar o problema de pesquisa em relação </w:t>
      </w:r>
      <w:r w:rsidR="0095390C" w:rsidRPr="00BD1669">
        <w:t>às</w:t>
      </w:r>
      <w:r w:rsidRPr="00BD1669">
        <w:t xml:space="preserve"> mudanças em termos temporais e </w:t>
      </w:r>
      <w:r w:rsidR="00035A81">
        <w:t>longitudinais</w:t>
      </w:r>
      <w:r w:rsidRPr="00BD1669">
        <w:t>, ou seja, das séries temporais de determinantes macroeconômicos e em termos do conjunto de países utilizados</w:t>
      </w:r>
      <w:r w:rsidR="0095390C" w:rsidRPr="00BD1669">
        <w:t xml:space="preserve"> na amostra</w:t>
      </w:r>
      <w:r w:rsidRPr="00BD1669">
        <w:t>.</w:t>
      </w:r>
    </w:p>
    <w:p w:rsidR="005D6D5C" w:rsidRPr="00BD1669" w:rsidRDefault="005D6D5C" w:rsidP="001C0249">
      <w:pPr>
        <w:ind w:firstLine="708"/>
        <w:jc w:val="both"/>
      </w:pPr>
      <w:r w:rsidRPr="00BD1669">
        <w:t xml:space="preserve">O presente </w:t>
      </w:r>
      <w:r w:rsidR="0095390C" w:rsidRPr="00BD1669">
        <w:t>trabalho</w:t>
      </w:r>
      <w:r w:rsidRPr="00BD1669">
        <w:t xml:space="preserve"> está organizado de modo que além desta introdução, na seção 2 discute-se a problemática envolvendo a questão dos </w:t>
      </w:r>
      <w:r w:rsidRPr="00BD1669">
        <w:rPr>
          <w:i/>
        </w:rPr>
        <w:t>ratings</w:t>
      </w:r>
      <w:r w:rsidRPr="00BD1669">
        <w:t xml:space="preserve">, das agências e dos possíveis impactos dos </w:t>
      </w:r>
      <w:r w:rsidRPr="00BD1669">
        <w:rPr>
          <w:i/>
        </w:rPr>
        <w:t>ratings</w:t>
      </w:r>
      <w:r w:rsidRPr="00BD1669">
        <w:t xml:space="preserve"> no lado real da economia. Dedica-se a seção 3 para apresentar as variáveis que fazem parte das estimações e como estas serão previamente trabalhadas para serem introduzidas no modelo. Na seção 4, aborda-se a metodologia </w:t>
      </w:r>
      <w:r w:rsidR="00035A81">
        <w:t>de dados em painel</w:t>
      </w:r>
      <w:r w:rsidRPr="00BD1669">
        <w:t xml:space="preserve"> </w:t>
      </w:r>
      <w:r w:rsidR="0095390C" w:rsidRPr="00BD1669">
        <w:t>utilizada</w:t>
      </w:r>
      <w:r w:rsidRPr="00BD1669">
        <w:t>, detalhando seus principais aspectos técnicos. Logo após, a seção 5</w:t>
      </w:r>
      <w:r w:rsidR="0095390C" w:rsidRPr="00BD1669">
        <w:t xml:space="preserve"> elenca os resultados esperados, seguida por uma última seção conclusiva.</w:t>
      </w:r>
    </w:p>
    <w:p w:rsidR="0063766E" w:rsidRPr="00BD1669" w:rsidRDefault="0063766E" w:rsidP="001C0249">
      <w:pPr>
        <w:ind w:firstLine="708"/>
        <w:jc w:val="both"/>
      </w:pPr>
    </w:p>
    <w:p w:rsidR="005D6D5C" w:rsidRPr="00BD1669" w:rsidRDefault="005D6D5C" w:rsidP="001C0249">
      <w:pPr>
        <w:autoSpaceDE w:val="0"/>
        <w:autoSpaceDN w:val="0"/>
        <w:adjustRightInd w:val="0"/>
        <w:jc w:val="both"/>
      </w:pPr>
      <w:r w:rsidRPr="00BD1669">
        <w:t xml:space="preserve">2 LITERATURA DE </w:t>
      </w:r>
      <w:r w:rsidRPr="00BD1669">
        <w:rPr>
          <w:i/>
        </w:rPr>
        <w:t xml:space="preserve">RATINGS </w:t>
      </w:r>
      <w:r w:rsidRPr="00BD1669">
        <w:t xml:space="preserve">DE RISCO SOBERANO </w:t>
      </w:r>
    </w:p>
    <w:p w:rsidR="005D6D5C" w:rsidRPr="00BD1669" w:rsidRDefault="005D6D5C" w:rsidP="001C0249">
      <w:pPr>
        <w:autoSpaceDE w:val="0"/>
        <w:autoSpaceDN w:val="0"/>
        <w:adjustRightInd w:val="0"/>
        <w:jc w:val="both"/>
      </w:pPr>
    </w:p>
    <w:p w:rsidR="0088582B" w:rsidRPr="00BD1669" w:rsidRDefault="002E657E" w:rsidP="001C0249">
      <w:pPr>
        <w:ind w:firstLine="708"/>
        <w:jc w:val="both"/>
      </w:pPr>
      <w:r w:rsidRPr="00BD1669">
        <w:t xml:space="preserve">Um </w:t>
      </w:r>
      <w:r w:rsidRPr="00BD1669">
        <w:rPr>
          <w:i/>
        </w:rPr>
        <w:t>rating</w:t>
      </w:r>
      <w:r w:rsidRPr="00BD1669">
        <w:t xml:space="preserve"> é uma estimativa da probabilidade de haver inadimplência futura. </w:t>
      </w:r>
      <w:r w:rsidR="0088582B">
        <w:t>Eles se dividem em soberanos, objeto de estudo da presente pesquisa e os corporativos, que são os riscos associados aos papéis emitidos pelas empresas de capitais abertos ao redor do mundo. O primeiro consiste n</w:t>
      </w:r>
      <w:r w:rsidR="0088582B" w:rsidRPr="00BD1669">
        <w:t>um indicador que busca expressar o risco ao qual se submetem os investidores estrangeiros</w:t>
      </w:r>
      <w:r w:rsidR="0088582B">
        <w:t>,</w:t>
      </w:r>
      <w:r w:rsidR="0088582B" w:rsidRPr="00BD1669">
        <w:t xml:space="preserve"> ao adquirir títulos de algum país. </w:t>
      </w:r>
      <w:r w:rsidR="0088582B">
        <w:t>Ele é</w:t>
      </w:r>
      <w:r w:rsidR="0088582B" w:rsidRPr="00BD1669">
        <w:t xml:space="preserve"> construído com base em análises das conjunturas econômica, social e política dos países e, por este motivo, pode ser subjetivo porque envolve julgamento não só das variáveis macroeconômicas internas e externas no presente, mas também das perspectivas das mesmas para o futuro</w:t>
      </w:r>
      <w:r w:rsidR="00AA4A33">
        <w:t xml:space="preserve"> (BATHIA, 2002)</w:t>
      </w:r>
      <w:r w:rsidR="0088582B" w:rsidRPr="00BD1669">
        <w:t>.</w:t>
      </w:r>
    </w:p>
    <w:p w:rsidR="002E657E" w:rsidRPr="00BD1669" w:rsidRDefault="0088582B" w:rsidP="001C0249">
      <w:pPr>
        <w:autoSpaceDE w:val="0"/>
        <w:autoSpaceDN w:val="0"/>
        <w:adjustRightInd w:val="0"/>
        <w:ind w:firstLine="708"/>
        <w:jc w:val="both"/>
      </w:pPr>
      <w:r>
        <w:t xml:space="preserve">Em outras palavras, os </w:t>
      </w:r>
      <w:r w:rsidRPr="0088582B">
        <w:rPr>
          <w:i/>
        </w:rPr>
        <w:t>ratings</w:t>
      </w:r>
      <w:r>
        <w:t xml:space="preserve"> de risco soberano são</w:t>
      </w:r>
      <w:r w:rsidR="002E657E" w:rsidRPr="00BD1669">
        <w:t xml:space="preserve"> o</w:t>
      </w:r>
      <w:r>
        <w:t>s</w:t>
      </w:r>
      <w:r w:rsidR="002E657E" w:rsidRPr="00BD1669">
        <w:t xml:space="preserve"> risco</w:t>
      </w:r>
      <w:r>
        <w:t>s</w:t>
      </w:r>
      <w:r w:rsidR="002E657E" w:rsidRPr="00BD1669">
        <w:t xml:space="preserve"> de crédito de governos nacionais (</w:t>
      </w:r>
      <w:r w:rsidR="002E657E" w:rsidRPr="00BD1669">
        <w:rPr>
          <w:i/>
        </w:rPr>
        <w:t>STANDARD &amp; POOR’S</w:t>
      </w:r>
      <w:r w:rsidR="002E657E" w:rsidRPr="00BD1669">
        <w:t xml:space="preserve">, 2004). </w:t>
      </w:r>
      <w:r w:rsidR="002E657E" w:rsidRPr="00BD1669">
        <w:rPr>
          <w:bCs/>
        </w:rPr>
        <w:t>Ele</w:t>
      </w:r>
      <w:r w:rsidR="002E657E" w:rsidRPr="00BD1669">
        <w:t xml:space="preserve"> é um ponto de vista sobre risco relativo baseado na capacidade e vontade do emissor para pagar completamente e no prazo acordado, principal e juros, durante o período de vigência do instrumento de dívida e severidade da perda, em caso de inadimplência (</w:t>
      </w:r>
      <w:r w:rsidR="002E657E" w:rsidRPr="00BD1669">
        <w:rPr>
          <w:bCs/>
          <w:i/>
        </w:rPr>
        <w:t>MOODY’S</w:t>
      </w:r>
      <w:r w:rsidR="002E657E" w:rsidRPr="00BD1669">
        <w:rPr>
          <w:bCs/>
        </w:rPr>
        <w:t>, 2003)</w:t>
      </w:r>
      <w:r w:rsidR="002E657E" w:rsidRPr="00BD1669">
        <w:t>.</w:t>
      </w:r>
    </w:p>
    <w:p w:rsidR="005D6D5C" w:rsidRPr="00BD1669" w:rsidRDefault="005D6D5C" w:rsidP="001C0249">
      <w:pPr>
        <w:autoSpaceDE w:val="0"/>
        <w:autoSpaceDN w:val="0"/>
        <w:adjustRightInd w:val="0"/>
        <w:ind w:firstLine="708"/>
        <w:jc w:val="both"/>
      </w:pPr>
      <w:r w:rsidRPr="00BD1669">
        <w:t xml:space="preserve">As agências de </w:t>
      </w:r>
      <w:r w:rsidRPr="00BD1669">
        <w:rPr>
          <w:i/>
          <w:iCs/>
        </w:rPr>
        <w:t>rating</w:t>
      </w:r>
      <w:r w:rsidR="0088582B">
        <w:rPr>
          <w:i/>
          <w:iCs/>
        </w:rPr>
        <w:t>s</w:t>
      </w:r>
      <w:r w:rsidRPr="00BD1669">
        <w:rPr>
          <w:i/>
          <w:iCs/>
        </w:rPr>
        <w:t xml:space="preserve"> </w:t>
      </w:r>
      <w:r w:rsidRPr="00BD1669">
        <w:t>são empresas independentes de qualquer interesse, quer por parte de governos ou de empresas privadas. Essa característica lhes permite ter como princípios: independência, objetividade, credibilidade e liberdade de divulgação de avaliações com relação à qualidade de crédito dos emitentes e emissões de dívida (</w:t>
      </w:r>
      <w:r w:rsidRPr="00BD1669">
        <w:rPr>
          <w:i/>
          <w:iCs/>
        </w:rPr>
        <w:t xml:space="preserve">STANDARD </w:t>
      </w:r>
      <w:r w:rsidRPr="00BD1669">
        <w:t xml:space="preserve">&amp; </w:t>
      </w:r>
      <w:r w:rsidRPr="00BD1669">
        <w:rPr>
          <w:i/>
          <w:iCs/>
        </w:rPr>
        <w:t xml:space="preserve">POOR'S, </w:t>
      </w:r>
      <w:r w:rsidRPr="00BD1669">
        <w:t xml:space="preserve">2002a). Dentre as principais agências de </w:t>
      </w:r>
      <w:r w:rsidRPr="00BD1669">
        <w:rPr>
          <w:i/>
        </w:rPr>
        <w:t>rating</w:t>
      </w:r>
      <w:r w:rsidR="001F2533">
        <w:rPr>
          <w:i/>
        </w:rPr>
        <w:t>s</w:t>
      </w:r>
      <w:r w:rsidRPr="00BD1669">
        <w:t xml:space="preserve"> de risco temos, por exemplo, </w:t>
      </w:r>
      <w:r w:rsidRPr="00BD1669">
        <w:rPr>
          <w:i/>
        </w:rPr>
        <w:t xml:space="preserve">Standard </w:t>
      </w:r>
      <w:r w:rsidRPr="00BD1669">
        <w:t>&amp;</w:t>
      </w:r>
      <w:r w:rsidRPr="00BD1669">
        <w:rPr>
          <w:i/>
        </w:rPr>
        <w:t xml:space="preserve"> </w:t>
      </w:r>
      <w:proofErr w:type="spellStart"/>
      <w:r w:rsidRPr="00BD1669">
        <w:rPr>
          <w:i/>
        </w:rPr>
        <w:t>Poor’s</w:t>
      </w:r>
      <w:proofErr w:type="spellEnd"/>
      <w:r w:rsidRPr="00BD1669">
        <w:t>,</w:t>
      </w:r>
      <w:r w:rsidRPr="00BD1669">
        <w:rPr>
          <w:i/>
        </w:rPr>
        <w:t xml:space="preserve"> Moody’s Investor Service </w:t>
      </w:r>
      <w:r w:rsidRPr="00BD1669">
        <w:t xml:space="preserve">e </w:t>
      </w:r>
      <w:r w:rsidRPr="00BD1669">
        <w:rPr>
          <w:i/>
        </w:rPr>
        <w:t>Fitch IBCA</w:t>
      </w:r>
      <w:r w:rsidRPr="00474080">
        <w:rPr>
          <w:rStyle w:val="Refdenotaderodap"/>
        </w:rPr>
        <w:footnoteReference w:id="2"/>
      </w:r>
      <w:r w:rsidRPr="00BD1669">
        <w:t xml:space="preserve">. </w:t>
      </w:r>
    </w:p>
    <w:p w:rsidR="005D6D5C" w:rsidRPr="00BD1669" w:rsidRDefault="005D6D5C" w:rsidP="001C0249">
      <w:pPr>
        <w:autoSpaceDE w:val="0"/>
        <w:autoSpaceDN w:val="0"/>
        <w:adjustRightInd w:val="0"/>
        <w:ind w:firstLine="708"/>
        <w:jc w:val="both"/>
      </w:pPr>
      <w:r w:rsidRPr="00BD1669">
        <w:lastRenderedPageBreak/>
        <w:t xml:space="preserve">A presença de agências de </w:t>
      </w:r>
      <w:r w:rsidRPr="00BD1669">
        <w:rPr>
          <w:i/>
          <w:iCs/>
        </w:rPr>
        <w:t>rating</w:t>
      </w:r>
      <w:r w:rsidR="0088582B">
        <w:rPr>
          <w:i/>
          <w:iCs/>
        </w:rPr>
        <w:t>s</w:t>
      </w:r>
      <w:r w:rsidRPr="00BD1669">
        <w:t xml:space="preserve"> como fornecedoras de mercadoria, neste caso, o processamento de informações, constitui peça-chave para que a oferta de recursos financeiros não fique restrita às instituições financeiras domésticas, permitindo ao governo central destas economias e às empresas domésticas, ampliarem suas possibilidades de tomarem recursos.</w:t>
      </w:r>
    </w:p>
    <w:p w:rsidR="005D6D5C" w:rsidRPr="00BD1669" w:rsidRDefault="005D6D5C" w:rsidP="001C0249">
      <w:pPr>
        <w:pStyle w:val="NormalWeb"/>
        <w:spacing w:before="0" w:beforeAutospacing="0" w:after="0" w:afterAutospacing="0"/>
        <w:ind w:right="57" w:firstLine="708"/>
        <w:jc w:val="both"/>
        <w:rPr>
          <w:bCs/>
        </w:rPr>
      </w:pPr>
      <w:r w:rsidRPr="00BD1669">
        <w:t xml:space="preserve">Os </w:t>
      </w:r>
      <w:r w:rsidRPr="00BD1669">
        <w:rPr>
          <w:i/>
        </w:rPr>
        <w:t>ratings</w:t>
      </w:r>
      <w:r w:rsidRPr="00BD1669">
        <w:t xml:space="preserve"> normalmente tentam refletir os fatores específicos de risco de um país, os quais podem trazer </w:t>
      </w:r>
      <w:r w:rsidR="00D70E09" w:rsidRPr="00BD1669">
        <w:t>consequências</w:t>
      </w:r>
      <w:r w:rsidRPr="00BD1669">
        <w:t xml:space="preserve"> sobre a capacidade de uma entidade para saldar integral e pontualmente sua dívida. Fazem parte destes fatores de riscos o risco de intervenção soberana, como, por exemplo, o risco de um país impor políticas cambiais ou decretar moratória da dívida. Além disso, inclui os riscos econômicos do país, que se referem ao ambiente econômico, político e social, o qual influencia tanto os </w:t>
      </w:r>
      <w:r w:rsidRPr="00BD1669">
        <w:rPr>
          <w:i/>
        </w:rPr>
        <w:t>ratings</w:t>
      </w:r>
      <w:r w:rsidRPr="00BD1669">
        <w:t xml:space="preserve"> do próprio país quanto aquelas entidades emissoras ali presentes (</w:t>
      </w:r>
      <w:r w:rsidRPr="00BD1669">
        <w:rPr>
          <w:i/>
        </w:rPr>
        <w:t>STANDARD &amp; POOR’S</w:t>
      </w:r>
      <w:r w:rsidRPr="00BD1669">
        <w:t>, 2001a).</w:t>
      </w:r>
      <w:r w:rsidRPr="00BD1669">
        <w:rPr>
          <w:bCs/>
        </w:rPr>
        <w:t xml:space="preserve"> </w:t>
      </w:r>
    </w:p>
    <w:p w:rsidR="005D6D5C" w:rsidRPr="00BD1669" w:rsidRDefault="005D6D5C" w:rsidP="001C0249">
      <w:pPr>
        <w:autoSpaceDE w:val="0"/>
        <w:autoSpaceDN w:val="0"/>
        <w:adjustRightInd w:val="0"/>
        <w:ind w:firstLine="709"/>
        <w:jc w:val="both"/>
        <w:rPr>
          <w:bCs/>
          <w:iCs/>
        </w:rPr>
      </w:pPr>
      <w:r w:rsidRPr="00BD1669">
        <w:rPr>
          <w:bCs/>
          <w:iCs/>
        </w:rPr>
        <w:t xml:space="preserve">A Tabela 1 traz as escalas das classificações feitas pelas principais agências de </w:t>
      </w:r>
      <w:r w:rsidRPr="00BD1669">
        <w:rPr>
          <w:bCs/>
          <w:i/>
          <w:iCs/>
        </w:rPr>
        <w:t>rating</w:t>
      </w:r>
      <w:r w:rsidR="001F2533">
        <w:rPr>
          <w:bCs/>
          <w:i/>
          <w:iCs/>
        </w:rPr>
        <w:t>s</w:t>
      </w:r>
      <w:r w:rsidRPr="00BD1669">
        <w:rPr>
          <w:bCs/>
          <w:iCs/>
        </w:rPr>
        <w:t xml:space="preserve"> do mundo, onde </w:t>
      </w:r>
      <w:r w:rsidR="000A6D00">
        <w:rPr>
          <w:bCs/>
          <w:iCs/>
        </w:rPr>
        <w:t>é possível observar</w:t>
      </w:r>
      <w:r w:rsidRPr="00BD1669">
        <w:rPr>
          <w:bCs/>
          <w:iCs/>
        </w:rPr>
        <w:t xml:space="preserve"> uma escala numérica crescente de risco que vai de </w:t>
      </w:r>
      <w:smartTag w:uri="urn:schemas-microsoft-com:office:smarttags" w:element="metricconverter">
        <w:smartTagPr>
          <w:attr w:name="ProductID" w:val="1 a"/>
        </w:smartTagPr>
        <w:r w:rsidRPr="00BD1669">
          <w:rPr>
            <w:bCs/>
            <w:iCs/>
          </w:rPr>
          <w:t>1 a</w:t>
        </w:r>
      </w:smartTag>
      <w:r w:rsidRPr="00BD1669">
        <w:rPr>
          <w:bCs/>
          <w:iCs/>
        </w:rPr>
        <w:t xml:space="preserve"> 24. Países que se encontram na escala de </w:t>
      </w:r>
      <w:smartTag w:uri="urn:schemas-microsoft-com:office:smarttags" w:element="metricconverter">
        <w:smartTagPr>
          <w:attr w:name="ProductID" w:val="1 a"/>
        </w:smartTagPr>
        <w:r w:rsidRPr="00BD1669">
          <w:rPr>
            <w:bCs/>
            <w:iCs/>
          </w:rPr>
          <w:t>1 a</w:t>
        </w:r>
      </w:smartTag>
      <w:r w:rsidRPr="00BD1669">
        <w:rPr>
          <w:bCs/>
          <w:iCs/>
        </w:rPr>
        <w:t xml:space="preserve"> 10 pertencem ao grupo de menor risco chamado de </w:t>
      </w:r>
      <w:proofErr w:type="spellStart"/>
      <w:r w:rsidRPr="00BD1669">
        <w:rPr>
          <w:bCs/>
          <w:i/>
          <w:iCs/>
        </w:rPr>
        <w:t>investment</w:t>
      </w:r>
      <w:proofErr w:type="spellEnd"/>
      <w:r w:rsidRPr="00BD1669">
        <w:rPr>
          <w:bCs/>
          <w:i/>
          <w:iCs/>
        </w:rPr>
        <w:t xml:space="preserve"> grade</w:t>
      </w:r>
      <w:r w:rsidR="000A6D00">
        <w:rPr>
          <w:bCs/>
          <w:iCs/>
        </w:rPr>
        <w:t>.</w:t>
      </w:r>
      <w:r w:rsidRPr="00BD1669">
        <w:rPr>
          <w:bCs/>
          <w:i/>
          <w:iCs/>
        </w:rPr>
        <w:t xml:space="preserve"> </w:t>
      </w:r>
      <w:r w:rsidR="000A6D00">
        <w:rPr>
          <w:bCs/>
          <w:iCs/>
        </w:rPr>
        <w:t>P</w:t>
      </w:r>
      <w:r w:rsidRPr="00BD1669">
        <w:rPr>
          <w:bCs/>
          <w:iCs/>
        </w:rPr>
        <w:t xml:space="preserve">aíses que se encontram na escala acima de 10 fazem parte </w:t>
      </w:r>
      <w:r w:rsidR="001C0249">
        <w:rPr>
          <w:bCs/>
          <w:iCs/>
        </w:rPr>
        <w:t>do grupo daqueles que apresentam</w:t>
      </w:r>
      <w:r w:rsidRPr="00BD1669">
        <w:rPr>
          <w:bCs/>
          <w:iCs/>
        </w:rPr>
        <w:t xml:space="preserve"> maior risco, o que configura</w:t>
      </w:r>
      <w:r w:rsidR="001C0249">
        <w:rPr>
          <w:bCs/>
          <w:iCs/>
        </w:rPr>
        <w:t>,</w:t>
      </w:r>
      <w:r w:rsidRPr="00BD1669">
        <w:rPr>
          <w:bCs/>
          <w:iCs/>
        </w:rPr>
        <w:t xml:space="preserve"> </w:t>
      </w:r>
      <w:r w:rsidR="001C0249">
        <w:rPr>
          <w:bCs/>
          <w:iCs/>
        </w:rPr>
        <w:t xml:space="preserve">para os portadores desses papéis, </w:t>
      </w:r>
      <w:r w:rsidRPr="00BD1669">
        <w:rPr>
          <w:bCs/>
          <w:iCs/>
        </w:rPr>
        <w:t xml:space="preserve">um comportamento especulativo no mercado financeiro. Países que estão na ordem da escala de </w:t>
      </w:r>
      <w:smartTag w:uri="urn:schemas-microsoft-com:office:smarttags" w:element="metricconverter">
        <w:smartTagPr>
          <w:attr w:name="ProductID" w:val="22 a"/>
        </w:smartTagPr>
        <w:r w:rsidRPr="00BD1669">
          <w:rPr>
            <w:bCs/>
            <w:iCs/>
          </w:rPr>
          <w:t>22 a</w:t>
        </w:r>
      </w:smartTag>
      <w:r w:rsidRPr="00BD1669">
        <w:rPr>
          <w:bCs/>
          <w:iCs/>
        </w:rPr>
        <w:t xml:space="preserve"> 24 são países que declararam moratória de suas dívidas. </w:t>
      </w:r>
    </w:p>
    <w:p w:rsidR="005D6D5C" w:rsidRPr="00BD1669" w:rsidRDefault="005D6D5C" w:rsidP="001C0249">
      <w:pPr>
        <w:autoSpaceDE w:val="0"/>
        <w:autoSpaceDN w:val="0"/>
        <w:adjustRightInd w:val="0"/>
        <w:ind w:firstLine="709"/>
        <w:jc w:val="both"/>
      </w:pPr>
      <w:r w:rsidRPr="00BD1669">
        <w:rPr>
          <w:bCs/>
          <w:iCs/>
        </w:rPr>
        <w:t>Logo, a</w:t>
      </w:r>
      <w:r w:rsidRPr="00BD1669">
        <w:t>s classificações de obrigações nesta categoria são baseadas na possibilidade de recuperação parcial ou total do empréstimo.</w:t>
      </w:r>
    </w:p>
    <w:p w:rsidR="005D6D5C" w:rsidRPr="00BD1669" w:rsidRDefault="005D6D5C" w:rsidP="001C0249">
      <w:pPr>
        <w:autoSpaceDE w:val="0"/>
        <w:autoSpaceDN w:val="0"/>
        <w:adjustRightInd w:val="0"/>
        <w:ind w:firstLine="709"/>
        <w:jc w:val="both"/>
      </w:pPr>
    </w:p>
    <w:p w:rsidR="005D6D5C" w:rsidRPr="00BD1669" w:rsidRDefault="005D6D5C" w:rsidP="001C0249">
      <w:pPr>
        <w:ind w:left="1404" w:firstLine="720"/>
        <w:rPr>
          <w:bCs/>
          <w:i/>
          <w:iCs/>
        </w:rPr>
      </w:pPr>
      <w:r w:rsidRPr="00BD1669">
        <w:rPr>
          <w:bCs/>
          <w:i/>
          <w:iCs/>
        </w:rPr>
        <w:t>Tabela 1</w:t>
      </w:r>
      <w:r w:rsidRPr="00BD1669">
        <w:rPr>
          <w:bCs/>
          <w:iCs/>
        </w:rPr>
        <w:t xml:space="preserve"> – Sistemas de classificação </w:t>
      </w:r>
      <w:r w:rsidRPr="00BD1669">
        <w:rPr>
          <w:bCs/>
        </w:rPr>
        <w:t xml:space="preserve">de </w:t>
      </w:r>
      <w:r w:rsidRPr="00BD1669">
        <w:rPr>
          <w:bCs/>
          <w:i/>
        </w:rPr>
        <w:t>r</w:t>
      </w:r>
      <w:r w:rsidRPr="00BD1669">
        <w:rPr>
          <w:bCs/>
          <w:i/>
          <w:iCs/>
        </w:rPr>
        <w:t>atings</w:t>
      </w:r>
    </w:p>
    <w:tbl>
      <w:tblPr>
        <w:tblW w:w="5287" w:type="dxa"/>
        <w:jc w:val="center"/>
        <w:tblBorders>
          <w:top w:val="thinThickSmallGap" w:sz="24" w:space="0" w:color="auto"/>
          <w:bottom w:val="thickThinSmallGap" w:sz="24" w:space="0" w:color="auto"/>
          <w:insideH w:val="single" w:sz="6" w:space="0" w:color="000000"/>
        </w:tblBorders>
        <w:tblLook w:val="0000" w:firstRow="0" w:lastRow="0" w:firstColumn="0" w:lastColumn="0" w:noHBand="0" w:noVBand="0"/>
      </w:tblPr>
      <w:tblGrid>
        <w:gridCol w:w="1283"/>
        <w:gridCol w:w="1110"/>
        <w:gridCol w:w="888"/>
        <w:gridCol w:w="777"/>
        <w:gridCol w:w="1229"/>
      </w:tblGrid>
      <w:tr w:rsidR="005D6D5C" w:rsidRPr="00172D20" w:rsidTr="00172D20">
        <w:trPr>
          <w:trHeight w:val="279"/>
          <w:jc w:val="center"/>
        </w:trPr>
        <w:tc>
          <w:tcPr>
            <w:tcW w:w="1293" w:type="dxa"/>
            <w:vMerge w:val="restart"/>
            <w:tcBorders>
              <w:top w:val="single" w:sz="4" w:space="0" w:color="auto"/>
              <w:left w:val="nil"/>
              <w:bottom w:val="single" w:sz="6" w:space="0" w:color="000000"/>
              <w:right w:val="nil"/>
            </w:tcBorders>
            <w:shd w:val="clear" w:color="auto" w:fill="auto"/>
            <w:vAlign w:val="center"/>
          </w:tcPr>
          <w:p w:rsidR="005D6D5C" w:rsidRPr="00172D20" w:rsidRDefault="005D6D5C" w:rsidP="001C0249">
            <w:pPr>
              <w:autoSpaceDE w:val="0"/>
              <w:autoSpaceDN w:val="0"/>
              <w:adjustRightInd w:val="0"/>
              <w:jc w:val="center"/>
              <w:rPr>
                <w:b/>
                <w:bCs/>
              </w:rPr>
            </w:pPr>
            <w:bookmarkStart w:id="1" w:name="OLE_LINK6"/>
            <w:bookmarkStart w:id="2" w:name="OLE_LINK4"/>
            <w:bookmarkStart w:id="3" w:name="OLE_LINK5"/>
            <w:r w:rsidRPr="00172D20">
              <w:rPr>
                <w:b/>
                <w:bCs/>
                <w:iCs/>
              </w:rPr>
              <w:t xml:space="preserve"> Posição </w:t>
            </w:r>
          </w:p>
        </w:tc>
        <w:tc>
          <w:tcPr>
            <w:tcW w:w="2831" w:type="dxa"/>
            <w:gridSpan w:val="3"/>
            <w:tcBorders>
              <w:top w:val="single" w:sz="4" w:space="0" w:color="auto"/>
              <w:left w:val="nil"/>
              <w:right w:val="nil"/>
            </w:tcBorders>
            <w:shd w:val="clear" w:color="auto" w:fill="auto"/>
            <w:vAlign w:val="center"/>
          </w:tcPr>
          <w:p w:rsidR="005D6D5C" w:rsidRPr="00172D20" w:rsidRDefault="005D6D5C" w:rsidP="001C0249">
            <w:pPr>
              <w:autoSpaceDE w:val="0"/>
              <w:autoSpaceDN w:val="0"/>
              <w:adjustRightInd w:val="0"/>
              <w:jc w:val="center"/>
              <w:rPr>
                <w:b/>
                <w:bCs/>
              </w:rPr>
            </w:pPr>
            <w:r w:rsidRPr="00172D20">
              <w:rPr>
                <w:b/>
                <w:bCs/>
              </w:rPr>
              <w:t>Empresas</w:t>
            </w:r>
          </w:p>
        </w:tc>
        <w:tc>
          <w:tcPr>
            <w:tcW w:w="1163" w:type="dxa"/>
            <w:vMerge w:val="restart"/>
            <w:tcBorders>
              <w:top w:val="single" w:sz="4" w:space="0" w:color="auto"/>
              <w:left w:val="nil"/>
              <w:bottom w:val="single" w:sz="6" w:space="0" w:color="000000"/>
            </w:tcBorders>
            <w:shd w:val="clear" w:color="auto" w:fill="auto"/>
          </w:tcPr>
          <w:p w:rsidR="005D6D5C" w:rsidRPr="00172D20" w:rsidRDefault="005D6D5C" w:rsidP="001C0249">
            <w:pPr>
              <w:autoSpaceDE w:val="0"/>
              <w:autoSpaceDN w:val="0"/>
              <w:adjustRightInd w:val="0"/>
              <w:jc w:val="center"/>
              <w:rPr>
                <w:b/>
                <w:bCs/>
              </w:rPr>
            </w:pPr>
            <w:r w:rsidRPr="00172D20">
              <w:rPr>
                <w:b/>
                <w:bCs/>
              </w:rPr>
              <w:t>Escala Numérica</w:t>
            </w:r>
          </w:p>
        </w:tc>
      </w:tr>
      <w:tr w:rsidR="005D6D5C" w:rsidRPr="00172D20" w:rsidTr="00172D20">
        <w:trPr>
          <w:trHeight w:val="278"/>
          <w:jc w:val="center"/>
        </w:trPr>
        <w:tc>
          <w:tcPr>
            <w:tcW w:w="1293" w:type="dxa"/>
            <w:vMerge/>
            <w:tcBorders>
              <w:top w:val="single" w:sz="6" w:space="0" w:color="000000"/>
              <w:left w:val="nil"/>
              <w:bottom w:val="single" w:sz="6" w:space="0" w:color="000000"/>
              <w:right w:val="nil"/>
            </w:tcBorders>
            <w:shd w:val="clear" w:color="auto" w:fill="auto"/>
            <w:vAlign w:val="center"/>
          </w:tcPr>
          <w:p w:rsidR="005D6D5C" w:rsidRPr="00172D20" w:rsidRDefault="005D6D5C" w:rsidP="001C0249">
            <w:pPr>
              <w:autoSpaceDE w:val="0"/>
              <w:autoSpaceDN w:val="0"/>
              <w:adjustRightInd w:val="0"/>
              <w:jc w:val="center"/>
              <w:rPr>
                <w:b/>
                <w:bCs/>
                <w:iCs/>
              </w:rPr>
            </w:pPr>
          </w:p>
        </w:tc>
        <w:tc>
          <w:tcPr>
            <w:tcW w:w="1110" w:type="dxa"/>
            <w:tcBorders>
              <w:left w:val="nil"/>
            </w:tcBorders>
            <w:shd w:val="clear" w:color="auto" w:fill="auto"/>
            <w:vAlign w:val="center"/>
          </w:tcPr>
          <w:p w:rsidR="005D6D5C" w:rsidRPr="00172D20" w:rsidRDefault="005D6D5C" w:rsidP="001C0249">
            <w:pPr>
              <w:autoSpaceDE w:val="0"/>
              <w:autoSpaceDN w:val="0"/>
              <w:adjustRightInd w:val="0"/>
              <w:jc w:val="center"/>
              <w:rPr>
                <w:b/>
                <w:bCs/>
              </w:rPr>
            </w:pPr>
            <w:r w:rsidRPr="00172D20">
              <w:rPr>
                <w:b/>
                <w:bCs/>
              </w:rPr>
              <w:t>Moody’s</w:t>
            </w:r>
          </w:p>
        </w:tc>
        <w:tc>
          <w:tcPr>
            <w:tcW w:w="936" w:type="dxa"/>
            <w:shd w:val="clear" w:color="auto" w:fill="auto"/>
            <w:vAlign w:val="center"/>
          </w:tcPr>
          <w:p w:rsidR="005D6D5C" w:rsidRPr="00172D20" w:rsidRDefault="005D6D5C" w:rsidP="001C0249">
            <w:pPr>
              <w:autoSpaceDE w:val="0"/>
              <w:autoSpaceDN w:val="0"/>
              <w:adjustRightInd w:val="0"/>
              <w:jc w:val="center"/>
              <w:rPr>
                <w:b/>
                <w:bCs/>
              </w:rPr>
            </w:pPr>
            <w:r w:rsidRPr="00172D20">
              <w:rPr>
                <w:b/>
                <w:bCs/>
              </w:rPr>
              <w:t>S &amp; P</w:t>
            </w:r>
          </w:p>
        </w:tc>
        <w:tc>
          <w:tcPr>
            <w:tcW w:w="785" w:type="dxa"/>
            <w:tcBorders>
              <w:right w:val="nil"/>
            </w:tcBorders>
            <w:shd w:val="clear" w:color="auto" w:fill="auto"/>
            <w:vAlign w:val="center"/>
          </w:tcPr>
          <w:p w:rsidR="005D6D5C" w:rsidRPr="00172D20" w:rsidRDefault="005D6D5C" w:rsidP="001C0249">
            <w:pPr>
              <w:autoSpaceDE w:val="0"/>
              <w:autoSpaceDN w:val="0"/>
              <w:adjustRightInd w:val="0"/>
              <w:jc w:val="center"/>
              <w:rPr>
                <w:b/>
                <w:bCs/>
              </w:rPr>
            </w:pPr>
            <w:r w:rsidRPr="00172D20">
              <w:rPr>
                <w:b/>
                <w:bCs/>
              </w:rPr>
              <w:t>Fitch</w:t>
            </w:r>
          </w:p>
        </w:tc>
        <w:tc>
          <w:tcPr>
            <w:tcW w:w="1163" w:type="dxa"/>
            <w:vMerge/>
            <w:tcBorders>
              <w:top w:val="single" w:sz="6" w:space="0" w:color="000000"/>
              <w:left w:val="nil"/>
              <w:bottom w:val="single" w:sz="6" w:space="0" w:color="000000"/>
            </w:tcBorders>
            <w:shd w:val="clear" w:color="auto" w:fill="auto"/>
          </w:tcPr>
          <w:p w:rsidR="005D6D5C" w:rsidRPr="00172D20" w:rsidRDefault="005D6D5C" w:rsidP="001C0249">
            <w:pPr>
              <w:autoSpaceDE w:val="0"/>
              <w:autoSpaceDN w:val="0"/>
              <w:adjustRightInd w:val="0"/>
              <w:jc w:val="center"/>
              <w:rPr>
                <w:b/>
                <w:bCs/>
              </w:rPr>
            </w:pPr>
          </w:p>
        </w:tc>
      </w:tr>
      <w:tr w:rsidR="005D6D5C" w:rsidRPr="00BD1669" w:rsidTr="00172D20">
        <w:trPr>
          <w:jc w:val="center"/>
        </w:trPr>
        <w:tc>
          <w:tcPr>
            <w:tcW w:w="1293" w:type="dxa"/>
            <w:tcBorders>
              <w:top w:val="single" w:sz="6" w:space="0" w:color="000000"/>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roofErr w:type="spellStart"/>
            <w:r w:rsidRPr="00BD1669">
              <w:rPr>
                <w:bCs/>
                <w:sz w:val="20"/>
                <w:szCs w:val="20"/>
              </w:rPr>
              <w:t>Aaa</w:t>
            </w:r>
            <w:proofErr w:type="spellEnd"/>
          </w:p>
        </w:tc>
        <w:tc>
          <w:tcPr>
            <w:tcW w:w="936" w:type="dxa"/>
            <w:tcBorders>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AAA</w:t>
            </w:r>
          </w:p>
        </w:tc>
        <w:tc>
          <w:tcPr>
            <w:tcW w:w="785" w:type="dxa"/>
            <w:tcBorders>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AAA</w:t>
            </w:r>
          </w:p>
        </w:tc>
        <w:tc>
          <w:tcPr>
            <w:tcW w:w="1163" w:type="dxa"/>
            <w:tcBorders>
              <w:top w:val="single" w:sz="6" w:space="0" w:color="000000"/>
              <w:bottom w:val="nil"/>
            </w:tcBorders>
            <w:shd w:val="clear" w:color="auto" w:fill="auto"/>
          </w:tcPr>
          <w:p w:rsidR="005D6D5C" w:rsidRPr="00BD1669" w:rsidRDefault="005D6D5C" w:rsidP="001C0249">
            <w:pPr>
              <w:autoSpaceDE w:val="0"/>
              <w:autoSpaceDN w:val="0"/>
              <w:adjustRightInd w:val="0"/>
              <w:jc w:val="center"/>
              <w:rPr>
                <w:bCs/>
                <w:sz w:val="20"/>
                <w:szCs w:val="20"/>
              </w:rPr>
            </w:pPr>
            <w:r w:rsidRPr="00BD1669">
              <w:rPr>
                <w:bCs/>
                <w:sz w:val="20"/>
                <w:szCs w:val="20"/>
              </w:rPr>
              <w:t>1</w:t>
            </w:r>
          </w:p>
        </w:tc>
      </w:tr>
      <w:tr w:rsidR="005D6D5C" w:rsidRPr="00BD1669" w:rsidTr="00172D20">
        <w:trPr>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Aa1</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rPr>
            </w:pPr>
            <w:r w:rsidRPr="00BD1669">
              <w:rPr>
                <w:bCs/>
                <w:sz w:val="20"/>
                <w:szCs w:val="20"/>
              </w:rPr>
              <w:t>2</w:t>
            </w:r>
          </w:p>
        </w:tc>
      </w:tr>
      <w:tr w:rsidR="005D6D5C" w:rsidRPr="00BD1669" w:rsidTr="00172D20">
        <w:trPr>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Aa2</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rPr>
            </w:pPr>
            <w:r w:rsidRPr="00BD1669">
              <w:rPr>
                <w:bCs/>
                <w:sz w:val="20"/>
                <w:szCs w:val="20"/>
              </w:rPr>
              <w:t>3</w:t>
            </w:r>
          </w:p>
        </w:tc>
      </w:tr>
      <w:tr w:rsidR="005D6D5C" w:rsidRPr="00BD1669" w:rsidTr="00172D20">
        <w:trPr>
          <w:trHeight w:val="30"/>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i/>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Aa3</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AA-</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AA-</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4</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i/>
                <w:sz w:val="20"/>
                <w:szCs w:val="20"/>
              </w:rPr>
            </w:pPr>
            <w:proofErr w:type="spellStart"/>
            <w:r w:rsidRPr="00BD1669">
              <w:rPr>
                <w:bCs/>
                <w:i/>
                <w:sz w:val="20"/>
                <w:szCs w:val="20"/>
              </w:rPr>
              <w:t>Investment</w:t>
            </w:r>
            <w:proofErr w:type="spellEnd"/>
            <w:r w:rsidRPr="00BD1669">
              <w:rPr>
                <w:bCs/>
                <w:i/>
                <w:sz w:val="20"/>
                <w:szCs w:val="20"/>
              </w:rPr>
              <w:t xml:space="preserve"> Grade</w:t>
            </w: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A1</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A+</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A+</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5</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A2</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A</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A</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6</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A3</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A-</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A-</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7</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Baa1</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BBB+</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BBB+</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8</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Baa2</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BBB</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BBB</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9</w:t>
            </w:r>
          </w:p>
        </w:tc>
      </w:tr>
      <w:tr w:rsidR="005D6D5C" w:rsidRPr="00BD1669" w:rsidTr="00172D20">
        <w:trPr>
          <w:trHeight w:val="21"/>
          <w:jc w:val="center"/>
        </w:trPr>
        <w:tc>
          <w:tcPr>
            <w:tcW w:w="1293" w:type="dxa"/>
            <w:tcBorders>
              <w:top w:val="nil"/>
              <w:bottom w:val="single" w:sz="4" w:space="0" w:color="auto"/>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single" w:sz="4" w:space="0" w:color="auto"/>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Baa3</w:t>
            </w:r>
          </w:p>
        </w:tc>
        <w:tc>
          <w:tcPr>
            <w:tcW w:w="936" w:type="dxa"/>
            <w:tcBorders>
              <w:top w:val="nil"/>
              <w:bottom w:val="single" w:sz="4" w:space="0" w:color="auto"/>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BBB-</w:t>
            </w:r>
          </w:p>
        </w:tc>
        <w:tc>
          <w:tcPr>
            <w:tcW w:w="785" w:type="dxa"/>
            <w:tcBorders>
              <w:top w:val="nil"/>
              <w:bottom w:val="single" w:sz="4" w:space="0" w:color="auto"/>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BBB-</w:t>
            </w:r>
          </w:p>
        </w:tc>
        <w:tc>
          <w:tcPr>
            <w:tcW w:w="1163" w:type="dxa"/>
            <w:tcBorders>
              <w:top w:val="nil"/>
              <w:bottom w:val="single" w:sz="4" w:space="0" w:color="auto"/>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10</w:t>
            </w:r>
          </w:p>
        </w:tc>
      </w:tr>
      <w:tr w:rsidR="005D6D5C" w:rsidRPr="00BD1669" w:rsidTr="00172D20">
        <w:trPr>
          <w:trHeight w:val="21"/>
          <w:jc w:val="center"/>
        </w:trPr>
        <w:tc>
          <w:tcPr>
            <w:tcW w:w="1293" w:type="dxa"/>
            <w:tcBorders>
              <w:top w:val="single" w:sz="4" w:space="0" w:color="auto"/>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single" w:sz="4" w:space="0" w:color="auto"/>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Ba1</w:t>
            </w:r>
          </w:p>
        </w:tc>
        <w:tc>
          <w:tcPr>
            <w:tcW w:w="936" w:type="dxa"/>
            <w:tcBorders>
              <w:top w:val="single" w:sz="4" w:space="0" w:color="auto"/>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w:t>
            </w:r>
          </w:p>
        </w:tc>
        <w:tc>
          <w:tcPr>
            <w:tcW w:w="785" w:type="dxa"/>
            <w:tcBorders>
              <w:top w:val="single" w:sz="4" w:space="0" w:color="auto"/>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w:t>
            </w:r>
          </w:p>
        </w:tc>
        <w:tc>
          <w:tcPr>
            <w:tcW w:w="1163" w:type="dxa"/>
            <w:tcBorders>
              <w:top w:val="single" w:sz="4" w:space="0" w:color="auto"/>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11</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Ba2</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12</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Ba3</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BB-</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13</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B1</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14</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i/>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B2</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15</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i/>
                <w:sz w:val="20"/>
                <w:szCs w:val="20"/>
              </w:rPr>
            </w:pPr>
            <w:r w:rsidRPr="00BD1669">
              <w:rPr>
                <w:bCs/>
                <w:i/>
                <w:sz w:val="20"/>
                <w:szCs w:val="20"/>
              </w:rPr>
              <w:t>Especulativa</w:t>
            </w: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B3</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B-</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16</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Caa1</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CCC+</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CCC+</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17</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Caa2</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CCC</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CCC</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18</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Caa3</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CCC-</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CCC-</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19</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CC</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CC</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20</w:t>
            </w:r>
          </w:p>
        </w:tc>
      </w:tr>
      <w:tr w:rsidR="005D6D5C" w:rsidRPr="00BD1669" w:rsidTr="00172D20">
        <w:trPr>
          <w:trHeight w:val="21"/>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r w:rsidRPr="00BD1669">
              <w:rPr>
                <w:bCs/>
                <w:sz w:val="20"/>
                <w:szCs w:val="20"/>
              </w:rPr>
              <w:t>-</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21</w:t>
            </w:r>
          </w:p>
        </w:tc>
      </w:tr>
      <w:tr w:rsidR="005D6D5C" w:rsidRPr="00BD1669" w:rsidTr="00172D20">
        <w:trPr>
          <w:trHeight w:val="77"/>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Ca</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SD</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DDD</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22</w:t>
            </w:r>
          </w:p>
        </w:tc>
      </w:tr>
      <w:tr w:rsidR="005D6D5C" w:rsidRPr="00BD1669" w:rsidTr="00172D20">
        <w:trPr>
          <w:trHeight w:val="77"/>
          <w:jc w:val="center"/>
        </w:trPr>
        <w:tc>
          <w:tcPr>
            <w:tcW w:w="1293"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C</w:t>
            </w:r>
          </w:p>
        </w:tc>
        <w:tc>
          <w:tcPr>
            <w:tcW w:w="936"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D</w:t>
            </w:r>
          </w:p>
        </w:tc>
        <w:tc>
          <w:tcPr>
            <w:tcW w:w="785" w:type="dxa"/>
            <w:tcBorders>
              <w:top w:val="nil"/>
              <w:bottom w:val="nil"/>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DD</w:t>
            </w:r>
          </w:p>
        </w:tc>
        <w:tc>
          <w:tcPr>
            <w:tcW w:w="1163" w:type="dxa"/>
            <w:tcBorders>
              <w:top w:val="nil"/>
              <w:bottom w:val="nil"/>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23</w:t>
            </w:r>
          </w:p>
        </w:tc>
      </w:tr>
      <w:tr w:rsidR="005D6D5C" w:rsidRPr="00BD1669" w:rsidTr="00172D20">
        <w:trPr>
          <w:trHeight w:val="77"/>
          <w:jc w:val="center"/>
        </w:trPr>
        <w:tc>
          <w:tcPr>
            <w:tcW w:w="1293" w:type="dxa"/>
            <w:tcBorders>
              <w:top w:val="nil"/>
              <w:bottom w:val="single" w:sz="4" w:space="0" w:color="auto"/>
            </w:tcBorders>
            <w:shd w:val="clear" w:color="auto" w:fill="auto"/>
            <w:vAlign w:val="center"/>
          </w:tcPr>
          <w:p w:rsidR="005D6D5C" w:rsidRPr="00BD1669" w:rsidRDefault="005D6D5C" w:rsidP="001C0249">
            <w:pPr>
              <w:autoSpaceDE w:val="0"/>
              <w:autoSpaceDN w:val="0"/>
              <w:adjustRightInd w:val="0"/>
              <w:jc w:val="center"/>
              <w:rPr>
                <w:bCs/>
                <w:sz w:val="20"/>
                <w:szCs w:val="20"/>
              </w:rPr>
            </w:pPr>
          </w:p>
        </w:tc>
        <w:tc>
          <w:tcPr>
            <w:tcW w:w="1110" w:type="dxa"/>
            <w:tcBorders>
              <w:top w:val="nil"/>
              <w:bottom w:val="single" w:sz="4" w:space="0" w:color="auto"/>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w:t>
            </w:r>
          </w:p>
        </w:tc>
        <w:tc>
          <w:tcPr>
            <w:tcW w:w="936" w:type="dxa"/>
            <w:tcBorders>
              <w:top w:val="nil"/>
              <w:bottom w:val="single" w:sz="4" w:space="0" w:color="auto"/>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w:t>
            </w:r>
          </w:p>
        </w:tc>
        <w:tc>
          <w:tcPr>
            <w:tcW w:w="785" w:type="dxa"/>
            <w:tcBorders>
              <w:top w:val="nil"/>
              <w:bottom w:val="single" w:sz="4" w:space="0" w:color="auto"/>
            </w:tcBorders>
            <w:shd w:val="clear" w:color="auto" w:fill="auto"/>
            <w:vAlign w:val="center"/>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D</w:t>
            </w:r>
          </w:p>
        </w:tc>
        <w:tc>
          <w:tcPr>
            <w:tcW w:w="1163" w:type="dxa"/>
            <w:tcBorders>
              <w:top w:val="nil"/>
              <w:bottom w:val="single" w:sz="4" w:space="0" w:color="auto"/>
            </w:tcBorders>
            <w:shd w:val="clear" w:color="auto" w:fill="auto"/>
          </w:tcPr>
          <w:p w:rsidR="005D6D5C" w:rsidRPr="00BD1669" w:rsidRDefault="005D6D5C" w:rsidP="001C0249">
            <w:pPr>
              <w:autoSpaceDE w:val="0"/>
              <w:autoSpaceDN w:val="0"/>
              <w:adjustRightInd w:val="0"/>
              <w:jc w:val="center"/>
              <w:rPr>
                <w:bCs/>
                <w:sz w:val="20"/>
                <w:szCs w:val="20"/>
                <w:lang w:val="en-US"/>
              </w:rPr>
            </w:pPr>
            <w:r w:rsidRPr="00BD1669">
              <w:rPr>
                <w:bCs/>
                <w:sz w:val="20"/>
                <w:szCs w:val="20"/>
                <w:lang w:val="en-US"/>
              </w:rPr>
              <w:t>24</w:t>
            </w:r>
          </w:p>
        </w:tc>
      </w:tr>
    </w:tbl>
    <w:bookmarkEnd w:id="1"/>
    <w:p w:rsidR="005D6D5C" w:rsidRPr="00181E00" w:rsidRDefault="005D6D5C" w:rsidP="001C0249">
      <w:pPr>
        <w:ind w:left="1416" w:firstLine="564"/>
        <w:rPr>
          <w:sz w:val="20"/>
          <w:szCs w:val="20"/>
          <w:lang w:val="en-US"/>
        </w:rPr>
      </w:pPr>
      <w:r w:rsidRPr="00BD1669">
        <w:rPr>
          <w:b/>
          <w:sz w:val="20"/>
          <w:szCs w:val="20"/>
          <w:lang w:val="en-US"/>
        </w:rPr>
        <w:t xml:space="preserve">  </w:t>
      </w:r>
      <w:proofErr w:type="spellStart"/>
      <w:r w:rsidRPr="00BD1669">
        <w:rPr>
          <w:b/>
          <w:sz w:val="20"/>
          <w:szCs w:val="20"/>
          <w:lang w:val="en-US"/>
        </w:rPr>
        <w:t>Fonte</w:t>
      </w:r>
      <w:proofErr w:type="spellEnd"/>
      <w:r w:rsidRPr="00BD1669">
        <w:rPr>
          <w:sz w:val="20"/>
          <w:szCs w:val="20"/>
          <w:lang w:val="en-US"/>
        </w:rPr>
        <w:t xml:space="preserve">: </w:t>
      </w:r>
      <w:r w:rsidRPr="00BD1669">
        <w:rPr>
          <w:i/>
          <w:sz w:val="20"/>
          <w:szCs w:val="20"/>
          <w:lang w:val="en-US"/>
        </w:rPr>
        <w:t>Standard</w:t>
      </w:r>
      <w:r w:rsidRPr="00BD1669">
        <w:rPr>
          <w:sz w:val="20"/>
          <w:szCs w:val="20"/>
          <w:lang w:val="en-US"/>
        </w:rPr>
        <w:t xml:space="preserve"> &amp; </w:t>
      </w:r>
      <w:r w:rsidRPr="00BD1669">
        <w:rPr>
          <w:i/>
          <w:sz w:val="20"/>
          <w:szCs w:val="20"/>
          <w:lang w:val="en-US"/>
        </w:rPr>
        <w:t>Poor’s</w:t>
      </w:r>
      <w:r w:rsidRPr="00BD1669">
        <w:rPr>
          <w:sz w:val="20"/>
          <w:szCs w:val="20"/>
          <w:lang w:val="en-US"/>
        </w:rPr>
        <w:t xml:space="preserve">, </w:t>
      </w:r>
      <w:r w:rsidRPr="00BD1669">
        <w:rPr>
          <w:i/>
          <w:sz w:val="20"/>
          <w:szCs w:val="20"/>
          <w:lang w:val="en-US"/>
        </w:rPr>
        <w:t>Fitch Ratings</w:t>
      </w:r>
      <w:r w:rsidRPr="00BD1669">
        <w:rPr>
          <w:sz w:val="20"/>
          <w:szCs w:val="20"/>
          <w:lang w:val="en-US"/>
        </w:rPr>
        <w:t xml:space="preserve"> e </w:t>
      </w:r>
      <w:r w:rsidRPr="00BD1669">
        <w:rPr>
          <w:i/>
          <w:sz w:val="20"/>
          <w:szCs w:val="20"/>
          <w:lang w:val="en-US"/>
        </w:rPr>
        <w:t>Moody’s</w:t>
      </w:r>
      <w:r w:rsidR="00181E00">
        <w:rPr>
          <w:sz w:val="20"/>
          <w:szCs w:val="20"/>
          <w:lang w:val="en-US"/>
        </w:rPr>
        <w:t>.</w:t>
      </w:r>
    </w:p>
    <w:bookmarkEnd w:id="2"/>
    <w:bookmarkEnd w:id="3"/>
    <w:p w:rsidR="005D6D5C" w:rsidRDefault="005D6D5C" w:rsidP="001C0249">
      <w:pPr>
        <w:tabs>
          <w:tab w:val="left" w:pos="5386"/>
        </w:tabs>
        <w:jc w:val="both"/>
        <w:rPr>
          <w:lang w:val="en-US"/>
        </w:rPr>
      </w:pPr>
    </w:p>
    <w:p w:rsidR="004264F6" w:rsidRDefault="004264F6" w:rsidP="001C0249">
      <w:pPr>
        <w:tabs>
          <w:tab w:val="left" w:pos="5386"/>
        </w:tabs>
        <w:jc w:val="both"/>
        <w:rPr>
          <w:lang w:val="en-US"/>
        </w:rPr>
      </w:pPr>
    </w:p>
    <w:p w:rsidR="004C35E7" w:rsidRPr="001C0249" w:rsidRDefault="00313C30" w:rsidP="001C0249">
      <w:pPr>
        <w:autoSpaceDE w:val="0"/>
        <w:autoSpaceDN w:val="0"/>
        <w:adjustRightInd w:val="0"/>
        <w:jc w:val="both"/>
      </w:pPr>
      <w:r w:rsidRPr="001C0249">
        <w:lastRenderedPageBreak/>
        <w:t xml:space="preserve">2.1 DETERMINANTES DAS ATRIBUIÇÕES DE </w:t>
      </w:r>
      <w:r w:rsidRPr="001C0249">
        <w:rPr>
          <w:i/>
        </w:rPr>
        <w:t>RATINGS</w:t>
      </w:r>
    </w:p>
    <w:p w:rsidR="004C35E7" w:rsidRPr="001C0249" w:rsidRDefault="004C35E7" w:rsidP="001C0249">
      <w:pPr>
        <w:ind w:firstLine="708"/>
        <w:jc w:val="both"/>
      </w:pPr>
    </w:p>
    <w:p w:rsidR="004264F6" w:rsidRPr="001C0249" w:rsidRDefault="004264F6" w:rsidP="004264F6">
      <w:pPr>
        <w:ind w:firstLine="708"/>
        <w:jc w:val="both"/>
      </w:pPr>
      <w:r w:rsidRPr="001C0249">
        <w:t xml:space="preserve">Os </w:t>
      </w:r>
      <w:r w:rsidRPr="001C0249">
        <w:rPr>
          <w:i/>
        </w:rPr>
        <w:t>ratings</w:t>
      </w:r>
      <w:r w:rsidRPr="001C0249">
        <w:t xml:space="preserve"> de risco soberano atribuídos pelas agências </w:t>
      </w:r>
      <w:r>
        <w:t>para os diversos países emissores de dívidas</w:t>
      </w:r>
      <w:r w:rsidRPr="001C0249">
        <w:t xml:space="preserve"> usam critérios que nem sempre são claros, ou seja, não há um padrão de quais são os determinantes para as atribuições destes </w:t>
      </w:r>
      <w:r w:rsidRPr="001C0249">
        <w:rPr>
          <w:i/>
        </w:rPr>
        <w:t>ratings</w:t>
      </w:r>
      <w:r w:rsidRPr="001C0249">
        <w:t xml:space="preserve"> e nem das ponderações utilizadas par</w:t>
      </w:r>
      <w:r>
        <w:t xml:space="preserve">a cada determinante, pois os primeiros </w:t>
      </w:r>
      <w:r w:rsidRPr="001C0249">
        <w:t xml:space="preserve">são compostos de uma combinação de determinantes qualitativos e quantitativos. </w:t>
      </w:r>
    </w:p>
    <w:p w:rsidR="004264F6" w:rsidRDefault="004264F6" w:rsidP="001C0249">
      <w:pPr>
        <w:autoSpaceDE w:val="0"/>
        <w:autoSpaceDN w:val="0"/>
        <w:adjustRightInd w:val="0"/>
        <w:ind w:left="2340"/>
        <w:jc w:val="both"/>
        <w:rPr>
          <w:i/>
          <w:sz w:val="22"/>
          <w:szCs w:val="22"/>
        </w:rPr>
      </w:pPr>
    </w:p>
    <w:p w:rsidR="004C35E7" w:rsidRPr="000E6732" w:rsidRDefault="004C35E7" w:rsidP="001C0249">
      <w:pPr>
        <w:autoSpaceDE w:val="0"/>
        <w:autoSpaceDN w:val="0"/>
        <w:adjustRightInd w:val="0"/>
        <w:ind w:left="2340"/>
        <w:jc w:val="both"/>
        <w:rPr>
          <w:sz w:val="22"/>
          <w:szCs w:val="22"/>
          <w:lang w:val="en-US"/>
        </w:rPr>
      </w:pPr>
      <w:r w:rsidRPr="001C0249">
        <w:rPr>
          <w:i/>
          <w:sz w:val="22"/>
          <w:szCs w:val="22"/>
          <w:lang w:val="en-US"/>
        </w:rPr>
        <w:t xml:space="preserve">The agencies never describe their terms or analysis precisely or say, for example, that a particular rating has a particular probability of default, and they stress that the ratings are qualitative and judgmental. This secretive, qualitative process is not the type of process one would expect if the agencies had survived based on their ability to accumulate reputational capital. On the other hand, such processes make it more likely that an agency would be able to survive in a non-competitive market; if the rating process had been public or quantitative (rather than qualitative), other market entrants easily could have </w:t>
      </w:r>
      <w:r w:rsidRPr="000E6732">
        <w:rPr>
          <w:i/>
          <w:sz w:val="22"/>
          <w:szCs w:val="22"/>
          <w:lang w:val="en-US"/>
        </w:rPr>
        <w:t>duplicated the rating agencies technology and methodology</w:t>
      </w:r>
      <w:r w:rsidRPr="000E6732">
        <w:rPr>
          <w:sz w:val="22"/>
          <w:szCs w:val="22"/>
          <w:lang w:val="en-US"/>
        </w:rPr>
        <w:t xml:space="preserve"> (PARTNOY, 2002</w:t>
      </w:r>
      <w:r w:rsidR="00F169F4" w:rsidRPr="000E6732">
        <w:rPr>
          <w:sz w:val="22"/>
          <w:szCs w:val="22"/>
          <w:lang w:val="en-US"/>
        </w:rPr>
        <w:t>, p</w:t>
      </w:r>
      <w:r w:rsidR="000E6732" w:rsidRPr="000E6732">
        <w:rPr>
          <w:sz w:val="22"/>
          <w:szCs w:val="22"/>
          <w:lang w:val="en-US"/>
        </w:rPr>
        <w:t>. 8</w:t>
      </w:r>
      <w:r w:rsidRPr="000E6732">
        <w:rPr>
          <w:sz w:val="22"/>
          <w:szCs w:val="22"/>
          <w:lang w:val="en-US"/>
        </w:rPr>
        <w:t>).</w:t>
      </w:r>
      <w:r w:rsidR="00F169F4" w:rsidRPr="000E6732">
        <w:rPr>
          <w:sz w:val="22"/>
          <w:szCs w:val="22"/>
          <w:lang w:val="en-US"/>
        </w:rPr>
        <w:t xml:space="preserve"> </w:t>
      </w:r>
    </w:p>
    <w:p w:rsidR="004C35E7" w:rsidRPr="000E6732" w:rsidRDefault="004C35E7" w:rsidP="001C0249">
      <w:pPr>
        <w:ind w:firstLine="708"/>
        <w:jc w:val="both"/>
        <w:rPr>
          <w:lang w:val="en-US"/>
        </w:rPr>
      </w:pPr>
    </w:p>
    <w:p w:rsidR="004C35E7" w:rsidRPr="001C0249" w:rsidRDefault="004C35E7" w:rsidP="001C0249">
      <w:pPr>
        <w:ind w:firstLine="708"/>
        <w:jc w:val="both"/>
      </w:pPr>
      <w:r w:rsidRPr="001C0249">
        <w:t>Dentre os determinantes qualitativos d</w:t>
      </w:r>
      <w:r w:rsidR="00070F8B">
        <w:t>as</w:t>
      </w:r>
      <w:r w:rsidRPr="001C0249">
        <w:t xml:space="preserve"> atribuiç</w:t>
      </w:r>
      <w:r w:rsidR="00070F8B">
        <w:t>ões</w:t>
      </w:r>
      <w:r w:rsidRPr="001C0249">
        <w:t xml:space="preserve"> dos </w:t>
      </w:r>
      <w:r w:rsidRPr="001C0249">
        <w:rPr>
          <w:i/>
        </w:rPr>
        <w:t>ratings</w:t>
      </w:r>
      <w:r w:rsidR="00070F8B">
        <w:t>,</w:t>
      </w:r>
      <w:r w:rsidRPr="001C0249">
        <w:rPr>
          <w:i/>
        </w:rPr>
        <w:t xml:space="preserve"> </w:t>
      </w:r>
      <w:r w:rsidRPr="001C0249">
        <w:t xml:space="preserve">temos determinantes de riscos políticos, como, por exemplo, a probidade das lideranças, estabilidade e transparência das instituições, que fazem parte do julgamento dos analistas sobre o comportamento destes governos frente às decisões em momentos de crises econômicas. </w:t>
      </w:r>
      <w:proofErr w:type="spellStart"/>
      <w:r w:rsidRPr="001C0249">
        <w:t>Haque</w:t>
      </w:r>
      <w:proofErr w:type="spellEnd"/>
      <w:r w:rsidRPr="001C0249">
        <w:t xml:space="preserve">, Mark e </w:t>
      </w:r>
      <w:proofErr w:type="spellStart"/>
      <w:r w:rsidRPr="001C0249">
        <w:t>Mathieson</w:t>
      </w:r>
      <w:proofErr w:type="spellEnd"/>
      <w:r w:rsidRPr="001C0249">
        <w:t xml:space="preserve"> (1998), confirmaram empiricamente que variáveis políticas não têm nenhum ou quase nenhum impacto sobre a</w:t>
      </w:r>
      <w:r w:rsidR="00070F8B">
        <w:t>s</w:t>
      </w:r>
      <w:r w:rsidRPr="001C0249">
        <w:t xml:space="preserve"> decis</w:t>
      </w:r>
      <w:r w:rsidR="00070F8B">
        <w:t>ões</w:t>
      </w:r>
      <w:r w:rsidRPr="001C0249">
        <w:t xml:space="preserve"> de atribuiç</w:t>
      </w:r>
      <w:r w:rsidR="00070F8B">
        <w:t>ões</w:t>
      </w:r>
      <w:r w:rsidRPr="001C0249">
        <w:t xml:space="preserve"> de </w:t>
      </w:r>
      <w:r w:rsidRPr="001C0249">
        <w:rPr>
          <w:i/>
        </w:rPr>
        <w:t>ratings</w:t>
      </w:r>
      <w:r w:rsidRPr="001C0249">
        <w:t xml:space="preserve"> por parte das agências</w:t>
      </w:r>
      <w:r w:rsidR="00070F8B">
        <w:t>, o que sustenta a hipótese apresentada no início do presente estudo de que elas já estariam inclusas nos comportamentos dos fundamentos macroeconômicos dos países.</w:t>
      </w:r>
      <w:r w:rsidRPr="001C0249">
        <w:t xml:space="preserve"> </w:t>
      </w:r>
      <w:r w:rsidR="00070F8B">
        <w:t xml:space="preserve">Esta é a </w:t>
      </w:r>
      <w:r w:rsidRPr="001C0249">
        <w:t xml:space="preserve">explicação apontada </w:t>
      </w:r>
      <w:r w:rsidR="00070F8B">
        <w:t>pelos autores,</w:t>
      </w:r>
      <w:r w:rsidRPr="001C0249">
        <w:t xml:space="preserve"> de que as variáveis econômicas absorvem instantaneamente flutuações originadas no âmbito político. </w:t>
      </w:r>
    </w:p>
    <w:p w:rsidR="004C35E7" w:rsidRPr="001C0249" w:rsidRDefault="004C35E7" w:rsidP="001C0249">
      <w:pPr>
        <w:ind w:firstLine="708"/>
        <w:jc w:val="both"/>
      </w:pPr>
      <w:r w:rsidRPr="001C0249">
        <w:t>Os determinantes quantitativos incluem diversas medidas de desempenho econômico e financeiro, bem como as obrigações contingenciais, embora o julgamento sobre a integridade da amostra desses dados seja uma questão mais qualitativa. Não há uma fórmula exata para se combinar os escores</w:t>
      </w:r>
      <w:r w:rsidR="00A747AE">
        <w:t>,</w:t>
      </w:r>
      <w:r w:rsidRPr="001C0249">
        <w:t xml:space="preserve"> ao se determinar os </w:t>
      </w:r>
      <w:r w:rsidRPr="001C0249">
        <w:rPr>
          <w:i/>
        </w:rPr>
        <w:t>ratings</w:t>
      </w:r>
      <w:r w:rsidRPr="001C0249">
        <w:t>. As variáveis analíticas são inter-relacionadas e os pesos não são fixos, nem entre os diversos governos soberanos nem ao longo do tempo (</w:t>
      </w:r>
      <w:r w:rsidR="00105B51" w:rsidRPr="00105B51">
        <w:t>GOMES, FURCERI</w:t>
      </w:r>
      <w:r w:rsidR="00105B51">
        <w:t xml:space="preserve"> e</w:t>
      </w:r>
      <w:r w:rsidR="00105B51" w:rsidRPr="00105B51">
        <w:t xml:space="preserve"> AFONSO</w:t>
      </w:r>
      <w:r w:rsidRPr="001C0249">
        <w:t>,</w:t>
      </w:r>
      <w:r w:rsidRPr="001C0249">
        <w:rPr>
          <w:i/>
        </w:rPr>
        <w:t xml:space="preserve"> </w:t>
      </w:r>
      <w:r w:rsidRPr="001C0249">
        <w:t>20</w:t>
      </w:r>
      <w:r w:rsidR="00105B51">
        <w:t>11</w:t>
      </w:r>
      <w:r w:rsidRPr="001C0249">
        <w:t>).</w:t>
      </w:r>
      <w:r w:rsidR="00A747AE">
        <w:t xml:space="preserve"> Cantor e </w:t>
      </w:r>
      <w:proofErr w:type="spellStart"/>
      <w:r w:rsidR="00A747AE">
        <w:t>Packer</w:t>
      </w:r>
      <w:proofErr w:type="spellEnd"/>
      <w:r w:rsidR="00A747AE">
        <w:t xml:space="preserve"> (1996)</w:t>
      </w:r>
      <w:r w:rsidRPr="001C0249">
        <w:t xml:space="preserve"> </w:t>
      </w:r>
      <w:r w:rsidR="00A747AE">
        <w:t>observ</w:t>
      </w:r>
      <w:r w:rsidRPr="001C0249">
        <w:t>am que mesmo para</w:t>
      </w:r>
      <w:r w:rsidR="00A747AE">
        <w:t xml:space="preserve"> os determinantes quantitativos</w:t>
      </w:r>
      <w:r w:rsidRPr="001C0249">
        <w:t xml:space="preserve"> é difícil encontrar uma relação entre os pesos atribuídos aos determinantes pela </w:t>
      </w:r>
      <w:r w:rsidRPr="001C0249">
        <w:rPr>
          <w:i/>
        </w:rPr>
        <w:t>Moody’s</w:t>
      </w:r>
      <w:r w:rsidRPr="001C0249">
        <w:t xml:space="preserve"> e pela </w:t>
      </w:r>
      <w:r w:rsidRPr="001C0249">
        <w:rPr>
          <w:i/>
        </w:rPr>
        <w:t xml:space="preserve">Standard </w:t>
      </w:r>
      <w:r w:rsidRPr="001C0249">
        <w:t>&amp;</w:t>
      </w:r>
      <w:r w:rsidRPr="001C0249">
        <w:rPr>
          <w:i/>
        </w:rPr>
        <w:t xml:space="preserve"> </w:t>
      </w:r>
      <w:proofErr w:type="spellStart"/>
      <w:r w:rsidRPr="001C0249">
        <w:rPr>
          <w:i/>
        </w:rPr>
        <w:t>Poor’s</w:t>
      </w:r>
      <w:proofErr w:type="spellEnd"/>
      <w:r w:rsidRPr="001C0249">
        <w:t xml:space="preserve">, por causa do grande número de critérios adotados por estas agências.    </w:t>
      </w:r>
    </w:p>
    <w:p w:rsidR="004C35E7" w:rsidRPr="001C0249" w:rsidRDefault="004C35E7" w:rsidP="00181E00">
      <w:pPr>
        <w:ind w:firstLine="708"/>
        <w:jc w:val="both"/>
      </w:pPr>
      <w:r w:rsidRPr="001C0249">
        <w:t>A</w:t>
      </w:r>
      <w:r w:rsidR="00A747AE">
        <w:t xml:space="preserve"> agência</w:t>
      </w:r>
      <w:r w:rsidRPr="001C0249">
        <w:t xml:space="preserve"> </w:t>
      </w:r>
      <w:r w:rsidRPr="001C0249">
        <w:rPr>
          <w:i/>
        </w:rPr>
        <w:t xml:space="preserve">Standard </w:t>
      </w:r>
      <w:r w:rsidRPr="001C0249">
        <w:t>&amp;</w:t>
      </w:r>
      <w:r w:rsidRPr="001C0249">
        <w:rPr>
          <w:i/>
        </w:rPr>
        <w:t xml:space="preserve"> </w:t>
      </w:r>
      <w:proofErr w:type="spellStart"/>
      <w:r w:rsidRPr="001C0249">
        <w:rPr>
          <w:i/>
        </w:rPr>
        <w:t>Poor’s</w:t>
      </w:r>
      <w:proofErr w:type="spellEnd"/>
      <w:r w:rsidR="00A747AE">
        <w:t>, por exemplo,</w:t>
      </w:r>
      <w:r w:rsidRPr="001C0249">
        <w:t xml:space="preserve"> divide a estrutura dos determinantes dos </w:t>
      </w:r>
      <w:r w:rsidRPr="001C0249">
        <w:rPr>
          <w:i/>
        </w:rPr>
        <w:t>ratings</w:t>
      </w:r>
      <w:r w:rsidRPr="001C0249">
        <w:t xml:space="preserve"> soberanos em categorias, estas categorias se dividem em perspectivas de crescimento econômico, flexibilidade fiscal, estabilidade monetária e risco político, dentre outras. Para atribuir </w:t>
      </w:r>
      <w:r w:rsidRPr="001C0249">
        <w:rPr>
          <w:i/>
        </w:rPr>
        <w:t>ratings</w:t>
      </w:r>
      <w:r w:rsidRPr="001C0249">
        <w:t xml:space="preserve"> de crédito, cada governo soberano é classificado dentro de uma escala – cujas notas vão de um (a mais alta) até seis – aplicada</w:t>
      </w:r>
      <w:r w:rsidR="00A747AE">
        <w:t>s</w:t>
      </w:r>
      <w:r w:rsidRPr="001C0249">
        <w:t xml:space="preserve"> a cada uma das categorias analíticas (</w:t>
      </w:r>
      <w:r w:rsidRPr="001C0249">
        <w:rPr>
          <w:i/>
        </w:rPr>
        <w:t xml:space="preserve">STANDARD </w:t>
      </w:r>
      <w:r w:rsidRPr="001C0249">
        <w:t>&amp;</w:t>
      </w:r>
      <w:r w:rsidRPr="001C0249">
        <w:rPr>
          <w:i/>
        </w:rPr>
        <w:t xml:space="preserve"> POOR’S</w:t>
      </w:r>
      <w:r w:rsidRPr="001C0249">
        <w:t>,</w:t>
      </w:r>
      <w:r w:rsidRPr="001C0249">
        <w:rPr>
          <w:i/>
        </w:rPr>
        <w:t xml:space="preserve"> </w:t>
      </w:r>
      <w:r w:rsidRPr="001C0249">
        <w:t>2004).</w:t>
      </w:r>
      <w:r w:rsidR="00181E00">
        <w:t xml:space="preserve"> Na outra mão, a</w:t>
      </w:r>
      <w:r w:rsidRPr="001C0249">
        <w:t xml:space="preserve">lgumas agências, dentre elas a </w:t>
      </w:r>
      <w:r w:rsidRPr="001C0249">
        <w:rPr>
          <w:bCs/>
          <w:i/>
        </w:rPr>
        <w:t>Moody’s</w:t>
      </w:r>
      <w:r w:rsidRPr="001C0249">
        <w:rPr>
          <w:bCs/>
        </w:rPr>
        <w:t>,</w:t>
      </w:r>
      <w:r w:rsidRPr="001C0249">
        <w:t xml:space="preserve"> incluem entre os determinantes das atribuições de </w:t>
      </w:r>
      <w:r w:rsidRPr="001C0249">
        <w:rPr>
          <w:i/>
        </w:rPr>
        <w:t>ratings</w:t>
      </w:r>
      <w:r w:rsidRPr="001C0249">
        <w:t xml:space="preserve">, a probabilidade de </w:t>
      </w:r>
      <w:r w:rsidRPr="001C0249">
        <w:rPr>
          <w:i/>
        </w:rPr>
        <w:t>default</w:t>
      </w:r>
      <w:r w:rsidRPr="001C0249">
        <w:t xml:space="preserve">, isto é, a probabilidade de um governo soberano declarar moratória de sua dívida. </w:t>
      </w:r>
    </w:p>
    <w:p w:rsidR="004C35E7" w:rsidRDefault="004C35E7" w:rsidP="001C0249">
      <w:pPr>
        <w:ind w:firstLine="709"/>
        <w:jc w:val="both"/>
      </w:pPr>
      <w:r w:rsidRPr="001C0249">
        <w:t xml:space="preserve">O modelo econométrico de Cantor e </w:t>
      </w:r>
      <w:proofErr w:type="spellStart"/>
      <w:r w:rsidRPr="001C0249">
        <w:t>Packer</w:t>
      </w:r>
      <w:proofErr w:type="spellEnd"/>
      <w:r w:rsidRPr="001C0249">
        <w:t xml:space="preserve"> (1996) </w:t>
      </w:r>
      <w:proofErr w:type="gramStart"/>
      <w:r w:rsidRPr="001C0249">
        <w:t>é seminal</w:t>
      </w:r>
      <w:proofErr w:type="gramEnd"/>
      <w:r w:rsidRPr="001C0249">
        <w:t xml:space="preserve">, no sentido de ajustar um bom modelo de previsão para as atribuições de </w:t>
      </w:r>
      <w:r w:rsidRPr="001C0249">
        <w:rPr>
          <w:i/>
        </w:rPr>
        <w:t>ratings</w:t>
      </w:r>
      <w:r w:rsidRPr="001C0249">
        <w:t xml:space="preserve"> através de séries temporais de dados macroeconômicos</w:t>
      </w:r>
      <w:r w:rsidR="00AD779B">
        <w:t xml:space="preserve"> dos países</w:t>
      </w:r>
      <w:r w:rsidRPr="001C0249">
        <w:t>. Porém, após a crise asiática ocorrida em 1997, o modelo econométrico destes autores não mais consegu</w:t>
      </w:r>
      <w:r w:rsidR="00AD779B">
        <w:t>iu</w:t>
      </w:r>
      <w:r w:rsidRPr="001C0249">
        <w:t xml:space="preserve"> uma boa capacidade preditiva das atribuições de </w:t>
      </w:r>
      <w:r w:rsidRPr="001C0249">
        <w:rPr>
          <w:i/>
        </w:rPr>
        <w:t>ratings</w:t>
      </w:r>
      <w:r w:rsidRPr="001C0249">
        <w:t>. Adicionalmente, eles chamam a atenção para a limita</w:t>
      </w:r>
      <w:r w:rsidR="00AD779B">
        <w:t xml:space="preserve">ção de modelos quantitativos </w:t>
      </w:r>
      <w:r w:rsidR="00AD779B">
        <w:lastRenderedPageBreak/>
        <w:t>quanto à c</w:t>
      </w:r>
      <w:r w:rsidRPr="001C0249">
        <w:t xml:space="preserve">apacidade de explicar todos os movimentos das atribuições dos </w:t>
      </w:r>
      <w:r w:rsidRPr="001C0249">
        <w:rPr>
          <w:i/>
        </w:rPr>
        <w:t>ratings</w:t>
      </w:r>
      <w:r w:rsidRPr="001C0249">
        <w:t xml:space="preserve">, haja vista que </w:t>
      </w:r>
      <w:r w:rsidR="00AD779B">
        <w:t>n</w:t>
      </w:r>
      <w:r w:rsidRPr="001C0249">
        <w:t xml:space="preserve">estes tipos de modelos </w:t>
      </w:r>
      <w:r w:rsidR="00AD779B">
        <w:t>existem</w:t>
      </w:r>
      <w:r w:rsidRPr="001C0249">
        <w:t xml:space="preserve"> dificuldade</w:t>
      </w:r>
      <w:r w:rsidR="00AD779B">
        <w:t>s</w:t>
      </w:r>
      <w:r w:rsidRPr="001C0249">
        <w:t xml:space="preserve"> de inserir entre suas variáveis explicativas, variáveis qualitativas.</w:t>
      </w:r>
    </w:p>
    <w:p w:rsidR="00313C30" w:rsidRPr="001C0249" w:rsidRDefault="00313C30" w:rsidP="001C0249">
      <w:pPr>
        <w:ind w:firstLine="709"/>
        <w:jc w:val="both"/>
      </w:pPr>
    </w:p>
    <w:p w:rsidR="00F4307C" w:rsidRPr="004C35E7" w:rsidRDefault="00313C30" w:rsidP="001C0249">
      <w:pPr>
        <w:jc w:val="both"/>
      </w:pPr>
      <w:r w:rsidRPr="004C35E7">
        <w:t xml:space="preserve">2.2 O PAPEL DOS </w:t>
      </w:r>
      <w:r w:rsidRPr="004C35E7">
        <w:rPr>
          <w:i/>
        </w:rPr>
        <w:t>RATINGS</w:t>
      </w:r>
      <w:r w:rsidRPr="004C35E7">
        <w:t xml:space="preserve"> E CRÍTICAS SOBRE SUAS FUNÇÕES</w:t>
      </w:r>
    </w:p>
    <w:p w:rsidR="00F4307C" w:rsidRPr="00F4307C" w:rsidRDefault="00F4307C" w:rsidP="001C0249">
      <w:pPr>
        <w:ind w:left="708"/>
        <w:jc w:val="both"/>
      </w:pPr>
    </w:p>
    <w:p w:rsidR="00464FBB" w:rsidRPr="00BD1669" w:rsidRDefault="003D5FB0" w:rsidP="001C0249">
      <w:pPr>
        <w:pStyle w:val="NormalWeb"/>
        <w:spacing w:before="0" w:beforeAutospacing="0" w:after="0" w:afterAutospacing="0"/>
        <w:ind w:right="57" w:firstLine="708"/>
        <w:jc w:val="both"/>
      </w:pPr>
      <w:r w:rsidRPr="00F4307C">
        <w:t xml:space="preserve">O </w:t>
      </w:r>
      <w:r w:rsidRPr="00F4307C">
        <w:rPr>
          <w:i/>
        </w:rPr>
        <w:t>rating</w:t>
      </w:r>
      <w:r w:rsidRPr="00F4307C">
        <w:t xml:space="preserve"> de</w:t>
      </w:r>
      <w:r w:rsidRPr="00F4307C">
        <w:rPr>
          <w:i/>
        </w:rPr>
        <w:t xml:space="preserve"> </w:t>
      </w:r>
      <w:r w:rsidRPr="00F4307C">
        <w:t xml:space="preserve">risco soberano exerce impacto direto ou indireto sobre a qualidade de crédito das entidades que operam </w:t>
      </w:r>
      <w:r>
        <w:t>n</w:t>
      </w:r>
      <w:r w:rsidRPr="00F4307C">
        <w:t>uma determinada localização</w:t>
      </w:r>
      <w:r>
        <w:t>,</w:t>
      </w:r>
      <w:r w:rsidRPr="00F4307C">
        <w:t xml:space="preserve"> de diversas </w:t>
      </w:r>
      <w:r>
        <w:t xml:space="preserve">formas. Cantor e </w:t>
      </w:r>
      <w:proofErr w:type="spellStart"/>
      <w:r>
        <w:t>Packer</w:t>
      </w:r>
      <w:proofErr w:type="spellEnd"/>
      <w:r>
        <w:t xml:space="preserve"> (1996)</w:t>
      </w:r>
      <w:r w:rsidRPr="00F4307C">
        <w:t xml:space="preserve"> ressaltam que os </w:t>
      </w:r>
      <w:r w:rsidRPr="00F4307C">
        <w:rPr>
          <w:i/>
        </w:rPr>
        <w:t>ratings</w:t>
      </w:r>
      <w:r w:rsidRPr="00F4307C">
        <w:t xml:space="preserve"> são importantes não apenas </w:t>
      </w:r>
      <w:proofErr w:type="gramStart"/>
      <w:r w:rsidRPr="00F4307C">
        <w:t>porqu</w:t>
      </w:r>
      <w:r>
        <w:t>ê</w:t>
      </w:r>
      <w:proofErr w:type="gramEnd"/>
      <w:r w:rsidRPr="00F4307C">
        <w:t xml:space="preserve"> alguns dos maiores emissores de dívidas são governos soberanos, mas também porqu</w:t>
      </w:r>
      <w:r>
        <w:t>ê</w:t>
      </w:r>
      <w:r w:rsidRPr="00F4307C">
        <w:t xml:space="preserve"> de acordo com as atribuições de </w:t>
      </w:r>
      <w:r w:rsidRPr="00F4307C">
        <w:rPr>
          <w:i/>
        </w:rPr>
        <w:t>ratings</w:t>
      </w:r>
      <w:r w:rsidRPr="00F4307C">
        <w:t>, a captação de recursos por governos estaduais, municipais ou empresas privadas, por exemplo, localizados nestes países é afetada.</w:t>
      </w:r>
      <w:r>
        <w:t xml:space="preserve"> Desta forma, por conseguinte, eles</w:t>
      </w:r>
      <w:r w:rsidR="00464FBB" w:rsidRPr="00BD1669">
        <w:t xml:space="preserve"> </w:t>
      </w:r>
      <w:r>
        <w:t>observaram</w:t>
      </w:r>
      <w:r w:rsidR="00464FBB" w:rsidRPr="00BD1669">
        <w:t xml:space="preserve"> que existe uma correlação inversa entre as atribuições de </w:t>
      </w:r>
      <w:r w:rsidR="00464FBB" w:rsidRPr="00BD1669">
        <w:rPr>
          <w:i/>
        </w:rPr>
        <w:t>ratings</w:t>
      </w:r>
      <w:r w:rsidR="00464FBB" w:rsidRPr="00BD1669">
        <w:t xml:space="preserve"> realizadas pelas agências e o </w:t>
      </w:r>
      <w:r w:rsidR="00464FBB" w:rsidRPr="00BD1669">
        <w:rPr>
          <w:i/>
        </w:rPr>
        <w:t>spread</w:t>
      </w:r>
      <w:r w:rsidR="00464FBB" w:rsidRPr="00BD1669">
        <w:t xml:space="preserve"> de prêmios pagos entre títulos dos governos soberanos e os títulos do</w:t>
      </w:r>
      <w:r>
        <w:t>s</w:t>
      </w:r>
      <w:r w:rsidR="00464FBB" w:rsidRPr="00BD1669">
        <w:t xml:space="preserve"> governo</w:t>
      </w:r>
      <w:r>
        <w:t>s</w:t>
      </w:r>
      <w:r w:rsidR="00464FBB" w:rsidRPr="00BD1669">
        <w:t xml:space="preserve">, isto é, quanto menor o conceito atribuído pela agência (maior risco) maior a remuneração paga pelo título, embora a habilidade dos </w:t>
      </w:r>
      <w:r w:rsidR="00464FBB" w:rsidRPr="00BD1669">
        <w:rPr>
          <w:i/>
        </w:rPr>
        <w:t>ratings</w:t>
      </w:r>
      <w:r w:rsidR="00464FBB" w:rsidRPr="00BD1669">
        <w:t xml:space="preserve"> para explicar </w:t>
      </w:r>
      <w:r w:rsidR="00464FBB" w:rsidRPr="00BD1669">
        <w:rPr>
          <w:i/>
        </w:rPr>
        <w:t>spreads</w:t>
      </w:r>
      <w:r w:rsidR="00464FBB" w:rsidRPr="00BD1669">
        <w:t xml:space="preserve"> relativos não pode ser completamente atribuída à correlação mútua com indicadores de risco soberanos.     </w:t>
      </w:r>
    </w:p>
    <w:p w:rsidR="00F4307C" w:rsidRPr="00F4307C" w:rsidRDefault="00F4307C" w:rsidP="001C0249">
      <w:pPr>
        <w:autoSpaceDE w:val="0"/>
        <w:autoSpaceDN w:val="0"/>
        <w:adjustRightInd w:val="0"/>
        <w:ind w:firstLine="708"/>
        <w:jc w:val="both"/>
        <w:rPr>
          <w:iCs/>
        </w:rPr>
      </w:pPr>
      <w:r w:rsidRPr="00F4307C">
        <w:t xml:space="preserve">Na presença de informações assimétricas nos mercados financeiros mundiais, as classificações realizadas pelas agências de </w:t>
      </w:r>
      <w:r w:rsidRPr="00F4307C">
        <w:rPr>
          <w:i/>
        </w:rPr>
        <w:t>rating</w:t>
      </w:r>
      <w:r w:rsidR="003D5FB0">
        <w:rPr>
          <w:i/>
        </w:rPr>
        <w:t>s</w:t>
      </w:r>
      <w:r w:rsidRPr="00F4307C">
        <w:t xml:space="preserve"> do risco de crédito são sinalizações </w:t>
      </w:r>
      <w:r w:rsidR="003D5FB0">
        <w:t xml:space="preserve">ainda mais importantes </w:t>
      </w:r>
      <w:r w:rsidRPr="00F4307C">
        <w:t>para os agentes participantes do mercado</w:t>
      </w:r>
      <w:r w:rsidR="003D5FB0">
        <w:t xml:space="preserve">. </w:t>
      </w:r>
      <w:proofErr w:type="spellStart"/>
      <w:r w:rsidRPr="00F4307C">
        <w:t>Bone</w:t>
      </w:r>
      <w:proofErr w:type="spellEnd"/>
      <w:r w:rsidRPr="00F4307C">
        <w:t xml:space="preserve"> (2004) resume os motivos pelos quais, o mercado sustenta a existência das agências de </w:t>
      </w:r>
      <w:r w:rsidRPr="00F4307C">
        <w:rPr>
          <w:i/>
          <w:iCs/>
        </w:rPr>
        <w:t>rating</w:t>
      </w:r>
      <w:r w:rsidR="003D5FB0">
        <w:rPr>
          <w:i/>
          <w:iCs/>
        </w:rPr>
        <w:t>s</w:t>
      </w:r>
      <w:r w:rsidRPr="00F4307C">
        <w:rPr>
          <w:iCs/>
        </w:rPr>
        <w:t>:</w:t>
      </w:r>
    </w:p>
    <w:p w:rsidR="00F4307C" w:rsidRPr="00F4307C" w:rsidRDefault="00F4307C" w:rsidP="001C0249">
      <w:pPr>
        <w:ind w:right="57" w:firstLine="708"/>
        <w:jc w:val="both"/>
        <w:rPr>
          <w:iCs/>
        </w:rPr>
      </w:pPr>
    </w:p>
    <w:p w:rsidR="00F4307C" w:rsidRPr="00F4307C" w:rsidRDefault="00F4307C" w:rsidP="00024B64">
      <w:pPr>
        <w:numPr>
          <w:ilvl w:val="0"/>
          <w:numId w:val="5"/>
        </w:numPr>
        <w:tabs>
          <w:tab w:val="clear" w:pos="1428"/>
        </w:tabs>
        <w:ind w:left="1276" w:right="57" w:hanging="567"/>
        <w:jc w:val="both"/>
      </w:pPr>
      <w:r w:rsidRPr="00F4307C">
        <w:t xml:space="preserve">O </w:t>
      </w:r>
      <w:r w:rsidRPr="00F4307C">
        <w:rPr>
          <w:i/>
        </w:rPr>
        <w:t>rating</w:t>
      </w:r>
      <w:r w:rsidRPr="00F4307C">
        <w:t xml:space="preserve"> deve possuir idoneidade, isto é, ele vale apenas quando é confiável. Dado que uma agência de </w:t>
      </w:r>
      <w:r w:rsidRPr="00F4307C">
        <w:rPr>
          <w:i/>
        </w:rPr>
        <w:t>rating</w:t>
      </w:r>
      <w:r w:rsidRPr="00F4307C">
        <w:t xml:space="preserve"> se financia cobrando o custo de elaboração do </w:t>
      </w:r>
      <w:r w:rsidRPr="00F4307C">
        <w:rPr>
          <w:i/>
        </w:rPr>
        <w:t>rating</w:t>
      </w:r>
      <w:r w:rsidRPr="00F4307C">
        <w:t xml:space="preserve"> dos emitentes de dívidas,</w:t>
      </w:r>
      <w:r w:rsidRPr="00F4307C">
        <w:rPr>
          <w:i/>
        </w:rPr>
        <w:t xml:space="preserve"> </w:t>
      </w:r>
      <w:r w:rsidRPr="00F4307C">
        <w:t xml:space="preserve">ela não possui qualquer incentivo de produzir </w:t>
      </w:r>
      <w:r w:rsidRPr="00F4307C">
        <w:rPr>
          <w:i/>
        </w:rPr>
        <w:t>ratings</w:t>
      </w:r>
      <w:r w:rsidRPr="00F4307C">
        <w:t xml:space="preserve"> </w:t>
      </w:r>
      <w:proofErr w:type="spellStart"/>
      <w:r w:rsidRPr="00F4307C">
        <w:t>viezados</w:t>
      </w:r>
      <w:proofErr w:type="spellEnd"/>
      <w:r w:rsidRPr="00F4307C">
        <w:t xml:space="preserve"> ou </w:t>
      </w:r>
      <w:proofErr w:type="gramStart"/>
      <w:r w:rsidRPr="00F4307C">
        <w:t>não-confiáveis</w:t>
      </w:r>
      <w:proofErr w:type="gramEnd"/>
      <w:r w:rsidRPr="00F4307C">
        <w:t>;</w:t>
      </w:r>
    </w:p>
    <w:p w:rsidR="00F4307C" w:rsidRPr="00F4307C" w:rsidRDefault="00F4307C" w:rsidP="00024B64">
      <w:pPr>
        <w:numPr>
          <w:ilvl w:val="0"/>
          <w:numId w:val="5"/>
        </w:numPr>
        <w:tabs>
          <w:tab w:val="clear" w:pos="1428"/>
        </w:tabs>
        <w:ind w:left="1276" w:right="57" w:hanging="567"/>
        <w:jc w:val="both"/>
      </w:pPr>
      <w:proofErr w:type="gramStart"/>
      <w:r w:rsidRPr="00F4307C">
        <w:t>Um outro</w:t>
      </w:r>
      <w:proofErr w:type="gramEnd"/>
      <w:r w:rsidRPr="00F4307C">
        <w:t xml:space="preserve"> argumento importante do mercado para o </w:t>
      </w:r>
      <w:r w:rsidRPr="00F4307C">
        <w:rPr>
          <w:i/>
        </w:rPr>
        <w:t>rating</w:t>
      </w:r>
      <w:r w:rsidRPr="00F4307C">
        <w:t xml:space="preserve"> se deve aos custos de captar e interpretar informações sobre os emitentes de dívidas. Assim, as agências de </w:t>
      </w:r>
      <w:r w:rsidRPr="00F4307C">
        <w:rPr>
          <w:i/>
        </w:rPr>
        <w:t>rating</w:t>
      </w:r>
      <w:r w:rsidRPr="00F4307C">
        <w:t xml:space="preserve"> possuem retorno de escala na captação e interpretação dessas informações;</w:t>
      </w:r>
    </w:p>
    <w:p w:rsidR="00F4307C" w:rsidRDefault="00F4307C" w:rsidP="00024B64">
      <w:pPr>
        <w:numPr>
          <w:ilvl w:val="0"/>
          <w:numId w:val="5"/>
        </w:numPr>
        <w:tabs>
          <w:tab w:val="clear" w:pos="1428"/>
        </w:tabs>
        <w:ind w:left="1276" w:right="57" w:hanging="567"/>
        <w:jc w:val="both"/>
      </w:pPr>
      <w:r w:rsidRPr="00F4307C">
        <w:t xml:space="preserve">O </w:t>
      </w:r>
      <w:r w:rsidRPr="00F4307C">
        <w:rPr>
          <w:i/>
        </w:rPr>
        <w:t>rating</w:t>
      </w:r>
      <w:r w:rsidRPr="00F4307C">
        <w:t xml:space="preserve"> tem a capacidade de sintetizar as informações sobre a futura qualidade de crédito do emitente de dívidas de uma forma clara e simples para o mercado. </w:t>
      </w:r>
    </w:p>
    <w:p w:rsidR="002F4726" w:rsidRPr="00F4307C" w:rsidRDefault="002F4726" w:rsidP="001C0249">
      <w:pPr>
        <w:ind w:left="1428" w:right="57"/>
        <w:jc w:val="both"/>
      </w:pPr>
    </w:p>
    <w:p w:rsidR="00F4307C" w:rsidRPr="00F4307C" w:rsidRDefault="00046E98" w:rsidP="001C0249">
      <w:pPr>
        <w:ind w:firstLine="705"/>
        <w:jc w:val="both"/>
      </w:pPr>
      <w:r>
        <w:t xml:space="preserve">De acordo com </w:t>
      </w:r>
      <w:proofErr w:type="spellStart"/>
      <w:r>
        <w:t>Partnoy</w:t>
      </w:r>
      <w:proofErr w:type="spellEnd"/>
      <w:r>
        <w:t xml:space="preserve"> (2002) h</w:t>
      </w:r>
      <w:r w:rsidR="00F4307C" w:rsidRPr="00F4307C">
        <w:t xml:space="preserve">á </w:t>
      </w:r>
      <w:r>
        <w:t xml:space="preserve">um problema grave de </w:t>
      </w:r>
      <w:proofErr w:type="spellStart"/>
      <w:r>
        <w:t>endogeneidade</w:t>
      </w:r>
      <w:proofErr w:type="spellEnd"/>
      <w:r>
        <w:t xml:space="preserve"> neste mercado, de modo que o</w:t>
      </w:r>
      <w:r w:rsidR="00F4307C" w:rsidRPr="00F4307C">
        <w:t xml:space="preserve"> atraso nas mudanças nas atribuições dos </w:t>
      </w:r>
      <w:r w:rsidR="00F4307C" w:rsidRPr="00F4307C">
        <w:rPr>
          <w:i/>
        </w:rPr>
        <w:t>ratings</w:t>
      </w:r>
      <w:r w:rsidR="00F4307C" w:rsidRPr="00F4307C">
        <w:t xml:space="preserve"> frente às mudanças ocorridas nos mercados, </w:t>
      </w:r>
      <w:r>
        <w:t>provoca uma</w:t>
      </w:r>
      <w:r w:rsidR="00F4307C" w:rsidRPr="00F4307C">
        <w:t xml:space="preserve"> antecipa</w:t>
      </w:r>
      <w:r>
        <w:t>ção</w:t>
      </w:r>
      <w:r w:rsidR="00F4307C" w:rsidRPr="00F4307C">
        <w:t xml:space="preserve"> </w:t>
      </w:r>
      <w:r>
        <w:t>das</w:t>
      </w:r>
      <w:r w:rsidR="00F4307C" w:rsidRPr="00F4307C">
        <w:t xml:space="preserve"> mudanças nas atribuições dos </w:t>
      </w:r>
      <w:r w:rsidR="00F4307C" w:rsidRPr="00F4307C">
        <w:rPr>
          <w:i/>
        </w:rPr>
        <w:t>ratings</w:t>
      </w:r>
      <w:r>
        <w:t xml:space="preserve"> por parte dos agentes</w:t>
      </w:r>
      <w:r w:rsidR="00F4307C" w:rsidRPr="00F4307C">
        <w:t xml:space="preserve">. Assim, a eficácia do objetivo do </w:t>
      </w:r>
      <w:r w:rsidR="00F4307C" w:rsidRPr="00F4307C">
        <w:rPr>
          <w:i/>
        </w:rPr>
        <w:t xml:space="preserve">rating </w:t>
      </w:r>
      <w:r w:rsidR="00F4307C" w:rsidRPr="00F4307C">
        <w:t xml:space="preserve">seria gravemente prejudicada, pois se as agências de </w:t>
      </w:r>
      <w:r w:rsidR="00F4307C" w:rsidRPr="00F4307C">
        <w:rPr>
          <w:i/>
        </w:rPr>
        <w:t>rating</w:t>
      </w:r>
      <w:r>
        <w:rPr>
          <w:i/>
        </w:rPr>
        <w:t>s</w:t>
      </w:r>
      <w:r w:rsidR="00F4307C" w:rsidRPr="00F4307C">
        <w:t xml:space="preserve"> se propõem a avaliar a condição futura de pagamento de um emitente de dívida, e </w:t>
      </w:r>
      <w:r>
        <w:t>a mesma</w:t>
      </w:r>
      <w:r w:rsidR="00F4307C" w:rsidRPr="00F4307C">
        <w:t xml:space="preserve"> </w:t>
      </w:r>
      <w:r w:rsidRPr="00F4307C">
        <w:t>são</w:t>
      </w:r>
      <w:r w:rsidR="00F4307C" w:rsidRPr="00F4307C">
        <w:t xml:space="preserve"> </w:t>
      </w:r>
      <w:r w:rsidRPr="00F4307C">
        <w:t>realizados</w:t>
      </w:r>
      <w:r w:rsidR="00F4307C" w:rsidRPr="00F4307C">
        <w:t xml:space="preserve"> após a mudança de percepção do mercado, os agentes não mais se apoiariam no</w:t>
      </w:r>
      <w:r>
        <w:t>s</w:t>
      </w:r>
      <w:r w:rsidR="00F4307C" w:rsidRPr="00F4307C">
        <w:t xml:space="preserve"> </w:t>
      </w:r>
      <w:r w:rsidR="00F4307C" w:rsidRPr="00F4307C">
        <w:rPr>
          <w:i/>
        </w:rPr>
        <w:t>rating</w:t>
      </w:r>
      <w:r>
        <w:rPr>
          <w:i/>
        </w:rPr>
        <w:t>s</w:t>
      </w:r>
      <w:r w:rsidR="00F4307C" w:rsidRPr="00F4307C">
        <w:t xml:space="preserve"> como </w:t>
      </w:r>
      <w:r>
        <w:t>i</w:t>
      </w:r>
      <w:r w:rsidR="00F4307C" w:rsidRPr="00F4307C">
        <w:t>nformaç</w:t>
      </w:r>
      <w:r>
        <w:t>ões</w:t>
      </w:r>
      <w:r w:rsidR="00F4307C" w:rsidRPr="00F4307C">
        <w:t xml:space="preserve"> fidedigna</w:t>
      </w:r>
      <w:r>
        <w:t>s</w:t>
      </w:r>
      <w:r w:rsidR="00F4307C" w:rsidRPr="00F4307C">
        <w:t xml:space="preserve"> </w:t>
      </w:r>
      <w:r>
        <w:t>da</w:t>
      </w:r>
      <w:r w:rsidR="00F4307C" w:rsidRPr="00F4307C">
        <w:t xml:space="preserve"> condição futura de pag</w:t>
      </w:r>
      <w:r>
        <w:t>amento de um emitente de dívida qualquer.</w:t>
      </w:r>
    </w:p>
    <w:p w:rsidR="00F4307C" w:rsidRPr="00F4307C" w:rsidRDefault="00046E98" w:rsidP="001C0249">
      <w:pPr>
        <w:ind w:firstLine="705"/>
        <w:jc w:val="both"/>
      </w:pPr>
      <w:r>
        <w:t xml:space="preserve">Outro problema detectado por </w:t>
      </w:r>
      <w:r w:rsidR="00F4307C" w:rsidRPr="00F4307C">
        <w:t xml:space="preserve">Cantor e </w:t>
      </w:r>
      <w:proofErr w:type="spellStart"/>
      <w:r w:rsidR="00F4307C" w:rsidRPr="00F4307C">
        <w:t>Packer</w:t>
      </w:r>
      <w:proofErr w:type="spellEnd"/>
      <w:r w:rsidR="00F4307C" w:rsidRPr="00F4307C">
        <w:t xml:space="preserve"> (1996</w:t>
      </w:r>
      <w:r>
        <w:t>) é</w:t>
      </w:r>
      <w:r w:rsidR="00F4307C" w:rsidRPr="00F4307C">
        <w:t xml:space="preserve"> que há uma forte convergência das atribuições dos </w:t>
      </w:r>
      <w:r w:rsidR="00F4307C" w:rsidRPr="00F4307C">
        <w:rPr>
          <w:i/>
        </w:rPr>
        <w:t>ratings</w:t>
      </w:r>
      <w:r w:rsidR="00F4307C" w:rsidRPr="00F4307C">
        <w:t xml:space="preserve"> realizados pelas agências </w:t>
      </w:r>
      <w:r w:rsidR="00F4307C" w:rsidRPr="00F4307C">
        <w:rPr>
          <w:i/>
        </w:rPr>
        <w:t xml:space="preserve">Standard </w:t>
      </w:r>
      <w:r w:rsidR="00F4307C" w:rsidRPr="00F4307C">
        <w:t>&amp;</w:t>
      </w:r>
      <w:r w:rsidR="00F4307C" w:rsidRPr="00F4307C">
        <w:rPr>
          <w:i/>
        </w:rPr>
        <w:t xml:space="preserve"> </w:t>
      </w:r>
      <w:proofErr w:type="spellStart"/>
      <w:r w:rsidR="00F4307C" w:rsidRPr="00F4307C">
        <w:rPr>
          <w:i/>
        </w:rPr>
        <w:t>Poor’s</w:t>
      </w:r>
      <w:proofErr w:type="spellEnd"/>
      <w:r w:rsidR="00F4307C" w:rsidRPr="00F4307C">
        <w:t xml:space="preserve"> e </w:t>
      </w:r>
      <w:r w:rsidR="00F4307C" w:rsidRPr="00F4307C">
        <w:rPr>
          <w:i/>
        </w:rPr>
        <w:t>Moody’s</w:t>
      </w:r>
      <w:r w:rsidR="00F4307C" w:rsidRPr="00F4307C">
        <w:t xml:space="preserve">, de modo que, quando estas agências atribuem </w:t>
      </w:r>
      <w:r w:rsidR="00F4307C" w:rsidRPr="00F4307C">
        <w:rPr>
          <w:i/>
        </w:rPr>
        <w:t>ratings</w:t>
      </w:r>
      <w:r w:rsidR="00F4307C" w:rsidRPr="00F4307C">
        <w:t xml:space="preserve"> diferentes, esta diferença frequentemente é de apenas uma posição na escala de </w:t>
      </w:r>
      <w:r w:rsidR="00F4307C" w:rsidRPr="00F4307C">
        <w:rPr>
          <w:i/>
        </w:rPr>
        <w:t>ratings</w:t>
      </w:r>
      <w:r w:rsidR="00F4307C" w:rsidRPr="00F4307C">
        <w:t xml:space="preserve">, o que configura uma tendência conservadora destas atribuições.       </w:t>
      </w:r>
    </w:p>
    <w:p w:rsidR="00F4307C" w:rsidRPr="00F4307C" w:rsidRDefault="00F4307C" w:rsidP="001C0249">
      <w:pPr>
        <w:ind w:firstLine="705"/>
        <w:jc w:val="both"/>
      </w:pPr>
      <w:r w:rsidRPr="00F4307C">
        <w:t xml:space="preserve">Segundo </w:t>
      </w:r>
      <w:proofErr w:type="spellStart"/>
      <w:r w:rsidRPr="00F4307C">
        <w:t>Partnoy</w:t>
      </w:r>
      <w:proofErr w:type="spellEnd"/>
      <w:r w:rsidRPr="00F4307C">
        <w:t xml:space="preserve"> (2002), existe um paradoxo no mercado financeiro envolvendo os </w:t>
      </w:r>
      <w:r w:rsidRPr="00F4307C">
        <w:rPr>
          <w:i/>
        </w:rPr>
        <w:t>ratings</w:t>
      </w:r>
      <w:r w:rsidRPr="00F4307C">
        <w:t xml:space="preserve"> atribuídos pelas agências. Embora haja cada vez menos informações contidas nos </w:t>
      </w:r>
      <w:r w:rsidRPr="00F4307C">
        <w:rPr>
          <w:i/>
        </w:rPr>
        <w:t>ratings</w:t>
      </w:r>
      <w:r w:rsidRPr="00F4307C">
        <w:t xml:space="preserve"> atribuídos pelas agências, estas parecem estar em contínua prosperidade. O autor </w:t>
      </w:r>
      <w:r w:rsidRPr="00F4307C">
        <w:lastRenderedPageBreak/>
        <w:t xml:space="preserve">aponta para a existência de ineficiências de ordem legal existentes nos mercados financeiros que explicam este paradoxo. Numerosas regras legais e regulamentações dependem substancialmente dos </w:t>
      </w:r>
      <w:r w:rsidRPr="00F4307C">
        <w:rPr>
          <w:i/>
        </w:rPr>
        <w:t>ratings</w:t>
      </w:r>
      <w:r w:rsidRPr="00F4307C">
        <w:t xml:space="preserve"> e, particularmente, daqueles atribuídos por uma pequena parte das agências de </w:t>
      </w:r>
      <w:r w:rsidRPr="00F4307C">
        <w:rPr>
          <w:i/>
        </w:rPr>
        <w:t xml:space="preserve">rating </w:t>
      </w:r>
      <w:r w:rsidRPr="00F4307C">
        <w:t xml:space="preserve">que fazem parte da </w:t>
      </w:r>
      <w:proofErr w:type="spellStart"/>
      <w:r w:rsidRPr="00F4307C">
        <w:rPr>
          <w:i/>
        </w:rPr>
        <w:t>Nationally</w:t>
      </w:r>
      <w:proofErr w:type="spellEnd"/>
      <w:r w:rsidRPr="00F4307C">
        <w:rPr>
          <w:i/>
        </w:rPr>
        <w:t xml:space="preserve"> </w:t>
      </w:r>
      <w:proofErr w:type="spellStart"/>
      <w:r w:rsidRPr="00F4307C">
        <w:rPr>
          <w:i/>
        </w:rPr>
        <w:t>Recognized</w:t>
      </w:r>
      <w:proofErr w:type="spellEnd"/>
      <w:r w:rsidRPr="00F4307C">
        <w:rPr>
          <w:i/>
        </w:rPr>
        <w:t xml:space="preserve"> </w:t>
      </w:r>
      <w:proofErr w:type="spellStart"/>
      <w:r w:rsidRPr="00F4307C">
        <w:rPr>
          <w:i/>
        </w:rPr>
        <w:t>Statistical</w:t>
      </w:r>
      <w:proofErr w:type="spellEnd"/>
      <w:r w:rsidRPr="00F4307C">
        <w:rPr>
          <w:i/>
        </w:rPr>
        <w:t xml:space="preserve"> Ratings </w:t>
      </w:r>
      <w:proofErr w:type="spellStart"/>
      <w:r w:rsidRPr="00F4307C">
        <w:rPr>
          <w:i/>
        </w:rPr>
        <w:t>Organizations</w:t>
      </w:r>
      <w:proofErr w:type="spellEnd"/>
      <w:r w:rsidRPr="00F4307C">
        <w:t xml:space="preserve"> (</w:t>
      </w:r>
      <w:proofErr w:type="spellStart"/>
      <w:r w:rsidRPr="00F4307C">
        <w:rPr>
          <w:i/>
        </w:rPr>
        <w:t>NRSROs</w:t>
      </w:r>
      <w:proofErr w:type="spellEnd"/>
      <w:r w:rsidRPr="00F4307C">
        <w:t xml:space="preserve">). Contudo, as barreiras para entrar no mercado de </w:t>
      </w:r>
      <w:r w:rsidRPr="00F4307C">
        <w:rPr>
          <w:i/>
        </w:rPr>
        <w:t>NRSRO</w:t>
      </w:r>
      <w:r w:rsidRPr="00F4307C">
        <w:t xml:space="preserve"> são proibitivas. </w:t>
      </w:r>
    </w:p>
    <w:p w:rsidR="00F4307C" w:rsidRPr="00F4307C" w:rsidRDefault="00F4307C" w:rsidP="001C0249">
      <w:pPr>
        <w:ind w:firstLine="705"/>
        <w:jc w:val="both"/>
      </w:pPr>
      <w:r w:rsidRPr="00F4307C">
        <w:t xml:space="preserve">Logo, os </w:t>
      </w:r>
      <w:r w:rsidRPr="00F4307C">
        <w:rPr>
          <w:i/>
        </w:rPr>
        <w:t>ratings</w:t>
      </w:r>
      <w:r w:rsidRPr="00F4307C">
        <w:t xml:space="preserve"> atribuídos pelas agências que fazem parte da </w:t>
      </w:r>
      <w:r w:rsidRPr="00F4307C">
        <w:rPr>
          <w:i/>
        </w:rPr>
        <w:t>NRSRO</w:t>
      </w:r>
      <w:r w:rsidRPr="00F4307C">
        <w:t xml:space="preserve"> são valiosos para os participantes do mercado financeiro</w:t>
      </w:r>
      <w:r w:rsidR="00673D13">
        <w:t>,</w:t>
      </w:r>
      <w:r w:rsidRPr="00F4307C">
        <w:t xml:space="preserve"> mesmo que o conteúdo informacional deles não seja maior que a informação pública neste contida. Agentes que administram recursos de investidores institucionais, por exemplo, estão submetidos às regulamentações internas da administração dos fundos que atribuem o risco existente na construção das carteiras com base nos </w:t>
      </w:r>
      <w:r w:rsidRPr="00F4307C">
        <w:rPr>
          <w:i/>
        </w:rPr>
        <w:t>ratings</w:t>
      </w:r>
      <w:r w:rsidRPr="00F4307C">
        <w:t xml:space="preserve">. Assim, mesmo que os </w:t>
      </w:r>
      <w:r w:rsidRPr="00F4307C">
        <w:rPr>
          <w:i/>
        </w:rPr>
        <w:t>ratings</w:t>
      </w:r>
      <w:r w:rsidRPr="00F4307C">
        <w:t xml:space="preserve"> não forneçam uma informação adequada sobre os riscos de determinados emitentes, os administradores desses fundos são obrigados a utilizá-los. O trabalho de </w:t>
      </w:r>
      <w:proofErr w:type="spellStart"/>
      <w:r w:rsidRPr="00F4307C">
        <w:t>Partnoy</w:t>
      </w:r>
      <w:proofErr w:type="spellEnd"/>
      <w:r w:rsidRPr="00F4307C">
        <w:t xml:space="preserve"> (Op. Cit.) </w:t>
      </w:r>
      <w:r w:rsidR="00673D13">
        <w:t>chama a atenção para</w:t>
      </w:r>
      <w:r w:rsidRPr="00F4307C">
        <w:t xml:space="preserve"> o aumento da utilização dos </w:t>
      </w:r>
      <w:r w:rsidRPr="00F4307C">
        <w:rPr>
          <w:i/>
        </w:rPr>
        <w:t>ratings</w:t>
      </w:r>
      <w:r w:rsidRPr="00F4307C">
        <w:t xml:space="preserve"> com</w:t>
      </w:r>
      <w:r w:rsidR="00673D13">
        <w:t>o instrumento de regulamentação</w:t>
      </w:r>
      <w:r w:rsidRPr="00F4307C">
        <w:t xml:space="preserve"> após 1973, </w:t>
      </w:r>
      <w:r w:rsidR="00673D13">
        <w:t xml:space="preserve">e como isso </w:t>
      </w:r>
      <w:r w:rsidRPr="00F4307C">
        <w:t xml:space="preserve">mudou a natureza do produto vendido pelas agências de </w:t>
      </w:r>
      <w:r w:rsidRPr="00F4307C">
        <w:rPr>
          <w:i/>
        </w:rPr>
        <w:t>rating</w:t>
      </w:r>
      <w:r w:rsidR="00673D13">
        <w:rPr>
          <w:i/>
        </w:rPr>
        <w:t>s</w:t>
      </w:r>
      <w:r w:rsidRPr="00F4307C">
        <w:t xml:space="preserve">, pois os </w:t>
      </w:r>
      <w:r w:rsidR="00673D13">
        <w:t>mesmos,</w:t>
      </w:r>
      <w:r w:rsidRPr="00F4307C">
        <w:t xml:space="preserve"> ao invés de fornecerem informação, determinam a conduta dos agentes no mercado financeiro.                     </w:t>
      </w:r>
    </w:p>
    <w:p w:rsidR="00F4307C" w:rsidRPr="00F4307C" w:rsidRDefault="00F4307C" w:rsidP="001C0249">
      <w:pPr>
        <w:autoSpaceDE w:val="0"/>
        <w:autoSpaceDN w:val="0"/>
        <w:adjustRightInd w:val="0"/>
        <w:ind w:firstLine="705"/>
        <w:jc w:val="both"/>
      </w:pPr>
      <w:r w:rsidRPr="00F4307C">
        <w:t>A</w:t>
      </w:r>
      <w:r w:rsidR="00B0423A">
        <w:t>inda, de acordo com o mesmo autor, a</w:t>
      </w:r>
      <w:r w:rsidRPr="00F4307C">
        <w:t xml:space="preserve">s agências de </w:t>
      </w:r>
      <w:r w:rsidRPr="00F4307C">
        <w:rPr>
          <w:i/>
        </w:rPr>
        <w:t>rating</w:t>
      </w:r>
      <w:r w:rsidR="00B0423A">
        <w:rPr>
          <w:i/>
        </w:rPr>
        <w:t>s</w:t>
      </w:r>
      <w:r w:rsidRPr="00F4307C">
        <w:rPr>
          <w:i/>
        </w:rPr>
        <w:t xml:space="preserve"> </w:t>
      </w:r>
      <w:r w:rsidRPr="00F4307C">
        <w:t>fracassaram em antecipar o declínio rápido nos preços de centenas de papéis financeiros na crise de 1929 e, em conseq</w:t>
      </w:r>
      <w:r w:rsidR="00B0423A">
        <w:t>u</w:t>
      </w:r>
      <w:r w:rsidRPr="00F4307C">
        <w:t xml:space="preserve">ência deste fato, numerosos </w:t>
      </w:r>
      <w:r w:rsidRPr="00F4307C">
        <w:rPr>
          <w:i/>
        </w:rPr>
        <w:t>ratings</w:t>
      </w:r>
      <w:r w:rsidRPr="00F4307C">
        <w:t xml:space="preserve"> </w:t>
      </w:r>
      <w:proofErr w:type="gramStart"/>
      <w:r w:rsidRPr="00F4307C">
        <w:t>foram</w:t>
      </w:r>
      <w:proofErr w:type="gramEnd"/>
      <w:r w:rsidRPr="00F4307C">
        <w:t xml:space="preserve"> abruptamente baixados, o que pela primeira vez, demonstra uma mudança generalizada na atribuição de </w:t>
      </w:r>
      <w:r w:rsidRPr="00F4307C">
        <w:rPr>
          <w:i/>
        </w:rPr>
        <w:t>ratings</w:t>
      </w:r>
      <w:r w:rsidRPr="00F4307C">
        <w:t xml:space="preserve"> pelas agências,</w:t>
      </w:r>
      <w:r w:rsidR="00B0423A">
        <w:t xml:space="preserve"> tornando-se mais conservadoras.</w:t>
      </w:r>
    </w:p>
    <w:p w:rsidR="00F4307C" w:rsidRPr="00F4307C" w:rsidRDefault="00F4307C" w:rsidP="001C0249">
      <w:pPr>
        <w:autoSpaceDE w:val="0"/>
        <w:autoSpaceDN w:val="0"/>
        <w:adjustRightInd w:val="0"/>
        <w:jc w:val="both"/>
      </w:pPr>
      <w:r w:rsidRPr="00F4307C">
        <w:tab/>
      </w:r>
      <w:r w:rsidR="00B858E1">
        <w:t>D</w:t>
      </w:r>
      <w:r w:rsidRPr="00F4307C">
        <w:t>e acordo com Ferri, Liu e Stiglitz (1999), diversos observadores e instituições do</w:t>
      </w:r>
      <w:r w:rsidR="00B858E1">
        <w:t>s</w:t>
      </w:r>
      <w:r w:rsidRPr="00F4307C">
        <w:t xml:space="preserve"> mercado</w:t>
      </w:r>
      <w:r w:rsidR="00B858E1">
        <w:t>s</w:t>
      </w:r>
      <w:r w:rsidRPr="00F4307C">
        <w:t xml:space="preserve"> financeiro</w:t>
      </w:r>
      <w:r w:rsidR="00B858E1">
        <w:t>s,</w:t>
      </w:r>
      <w:r w:rsidRPr="00F4307C">
        <w:t xml:space="preserve"> como, por exemplo, </w:t>
      </w:r>
      <w:proofErr w:type="gramStart"/>
      <w:r w:rsidRPr="00F4307C">
        <w:rPr>
          <w:i/>
        </w:rPr>
        <w:t>World Bank</w:t>
      </w:r>
      <w:r w:rsidRPr="00F4307C">
        <w:t xml:space="preserve"> e </w:t>
      </w:r>
      <w:r w:rsidRPr="00F4307C">
        <w:rPr>
          <w:i/>
        </w:rPr>
        <w:t>IMF</w:t>
      </w:r>
      <w:r w:rsidRPr="00F4307C">
        <w:t>, apontaram</w:t>
      </w:r>
      <w:proofErr w:type="gramEnd"/>
      <w:r w:rsidRPr="00F4307C">
        <w:t xml:space="preserve"> para </w:t>
      </w:r>
      <w:r w:rsidR="00B858E1">
        <w:t>f</w:t>
      </w:r>
      <w:r w:rsidRPr="00F4307C">
        <w:t>alha</w:t>
      </w:r>
      <w:r w:rsidR="00B858E1">
        <w:t>s</w:t>
      </w:r>
      <w:r w:rsidRPr="00F4307C">
        <w:t xml:space="preserve"> das agências de </w:t>
      </w:r>
      <w:r w:rsidRPr="00F4307C">
        <w:rPr>
          <w:i/>
        </w:rPr>
        <w:t>rating</w:t>
      </w:r>
      <w:r w:rsidRPr="00F4307C">
        <w:t xml:space="preserve"> em alertar antecipadamente o mercado sobre a crise asiática de 1997. Parecido com o que houve na crise de 1929, as agências de </w:t>
      </w:r>
      <w:r w:rsidRPr="00F4307C">
        <w:rPr>
          <w:i/>
        </w:rPr>
        <w:t>rating</w:t>
      </w:r>
      <w:r w:rsidR="00B858E1">
        <w:rPr>
          <w:i/>
        </w:rPr>
        <w:t>s</w:t>
      </w:r>
      <w:r w:rsidRPr="00F4307C">
        <w:t xml:space="preserve"> baixaram os </w:t>
      </w:r>
      <w:r w:rsidRPr="00F4307C">
        <w:rPr>
          <w:i/>
        </w:rPr>
        <w:t>ratings</w:t>
      </w:r>
      <w:r w:rsidRPr="00F4307C">
        <w:t xml:space="preserve"> de risco soberano de alguns países envolvidos na crise</w:t>
      </w:r>
      <w:r w:rsidR="00B858E1">
        <w:t>,</w:t>
      </w:r>
      <w:r w:rsidRPr="00F4307C">
        <w:t xml:space="preserve"> configurando novamente um comportamento excessivamente conservador em vista do que os fundamentos</w:t>
      </w:r>
      <w:r w:rsidR="00B858E1">
        <w:t xml:space="preserve"> macroeconômicos justificariam. </w:t>
      </w:r>
      <w:r w:rsidRPr="00F4307C">
        <w:t xml:space="preserve">Segundo </w:t>
      </w:r>
      <w:r w:rsidR="00B858E1">
        <w:t>os autores,</w:t>
      </w:r>
      <w:r w:rsidRPr="00F4307C">
        <w:t xml:space="preserve"> em reconhecimento a esta falha, uma destas agências, a </w:t>
      </w:r>
      <w:r w:rsidRPr="00F4307C">
        <w:rPr>
          <w:i/>
        </w:rPr>
        <w:t>Fitch IBCA</w:t>
      </w:r>
      <w:r w:rsidRPr="00F4307C">
        <w:t>, em comentário público em janeiro de 1998, reconhece</w:t>
      </w:r>
      <w:r w:rsidR="00B858E1">
        <w:t>u</w:t>
      </w:r>
      <w:r w:rsidRPr="00F4307C">
        <w:t xml:space="preserve"> não ter dado a devida atenção às dívidas de curto prazo em moeda estrangeira. Após a crise asiática, a </w:t>
      </w:r>
      <w:r w:rsidRPr="00F4307C">
        <w:rPr>
          <w:i/>
        </w:rPr>
        <w:t>Moody’s</w:t>
      </w:r>
      <w:r w:rsidRPr="00F4307C">
        <w:t>, em declaração, também enfatiz</w:t>
      </w:r>
      <w:r w:rsidR="00B858E1">
        <w:t>ou</w:t>
      </w:r>
      <w:r w:rsidRPr="00F4307C">
        <w:t xml:space="preserve"> a importância das dívidas de curto prazo em moeda estrangeira. </w:t>
      </w:r>
    </w:p>
    <w:p w:rsidR="009672BA" w:rsidRDefault="00F4307C" w:rsidP="001C0249">
      <w:pPr>
        <w:autoSpaceDE w:val="0"/>
        <w:autoSpaceDN w:val="0"/>
        <w:adjustRightInd w:val="0"/>
        <w:ind w:firstLine="708"/>
        <w:jc w:val="both"/>
      </w:pPr>
      <w:proofErr w:type="spellStart"/>
      <w:r w:rsidRPr="00F4307C">
        <w:t>Bone</w:t>
      </w:r>
      <w:proofErr w:type="spellEnd"/>
      <w:r w:rsidRPr="00F4307C">
        <w:t xml:space="preserve"> (2002) afirma que antes da crise na Ásia em 1997 as mudanças nos </w:t>
      </w:r>
      <w:r w:rsidRPr="00F4307C">
        <w:rPr>
          <w:i/>
        </w:rPr>
        <w:t xml:space="preserve">ratings </w:t>
      </w:r>
      <w:r w:rsidRPr="00F4307C">
        <w:t xml:space="preserve">soberanos não eram significativas e se mostravam historicamente estáveis. Após a crise asiática, mais precisamente de julho de </w:t>
      </w:r>
      <w:smartTag w:uri="urn:schemas-microsoft-com:office:smarttags" w:element="metricconverter">
        <w:smartTagPr>
          <w:attr w:name="ProductID" w:val="1997 a"/>
        </w:smartTagPr>
        <w:r w:rsidRPr="00F4307C">
          <w:t>1997 a</w:t>
        </w:r>
      </w:smartTag>
      <w:r w:rsidRPr="00F4307C">
        <w:t xml:space="preserve"> novembro de 1998, foram observados </w:t>
      </w:r>
      <w:proofErr w:type="spellStart"/>
      <w:r w:rsidRPr="00F4307C">
        <w:rPr>
          <w:i/>
        </w:rPr>
        <w:t>downgrades</w:t>
      </w:r>
      <w:proofErr w:type="spellEnd"/>
      <w:r w:rsidRPr="00F4307C">
        <w:t xml:space="preserve"> abruptos não comparáveis</w:t>
      </w:r>
      <w:r w:rsidR="00EC52DD">
        <w:t xml:space="preserve"> aos que ocorriam anteriormente, isto é, a atuação das agências seria </w:t>
      </w:r>
      <w:r w:rsidR="00E86818">
        <w:t xml:space="preserve">através de uma regra </w:t>
      </w:r>
      <w:proofErr w:type="gramStart"/>
      <w:r w:rsidR="00EC52DD" w:rsidRPr="00F4307C">
        <w:t>pro</w:t>
      </w:r>
      <w:r w:rsidR="00EC52DD">
        <w:t>-</w:t>
      </w:r>
      <w:r w:rsidR="00EC52DD" w:rsidRPr="00F4307C">
        <w:t>cíclica</w:t>
      </w:r>
      <w:proofErr w:type="gramEnd"/>
      <w:r w:rsidR="00EC52DD">
        <w:t>. F</w:t>
      </w:r>
      <w:r w:rsidRPr="00F4307C">
        <w:t>erri, Liu e Stiglitz (1999), postula</w:t>
      </w:r>
      <w:r w:rsidR="000F6EE0">
        <w:t>m que</w:t>
      </w:r>
      <w:r w:rsidR="00E86818">
        <w:t xml:space="preserve"> a existência de uma regra</w:t>
      </w:r>
      <w:r w:rsidRPr="00F4307C">
        <w:t xml:space="preserve"> </w:t>
      </w:r>
      <w:r w:rsidR="00E86818">
        <w:t>neste sentido,</w:t>
      </w:r>
      <w:r w:rsidRPr="00F4307C">
        <w:t xml:space="preserve"> prolongaria os efeitos de crises sobre as economias</w:t>
      </w:r>
      <w:r w:rsidR="000F6EE0">
        <w:t>,</w:t>
      </w:r>
      <w:r w:rsidRPr="00F4307C">
        <w:t xml:space="preserve"> através de comportament</w:t>
      </w:r>
      <w:r w:rsidR="000F6EE0">
        <w:t xml:space="preserve">os excessivamente conservadores, </w:t>
      </w:r>
      <w:r w:rsidRPr="00F4307C">
        <w:t>na medida em que elas baixa</w:t>
      </w:r>
      <w:r w:rsidR="000F6EE0">
        <w:t>ria</w:t>
      </w:r>
      <w:r w:rsidRPr="00F4307C">
        <w:t xml:space="preserve">m excessivamente os </w:t>
      </w:r>
      <w:r w:rsidRPr="00F4307C">
        <w:rPr>
          <w:i/>
        </w:rPr>
        <w:t>ratings</w:t>
      </w:r>
      <w:r w:rsidRPr="00F4307C">
        <w:t xml:space="preserve"> de risco soberano de economias que já possu</w:t>
      </w:r>
      <w:r w:rsidR="000F6EE0">
        <w:t>íss</w:t>
      </w:r>
      <w:r w:rsidRPr="00F4307C">
        <w:t xml:space="preserve">em baixos </w:t>
      </w:r>
      <w:r w:rsidRPr="00F4307C">
        <w:rPr>
          <w:i/>
        </w:rPr>
        <w:t>ratings</w:t>
      </w:r>
      <w:r w:rsidRPr="00F4307C">
        <w:t xml:space="preserve"> de risco soberano na escala. </w:t>
      </w:r>
    </w:p>
    <w:p w:rsidR="00F4307C" w:rsidRPr="000E6732" w:rsidRDefault="009672BA" w:rsidP="009672BA">
      <w:pPr>
        <w:autoSpaceDE w:val="0"/>
        <w:autoSpaceDN w:val="0"/>
        <w:adjustRightInd w:val="0"/>
        <w:ind w:firstLine="708"/>
        <w:jc w:val="both"/>
      </w:pPr>
      <w:r>
        <w:t>S</w:t>
      </w:r>
      <w:r w:rsidR="00F4307C" w:rsidRPr="00F4307C">
        <w:t xml:space="preserve">egundo os autores, em economias com </w:t>
      </w:r>
      <w:r w:rsidR="00F4307C" w:rsidRPr="00F4307C">
        <w:rPr>
          <w:i/>
        </w:rPr>
        <w:t>rating</w:t>
      </w:r>
      <w:r w:rsidR="000F6EE0">
        <w:rPr>
          <w:i/>
        </w:rPr>
        <w:t>s</w:t>
      </w:r>
      <w:r w:rsidR="00F4307C" w:rsidRPr="00F4307C">
        <w:t xml:space="preserve"> de risco soberanos mais elevados</w:t>
      </w:r>
      <w:r w:rsidR="000F6EE0">
        <w:t>,</w:t>
      </w:r>
      <w:r w:rsidR="00F4307C" w:rsidRPr="00F4307C">
        <w:t xml:space="preserve"> isso não acontece</w:t>
      </w:r>
      <w:r w:rsidR="000F6EE0">
        <w:t>ria</w:t>
      </w:r>
      <w:r w:rsidR="00F4307C" w:rsidRPr="00F4307C">
        <w:t>, pelo contrário, essas economias experimenta</w:t>
      </w:r>
      <w:r w:rsidR="000F6EE0">
        <w:t>ria</w:t>
      </w:r>
      <w:r w:rsidR="00F4307C" w:rsidRPr="00F4307C">
        <w:t xml:space="preserve">m atribuições crescentes de </w:t>
      </w:r>
      <w:r w:rsidR="00F4307C" w:rsidRPr="00F4307C">
        <w:rPr>
          <w:i/>
        </w:rPr>
        <w:t>rating</w:t>
      </w:r>
      <w:r w:rsidR="000F6EE0">
        <w:rPr>
          <w:i/>
        </w:rPr>
        <w:t>s</w:t>
      </w:r>
      <w:r w:rsidR="00F4307C" w:rsidRPr="00F4307C">
        <w:t>.</w:t>
      </w:r>
      <w:r>
        <w:t xml:space="preserve"> O mesmo ocorreu sistematicamente igual com a crise americana deflagrada em 2008 nos Estados Unidos. </w:t>
      </w:r>
      <w:r w:rsidR="000F6EE0">
        <w:t xml:space="preserve">Ainda, </w:t>
      </w:r>
      <w:r w:rsidR="00F4307C" w:rsidRPr="00F4307C">
        <w:t xml:space="preserve">Ferri, Liu e Stiglitz (Op. Cit.), argumentam que após as crises, as agências de </w:t>
      </w:r>
      <w:r w:rsidR="00F4307C" w:rsidRPr="00F4307C">
        <w:rPr>
          <w:i/>
        </w:rPr>
        <w:t>rating</w:t>
      </w:r>
      <w:r w:rsidR="000F6EE0">
        <w:rPr>
          <w:i/>
        </w:rPr>
        <w:t>s</w:t>
      </w:r>
      <w:r w:rsidR="00F4307C" w:rsidRPr="00F4307C">
        <w:t xml:space="preserve"> se tornam mais conservadoras p</w:t>
      </w:r>
      <w:r w:rsidR="000F6EE0">
        <w:t>ara não</w:t>
      </w:r>
      <w:r w:rsidR="00F4307C" w:rsidRPr="00F4307C">
        <w:t xml:space="preserve"> s</w:t>
      </w:r>
      <w:r w:rsidR="000F6EE0">
        <w:t>erem</w:t>
      </w:r>
      <w:r w:rsidR="00F4307C" w:rsidRPr="00F4307C">
        <w:t xml:space="preserve"> pegas de surpresa e t</w:t>
      </w:r>
      <w:r w:rsidR="000F6EE0">
        <w:t>erem</w:t>
      </w:r>
      <w:r w:rsidR="00F4307C" w:rsidRPr="00F4307C">
        <w:t xml:space="preserve"> mais dificuldade</w:t>
      </w:r>
      <w:r w:rsidR="000F6EE0">
        <w:t>s</w:t>
      </w:r>
      <w:r w:rsidR="00F4307C" w:rsidRPr="00F4307C">
        <w:t xml:space="preserve"> </w:t>
      </w:r>
      <w:r w:rsidR="000F6EE0">
        <w:t>na</w:t>
      </w:r>
      <w:r w:rsidR="00F4307C" w:rsidRPr="00F4307C">
        <w:t xml:space="preserve"> reconstru</w:t>
      </w:r>
      <w:r w:rsidR="000F6EE0">
        <w:t>ção</w:t>
      </w:r>
      <w:r w:rsidR="00F4307C" w:rsidRPr="00F4307C">
        <w:t xml:space="preserve"> </w:t>
      </w:r>
      <w:r w:rsidR="004C41AB">
        <w:t xml:space="preserve">das </w:t>
      </w:r>
      <w:r w:rsidR="00F4307C" w:rsidRPr="00F4307C">
        <w:t xml:space="preserve">suas reputações. </w:t>
      </w:r>
      <w:r w:rsidR="000F6EE0">
        <w:t>Por conseguinte</w:t>
      </w:r>
      <w:r w:rsidR="00F4307C" w:rsidRPr="00F4307C">
        <w:t>, como a reputação dessas agências é prejudicada também o retorno de seus serviços também é prejudicado. Logo, elas são incentivadas</w:t>
      </w:r>
      <w:r w:rsidR="00F4307C" w:rsidRPr="000E6732">
        <w:t xml:space="preserve"> a se tornarem mais conservadoras para não falharem novamente.</w:t>
      </w:r>
      <w:r w:rsidR="000F6EE0" w:rsidRPr="000E6732">
        <w:t xml:space="preserve"> </w:t>
      </w:r>
      <w:r w:rsidR="000F6EE0" w:rsidRPr="000E6732">
        <w:lastRenderedPageBreak/>
        <w:t>Todavia</w:t>
      </w:r>
      <w:r w:rsidR="00F4307C" w:rsidRPr="000E6732">
        <w:t xml:space="preserve">, os </w:t>
      </w:r>
      <w:r w:rsidR="00F4307C" w:rsidRPr="000E6732">
        <w:rPr>
          <w:i/>
        </w:rPr>
        <w:t xml:space="preserve">ratings </w:t>
      </w:r>
      <w:r w:rsidR="00F4307C" w:rsidRPr="000E6732">
        <w:t xml:space="preserve">atribuídos pelas agências não devem ser atribuídos como um remédio às crises financeiras.     </w:t>
      </w:r>
    </w:p>
    <w:p w:rsidR="0009382D" w:rsidRPr="000E6732" w:rsidRDefault="0009382D" w:rsidP="006B3415">
      <w:pPr>
        <w:autoSpaceDE w:val="0"/>
        <w:autoSpaceDN w:val="0"/>
        <w:adjustRightInd w:val="0"/>
        <w:ind w:firstLine="720"/>
        <w:jc w:val="both"/>
      </w:pPr>
      <w:proofErr w:type="spellStart"/>
      <w:r w:rsidRPr="000E6732">
        <w:t>Sy</w:t>
      </w:r>
      <w:proofErr w:type="spellEnd"/>
      <w:r w:rsidRPr="000E6732">
        <w:t xml:space="preserve"> (2009) fornece uma discussão abrangente dos canais através dos quais </w:t>
      </w:r>
      <w:r w:rsidRPr="000E6732">
        <w:rPr>
          <w:i/>
        </w:rPr>
        <w:t>rating</w:t>
      </w:r>
      <w:r w:rsidRPr="000E6732">
        <w:t xml:space="preserve"> de crédito soberano </w:t>
      </w:r>
      <w:r w:rsidR="000E6732" w:rsidRPr="000E6732">
        <w:t>possui impactos</w:t>
      </w:r>
      <w:r w:rsidRPr="000E6732">
        <w:t xml:space="preserve"> em outros mercados. </w:t>
      </w:r>
      <w:r w:rsidR="006B3415" w:rsidRPr="000E6732">
        <w:t xml:space="preserve">Em </w:t>
      </w:r>
      <w:r w:rsidR="004C41AB" w:rsidRPr="000E6732">
        <w:t xml:space="preserve">um </w:t>
      </w:r>
      <w:r w:rsidR="006B3415" w:rsidRPr="000E6732">
        <w:t xml:space="preserve">integrado </w:t>
      </w:r>
      <w:r w:rsidR="004C41AB" w:rsidRPr="000E6732">
        <w:t xml:space="preserve">mercado </w:t>
      </w:r>
      <w:r w:rsidR="006B3415" w:rsidRPr="000E6732">
        <w:t xml:space="preserve">financeiro deve-se esperar </w:t>
      </w:r>
      <w:r w:rsidR="004C41AB" w:rsidRPr="000E6732">
        <w:t xml:space="preserve">que o </w:t>
      </w:r>
      <w:r w:rsidR="006B3415" w:rsidRPr="000E6732">
        <w:t xml:space="preserve">rebaixamento de </w:t>
      </w:r>
      <w:r w:rsidR="006B3415" w:rsidRPr="000E6732">
        <w:rPr>
          <w:i/>
        </w:rPr>
        <w:t>rating</w:t>
      </w:r>
      <w:r w:rsidR="006B3415" w:rsidRPr="000E6732">
        <w:t xml:space="preserve"> </w:t>
      </w:r>
      <w:proofErr w:type="gramStart"/>
      <w:r w:rsidR="006B3415" w:rsidRPr="000E6732">
        <w:t>tenha</w:t>
      </w:r>
      <w:proofErr w:type="gramEnd"/>
      <w:r w:rsidR="006B3415" w:rsidRPr="000E6732">
        <w:t xml:space="preserve"> efeitos para além dos mercados de títulos. </w:t>
      </w:r>
      <w:r w:rsidRPr="000E6732">
        <w:t xml:space="preserve">Segundo o autor os mercados financeiros têm cada vez mais </w:t>
      </w:r>
      <w:proofErr w:type="gramStart"/>
      <w:r w:rsidR="000E6732" w:rsidRPr="000E6732">
        <w:t>utilizado</w:t>
      </w:r>
      <w:proofErr w:type="gramEnd"/>
      <w:r w:rsidRPr="000E6732">
        <w:t xml:space="preserve"> as classificações e que têm contribuído para a atual crise financeira e aumento de iliquidez.  Chama atenção para a necessidade do reforço da regulação das agencias de </w:t>
      </w:r>
      <w:proofErr w:type="spellStart"/>
      <w:r w:rsidRPr="000E6732">
        <w:rPr>
          <w:i/>
        </w:rPr>
        <w:t>ratingns</w:t>
      </w:r>
      <w:proofErr w:type="spellEnd"/>
      <w:r w:rsidRPr="000E6732">
        <w:t xml:space="preserve"> visando reduzir os conflitos de interesse e aumentar a transparência e competição.</w:t>
      </w:r>
    </w:p>
    <w:p w:rsidR="00D06B6C" w:rsidRPr="000E6732" w:rsidRDefault="00F4307C" w:rsidP="004B75E9">
      <w:pPr>
        <w:autoSpaceDE w:val="0"/>
        <w:autoSpaceDN w:val="0"/>
        <w:adjustRightInd w:val="0"/>
        <w:jc w:val="both"/>
      </w:pPr>
      <w:r w:rsidRPr="000E6732">
        <w:t xml:space="preserve">     </w:t>
      </w:r>
      <w:r w:rsidRPr="000E6732">
        <w:tab/>
      </w:r>
      <w:proofErr w:type="spellStart"/>
      <w:r w:rsidR="00D06B6C" w:rsidRPr="000E6732">
        <w:t>Arezki</w:t>
      </w:r>
      <w:proofErr w:type="spellEnd"/>
      <w:r w:rsidR="00D06B6C" w:rsidRPr="000E6732">
        <w:t xml:space="preserve"> </w:t>
      </w:r>
      <w:proofErr w:type="gramStart"/>
      <w:r w:rsidR="00D06B6C" w:rsidRPr="000E6732">
        <w:t>et</w:t>
      </w:r>
      <w:proofErr w:type="gramEnd"/>
      <w:r w:rsidR="00D06B6C" w:rsidRPr="000E6732">
        <w:t xml:space="preserve"> al</w:t>
      </w:r>
      <w:r w:rsidR="00B94B23" w:rsidRPr="000E6732">
        <w:t xml:space="preserve"> (</w:t>
      </w:r>
      <w:r w:rsidR="00D06B6C" w:rsidRPr="000E6732">
        <w:t>2011</w:t>
      </w:r>
      <w:r w:rsidR="00B94B23" w:rsidRPr="000E6732">
        <w:t>)</w:t>
      </w:r>
      <w:r w:rsidR="004C41AB" w:rsidRPr="000E6732">
        <w:t xml:space="preserve"> e</w:t>
      </w:r>
      <w:r w:rsidR="00D06B6C" w:rsidRPr="000E6732">
        <w:t xml:space="preserve">xaminaram a </w:t>
      </w:r>
      <w:r w:rsidR="00AD268D" w:rsidRPr="000E6732">
        <w:t>repercussão</w:t>
      </w:r>
      <w:r w:rsidR="00D06B6C" w:rsidRPr="000E6732">
        <w:t xml:space="preserve"> das notícias de </w:t>
      </w:r>
      <w:r w:rsidR="00D06B6C" w:rsidRPr="000E6732">
        <w:rPr>
          <w:i/>
        </w:rPr>
        <w:t>rating</w:t>
      </w:r>
      <w:r w:rsidR="00D06B6C" w:rsidRPr="000E6732">
        <w:t xml:space="preserve"> soberano entre os países e os mercados </w:t>
      </w:r>
      <w:r w:rsidR="00AD268D" w:rsidRPr="000E6732">
        <w:t>financeiros europeus</w:t>
      </w:r>
      <w:r w:rsidR="00535E1B" w:rsidRPr="000E6732">
        <w:t>, durante o período de 2007 a 2010</w:t>
      </w:r>
      <w:r w:rsidR="00D06B6C" w:rsidRPr="000E6732">
        <w:t xml:space="preserve">. Encontraram que os </w:t>
      </w:r>
      <w:proofErr w:type="spellStart"/>
      <w:r w:rsidR="00D06B6C" w:rsidRPr="000E6732">
        <w:rPr>
          <w:i/>
        </w:rPr>
        <w:t>downgrades</w:t>
      </w:r>
      <w:proofErr w:type="spellEnd"/>
      <w:r w:rsidR="00535E1B" w:rsidRPr="000E6732">
        <w:rPr>
          <w:rStyle w:val="Refdenotaderodap"/>
          <w:i/>
        </w:rPr>
        <w:footnoteReference w:id="3"/>
      </w:r>
      <w:r w:rsidR="00D06B6C" w:rsidRPr="000E6732">
        <w:rPr>
          <w:i/>
        </w:rPr>
        <w:t xml:space="preserve"> </w:t>
      </w:r>
      <w:r w:rsidR="00D06B6C" w:rsidRPr="000E6732">
        <w:t xml:space="preserve">têm </w:t>
      </w:r>
      <w:r w:rsidR="00FB124F" w:rsidRPr="000E6732">
        <w:t>estatística</w:t>
      </w:r>
      <w:r w:rsidR="00D06B6C" w:rsidRPr="000E6732">
        <w:t xml:space="preserve"> e economicamente repercussões significativas tanto entre os países e os mercados financeiros e que tais anúncios poderia</w:t>
      </w:r>
      <w:r w:rsidR="00FB124F" w:rsidRPr="000E6732">
        <w:t>m</w:t>
      </w:r>
      <w:r w:rsidR="00D06B6C" w:rsidRPr="000E6732">
        <w:t xml:space="preserve"> estimular a instabilidade financeira.</w:t>
      </w:r>
      <w:r w:rsidR="00FA21FC" w:rsidRPr="000E6732">
        <w:t xml:space="preserve"> Os anúncios </w:t>
      </w:r>
      <w:r w:rsidR="00FB124F" w:rsidRPr="000E6732">
        <w:t xml:space="preserve">de </w:t>
      </w:r>
      <w:r w:rsidR="00FA21FC" w:rsidRPr="000E6732">
        <w:t xml:space="preserve">rebaixamentos de </w:t>
      </w:r>
      <w:r w:rsidR="00FA21FC" w:rsidRPr="000E6732">
        <w:rPr>
          <w:i/>
        </w:rPr>
        <w:t>ratings</w:t>
      </w:r>
      <w:r w:rsidR="00FA21FC" w:rsidRPr="000E6732">
        <w:t xml:space="preserve"> perto de grau especulativo, como </w:t>
      </w:r>
      <w:r w:rsidR="00AD268D" w:rsidRPr="000E6732">
        <w:t>por exemplo,</w:t>
      </w:r>
      <w:r w:rsidR="00FA21FC" w:rsidRPr="000E6732">
        <w:t xml:space="preserve"> o rebaixamento da </w:t>
      </w:r>
      <w:r w:rsidR="00AD268D" w:rsidRPr="000E6732">
        <w:t>Grécia</w:t>
      </w:r>
      <w:r w:rsidR="00FA21FC" w:rsidRPr="000E6732">
        <w:t xml:space="preserve"> pela Fitch em </w:t>
      </w:r>
      <w:proofErr w:type="gramStart"/>
      <w:r w:rsidR="00FA21FC" w:rsidRPr="000E6732">
        <w:t>8</w:t>
      </w:r>
      <w:proofErr w:type="gramEnd"/>
      <w:r w:rsidR="00FA21FC" w:rsidRPr="000E6732">
        <w:t xml:space="preserve"> de dezembro de 2009 têm repercussões sistemáticas entre os países da zona do euro. </w:t>
      </w:r>
    </w:p>
    <w:p w:rsidR="00535682" w:rsidRPr="000E6732" w:rsidRDefault="00535682" w:rsidP="00535682">
      <w:pPr>
        <w:autoSpaceDE w:val="0"/>
        <w:autoSpaceDN w:val="0"/>
        <w:adjustRightInd w:val="0"/>
        <w:ind w:firstLine="720"/>
        <w:jc w:val="both"/>
      </w:pPr>
      <w:r w:rsidRPr="000E6732">
        <w:t xml:space="preserve">Para </w:t>
      </w:r>
      <w:proofErr w:type="spellStart"/>
      <w:r w:rsidRPr="000E6732">
        <w:t>Kiff</w:t>
      </w:r>
      <w:proofErr w:type="spellEnd"/>
      <w:r w:rsidRPr="000E6732">
        <w:t xml:space="preserve"> </w:t>
      </w:r>
      <w:proofErr w:type="gramStart"/>
      <w:r w:rsidRPr="000E6732">
        <w:t>et</w:t>
      </w:r>
      <w:proofErr w:type="gramEnd"/>
      <w:r w:rsidRPr="000E6732">
        <w:t xml:space="preserve"> al (2012) as opiniões das agencias de ratings tem um impacto no custo da capacitação de recursos por parte de emissão de títulos públicos e consequentemente esta tem influencias sobre a estabilidade financeira.  Para os autores, nesse período recente de crise financeira há evidencias de falha de estabilidade de classificação dos ratings. </w:t>
      </w:r>
      <w:r w:rsidR="00AA30AC" w:rsidRPr="000E6732">
        <w:t>Recomendam que se tenha maior rigor nas classificações e transparências com os parâmetros quantitativos utilizados no processo da classificação.</w:t>
      </w:r>
      <w:r w:rsidRPr="000E6732">
        <w:t xml:space="preserve"> </w:t>
      </w:r>
    </w:p>
    <w:p w:rsidR="0009382D" w:rsidRPr="000E6732" w:rsidRDefault="0009382D" w:rsidP="00535682">
      <w:pPr>
        <w:autoSpaceDE w:val="0"/>
        <w:autoSpaceDN w:val="0"/>
        <w:adjustRightInd w:val="0"/>
        <w:jc w:val="both"/>
      </w:pPr>
    </w:p>
    <w:p w:rsidR="005D6D5C" w:rsidRPr="00F4307C" w:rsidRDefault="005D6D5C" w:rsidP="001C0249">
      <w:pPr>
        <w:tabs>
          <w:tab w:val="left" w:pos="5386"/>
        </w:tabs>
        <w:jc w:val="both"/>
      </w:pPr>
      <w:proofErr w:type="gramStart"/>
      <w:r w:rsidRPr="000E6732">
        <w:t>3</w:t>
      </w:r>
      <w:proofErr w:type="gramEnd"/>
      <w:r w:rsidRPr="000E6732">
        <w:t xml:space="preserve"> SELEÇÃO E TRATAMENTO</w:t>
      </w:r>
      <w:r w:rsidRPr="00F4307C">
        <w:t xml:space="preserve"> DA AMOSTRA DE DADOS</w:t>
      </w:r>
      <w:r w:rsidRPr="00F4307C">
        <w:tab/>
      </w:r>
    </w:p>
    <w:p w:rsidR="005D6D5C" w:rsidRPr="00BD1669" w:rsidRDefault="005D6D5C" w:rsidP="001C0249">
      <w:pPr>
        <w:tabs>
          <w:tab w:val="left" w:pos="5386"/>
        </w:tabs>
        <w:jc w:val="both"/>
      </w:pPr>
    </w:p>
    <w:p w:rsidR="0030264E" w:rsidRPr="00200E1D" w:rsidRDefault="0030264E" w:rsidP="0030264E">
      <w:pPr>
        <w:ind w:firstLine="720"/>
        <w:jc w:val="both"/>
      </w:pPr>
      <w:r w:rsidRPr="00200E1D">
        <w:t xml:space="preserve">A amostra de </w:t>
      </w:r>
      <w:r w:rsidRPr="00200E1D">
        <w:rPr>
          <w:i/>
        </w:rPr>
        <w:t>ratings</w:t>
      </w:r>
      <w:r w:rsidRPr="00200E1D">
        <w:t xml:space="preserve"> utilizada compreendeu os </w:t>
      </w:r>
      <w:r w:rsidRPr="00200E1D">
        <w:rPr>
          <w:i/>
        </w:rPr>
        <w:t>ratings</w:t>
      </w:r>
      <w:r w:rsidRPr="00200E1D">
        <w:t xml:space="preserve"> de longo prazo em moeda estrangeira atribuídos a países emergentes pela agência </w:t>
      </w:r>
      <w:r w:rsidRPr="00200E1D">
        <w:rPr>
          <w:i/>
        </w:rPr>
        <w:t xml:space="preserve">Standard </w:t>
      </w:r>
      <w:r w:rsidRPr="00200E1D">
        <w:t>&amp;</w:t>
      </w:r>
      <w:r>
        <w:t xml:space="preserve"> </w:t>
      </w:r>
      <w:proofErr w:type="spellStart"/>
      <w:r w:rsidRPr="00200E1D">
        <w:rPr>
          <w:i/>
        </w:rPr>
        <w:t>Poor’s</w:t>
      </w:r>
      <w:proofErr w:type="spellEnd"/>
      <w:r>
        <w:t xml:space="preserve"> e </w:t>
      </w:r>
      <w:r w:rsidRPr="00200E1D">
        <w:t>fornecidos por relatórios</w:t>
      </w:r>
      <w:r>
        <w:t xml:space="preserve">. O estudo aborda </w:t>
      </w:r>
      <w:proofErr w:type="gramStart"/>
      <w:r>
        <w:t>dados</w:t>
      </w:r>
      <w:proofErr w:type="gramEnd"/>
      <w:r w:rsidRPr="00200E1D">
        <w:t xml:space="preserve"> a partir de 1989</w:t>
      </w:r>
      <w:r>
        <w:t xml:space="preserve"> </w:t>
      </w:r>
      <w:r w:rsidRPr="00200E1D">
        <w:t>até 201</w:t>
      </w:r>
      <w:r>
        <w:t>1</w:t>
      </w:r>
      <w:r w:rsidRPr="00200E1D">
        <w:t>.</w:t>
      </w:r>
      <w:r>
        <w:t xml:space="preserve"> </w:t>
      </w:r>
      <w:r w:rsidRPr="00200E1D">
        <w:t xml:space="preserve">Das 23 escalas de </w:t>
      </w:r>
      <w:r w:rsidRPr="00200E1D">
        <w:rPr>
          <w:i/>
        </w:rPr>
        <w:t>ratings</w:t>
      </w:r>
      <w:r w:rsidRPr="00200E1D">
        <w:t xml:space="preserve"> atribuídas por esta agência apresentadas na Tabela 1, na amostra utilizada existem 16 escalas diferentes</w:t>
      </w:r>
      <w:r w:rsidRPr="00200E1D">
        <w:rPr>
          <w:rStyle w:val="Refdenotaderodap"/>
        </w:rPr>
        <w:footnoteReference w:id="4"/>
      </w:r>
      <w:r w:rsidRPr="00200E1D">
        <w:t xml:space="preserve">. </w:t>
      </w:r>
    </w:p>
    <w:p w:rsidR="005D6D5C" w:rsidRPr="00BD1669" w:rsidRDefault="005D6D5C" w:rsidP="001C0249">
      <w:pPr>
        <w:ind w:firstLine="720"/>
        <w:jc w:val="both"/>
      </w:pPr>
      <w:r w:rsidRPr="00BD1669">
        <w:t xml:space="preserve">É importante ressaltar que o início da amostra temporal de </w:t>
      </w:r>
      <w:r w:rsidRPr="00BD1669">
        <w:rPr>
          <w:i/>
        </w:rPr>
        <w:t xml:space="preserve">ratings </w:t>
      </w:r>
      <w:r w:rsidR="009866F1" w:rsidRPr="00BD1669">
        <w:t>se dá a partir em 1989</w:t>
      </w:r>
      <w:r w:rsidRPr="00BD1669">
        <w:t xml:space="preserve">, porém isso não quer dizer que todos os países tenham atribuições de </w:t>
      </w:r>
      <w:r w:rsidRPr="00BD1669">
        <w:rPr>
          <w:i/>
        </w:rPr>
        <w:t xml:space="preserve">ratings </w:t>
      </w:r>
      <w:r w:rsidRPr="00BD1669">
        <w:t xml:space="preserve">se iniciando </w:t>
      </w:r>
      <w:r w:rsidR="009866F1" w:rsidRPr="00BD1669">
        <w:t>nesse ano</w:t>
      </w:r>
      <w:r w:rsidRPr="00BD1669">
        <w:t>.</w:t>
      </w:r>
      <w:r w:rsidR="00925EF5">
        <w:t xml:space="preserve"> Cada país da amostra foi incluído</w:t>
      </w:r>
      <w:r w:rsidRPr="00BD1669">
        <w:t xml:space="preserve"> de acordo com a sua primeira atribuição de </w:t>
      </w:r>
      <w:r w:rsidRPr="00BD1669">
        <w:rPr>
          <w:i/>
        </w:rPr>
        <w:t>rating</w:t>
      </w:r>
      <w:r w:rsidRPr="00BD1669">
        <w:t xml:space="preserve">. A </w:t>
      </w:r>
      <w:r w:rsidR="009866F1" w:rsidRPr="00BD1669">
        <w:t>consequência</w:t>
      </w:r>
      <w:r w:rsidRPr="00BD1669">
        <w:t xml:space="preserve"> direta desta informação é que as estimações realizadas serão baseadas num painel não equilibrado</w:t>
      </w:r>
      <w:r w:rsidRPr="00BD1669">
        <w:rPr>
          <w:rStyle w:val="Refdenotaderodap"/>
        </w:rPr>
        <w:footnoteReference w:id="5"/>
      </w:r>
      <w:r w:rsidRPr="00BD1669">
        <w:t xml:space="preserve">.       </w:t>
      </w:r>
    </w:p>
    <w:p w:rsidR="005D6D5C" w:rsidRPr="006D51D7" w:rsidRDefault="005D6D5C" w:rsidP="001C0249">
      <w:pPr>
        <w:ind w:firstLine="720"/>
        <w:jc w:val="both"/>
      </w:pPr>
      <w:r w:rsidRPr="00BD1669">
        <w:t>As variáveis utilizadas n</w:t>
      </w:r>
      <w:r w:rsidR="009866F1" w:rsidRPr="00BD1669">
        <w:t xml:space="preserve">esse trabalho </w:t>
      </w:r>
      <w:r w:rsidRPr="00BD1669">
        <w:t xml:space="preserve">como determinantes macroeconômicos das atribuições de </w:t>
      </w:r>
      <w:r w:rsidRPr="00BD1669">
        <w:rPr>
          <w:i/>
        </w:rPr>
        <w:t>ratings</w:t>
      </w:r>
      <w:r w:rsidRPr="00BD1669">
        <w:t xml:space="preserve"> </w:t>
      </w:r>
      <w:r w:rsidR="009866F1" w:rsidRPr="00BD1669">
        <w:t>foram</w:t>
      </w:r>
      <w:r w:rsidRPr="00BD1669">
        <w:t xml:space="preserve"> coletadas nas estatísticas de indicadores de desenvolvimento dos países emergentes publicadas pelo Banco Mundial</w:t>
      </w:r>
      <w:r w:rsidR="00925EF5">
        <w:t>,</w:t>
      </w:r>
      <w:r w:rsidRPr="00BD1669">
        <w:t xml:space="preserve"> </w:t>
      </w:r>
      <w:r w:rsidR="00925EF5">
        <w:t xml:space="preserve">reunidas na publicação </w:t>
      </w:r>
      <w:r w:rsidR="00925EF5" w:rsidRPr="00BD1669">
        <w:t>realizada anualmente</w:t>
      </w:r>
      <w:r w:rsidR="00925EF5">
        <w:t>, chamada</w:t>
      </w:r>
      <w:r w:rsidRPr="00BD1669">
        <w:t xml:space="preserve"> </w:t>
      </w:r>
      <w:r w:rsidRPr="00925EF5">
        <w:t xml:space="preserve">Indicadores de </w:t>
      </w:r>
      <w:r w:rsidR="00441997" w:rsidRPr="00925EF5">
        <w:t>Desenvolvimento do Mundo</w:t>
      </w:r>
      <w:r w:rsidRPr="00BD1669">
        <w:t xml:space="preserve">. Como estas observações fizeram referência às estatísticas de final de período, utilizamos as atribuições de </w:t>
      </w:r>
      <w:r w:rsidRPr="00BD1669">
        <w:rPr>
          <w:i/>
        </w:rPr>
        <w:t>ratings</w:t>
      </w:r>
      <w:r w:rsidRPr="00BD1669">
        <w:t xml:space="preserve"> também de final de período para o caso daqueles países que receberam mais de uma atribuição de </w:t>
      </w:r>
      <w:r w:rsidRPr="00BD1669">
        <w:rPr>
          <w:i/>
        </w:rPr>
        <w:t>rating</w:t>
      </w:r>
      <w:r w:rsidRPr="00BD1669">
        <w:t xml:space="preserve"> por ano. Portanto, para os países que a agência </w:t>
      </w:r>
      <w:r w:rsidRPr="00BD1669">
        <w:rPr>
          <w:i/>
        </w:rPr>
        <w:t xml:space="preserve">Standard </w:t>
      </w:r>
      <w:r w:rsidRPr="00BD1669">
        <w:t>&amp;</w:t>
      </w:r>
      <w:r w:rsidRPr="00BD1669">
        <w:rPr>
          <w:i/>
        </w:rPr>
        <w:t xml:space="preserve"> </w:t>
      </w:r>
      <w:proofErr w:type="spellStart"/>
      <w:r w:rsidRPr="00BD1669">
        <w:rPr>
          <w:i/>
        </w:rPr>
        <w:t>Poor’s</w:t>
      </w:r>
      <w:proofErr w:type="spellEnd"/>
      <w:r w:rsidRPr="00BD1669">
        <w:t xml:space="preserve"> atribuiu </w:t>
      </w:r>
      <w:r w:rsidRPr="006D51D7">
        <w:t xml:space="preserve">mais de uma escala de </w:t>
      </w:r>
      <w:r w:rsidRPr="006D51D7">
        <w:rPr>
          <w:i/>
        </w:rPr>
        <w:t>rating</w:t>
      </w:r>
      <w:r w:rsidRPr="006D51D7">
        <w:t xml:space="preserve"> no mesmo ano, utilizamos nas estimações deste projeto apenas observações da última atribuição de </w:t>
      </w:r>
      <w:r w:rsidRPr="006D51D7">
        <w:rPr>
          <w:i/>
        </w:rPr>
        <w:t>rating</w:t>
      </w:r>
      <w:r w:rsidRPr="006D51D7">
        <w:t xml:space="preserve"> daquele ano.     </w:t>
      </w:r>
    </w:p>
    <w:p w:rsidR="005D6D5C" w:rsidRDefault="006D51D7" w:rsidP="001C0249">
      <w:pPr>
        <w:ind w:firstLine="709"/>
        <w:jc w:val="both"/>
        <w:rPr>
          <w:color w:val="000000"/>
        </w:rPr>
      </w:pPr>
      <w:r w:rsidRPr="006D51D7">
        <w:t xml:space="preserve">Dentre os determinantes, </w:t>
      </w:r>
      <w:proofErr w:type="gramStart"/>
      <w:r w:rsidRPr="006D51D7">
        <w:t>pode-se</w:t>
      </w:r>
      <w:proofErr w:type="gramEnd"/>
      <w:r w:rsidRPr="006D51D7">
        <w:t xml:space="preserve"> enumerar alguns, na mesma linha de trabalhos como, por exemplo, Cantor e </w:t>
      </w:r>
      <w:proofErr w:type="spellStart"/>
      <w:r w:rsidRPr="006D51D7">
        <w:t>Packer</w:t>
      </w:r>
      <w:proofErr w:type="spellEnd"/>
      <w:r w:rsidRPr="006D51D7">
        <w:t xml:space="preserve"> (1996) e </w:t>
      </w:r>
      <w:proofErr w:type="spellStart"/>
      <w:r w:rsidRPr="006D51D7">
        <w:rPr>
          <w:bCs/>
        </w:rPr>
        <w:t>Megale</w:t>
      </w:r>
      <w:proofErr w:type="spellEnd"/>
      <w:r w:rsidRPr="006D51D7">
        <w:rPr>
          <w:bCs/>
        </w:rPr>
        <w:t xml:space="preserve"> (2003), Canuto, Santos e Porto (2004), </w:t>
      </w:r>
      <w:r w:rsidRPr="006D51D7">
        <w:rPr>
          <w:bCs/>
        </w:rPr>
        <w:lastRenderedPageBreak/>
        <w:t xml:space="preserve">Rowland </w:t>
      </w:r>
      <w:r w:rsidRPr="006D51D7">
        <w:t>(2004)</w:t>
      </w:r>
      <w:r w:rsidRPr="006D51D7">
        <w:rPr>
          <w:bCs/>
        </w:rPr>
        <w:t xml:space="preserve">, </w:t>
      </w:r>
      <w:r w:rsidRPr="006D51D7">
        <w:t xml:space="preserve">que foram utilizados como </w:t>
      </w:r>
      <w:proofErr w:type="spellStart"/>
      <w:r w:rsidRPr="006D51D7">
        <w:t>regressores</w:t>
      </w:r>
      <w:proofErr w:type="spellEnd"/>
      <w:r w:rsidRPr="006D51D7">
        <w:t xml:space="preserve"> no presente trabalho. </w:t>
      </w:r>
      <w:r w:rsidR="00F4307C" w:rsidRPr="006D51D7">
        <w:t xml:space="preserve">É possível dividir estes determinantes de acordo com o mesmo critério de divisão adotado por </w:t>
      </w:r>
      <w:r w:rsidR="00F4307C" w:rsidRPr="006D51D7">
        <w:rPr>
          <w:bCs/>
        </w:rPr>
        <w:t>Rowland (</w:t>
      </w:r>
      <w:r w:rsidRPr="006D51D7">
        <w:t>Op. Cit.</w:t>
      </w:r>
      <w:r w:rsidR="00F4307C" w:rsidRPr="006D51D7">
        <w:rPr>
          <w:bCs/>
        </w:rPr>
        <w:t xml:space="preserve">), apenas adicionando mais uma categoria de variáveis que seriam aquelas ligadas mais diretamente aos determinantes dos desenvolvimentos e estabilidades econômicas dos países. </w:t>
      </w:r>
      <w:r w:rsidR="005D6D5C" w:rsidRPr="006D51D7">
        <w:t>A Tabela 2 mostra o resumo das abreviações das variáveis do modelo para facilitar a leitura posterior das parametrizações</w:t>
      </w:r>
      <w:r w:rsidR="005D6D5C" w:rsidRPr="00BD1669">
        <w:rPr>
          <w:color w:val="000000"/>
        </w:rPr>
        <w:t xml:space="preserve">. </w:t>
      </w:r>
    </w:p>
    <w:p w:rsidR="004264F6" w:rsidRDefault="004264F6" w:rsidP="001C0249">
      <w:pPr>
        <w:ind w:firstLine="708"/>
        <w:jc w:val="center"/>
        <w:rPr>
          <w:color w:val="000000"/>
        </w:rPr>
      </w:pPr>
    </w:p>
    <w:p w:rsidR="005D6D5C" w:rsidRPr="00BD1669" w:rsidRDefault="005D6D5C" w:rsidP="001C0249">
      <w:pPr>
        <w:ind w:firstLine="708"/>
        <w:jc w:val="center"/>
        <w:rPr>
          <w:color w:val="000000"/>
        </w:rPr>
      </w:pPr>
      <w:r w:rsidRPr="00BD1669">
        <w:rPr>
          <w:color w:val="000000"/>
        </w:rPr>
        <w:t>Tabela 2 – Lista das Variáveis do Modelo</w:t>
      </w:r>
    </w:p>
    <w:p w:rsidR="005D6D5C" w:rsidRPr="00BD1669" w:rsidRDefault="005D6D5C" w:rsidP="001C0249">
      <w:pPr>
        <w:ind w:firstLine="720"/>
        <w:jc w:val="both"/>
        <w:rPr>
          <w:color w:val="000000"/>
        </w:rPr>
      </w:pPr>
    </w:p>
    <w:tbl>
      <w:tblPr>
        <w:tblpPr w:leftFromText="141" w:rightFromText="141" w:vertAnchor="text" w:horzAnchor="margin" w:tblpXSpec="center" w:tblpY="-81"/>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4820"/>
        <w:gridCol w:w="1270"/>
      </w:tblGrid>
      <w:tr w:rsidR="005D6D5C" w:rsidRPr="00BD1669" w:rsidTr="004B75E9">
        <w:tc>
          <w:tcPr>
            <w:tcW w:w="2376" w:type="dxa"/>
            <w:tcBorders>
              <w:top w:val="single" w:sz="4" w:space="0" w:color="auto"/>
              <w:left w:val="nil"/>
              <w:bottom w:val="single" w:sz="4" w:space="0" w:color="auto"/>
              <w:right w:val="single" w:sz="4" w:space="0" w:color="auto"/>
            </w:tcBorders>
          </w:tcPr>
          <w:p w:rsidR="005D6D5C" w:rsidRPr="00BD1669" w:rsidRDefault="005D6D5C" w:rsidP="001C0249">
            <w:pPr>
              <w:jc w:val="center"/>
              <w:rPr>
                <w:i/>
                <w:color w:val="000000"/>
              </w:rPr>
            </w:pPr>
            <w:r w:rsidRPr="00BD1669">
              <w:rPr>
                <w:i/>
                <w:color w:val="000000"/>
              </w:rPr>
              <w:t>Grupo</w:t>
            </w:r>
          </w:p>
        </w:tc>
        <w:tc>
          <w:tcPr>
            <w:tcW w:w="4820" w:type="dxa"/>
            <w:tcBorders>
              <w:top w:val="single" w:sz="4" w:space="0" w:color="auto"/>
              <w:left w:val="single" w:sz="4" w:space="0" w:color="auto"/>
              <w:bottom w:val="single" w:sz="4" w:space="0" w:color="auto"/>
              <w:right w:val="single" w:sz="4" w:space="0" w:color="auto"/>
            </w:tcBorders>
          </w:tcPr>
          <w:p w:rsidR="005D6D5C" w:rsidRPr="00BD1669" w:rsidRDefault="005D6D5C" w:rsidP="001C0249">
            <w:pPr>
              <w:jc w:val="center"/>
              <w:rPr>
                <w:i/>
                <w:color w:val="000000"/>
              </w:rPr>
            </w:pPr>
            <w:r w:rsidRPr="00BD1669">
              <w:rPr>
                <w:i/>
                <w:color w:val="000000"/>
              </w:rPr>
              <w:t>Variáveis</w:t>
            </w:r>
          </w:p>
        </w:tc>
        <w:tc>
          <w:tcPr>
            <w:tcW w:w="1270" w:type="dxa"/>
            <w:tcBorders>
              <w:top w:val="single" w:sz="4" w:space="0" w:color="auto"/>
              <w:left w:val="single" w:sz="4" w:space="0" w:color="auto"/>
              <w:bottom w:val="single" w:sz="4" w:space="0" w:color="auto"/>
              <w:right w:val="nil"/>
            </w:tcBorders>
          </w:tcPr>
          <w:p w:rsidR="005D6D5C" w:rsidRPr="00BD1669" w:rsidRDefault="005D6D5C" w:rsidP="001C0249">
            <w:pPr>
              <w:jc w:val="center"/>
              <w:rPr>
                <w:i/>
                <w:color w:val="000000"/>
              </w:rPr>
            </w:pPr>
            <w:r w:rsidRPr="00BD1669">
              <w:rPr>
                <w:i/>
                <w:color w:val="000000"/>
              </w:rPr>
              <w:t>Notação</w:t>
            </w:r>
          </w:p>
        </w:tc>
      </w:tr>
      <w:tr w:rsidR="005D6D5C" w:rsidRPr="00BD1669" w:rsidTr="004B75E9">
        <w:trPr>
          <w:trHeight w:val="346"/>
        </w:trPr>
        <w:tc>
          <w:tcPr>
            <w:tcW w:w="2376" w:type="dxa"/>
            <w:tcBorders>
              <w:top w:val="single" w:sz="4" w:space="0" w:color="auto"/>
              <w:left w:val="nil"/>
              <w:bottom w:val="nil"/>
              <w:right w:val="single" w:sz="4" w:space="0" w:color="auto"/>
            </w:tcBorders>
          </w:tcPr>
          <w:p w:rsidR="005D6D5C" w:rsidRPr="00BD1669" w:rsidRDefault="005D6D5C" w:rsidP="001C0249">
            <w:pPr>
              <w:rPr>
                <w:color w:val="000000"/>
              </w:rPr>
            </w:pPr>
          </w:p>
        </w:tc>
        <w:tc>
          <w:tcPr>
            <w:tcW w:w="4820" w:type="dxa"/>
            <w:tcBorders>
              <w:top w:val="single" w:sz="4" w:space="0" w:color="auto"/>
              <w:left w:val="single" w:sz="4" w:space="0" w:color="auto"/>
              <w:bottom w:val="nil"/>
              <w:right w:val="single" w:sz="4" w:space="0" w:color="auto"/>
            </w:tcBorders>
          </w:tcPr>
          <w:p w:rsidR="005D6D5C" w:rsidRPr="00BD1669" w:rsidRDefault="005D6D5C" w:rsidP="004B75E9">
            <w:pPr>
              <w:rPr>
                <w:i/>
                <w:color w:val="000000"/>
              </w:rPr>
            </w:pPr>
            <w:r w:rsidRPr="00BD1669">
              <w:rPr>
                <w:i/>
                <w:color w:val="000000"/>
              </w:rPr>
              <w:t>Ratings</w:t>
            </w:r>
          </w:p>
        </w:tc>
        <w:tc>
          <w:tcPr>
            <w:tcW w:w="1270" w:type="dxa"/>
            <w:tcBorders>
              <w:top w:val="single" w:sz="4" w:space="0" w:color="auto"/>
              <w:left w:val="single" w:sz="4" w:space="0" w:color="auto"/>
              <w:bottom w:val="nil"/>
              <w:right w:val="nil"/>
            </w:tcBorders>
          </w:tcPr>
          <w:p w:rsidR="005D6D5C" w:rsidRPr="00BD1669" w:rsidRDefault="005D6D5C" w:rsidP="001C0249">
            <w:pPr>
              <w:jc w:val="center"/>
              <w:rPr>
                <w:i/>
                <w:color w:val="000000"/>
              </w:rPr>
            </w:pPr>
            <w:r w:rsidRPr="00BD1669">
              <w:rPr>
                <w:i/>
                <w:color w:val="000000"/>
                <w:position w:val="-12"/>
              </w:rPr>
              <w:t>R</w:t>
            </w:r>
          </w:p>
        </w:tc>
      </w:tr>
      <w:tr w:rsidR="005D6D5C" w:rsidRPr="00BD1669" w:rsidTr="004B75E9">
        <w:trPr>
          <w:trHeight w:val="346"/>
        </w:trPr>
        <w:tc>
          <w:tcPr>
            <w:tcW w:w="2376" w:type="dxa"/>
            <w:tcBorders>
              <w:top w:val="nil"/>
              <w:left w:val="nil"/>
              <w:bottom w:val="nil"/>
              <w:right w:val="single" w:sz="4" w:space="0" w:color="auto"/>
            </w:tcBorders>
          </w:tcPr>
          <w:p w:rsidR="005D6D5C" w:rsidRPr="004B75E9" w:rsidRDefault="005D6D5C" w:rsidP="001C0249">
            <w:pPr>
              <w:rPr>
                <w:color w:val="000000"/>
              </w:rPr>
            </w:pPr>
            <w:r w:rsidRPr="004B75E9">
              <w:rPr>
                <w:i/>
                <w:color w:val="000000"/>
                <w:sz w:val="22"/>
                <w:szCs w:val="22"/>
              </w:rPr>
              <w:t>Solvência</w:t>
            </w:r>
          </w:p>
        </w:tc>
        <w:tc>
          <w:tcPr>
            <w:tcW w:w="4820" w:type="dxa"/>
            <w:tcBorders>
              <w:top w:val="nil"/>
              <w:left w:val="single" w:sz="4" w:space="0" w:color="auto"/>
              <w:bottom w:val="nil"/>
              <w:right w:val="single" w:sz="4" w:space="0" w:color="auto"/>
            </w:tcBorders>
          </w:tcPr>
          <w:p w:rsidR="005D6D5C" w:rsidRPr="00BD1669" w:rsidRDefault="005D6D5C" w:rsidP="004B75E9">
            <w:pPr>
              <w:rPr>
                <w:color w:val="000000"/>
              </w:rPr>
            </w:pPr>
            <w:r w:rsidRPr="00BD1669">
              <w:rPr>
                <w:color w:val="000000"/>
              </w:rPr>
              <w:t>Taxa de crescimento das exportações de bens e serviços</w:t>
            </w:r>
          </w:p>
        </w:tc>
        <w:tc>
          <w:tcPr>
            <w:tcW w:w="1270" w:type="dxa"/>
            <w:tcBorders>
              <w:top w:val="nil"/>
              <w:left w:val="single" w:sz="4" w:space="0" w:color="auto"/>
              <w:bottom w:val="nil"/>
              <w:right w:val="nil"/>
            </w:tcBorders>
          </w:tcPr>
          <w:p w:rsidR="005D6D5C" w:rsidRPr="00BD1669" w:rsidRDefault="005D6D5C" w:rsidP="001C0249">
            <w:pPr>
              <w:jc w:val="center"/>
              <w:rPr>
                <w:i/>
                <w:color w:val="000000"/>
              </w:rPr>
            </w:pPr>
            <w:r w:rsidRPr="00BD1669">
              <w:rPr>
                <w:i/>
                <w:color w:val="000000"/>
                <w:position w:val="-12"/>
              </w:rPr>
              <w:t>CEXP</w:t>
            </w:r>
          </w:p>
        </w:tc>
      </w:tr>
      <w:tr w:rsidR="005D6D5C" w:rsidRPr="00BD1669" w:rsidTr="004B75E9">
        <w:tc>
          <w:tcPr>
            <w:tcW w:w="2376" w:type="dxa"/>
            <w:tcBorders>
              <w:top w:val="nil"/>
              <w:left w:val="nil"/>
              <w:bottom w:val="nil"/>
              <w:right w:val="single" w:sz="4" w:space="0" w:color="auto"/>
            </w:tcBorders>
          </w:tcPr>
          <w:p w:rsidR="005D6D5C" w:rsidRPr="004B75E9" w:rsidRDefault="005D6D5C" w:rsidP="001C0249">
            <w:pPr>
              <w:rPr>
                <w:color w:val="000000"/>
              </w:rPr>
            </w:pPr>
          </w:p>
        </w:tc>
        <w:tc>
          <w:tcPr>
            <w:tcW w:w="4820" w:type="dxa"/>
            <w:tcBorders>
              <w:top w:val="nil"/>
              <w:left w:val="single" w:sz="4" w:space="0" w:color="auto"/>
              <w:bottom w:val="nil"/>
              <w:right w:val="single" w:sz="4" w:space="0" w:color="auto"/>
            </w:tcBorders>
          </w:tcPr>
          <w:p w:rsidR="005D6D5C" w:rsidRPr="00BD1669" w:rsidRDefault="005D6D5C" w:rsidP="004B75E9">
            <w:pPr>
              <w:rPr>
                <w:color w:val="000000"/>
              </w:rPr>
            </w:pPr>
            <w:r w:rsidRPr="00BD1669">
              <w:rPr>
                <w:color w:val="000000"/>
              </w:rPr>
              <w:t>Taxa de crescimento das importações de bens e serviços</w:t>
            </w:r>
          </w:p>
        </w:tc>
        <w:tc>
          <w:tcPr>
            <w:tcW w:w="1270" w:type="dxa"/>
            <w:tcBorders>
              <w:top w:val="nil"/>
              <w:left w:val="single" w:sz="4" w:space="0" w:color="auto"/>
              <w:bottom w:val="nil"/>
              <w:right w:val="nil"/>
            </w:tcBorders>
          </w:tcPr>
          <w:p w:rsidR="005D6D5C" w:rsidRPr="00BD1669" w:rsidRDefault="005D6D5C" w:rsidP="001C0249">
            <w:pPr>
              <w:jc w:val="center"/>
              <w:rPr>
                <w:i/>
                <w:color w:val="000000"/>
              </w:rPr>
            </w:pPr>
            <w:r w:rsidRPr="00BD1669">
              <w:rPr>
                <w:i/>
                <w:color w:val="000000"/>
                <w:position w:val="-12"/>
              </w:rPr>
              <w:t>CIMP</w:t>
            </w:r>
          </w:p>
        </w:tc>
      </w:tr>
      <w:tr w:rsidR="005D6D5C" w:rsidRPr="00BD1669" w:rsidTr="004B75E9">
        <w:tc>
          <w:tcPr>
            <w:tcW w:w="2376" w:type="dxa"/>
            <w:tcBorders>
              <w:top w:val="nil"/>
              <w:left w:val="nil"/>
              <w:bottom w:val="single" w:sz="4" w:space="0" w:color="auto"/>
              <w:right w:val="single" w:sz="4" w:space="0" w:color="auto"/>
            </w:tcBorders>
          </w:tcPr>
          <w:p w:rsidR="005D6D5C" w:rsidRPr="004B75E9" w:rsidRDefault="005D6D5C" w:rsidP="001C0249">
            <w:pPr>
              <w:rPr>
                <w:color w:val="000000"/>
              </w:rPr>
            </w:pPr>
          </w:p>
        </w:tc>
        <w:tc>
          <w:tcPr>
            <w:tcW w:w="4820" w:type="dxa"/>
            <w:tcBorders>
              <w:top w:val="nil"/>
              <w:left w:val="single" w:sz="4" w:space="0" w:color="auto"/>
              <w:bottom w:val="single" w:sz="4" w:space="0" w:color="auto"/>
              <w:right w:val="single" w:sz="4" w:space="0" w:color="auto"/>
            </w:tcBorders>
          </w:tcPr>
          <w:p w:rsidR="005D6D5C" w:rsidRPr="00BD1669" w:rsidRDefault="005D6D5C" w:rsidP="004B75E9">
            <w:pPr>
              <w:rPr>
                <w:color w:val="000000"/>
              </w:rPr>
            </w:pPr>
            <w:r w:rsidRPr="00BD1669">
              <w:rPr>
                <w:color w:val="000000"/>
              </w:rPr>
              <w:t>Dívida de longo prazo como percentual do produto</w:t>
            </w:r>
          </w:p>
        </w:tc>
        <w:tc>
          <w:tcPr>
            <w:tcW w:w="1270" w:type="dxa"/>
            <w:tcBorders>
              <w:top w:val="nil"/>
              <w:left w:val="single" w:sz="4" w:space="0" w:color="auto"/>
              <w:bottom w:val="single" w:sz="4" w:space="0" w:color="auto"/>
              <w:right w:val="nil"/>
            </w:tcBorders>
          </w:tcPr>
          <w:p w:rsidR="005D6D5C" w:rsidRPr="00BD1669" w:rsidRDefault="005D6D5C" w:rsidP="001C0249">
            <w:pPr>
              <w:jc w:val="center"/>
              <w:rPr>
                <w:i/>
                <w:color w:val="000000"/>
              </w:rPr>
            </w:pPr>
            <w:r w:rsidRPr="00BD1669">
              <w:rPr>
                <w:i/>
                <w:color w:val="000000"/>
              </w:rPr>
              <w:t>DLP/PIB</w:t>
            </w:r>
          </w:p>
        </w:tc>
      </w:tr>
      <w:tr w:rsidR="005D6D5C" w:rsidRPr="00BD1669" w:rsidTr="004B75E9">
        <w:tc>
          <w:tcPr>
            <w:tcW w:w="2376" w:type="dxa"/>
            <w:tcBorders>
              <w:top w:val="single" w:sz="4" w:space="0" w:color="auto"/>
              <w:left w:val="nil"/>
              <w:bottom w:val="nil"/>
              <w:right w:val="single" w:sz="4" w:space="0" w:color="auto"/>
            </w:tcBorders>
          </w:tcPr>
          <w:p w:rsidR="005D6D5C" w:rsidRPr="004B75E9" w:rsidRDefault="005D6D5C" w:rsidP="001C0249">
            <w:pPr>
              <w:rPr>
                <w:color w:val="000000"/>
              </w:rPr>
            </w:pPr>
            <w:r w:rsidRPr="004B75E9">
              <w:rPr>
                <w:i/>
                <w:color w:val="000000"/>
                <w:sz w:val="22"/>
                <w:szCs w:val="22"/>
              </w:rPr>
              <w:t>Liquidez</w:t>
            </w:r>
          </w:p>
        </w:tc>
        <w:tc>
          <w:tcPr>
            <w:tcW w:w="4820" w:type="dxa"/>
            <w:tcBorders>
              <w:top w:val="single" w:sz="4" w:space="0" w:color="auto"/>
              <w:left w:val="single" w:sz="4" w:space="0" w:color="auto"/>
              <w:bottom w:val="nil"/>
              <w:right w:val="single" w:sz="4" w:space="0" w:color="auto"/>
            </w:tcBorders>
          </w:tcPr>
          <w:p w:rsidR="005D6D5C" w:rsidRPr="00BD1669" w:rsidRDefault="005D6D5C" w:rsidP="004B75E9">
            <w:pPr>
              <w:rPr>
                <w:color w:val="000000"/>
              </w:rPr>
            </w:pPr>
            <w:r w:rsidRPr="00BD1669">
              <w:rPr>
                <w:color w:val="000000"/>
              </w:rPr>
              <w:t>Nível de reservas totais como percentual do produto</w:t>
            </w:r>
          </w:p>
        </w:tc>
        <w:tc>
          <w:tcPr>
            <w:tcW w:w="1270" w:type="dxa"/>
            <w:tcBorders>
              <w:top w:val="single" w:sz="4" w:space="0" w:color="auto"/>
              <w:left w:val="single" w:sz="4" w:space="0" w:color="auto"/>
              <w:bottom w:val="nil"/>
              <w:right w:val="nil"/>
            </w:tcBorders>
          </w:tcPr>
          <w:p w:rsidR="005D6D5C" w:rsidRPr="00BD1669" w:rsidRDefault="005D6D5C" w:rsidP="001C0249">
            <w:pPr>
              <w:jc w:val="center"/>
              <w:rPr>
                <w:i/>
                <w:color w:val="000000"/>
              </w:rPr>
            </w:pPr>
            <w:r w:rsidRPr="00BD1669">
              <w:rPr>
                <w:i/>
                <w:color w:val="000000"/>
              </w:rPr>
              <w:t>R/PIB</w:t>
            </w:r>
          </w:p>
        </w:tc>
      </w:tr>
      <w:tr w:rsidR="005D6D5C" w:rsidRPr="00BD1669" w:rsidTr="004B75E9">
        <w:tc>
          <w:tcPr>
            <w:tcW w:w="2376" w:type="dxa"/>
            <w:tcBorders>
              <w:top w:val="nil"/>
              <w:left w:val="nil"/>
              <w:bottom w:val="nil"/>
              <w:right w:val="single" w:sz="4" w:space="0" w:color="auto"/>
            </w:tcBorders>
          </w:tcPr>
          <w:p w:rsidR="005D6D5C" w:rsidRPr="004B75E9" w:rsidRDefault="005D6D5C" w:rsidP="001C0249">
            <w:pPr>
              <w:rPr>
                <w:color w:val="000000"/>
              </w:rPr>
            </w:pPr>
          </w:p>
        </w:tc>
        <w:tc>
          <w:tcPr>
            <w:tcW w:w="4820" w:type="dxa"/>
            <w:tcBorders>
              <w:top w:val="nil"/>
              <w:left w:val="single" w:sz="4" w:space="0" w:color="auto"/>
              <w:bottom w:val="nil"/>
              <w:right w:val="single" w:sz="4" w:space="0" w:color="auto"/>
            </w:tcBorders>
          </w:tcPr>
          <w:p w:rsidR="005D6D5C" w:rsidRPr="00BD1669" w:rsidRDefault="005D6D5C" w:rsidP="004B75E9">
            <w:pPr>
              <w:rPr>
                <w:color w:val="000000"/>
              </w:rPr>
            </w:pPr>
            <w:r w:rsidRPr="00BD1669">
              <w:rPr>
                <w:color w:val="000000"/>
              </w:rPr>
              <w:t>Dívida externa total como percentual das exportações de bens e serviços</w:t>
            </w:r>
          </w:p>
        </w:tc>
        <w:tc>
          <w:tcPr>
            <w:tcW w:w="1270" w:type="dxa"/>
            <w:tcBorders>
              <w:top w:val="nil"/>
              <w:left w:val="single" w:sz="4" w:space="0" w:color="auto"/>
              <w:bottom w:val="nil"/>
              <w:right w:val="nil"/>
            </w:tcBorders>
          </w:tcPr>
          <w:p w:rsidR="005D6D5C" w:rsidRPr="00BD1669" w:rsidRDefault="005D6D5C" w:rsidP="001C0249">
            <w:pPr>
              <w:jc w:val="center"/>
              <w:rPr>
                <w:i/>
                <w:color w:val="000000"/>
              </w:rPr>
            </w:pPr>
            <w:r w:rsidRPr="00BD1669">
              <w:rPr>
                <w:i/>
                <w:color w:val="000000"/>
              </w:rPr>
              <w:t>DE/EXP</w:t>
            </w:r>
          </w:p>
        </w:tc>
      </w:tr>
      <w:tr w:rsidR="005D6D5C" w:rsidRPr="00BD1669" w:rsidTr="004B75E9">
        <w:tc>
          <w:tcPr>
            <w:tcW w:w="2376" w:type="dxa"/>
            <w:tcBorders>
              <w:top w:val="nil"/>
              <w:left w:val="nil"/>
              <w:bottom w:val="nil"/>
              <w:right w:val="single" w:sz="4" w:space="0" w:color="auto"/>
            </w:tcBorders>
          </w:tcPr>
          <w:p w:rsidR="005D6D5C" w:rsidRPr="004B75E9" w:rsidRDefault="005D6D5C" w:rsidP="001C0249">
            <w:pPr>
              <w:rPr>
                <w:color w:val="000000"/>
              </w:rPr>
            </w:pPr>
          </w:p>
        </w:tc>
        <w:tc>
          <w:tcPr>
            <w:tcW w:w="4820" w:type="dxa"/>
            <w:tcBorders>
              <w:top w:val="nil"/>
              <w:left w:val="single" w:sz="4" w:space="0" w:color="auto"/>
              <w:bottom w:val="nil"/>
              <w:right w:val="single" w:sz="4" w:space="0" w:color="auto"/>
            </w:tcBorders>
          </w:tcPr>
          <w:p w:rsidR="005D6D5C" w:rsidRPr="00BD1669" w:rsidRDefault="005D6D5C" w:rsidP="004B75E9">
            <w:pPr>
              <w:rPr>
                <w:color w:val="000000"/>
              </w:rPr>
            </w:pPr>
            <w:r w:rsidRPr="00BD1669">
              <w:rPr>
                <w:color w:val="000000"/>
              </w:rPr>
              <w:t>Serviço da dívida total como percentual das exportações de bens e serviços</w:t>
            </w:r>
          </w:p>
        </w:tc>
        <w:tc>
          <w:tcPr>
            <w:tcW w:w="1270" w:type="dxa"/>
            <w:tcBorders>
              <w:top w:val="nil"/>
              <w:left w:val="single" w:sz="4" w:space="0" w:color="auto"/>
              <w:bottom w:val="nil"/>
              <w:right w:val="nil"/>
            </w:tcBorders>
          </w:tcPr>
          <w:p w:rsidR="005D6D5C" w:rsidRPr="00BD1669" w:rsidRDefault="005D6D5C" w:rsidP="001C0249">
            <w:pPr>
              <w:jc w:val="center"/>
              <w:rPr>
                <w:i/>
                <w:color w:val="000000"/>
              </w:rPr>
            </w:pPr>
            <w:r w:rsidRPr="00BD1669">
              <w:rPr>
                <w:i/>
                <w:color w:val="000000"/>
              </w:rPr>
              <w:t>SDT/EXP</w:t>
            </w:r>
          </w:p>
        </w:tc>
      </w:tr>
      <w:tr w:rsidR="005D6D5C" w:rsidRPr="00BD1669" w:rsidTr="004B75E9">
        <w:trPr>
          <w:trHeight w:val="278"/>
        </w:trPr>
        <w:tc>
          <w:tcPr>
            <w:tcW w:w="2376" w:type="dxa"/>
            <w:tcBorders>
              <w:top w:val="single" w:sz="4" w:space="0" w:color="auto"/>
              <w:left w:val="nil"/>
              <w:bottom w:val="nil"/>
              <w:right w:val="single" w:sz="4" w:space="0" w:color="auto"/>
            </w:tcBorders>
          </w:tcPr>
          <w:p w:rsidR="005D6D5C" w:rsidRPr="004B75E9" w:rsidRDefault="005D6D5C" w:rsidP="004B75E9">
            <w:pPr>
              <w:rPr>
                <w:bCs/>
                <w:i/>
                <w:color w:val="000000"/>
              </w:rPr>
            </w:pPr>
            <w:r w:rsidRPr="004B75E9">
              <w:rPr>
                <w:bCs/>
                <w:i/>
                <w:color w:val="000000"/>
                <w:sz w:val="22"/>
                <w:szCs w:val="22"/>
              </w:rPr>
              <w:t xml:space="preserve">Desenvolvimento e </w:t>
            </w:r>
          </w:p>
        </w:tc>
        <w:tc>
          <w:tcPr>
            <w:tcW w:w="4820" w:type="dxa"/>
            <w:tcBorders>
              <w:top w:val="single" w:sz="4" w:space="0" w:color="auto"/>
              <w:left w:val="single" w:sz="4" w:space="0" w:color="auto"/>
              <w:bottom w:val="nil"/>
              <w:right w:val="single" w:sz="4" w:space="0" w:color="auto"/>
            </w:tcBorders>
          </w:tcPr>
          <w:p w:rsidR="005D6D5C" w:rsidRPr="00BD1669" w:rsidRDefault="005D6D5C" w:rsidP="004B75E9">
            <w:pPr>
              <w:rPr>
                <w:color w:val="000000"/>
              </w:rPr>
            </w:pPr>
            <w:r w:rsidRPr="00BD1669">
              <w:rPr>
                <w:color w:val="000000"/>
              </w:rPr>
              <w:t xml:space="preserve">Taxa de crescimento do produto </w:t>
            </w:r>
            <w:r w:rsidRPr="00BD1669">
              <w:rPr>
                <w:i/>
                <w:color w:val="000000"/>
              </w:rPr>
              <w:t>per capita</w:t>
            </w:r>
          </w:p>
        </w:tc>
        <w:tc>
          <w:tcPr>
            <w:tcW w:w="1270" w:type="dxa"/>
            <w:tcBorders>
              <w:top w:val="single" w:sz="4" w:space="0" w:color="auto"/>
              <w:left w:val="single" w:sz="4" w:space="0" w:color="auto"/>
              <w:bottom w:val="nil"/>
              <w:right w:val="nil"/>
            </w:tcBorders>
          </w:tcPr>
          <w:p w:rsidR="005D6D5C" w:rsidRPr="00BD1669" w:rsidRDefault="005D6D5C" w:rsidP="001C0249">
            <w:pPr>
              <w:jc w:val="center"/>
              <w:rPr>
                <w:i/>
                <w:color w:val="000000"/>
              </w:rPr>
            </w:pPr>
            <w:r w:rsidRPr="00BD1669">
              <w:rPr>
                <w:i/>
                <w:color w:val="000000"/>
                <w:position w:val="-12"/>
              </w:rPr>
              <w:t>CPIB</w:t>
            </w:r>
          </w:p>
        </w:tc>
      </w:tr>
      <w:tr w:rsidR="005D6D5C" w:rsidRPr="00BD1669" w:rsidTr="004B75E9">
        <w:trPr>
          <w:trHeight w:val="278"/>
        </w:trPr>
        <w:tc>
          <w:tcPr>
            <w:tcW w:w="2376" w:type="dxa"/>
            <w:tcBorders>
              <w:top w:val="nil"/>
              <w:left w:val="nil"/>
              <w:bottom w:val="nil"/>
              <w:right w:val="single" w:sz="4" w:space="0" w:color="auto"/>
            </w:tcBorders>
          </w:tcPr>
          <w:p w:rsidR="005D6D5C" w:rsidRPr="00BD1669" w:rsidRDefault="004B75E9" w:rsidP="001C0249">
            <w:pPr>
              <w:rPr>
                <w:bCs/>
                <w:i/>
                <w:color w:val="000000"/>
              </w:rPr>
            </w:pPr>
            <w:r w:rsidRPr="004B75E9">
              <w:rPr>
                <w:bCs/>
                <w:i/>
                <w:color w:val="000000"/>
                <w:sz w:val="22"/>
                <w:szCs w:val="22"/>
              </w:rPr>
              <w:t>Estabilidade Econômica</w:t>
            </w:r>
          </w:p>
        </w:tc>
        <w:tc>
          <w:tcPr>
            <w:tcW w:w="4820" w:type="dxa"/>
            <w:tcBorders>
              <w:top w:val="nil"/>
              <w:left w:val="single" w:sz="4" w:space="0" w:color="auto"/>
              <w:bottom w:val="nil"/>
              <w:right w:val="single" w:sz="4" w:space="0" w:color="auto"/>
            </w:tcBorders>
          </w:tcPr>
          <w:p w:rsidR="005D6D5C" w:rsidRPr="00BD1669" w:rsidRDefault="005D6D5C" w:rsidP="004B75E9">
            <w:pPr>
              <w:rPr>
                <w:color w:val="000000"/>
              </w:rPr>
            </w:pPr>
            <w:r w:rsidRPr="00BD1669">
              <w:rPr>
                <w:color w:val="000000"/>
              </w:rPr>
              <w:t>Evolução do nível de preços ao consumidor</w:t>
            </w:r>
          </w:p>
        </w:tc>
        <w:tc>
          <w:tcPr>
            <w:tcW w:w="1270" w:type="dxa"/>
            <w:tcBorders>
              <w:top w:val="nil"/>
              <w:left w:val="single" w:sz="4" w:space="0" w:color="auto"/>
              <w:bottom w:val="nil"/>
              <w:right w:val="nil"/>
            </w:tcBorders>
          </w:tcPr>
          <w:p w:rsidR="005D6D5C" w:rsidRPr="00BD1669" w:rsidRDefault="005D6D5C" w:rsidP="001C0249">
            <w:pPr>
              <w:jc w:val="center"/>
              <w:rPr>
                <w:i/>
                <w:color w:val="000000"/>
              </w:rPr>
            </w:pPr>
            <w:r w:rsidRPr="00BD1669">
              <w:rPr>
                <w:i/>
                <w:color w:val="000000"/>
                <w:position w:val="-12"/>
              </w:rPr>
              <w:t>CP</w:t>
            </w:r>
          </w:p>
        </w:tc>
      </w:tr>
      <w:tr w:rsidR="005D6D5C" w:rsidRPr="00BD1669" w:rsidTr="004B75E9">
        <w:trPr>
          <w:trHeight w:val="278"/>
        </w:trPr>
        <w:tc>
          <w:tcPr>
            <w:tcW w:w="2376" w:type="dxa"/>
            <w:tcBorders>
              <w:top w:val="nil"/>
              <w:left w:val="nil"/>
              <w:bottom w:val="single" w:sz="4" w:space="0" w:color="auto"/>
              <w:right w:val="single" w:sz="4" w:space="0" w:color="auto"/>
            </w:tcBorders>
          </w:tcPr>
          <w:p w:rsidR="005D6D5C" w:rsidRPr="00BD1669" w:rsidRDefault="005D6D5C" w:rsidP="001C0249">
            <w:pPr>
              <w:rPr>
                <w:bCs/>
                <w:i/>
                <w:color w:val="000000"/>
              </w:rPr>
            </w:pPr>
          </w:p>
        </w:tc>
        <w:tc>
          <w:tcPr>
            <w:tcW w:w="4820" w:type="dxa"/>
            <w:tcBorders>
              <w:top w:val="nil"/>
              <w:left w:val="single" w:sz="4" w:space="0" w:color="auto"/>
              <w:bottom w:val="single" w:sz="4" w:space="0" w:color="auto"/>
              <w:right w:val="single" w:sz="4" w:space="0" w:color="auto"/>
            </w:tcBorders>
          </w:tcPr>
          <w:p w:rsidR="005D6D5C" w:rsidRPr="00BD1669" w:rsidRDefault="005D6D5C" w:rsidP="004B75E9">
            <w:pPr>
              <w:rPr>
                <w:color w:val="000000"/>
              </w:rPr>
            </w:pPr>
            <w:r w:rsidRPr="00BD1669">
              <w:rPr>
                <w:color w:val="000000"/>
              </w:rPr>
              <w:t xml:space="preserve">Grau de abertura econômica </w:t>
            </w:r>
          </w:p>
        </w:tc>
        <w:tc>
          <w:tcPr>
            <w:tcW w:w="1270" w:type="dxa"/>
            <w:tcBorders>
              <w:top w:val="nil"/>
              <w:left w:val="single" w:sz="4" w:space="0" w:color="auto"/>
              <w:bottom w:val="single" w:sz="4" w:space="0" w:color="auto"/>
              <w:right w:val="nil"/>
            </w:tcBorders>
          </w:tcPr>
          <w:p w:rsidR="005D6D5C" w:rsidRPr="00BD1669" w:rsidRDefault="005D6D5C" w:rsidP="001C0249">
            <w:pPr>
              <w:jc w:val="center"/>
              <w:rPr>
                <w:i/>
                <w:color w:val="000000"/>
              </w:rPr>
            </w:pPr>
            <w:r w:rsidRPr="00BD1669">
              <w:rPr>
                <w:i/>
                <w:color w:val="000000"/>
              </w:rPr>
              <w:t>GAE</w:t>
            </w:r>
          </w:p>
        </w:tc>
      </w:tr>
    </w:tbl>
    <w:p w:rsidR="005D6D5C" w:rsidRDefault="005D6D5C" w:rsidP="00605641">
      <w:pPr>
        <w:ind w:left="1" w:firstLine="708"/>
        <w:jc w:val="both"/>
        <w:rPr>
          <w:color w:val="000000"/>
          <w:sz w:val="20"/>
          <w:szCs w:val="20"/>
        </w:rPr>
      </w:pPr>
      <w:r w:rsidRPr="00BD1669">
        <w:rPr>
          <w:b/>
          <w:color w:val="000000"/>
          <w:sz w:val="20"/>
          <w:szCs w:val="20"/>
        </w:rPr>
        <w:t>Fonte:</w:t>
      </w:r>
      <w:r w:rsidRPr="00BD1669">
        <w:rPr>
          <w:color w:val="000000"/>
          <w:sz w:val="20"/>
          <w:szCs w:val="20"/>
        </w:rPr>
        <w:t xml:space="preserve"> Elaboração própria a partir de dados da </w:t>
      </w:r>
      <w:r w:rsidR="00A932AD" w:rsidRPr="00BD1669">
        <w:rPr>
          <w:i/>
          <w:color w:val="000000"/>
          <w:sz w:val="20"/>
          <w:szCs w:val="20"/>
        </w:rPr>
        <w:t>Stand</w:t>
      </w:r>
      <w:r w:rsidRPr="00BD1669">
        <w:rPr>
          <w:i/>
          <w:color w:val="000000"/>
          <w:sz w:val="20"/>
          <w:szCs w:val="20"/>
        </w:rPr>
        <w:t>ard</w:t>
      </w:r>
      <w:r w:rsidRPr="00BD1669">
        <w:rPr>
          <w:color w:val="000000"/>
          <w:sz w:val="20"/>
          <w:szCs w:val="20"/>
        </w:rPr>
        <w:t xml:space="preserve"> e </w:t>
      </w:r>
      <w:proofErr w:type="spellStart"/>
      <w:r w:rsidRPr="00BD1669">
        <w:rPr>
          <w:i/>
          <w:color w:val="000000"/>
          <w:sz w:val="20"/>
          <w:szCs w:val="20"/>
        </w:rPr>
        <w:t>Poor’s</w:t>
      </w:r>
      <w:proofErr w:type="spellEnd"/>
      <w:r w:rsidRPr="00BD1669">
        <w:rPr>
          <w:color w:val="000000"/>
          <w:sz w:val="20"/>
          <w:szCs w:val="20"/>
        </w:rPr>
        <w:t xml:space="preserve"> e </w:t>
      </w:r>
      <w:r w:rsidRPr="00BD1669">
        <w:rPr>
          <w:i/>
          <w:color w:val="000000"/>
          <w:sz w:val="20"/>
          <w:szCs w:val="20"/>
        </w:rPr>
        <w:t>World Bank</w:t>
      </w:r>
      <w:r w:rsidRPr="00BD1669">
        <w:rPr>
          <w:color w:val="000000"/>
          <w:sz w:val="20"/>
          <w:szCs w:val="20"/>
        </w:rPr>
        <w:t>.</w:t>
      </w:r>
    </w:p>
    <w:p w:rsidR="005D6D5C" w:rsidRDefault="005D6D5C" w:rsidP="006D51D7">
      <w:pPr>
        <w:tabs>
          <w:tab w:val="left" w:pos="720"/>
          <w:tab w:val="num" w:pos="1440"/>
        </w:tabs>
      </w:pPr>
    </w:p>
    <w:p w:rsidR="005D6D5C" w:rsidRPr="00BD1669" w:rsidRDefault="005D6D5C" w:rsidP="001C0249">
      <w:pPr>
        <w:tabs>
          <w:tab w:val="left" w:pos="720"/>
          <w:tab w:val="num" w:pos="1440"/>
        </w:tabs>
        <w:jc w:val="both"/>
      </w:pPr>
      <w:proofErr w:type="gramStart"/>
      <w:r w:rsidRPr="00BD1669">
        <w:t>4</w:t>
      </w:r>
      <w:proofErr w:type="gramEnd"/>
      <w:r w:rsidRPr="00BD1669">
        <w:t xml:space="preserve"> O MODELO DE DADOS EM PAINEL</w:t>
      </w:r>
    </w:p>
    <w:p w:rsidR="005D6D5C" w:rsidRPr="00BD1669" w:rsidRDefault="005D6D5C" w:rsidP="001C0249">
      <w:pPr>
        <w:tabs>
          <w:tab w:val="left" w:pos="720"/>
          <w:tab w:val="num" w:pos="1440"/>
        </w:tabs>
        <w:jc w:val="both"/>
      </w:pPr>
    </w:p>
    <w:p w:rsidR="005D6D5C" w:rsidRPr="00BD1669" w:rsidRDefault="005D6D5C" w:rsidP="001C0249">
      <w:pPr>
        <w:autoSpaceDE w:val="0"/>
        <w:autoSpaceDN w:val="0"/>
        <w:adjustRightInd w:val="0"/>
        <w:jc w:val="both"/>
      </w:pPr>
      <w:r w:rsidRPr="00BD1669">
        <w:rPr>
          <w:sz w:val="32"/>
          <w:szCs w:val="32"/>
        </w:rPr>
        <w:tab/>
      </w:r>
      <w:r w:rsidRPr="00BD1669">
        <w:t xml:space="preserve">O modelo de </w:t>
      </w:r>
      <w:r w:rsidR="006D51D7">
        <w:t>d</w:t>
      </w:r>
      <w:r w:rsidRPr="00BD1669">
        <w:t xml:space="preserve">ados em </w:t>
      </w:r>
      <w:r w:rsidR="006D51D7">
        <w:t>p</w:t>
      </w:r>
      <w:r w:rsidRPr="00BD1669">
        <w:t>ainel é utilizado quando estão disponíveis observações longitudinais, isto é, por</w:t>
      </w:r>
      <w:r w:rsidR="00BD4214">
        <w:t xml:space="preserve"> indivíduos num espaço de tempo, o que fornece</w:t>
      </w:r>
      <w:r w:rsidRPr="00BD1669">
        <w:t xml:space="preserve"> informações a respeito de possíveis heterogeneidades individuais</w:t>
      </w:r>
      <w:r w:rsidRPr="00BD1669">
        <w:rPr>
          <w:rStyle w:val="Refdenotaderodap"/>
        </w:rPr>
        <w:footnoteReference w:id="6"/>
      </w:r>
      <w:r w:rsidRPr="00BD1669">
        <w:t xml:space="preserve">. De acordo com Greene (2002) ele é bastante utilizado para investigar mudanças estruturais e dinâmicas de transição. </w:t>
      </w:r>
    </w:p>
    <w:p w:rsidR="005D6D5C" w:rsidRPr="00BA7DA3" w:rsidRDefault="005D6D5C" w:rsidP="001C0249">
      <w:pPr>
        <w:tabs>
          <w:tab w:val="left" w:pos="720"/>
          <w:tab w:val="num" w:pos="1440"/>
        </w:tabs>
        <w:jc w:val="both"/>
      </w:pPr>
      <w:r w:rsidRPr="00BD1669">
        <w:tab/>
        <w:t xml:space="preserve">Este modelo possui algumas vantagens importantes, dentre elas HSIAO (1986) destaca algumas como a oportunidade de redução em problemas de colinearidade e problemas de variáveis omitidas, aumento dos graus de liberdade, permitindo que a dinâmica intertemporal e a individualidade das variáveis analisadas possam ser mais bem controladas, no que </w:t>
      </w:r>
      <w:r w:rsidRPr="00BA7DA3">
        <w:t xml:space="preserve">se refere aos efeitos da omissão de outras variáveis.   </w:t>
      </w:r>
    </w:p>
    <w:p w:rsidR="006D51D7" w:rsidRPr="00BE1559" w:rsidRDefault="005D6D5C" w:rsidP="00BD4214">
      <w:pPr>
        <w:tabs>
          <w:tab w:val="left" w:pos="720"/>
          <w:tab w:val="num" w:pos="1440"/>
        </w:tabs>
        <w:jc w:val="both"/>
        <w:rPr>
          <w:bCs/>
        </w:rPr>
      </w:pPr>
      <w:r w:rsidRPr="00BA7DA3">
        <w:tab/>
      </w:r>
      <w:r w:rsidR="00BD4214" w:rsidRPr="00BA7DA3">
        <w:t>Porém, existem</w:t>
      </w:r>
      <w:r w:rsidR="006D51D7" w:rsidRPr="00BA7DA3">
        <w:t xml:space="preserve"> inúmeras abordagens feitas através de modelos quantitativos ao problema d</w:t>
      </w:r>
      <w:r w:rsidR="00BD4214" w:rsidRPr="00BA7DA3">
        <w:t>as</w:t>
      </w:r>
      <w:r w:rsidR="006D51D7" w:rsidRPr="00BA7DA3">
        <w:t xml:space="preserve"> atribuiç</w:t>
      </w:r>
      <w:r w:rsidR="00BD4214" w:rsidRPr="00BA7DA3">
        <w:t>ões</w:t>
      </w:r>
      <w:r w:rsidR="006D51D7" w:rsidRPr="00BA7DA3">
        <w:t xml:space="preserve"> de </w:t>
      </w:r>
      <w:r w:rsidR="006D51D7" w:rsidRPr="00BA7DA3">
        <w:rPr>
          <w:i/>
        </w:rPr>
        <w:t>ratings</w:t>
      </w:r>
      <w:r w:rsidR="00BD4214" w:rsidRPr="00BA7DA3">
        <w:t xml:space="preserve">. Dentre os trabalhos, </w:t>
      </w:r>
      <w:r w:rsidR="006D51D7" w:rsidRPr="00BA7DA3">
        <w:rPr>
          <w:bCs/>
        </w:rPr>
        <w:t>Rowland (2004) utiliz</w:t>
      </w:r>
      <w:r w:rsidR="00BD4214" w:rsidRPr="00BA7DA3">
        <w:rPr>
          <w:bCs/>
        </w:rPr>
        <w:t>ou</w:t>
      </w:r>
      <w:r w:rsidR="006D51D7" w:rsidRPr="00BA7DA3">
        <w:rPr>
          <w:bCs/>
        </w:rPr>
        <w:t xml:space="preserve"> a técnica de análise coletiva de dados (</w:t>
      </w:r>
      <w:proofErr w:type="spellStart"/>
      <w:r w:rsidR="006D51D7" w:rsidRPr="00BA7DA3">
        <w:rPr>
          <w:bCs/>
          <w:i/>
        </w:rPr>
        <w:t>pooled</w:t>
      </w:r>
      <w:proofErr w:type="spellEnd"/>
      <w:r w:rsidR="006D51D7" w:rsidRPr="00BA7DA3">
        <w:rPr>
          <w:bCs/>
          <w:i/>
        </w:rPr>
        <w:t xml:space="preserve"> data</w:t>
      </w:r>
      <w:r w:rsidR="006D51D7" w:rsidRPr="00BA7DA3">
        <w:rPr>
          <w:bCs/>
        </w:rPr>
        <w:t>). Canuto e Santos (200</w:t>
      </w:r>
      <w:r w:rsidR="00BD4214" w:rsidRPr="00BA7DA3">
        <w:rPr>
          <w:bCs/>
        </w:rPr>
        <w:t>4), por exemplo,</w:t>
      </w:r>
      <w:r w:rsidR="006D51D7" w:rsidRPr="00BA7DA3">
        <w:rPr>
          <w:bCs/>
        </w:rPr>
        <w:t xml:space="preserve"> </w:t>
      </w:r>
      <w:r w:rsidR="00BD4214" w:rsidRPr="00BA7DA3">
        <w:rPr>
          <w:bCs/>
        </w:rPr>
        <w:t>estimou</w:t>
      </w:r>
      <w:r w:rsidR="006D51D7" w:rsidRPr="00BA7DA3">
        <w:rPr>
          <w:bCs/>
        </w:rPr>
        <w:t xml:space="preserve"> um modelo econométrico de análise coletiva de dados em </w:t>
      </w:r>
      <w:proofErr w:type="spellStart"/>
      <w:r w:rsidR="006D51D7" w:rsidRPr="00BA7DA3">
        <w:rPr>
          <w:bCs/>
          <w:i/>
        </w:rPr>
        <w:t>cross-section</w:t>
      </w:r>
      <w:proofErr w:type="spellEnd"/>
      <w:r w:rsidR="006D51D7" w:rsidRPr="00BA7DA3">
        <w:rPr>
          <w:bCs/>
        </w:rPr>
        <w:t xml:space="preserve">. Na linha do modelo econométrico de Cantor e </w:t>
      </w:r>
      <w:proofErr w:type="spellStart"/>
      <w:r w:rsidR="006D51D7" w:rsidRPr="00BA7DA3">
        <w:rPr>
          <w:bCs/>
        </w:rPr>
        <w:t>Packer</w:t>
      </w:r>
      <w:proofErr w:type="spellEnd"/>
      <w:r w:rsidR="006D51D7" w:rsidRPr="00BA7DA3">
        <w:rPr>
          <w:bCs/>
        </w:rPr>
        <w:t xml:space="preserve"> (1996), </w:t>
      </w:r>
      <w:r w:rsidR="00BD4214" w:rsidRPr="00BA7DA3">
        <w:rPr>
          <w:bCs/>
        </w:rPr>
        <w:t xml:space="preserve">em </w:t>
      </w:r>
      <w:r w:rsidR="006D51D7" w:rsidRPr="00BA7DA3">
        <w:t xml:space="preserve">Ferri, Liu e Stiglitz (2002) </w:t>
      </w:r>
      <w:proofErr w:type="gramStart"/>
      <w:r w:rsidR="00BD4214" w:rsidRPr="00BA7DA3">
        <w:t>foi</w:t>
      </w:r>
      <w:proofErr w:type="gramEnd"/>
      <w:r w:rsidR="006D51D7" w:rsidRPr="00BA7DA3">
        <w:t xml:space="preserve"> </w:t>
      </w:r>
      <w:r w:rsidR="00BD4214" w:rsidRPr="00BA7DA3">
        <w:t xml:space="preserve">estimado </w:t>
      </w:r>
      <w:r w:rsidR="006D51D7" w:rsidRPr="00BA7DA3">
        <w:t xml:space="preserve">um modelo </w:t>
      </w:r>
      <w:r w:rsidR="00BD4214" w:rsidRPr="00BA7DA3">
        <w:t>de Mínimos Quadrados Ordinários (MMQO)</w:t>
      </w:r>
      <w:r w:rsidR="006D51D7" w:rsidRPr="00BA7DA3">
        <w:t xml:space="preserve"> com dois tipos de </w:t>
      </w:r>
      <w:proofErr w:type="spellStart"/>
      <w:r w:rsidR="006D51D7" w:rsidRPr="00BA7DA3">
        <w:t>cardinalização</w:t>
      </w:r>
      <w:proofErr w:type="spellEnd"/>
      <w:r w:rsidR="006D51D7" w:rsidRPr="00BA7DA3">
        <w:t xml:space="preserve"> para os </w:t>
      </w:r>
      <w:r w:rsidR="006D51D7" w:rsidRPr="00BA7DA3">
        <w:rPr>
          <w:i/>
        </w:rPr>
        <w:t>ratings</w:t>
      </w:r>
      <w:r w:rsidR="006D51D7" w:rsidRPr="00BA7DA3">
        <w:t xml:space="preserve">. </w:t>
      </w:r>
      <w:proofErr w:type="spellStart"/>
      <w:r w:rsidR="006D51D7" w:rsidRPr="00BA7DA3">
        <w:t>Leichsenring</w:t>
      </w:r>
      <w:proofErr w:type="spellEnd"/>
      <w:r w:rsidR="006D51D7" w:rsidRPr="00BA7DA3">
        <w:t xml:space="preserve"> (2004) estim</w:t>
      </w:r>
      <w:r w:rsidR="00BD4214" w:rsidRPr="00BA7DA3">
        <w:t>ou</w:t>
      </w:r>
      <w:r w:rsidR="006D51D7" w:rsidRPr="00BA7DA3">
        <w:t xml:space="preserve"> um modelo de vetores </w:t>
      </w:r>
      <w:proofErr w:type="spellStart"/>
      <w:r w:rsidR="006D51D7" w:rsidRPr="00BA7DA3">
        <w:t>autoregressivos</w:t>
      </w:r>
      <w:proofErr w:type="spellEnd"/>
      <w:r w:rsidR="006D51D7" w:rsidRPr="00BA7DA3">
        <w:t xml:space="preserve"> (VAR) para avaliar a </w:t>
      </w:r>
      <w:r w:rsidR="006D51D7" w:rsidRPr="00BE1559">
        <w:t xml:space="preserve">relação entre os </w:t>
      </w:r>
      <w:r w:rsidR="006D51D7" w:rsidRPr="00BE1559">
        <w:rPr>
          <w:i/>
        </w:rPr>
        <w:t xml:space="preserve">ratings </w:t>
      </w:r>
      <w:r w:rsidR="006D51D7" w:rsidRPr="00BE1559">
        <w:t xml:space="preserve">e a taxa de juros doméstica. </w:t>
      </w:r>
      <w:proofErr w:type="spellStart"/>
      <w:r w:rsidR="006D51D7" w:rsidRPr="00BE1559">
        <w:t>Bone</w:t>
      </w:r>
      <w:proofErr w:type="spellEnd"/>
      <w:r w:rsidR="006D51D7" w:rsidRPr="00BE1559">
        <w:t xml:space="preserve"> (2004) utiliz</w:t>
      </w:r>
      <w:r w:rsidR="00BD4214" w:rsidRPr="00BE1559">
        <w:t>ou</w:t>
      </w:r>
      <w:r w:rsidR="006D51D7" w:rsidRPr="00BE1559">
        <w:t xml:space="preserve"> testes de </w:t>
      </w:r>
      <w:r w:rsidR="006D51D7" w:rsidRPr="00BE1559">
        <w:lastRenderedPageBreak/>
        <w:t xml:space="preserve">estabilidade de </w:t>
      </w:r>
      <w:proofErr w:type="spellStart"/>
      <w:r w:rsidR="006D51D7" w:rsidRPr="00BE1559">
        <w:rPr>
          <w:i/>
        </w:rPr>
        <w:t>Chow</w:t>
      </w:r>
      <w:proofErr w:type="spellEnd"/>
      <w:r w:rsidR="006D51D7" w:rsidRPr="00BE1559">
        <w:t xml:space="preserve"> para medir a estabilidade das séries temporais de </w:t>
      </w:r>
      <w:r w:rsidR="006D51D7" w:rsidRPr="00BE1559">
        <w:rPr>
          <w:i/>
        </w:rPr>
        <w:t xml:space="preserve">ratings </w:t>
      </w:r>
      <w:r w:rsidR="006D51D7" w:rsidRPr="00BE1559">
        <w:t xml:space="preserve">soberanos emitidos pelas diversas agências.      </w:t>
      </w:r>
      <w:r w:rsidR="006D51D7" w:rsidRPr="00BE1559">
        <w:rPr>
          <w:bCs/>
        </w:rPr>
        <w:t xml:space="preserve"> </w:t>
      </w:r>
    </w:p>
    <w:p w:rsidR="00BE1559" w:rsidRPr="00BE1559" w:rsidRDefault="00BD4214" w:rsidP="00542237">
      <w:pPr>
        <w:ind w:firstLine="709"/>
        <w:jc w:val="both"/>
      </w:pPr>
      <w:r w:rsidRPr="00BE1559">
        <w:t>De maneira geral, e</w:t>
      </w:r>
      <w:r w:rsidR="006D51D7" w:rsidRPr="00BE1559">
        <w:t xml:space="preserve">xistem </w:t>
      </w:r>
      <w:r w:rsidRPr="00BE1559">
        <w:t>muitas</w:t>
      </w:r>
      <w:r w:rsidR="006D51D7" w:rsidRPr="00BE1559">
        <w:t xml:space="preserve"> formas de lidar com dados desta natureza, inclusive quando consideramos que a variável dependente </w:t>
      </w:r>
      <w:r w:rsidR="006D51D7" w:rsidRPr="00BE1559">
        <w:rPr>
          <w:i/>
        </w:rPr>
        <w:t>ratings</w:t>
      </w:r>
      <w:r w:rsidR="006D51D7" w:rsidRPr="00BE1559">
        <w:t xml:space="preserve"> é uma variável </w:t>
      </w:r>
      <w:r w:rsidRPr="00BE1559">
        <w:t>ordinal</w:t>
      </w:r>
      <w:r w:rsidR="00542237" w:rsidRPr="00BE1559">
        <w:t>.</w:t>
      </w:r>
      <w:r w:rsidR="006D51D7" w:rsidRPr="00BE1559">
        <w:t xml:space="preserve"> </w:t>
      </w:r>
      <w:r w:rsidR="00542237" w:rsidRPr="00BE1559">
        <w:t xml:space="preserve">Entre os problemas enfrentados pelos modelos econométricos, pode-se citar o problema da </w:t>
      </w:r>
      <w:proofErr w:type="spellStart"/>
      <w:r w:rsidR="00542237" w:rsidRPr="00BE1559">
        <w:t>cardinalização</w:t>
      </w:r>
      <w:proofErr w:type="spellEnd"/>
      <w:r w:rsidR="00542237" w:rsidRPr="00BE1559">
        <w:t xml:space="preserve">. Este problema surge da tentativa de </w:t>
      </w:r>
      <w:proofErr w:type="spellStart"/>
      <w:r w:rsidR="00542237" w:rsidRPr="00BE1559">
        <w:t>cardinalizar</w:t>
      </w:r>
      <w:proofErr w:type="spellEnd"/>
      <w:r w:rsidR="00542237" w:rsidRPr="00BE1559">
        <w:t xml:space="preserve"> os </w:t>
      </w:r>
      <w:r w:rsidR="00542237" w:rsidRPr="00BE1559">
        <w:rPr>
          <w:i/>
        </w:rPr>
        <w:t>ratings</w:t>
      </w:r>
      <w:r w:rsidR="00542237" w:rsidRPr="00BE1559">
        <w:t xml:space="preserve"> para torná-los estimáveis, pois modelos econométricos são incapazes de lidar com conceitos, assim não há como introduzirmos como variável num modelo econométrico um conceito de </w:t>
      </w:r>
      <w:r w:rsidR="00542237" w:rsidRPr="00BE1559">
        <w:rPr>
          <w:i/>
        </w:rPr>
        <w:t>rating</w:t>
      </w:r>
      <w:r w:rsidR="00542237" w:rsidRPr="00BE1559">
        <w:t xml:space="preserve">. Todavia, ao </w:t>
      </w:r>
      <w:proofErr w:type="spellStart"/>
      <w:r w:rsidR="00542237" w:rsidRPr="00BE1559">
        <w:t>cardinalizar-se</w:t>
      </w:r>
      <w:proofErr w:type="spellEnd"/>
      <w:r w:rsidR="00542237" w:rsidRPr="00BE1559">
        <w:t xml:space="preserve"> um conceito é possível incorrer-se em erros, pois </w:t>
      </w:r>
      <w:proofErr w:type="spellStart"/>
      <w:r w:rsidR="00542237" w:rsidRPr="00BE1559">
        <w:t>cardinalizações</w:t>
      </w:r>
      <w:proofErr w:type="spellEnd"/>
      <w:r w:rsidR="00542237" w:rsidRPr="00BE1559">
        <w:t xml:space="preserve">, sejam elas lineares ou </w:t>
      </w:r>
      <w:proofErr w:type="gramStart"/>
      <w:r w:rsidR="00542237" w:rsidRPr="00BE1559">
        <w:t>não-lineares</w:t>
      </w:r>
      <w:proofErr w:type="gramEnd"/>
      <w:r w:rsidR="00542237" w:rsidRPr="00BE1559">
        <w:t xml:space="preserve">, estabelecem uma relação quantificável entre os conceitos de </w:t>
      </w:r>
      <w:r w:rsidR="00542237" w:rsidRPr="00BE1559">
        <w:rPr>
          <w:i/>
        </w:rPr>
        <w:t>ratings</w:t>
      </w:r>
      <w:r w:rsidR="00542237" w:rsidRPr="00BE1559">
        <w:t>.</w:t>
      </w:r>
      <w:r w:rsidR="00542237" w:rsidRPr="00BE1559">
        <w:rPr>
          <w:i/>
        </w:rPr>
        <w:t xml:space="preserve"> </w:t>
      </w:r>
      <w:r w:rsidR="00542237" w:rsidRPr="00BE1559">
        <w:t xml:space="preserve">Assim, uma atribuição de </w:t>
      </w:r>
      <w:r w:rsidR="00542237" w:rsidRPr="00BE1559">
        <w:rPr>
          <w:i/>
        </w:rPr>
        <w:t>rating</w:t>
      </w:r>
      <w:r w:rsidR="00542237" w:rsidRPr="00BE1559">
        <w:t xml:space="preserve"> igual a dois (BBB=2), por exemplo, não quer dizer necessariamente que possua o dobro de risco de uma atribuição de </w:t>
      </w:r>
      <w:r w:rsidR="00542237" w:rsidRPr="00BE1559">
        <w:rPr>
          <w:i/>
        </w:rPr>
        <w:t>rating</w:t>
      </w:r>
      <w:r w:rsidR="00542237" w:rsidRPr="00BE1559">
        <w:t xml:space="preserve"> igual a um (AAA=1). No entanto, a possibilidade de linearizar os </w:t>
      </w:r>
      <w:r w:rsidR="00542237" w:rsidRPr="00BE1559">
        <w:rPr>
          <w:i/>
        </w:rPr>
        <w:t>ratings</w:t>
      </w:r>
      <w:r w:rsidR="00542237" w:rsidRPr="00BE1559">
        <w:t xml:space="preserve"> desde que ainda se mantenham convexos, torna possível a exploração desses dados pelas possibilidades oferecidas pelo modelo de dados em painel. </w:t>
      </w:r>
    </w:p>
    <w:p w:rsidR="005D6D5C" w:rsidRPr="00BD1669" w:rsidRDefault="00BE1559" w:rsidP="00BE1559">
      <w:pPr>
        <w:pStyle w:val="Default"/>
        <w:ind w:firstLine="708"/>
        <w:jc w:val="both"/>
      </w:pPr>
      <w:r w:rsidRPr="00BE1559">
        <w:rPr>
          <w:color w:val="auto"/>
        </w:rPr>
        <w:t xml:space="preserve">Uma metodologia alternativa </w:t>
      </w:r>
      <w:proofErr w:type="gramStart"/>
      <w:r w:rsidRPr="00BE1559">
        <w:rPr>
          <w:color w:val="auto"/>
        </w:rPr>
        <w:t>não-paramétrica</w:t>
      </w:r>
      <w:proofErr w:type="gramEnd"/>
      <w:r w:rsidRPr="00BE1559">
        <w:rPr>
          <w:color w:val="auto"/>
        </w:rPr>
        <w:t xml:space="preserve"> como a de Redes Neurais Artificiais (RNA), por exemplo, utilizada em </w:t>
      </w:r>
      <w:proofErr w:type="spellStart"/>
      <w:r w:rsidRPr="00BE1559">
        <w:rPr>
          <w:color w:val="auto"/>
        </w:rPr>
        <w:t>Frascaroli</w:t>
      </w:r>
      <w:proofErr w:type="spellEnd"/>
      <w:r>
        <w:t xml:space="preserve">, Silva e Silva Filho (2009) também pode ser bastante recomendável, dependendo do tipo de resposta que se deseja obter do modelo. </w:t>
      </w:r>
      <w:r w:rsidR="00542237">
        <w:t>N</w:t>
      </w:r>
      <w:r w:rsidR="00542237" w:rsidRPr="00BD1669">
        <w:t>o presente estudo</w:t>
      </w:r>
      <w:r w:rsidR="00542237">
        <w:t>,</w:t>
      </w:r>
      <w:r w:rsidR="00542237" w:rsidRPr="00BD1669">
        <w:t xml:space="preserve"> </w:t>
      </w:r>
      <w:r w:rsidR="00542237">
        <w:t>e</w:t>
      </w:r>
      <w:r w:rsidR="00BA7DA3">
        <w:t xml:space="preserve">ntre estas possíveis </w:t>
      </w:r>
      <w:proofErr w:type="gramStart"/>
      <w:r w:rsidR="00BA7DA3">
        <w:t>escolhas</w:t>
      </w:r>
      <w:r w:rsidR="00542237">
        <w:t xml:space="preserve"> metodológicas</w:t>
      </w:r>
      <w:r w:rsidR="00BA7DA3">
        <w:t>, primou-se</w:t>
      </w:r>
      <w:proofErr w:type="gramEnd"/>
      <w:r w:rsidR="00BA7DA3">
        <w:t xml:space="preserve"> por obter</w:t>
      </w:r>
      <w:r w:rsidR="005D6D5C" w:rsidRPr="00BD1669">
        <w:t xml:space="preserve"> informações nas formas paramétricas</w:t>
      </w:r>
      <w:r w:rsidR="004C32A5">
        <w:t>. Elas serão</w:t>
      </w:r>
      <w:r w:rsidR="005D6D5C" w:rsidRPr="00BD1669">
        <w:t xml:space="preserve"> analis</w:t>
      </w:r>
      <w:r w:rsidR="004C32A5">
        <w:t>adas</w:t>
      </w:r>
      <w:r w:rsidR="005D6D5C" w:rsidRPr="00BD1669">
        <w:t xml:space="preserve"> à luz da</w:t>
      </w:r>
      <w:r w:rsidR="00BA7DA3">
        <w:t>s</w:t>
      </w:r>
      <w:r w:rsidR="005D6D5C" w:rsidRPr="00BD1669">
        <w:t xml:space="preserve"> teoria</w:t>
      </w:r>
      <w:r w:rsidR="00BA7DA3">
        <w:t>s</w:t>
      </w:r>
      <w:r w:rsidR="005D6D5C" w:rsidRPr="00BD1669">
        <w:t xml:space="preserve"> </w:t>
      </w:r>
      <w:r w:rsidR="00BA7DA3">
        <w:t>e dos fatos</w:t>
      </w:r>
      <w:r w:rsidR="004C32A5">
        <w:t xml:space="preserve"> que</w:t>
      </w:r>
      <w:r>
        <w:t xml:space="preserve"> envolve</w:t>
      </w:r>
      <w:r w:rsidR="004C32A5">
        <w:t>m</w:t>
      </w:r>
      <w:r>
        <w:t xml:space="preserve"> problemas nas atribuições de </w:t>
      </w:r>
      <w:r w:rsidRPr="00BE1559">
        <w:rPr>
          <w:i/>
        </w:rPr>
        <w:t>ratings</w:t>
      </w:r>
      <w:r w:rsidR="00BA7DA3">
        <w:t>.</w:t>
      </w:r>
      <w:r w:rsidR="005D6D5C" w:rsidRPr="00BD1669">
        <w:t xml:space="preserve"> Desta forma, a estimação utilizando o modelo de </w:t>
      </w:r>
      <w:r w:rsidR="00BA7DA3">
        <w:t>d</w:t>
      </w:r>
      <w:r w:rsidR="005D6D5C" w:rsidRPr="00BD1669">
        <w:t xml:space="preserve">ados em </w:t>
      </w:r>
      <w:r w:rsidR="00BA7DA3">
        <w:t>p</w:t>
      </w:r>
      <w:r w:rsidR="005D6D5C" w:rsidRPr="00BD1669">
        <w:t>ainel segue em conformidade com alguns critérios de escolha de modelos</w:t>
      </w:r>
      <w:r w:rsidR="004C32A5">
        <w:t>. Entre eles,</w:t>
      </w:r>
      <w:r w:rsidR="005D6D5C" w:rsidRPr="00BD1669">
        <w:t xml:space="preserve"> </w:t>
      </w:r>
      <w:r w:rsidR="00BA7DA3">
        <w:t>aquele</w:t>
      </w:r>
      <w:r w:rsidR="005D6D5C" w:rsidRPr="00BD1669">
        <w:t xml:space="preserve"> que seja confirmável pelos dados, abrangente, no sentido de possuir bom poder de explicação</w:t>
      </w:r>
      <w:r w:rsidR="00BA7DA3">
        <w:t>,</w:t>
      </w:r>
      <w:r w:rsidR="005D6D5C" w:rsidRPr="00BD1669">
        <w:t xml:space="preserve"> e estar coeso com a</w:t>
      </w:r>
      <w:r w:rsidR="00BA7DA3">
        <w:t>s</w:t>
      </w:r>
      <w:r w:rsidR="005D6D5C" w:rsidRPr="00BD1669">
        <w:t xml:space="preserve"> teoria</w:t>
      </w:r>
      <w:r w:rsidR="00BA7DA3">
        <w:t>s</w:t>
      </w:r>
      <w:r w:rsidR="005D6D5C" w:rsidRPr="00BD1669">
        <w:t xml:space="preserve"> </w:t>
      </w:r>
      <w:r w:rsidR="00BA7DA3">
        <w:t xml:space="preserve">a respeito dos </w:t>
      </w:r>
      <w:r w:rsidR="00BA7DA3" w:rsidRPr="00BA7DA3">
        <w:rPr>
          <w:i/>
        </w:rPr>
        <w:t>ratings</w:t>
      </w:r>
      <w:r w:rsidR="00BA7DA3">
        <w:t xml:space="preserve"> e dos fatos recentes que os cercam</w:t>
      </w:r>
      <w:r w:rsidR="005D6D5C" w:rsidRPr="00BD1669">
        <w:t xml:space="preserve">. </w:t>
      </w:r>
    </w:p>
    <w:p w:rsidR="005D6D5C" w:rsidRPr="00BD1669" w:rsidRDefault="005D6D5C" w:rsidP="001C0249">
      <w:pPr>
        <w:tabs>
          <w:tab w:val="left" w:pos="720"/>
          <w:tab w:val="num" w:pos="1440"/>
        </w:tabs>
        <w:jc w:val="both"/>
      </w:pPr>
      <w:r w:rsidRPr="00BD1669">
        <w:tab/>
        <w:t xml:space="preserve">A utilização de dados em painel em funções de regressão tem se expandido com o avanço da econometria, </w:t>
      </w:r>
      <w:r w:rsidR="00BA7DA3">
        <w:t xml:space="preserve">o que </w:t>
      </w:r>
      <w:r w:rsidRPr="00BD1669">
        <w:t xml:space="preserve">possibilita avanços consideráveis em modelagem e testes estatísticos. </w:t>
      </w:r>
      <w:r w:rsidR="00BA7DA3">
        <w:t>Entre eles, têm-se m</w:t>
      </w:r>
      <w:r w:rsidRPr="00BD1669">
        <w:t xml:space="preserve">odelos dinâmicos, </w:t>
      </w:r>
      <w:proofErr w:type="gramStart"/>
      <w:r w:rsidRPr="00BD1669">
        <w:t>não-lineares</w:t>
      </w:r>
      <w:proofErr w:type="gramEnd"/>
      <w:r w:rsidRPr="00BD1669">
        <w:t xml:space="preserve">, modelos que incluem processos </w:t>
      </w:r>
      <w:proofErr w:type="spellStart"/>
      <w:r w:rsidRPr="00BD1669">
        <w:t>markovianos</w:t>
      </w:r>
      <w:proofErr w:type="spellEnd"/>
      <w:r w:rsidRPr="00BD1669">
        <w:t>, que consideram variáveis discretas, entre muitos outros</w:t>
      </w:r>
      <w:r w:rsidR="00BA7DA3">
        <w:t>, que podem ser</w:t>
      </w:r>
      <w:r w:rsidRPr="00BD1669">
        <w:t xml:space="preserve"> atualmente encontrados na literatura especializada e são muito utilizados para fins diversos.</w:t>
      </w:r>
    </w:p>
    <w:p w:rsidR="005D6D5C" w:rsidRPr="00BD1669" w:rsidRDefault="005D6D5C" w:rsidP="001C0249">
      <w:pPr>
        <w:autoSpaceDE w:val="0"/>
        <w:autoSpaceDN w:val="0"/>
        <w:adjustRightInd w:val="0"/>
        <w:jc w:val="both"/>
        <w:rPr>
          <w:rFonts w:eastAsia="Calibri"/>
          <w:sz w:val="20"/>
          <w:szCs w:val="20"/>
          <w:lang w:eastAsia="en-US"/>
        </w:rPr>
      </w:pPr>
      <w:r w:rsidRPr="00BD1669">
        <w:tab/>
      </w:r>
      <w:r w:rsidR="00666E82">
        <w:t>Por outro lado</w:t>
      </w:r>
      <w:r w:rsidRPr="00BD1669">
        <w:t xml:space="preserve">, o modelo de </w:t>
      </w:r>
      <w:r w:rsidR="00666E82">
        <w:t>d</w:t>
      </w:r>
      <w:r w:rsidRPr="00BD1669">
        <w:t xml:space="preserve">ados em </w:t>
      </w:r>
      <w:r w:rsidR="00666E82">
        <w:t>p</w:t>
      </w:r>
      <w:r w:rsidRPr="00BD1669">
        <w:t xml:space="preserve">ainel possui algumas limitações como qualquer modelo que simplifica algum fenômeno observado. Neste sentido, </w:t>
      </w:r>
      <w:proofErr w:type="spellStart"/>
      <w:r w:rsidRPr="00BD1669">
        <w:t>Arellano</w:t>
      </w:r>
      <w:proofErr w:type="spellEnd"/>
      <w:r w:rsidRPr="00BD1669">
        <w:t xml:space="preserve"> (2002) e </w:t>
      </w:r>
      <w:proofErr w:type="spellStart"/>
      <w:r w:rsidRPr="00BD1669">
        <w:t>Baltagi</w:t>
      </w:r>
      <w:proofErr w:type="spellEnd"/>
      <w:r w:rsidRPr="00BD1669">
        <w:t xml:space="preserve"> (1995) destacam algumas como, por exemplo, </w:t>
      </w:r>
      <w:r w:rsidRPr="00BD1669">
        <w:rPr>
          <w:rFonts w:eastAsia="Calibri"/>
          <w:lang w:eastAsia="en-US"/>
        </w:rPr>
        <w:t xml:space="preserve">o risco de se ter amostras incompletas ou com erros de medida, problemas ligados à presença de viés resultante de má especificação do modelo pela não consideração de uma eventual diferenciação dos coeficientes ao longo das unidades individuais e/ou ao longo do tempo, entre outras limitações.  </w:t>
      </w:r>
    </w:p>
    <w:p w:rsidR="005D6D5C" w:rsidRPr="00BD1669" w:rsidRDefault="005D6D5C" w:rsidP="001C0249">
      <w:pPr>
        <w:tabs>
          <w:tab w:val="left" w:pos="720"/>
          <w:tab w:val="num" w:pos="1440"/>
        </w:tabs>
        <w:jc w:val="both"/>
      </w:pPr>
      <w:r w:rsidRPr="00BD1669">
        <w:t xml:space="preserve">  </w:t>
      </w:r>
      <w:r w:rsidRPr="00BD1669">
        <w:tab/>
        <w:t xml:space="preserve">Para se atingir o objetivo do problema proposto </w:t>
      </w:r>
      <w:r w:rsidR="0033367C">
        <w:t>a partir d</w:t>
      </w:r>
      <w:r w:rsidRPr="00BD1669">
        <w:t xml:space="preserve">a amostra de dados disponível, </w:t>
      </w:r>
      <w:r w:rsidR="0033367C">
        <w:t xml:space="preserve">tentou-se afastar todos </w:t>
      </w:r>
      <w:r w:rsidRPr="00BD1669">
        <w:t>os problemas acima descritos, salientando</w:t>
      </w:r>
      <w:r w:rsidR="0033367C">
        <w:t>,</w:t>
      </w:r>
      <w:r w:rsidRPr="00BD1669">
        <w:t xml:space="preserve"> por outro lado</w:t>
      </w:r>
      <w:r w:rsidR="0033367C">
        <w:t>,</w:t>
      </w:r>
      <w:r w:rsidRPr="00BD1669">
        <w:t xml:space="preserve"> que também não ocorrer</w:t>
      </w:r>
      <w:r w:rsidR="0033367C">
        <w:t>am</w:t>
      </w:r>
      <w:r w:rsidRPr="00BD1669">
        <w:t xml:space="preserve"> problemas advindos de painéis não equilibrados</w:t>
      </w:r>
      <w:r w:rsidR="0033367C">
        <w:rPr>
          <w:rStyle w:val="Refdenotaderodap"/>
        </w:rPr>
        <w:footnoteReference w:id="7"/>
      </w:r>
      <w:r w:rsidRPr="00BD1669">
        <w:t xml:space="preserve">.  </w:t>
      </w:r>
    </w:p>
    <w:p w:rsidR="005D6D5C" w:rsidRPr="00BD1669" w:rsidRDefault="005D6D5C" w:rsidP="001C0249">
      <w:pPr>
        <w:tabs>
          <w:tab w:val="left" w:pos="720"/>
          <w:tab w:val="num" w:pos="1440"/>
        </w:tabs>
        <w:jc w:val="both"/>
      </w:pPr>
      <w:r w:rsidRPr="00BD1669">
        <w:tab/>
      </w:r>
    </w:p>
    <w:p w:rsidR="00C74F6E" w:rsidRPr="00BD1669" w:rsidRDefault="005D6D5C" w:rsidP="00C74F6E">
      <w:pPr>
        <w:tabs>
          <w:tab w:val="left" w:pos="720"/>
          <w:tab w:val="num" w:pos="1440"/>
        </w:tabs>
        <w:jc w:val="both"/>
      </w:pPr>
      <w:r w:rsidRPr="00BD1669">
        <w:t xml:space="preserve"> </w:t>
      </w:r>
      <w:r w:rsidRPr="00BD1669">
        <w:tab/>
      </w:r>
      <w:r w:rsidR="00C74F6E" w:rsidRPr="00BD1669">
        <w:t xml:space="preserve">4.1 </w:t>
      </w:r>
      <w:r w:rsidR="0030612B">
        <w:t>O MODELO ESTIMADO</w:t>
      </w:r>
    </w:p>
    <w:p w:rsidR="00C74F6E" w:rsidRPr="00BD1669" w:rsidRDefault="00C74F6E" w:rsidP="00C74F6E">
      <w:pPr>
        <w:tabs>
          <w:tab w:val="left" w:pos="720"/>
          <w:tab w:val="num" w:pos="1440"/>
        </w:tabs>
        <w:jc w:val="both"/>
      </w:pPr>
      <w:r w:rsidRPr="00BD1669">
        <w:tab/>
      </w:r>
    </w:p>
    <w:p w:rsidR="00C74F6E" w:rsidRDefault="00C74F6E" w:rsidP="00C74F6E">
      <w:pPr>
        <w:tabs>
          <w:tab w:val="left" w:pos="720"/>
          <w:tab w:val="num" w:pos="1440"/>
        </w:tabs>
        <w:jc w:val="both"/>
      </w:pPr>
      <w:r w:rsidRPr="00BD1669">
        <w:tab/>
        <w:t>A eq</w:t>
      </w:r>
      <w:r>
        <w:t xml:space="preserve">uação básica que representa o modelo </w:t>
      </w:r>
      <w:r w:rsidRPr="00BD1669">
        <w:t>estimado é</w:t>
      </w:r>
      <w:r>
        <w:t xml:space="preserve"> dada por</w:t>
      </w:r>
      <w:r w:rsidRPr="00BD1669">
        <w:t>:</w:t>
      </w:r>
    </w:p>
    <w:p w:rsidR="00C74F6E" w:rsidRDefault="00C74F6E" w:rsidP="00C74F6E">
      <w:pPr>
        <w:tabs>
          <w:tab w:val="left" w:pos="720"/>
          <w:tab w:val="num" w:pos="1440"/>
        </w:tabs>
        <w:jc w:val="both"/>
      </w:pPr>
    </w:p>
    <w:p w:rsidR="00C74F6E" w:rsidRDefault="00C74F6E" w:rsidP="00C74F6E">
      <w:pPr>
        <w:tabs>
          <w:tab w:val="left" w:pos="720"/>
          <w:tab w:val="num" w:pos="1440"/>
        </w:tabs>
        <w:jc w:val="right"/>
      </w:pPr>
      <w:r w:rsidRPr="00BD1669">
        <w:rPr>
          <w:position w:val="-12"/>
        </w:rPr>
        <w:object w:dxaOrig="1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6.5pt" o:ole="">
            <v:imagedata r:id="rId9" o:title=""/>
          </v:shape>
          <o:OLEObject Type="Embed" ProgID="Equation.DSMT4" ShapeID="_x0000_i1025" DrawAspect="Content" ObjectID="_1436112404" r:id="rId10"/>
        </w:object>
      </w:r>
      <w:r>
        <w:t xml:space="preserve">         </w:t>
      </w:r>
      <w:r>
        <w:tab/>
      </w:r>
      <w:r>
        <w:tab/>
      </w:r>
      <w:r>
        <w:tab/>
      </w:r>
      <w:r>
        <w:tab/>
      </w:r>
      <w:r>
        <w:tab/>
        <w:t xml:space="preserve">  (1)</w:t>
      </w:r>
    </w:p>
    <w:p w:rsidR="00C74F6E" w:rsidRPr="00BD1669" w:rsidRDefault="00C74F6E" w:rsidP="00C74F6E">
      <w:pPr>
        <w:tabs>
          <w:tab w:val="left" w:pos="720"/>
          <w:tab w:val="num" w:pos="1440"/>
        </w:tabs>
        <w:jc w:val="right"/>
      </w:pPr>
    </w:p>
    <w:p w:rsidR="00C74F6E" w:rsidRDefault="00C74F6E" w:rsidP="00C74F6E">
      <w:pPr>
        <w:tabs>
          <w:tab w:val="left" w:pos="720"/>
          <w:tab w:val="num" w:pos="1440"/>
        </w:tabs>
        <w:jc w:val="both"/>
      </w:pPr>
      <w:r w:rsidRPr="00BD1669">
        <w:lastRenderedPageBreak/>
        <w:tab/>
        <w:t xml:space="preserve">Onde </w:t>
      </w:r>
      <w:r w:rsidRPr="006B5A48">
        <w:rPr>
          <w:i/>
        </w:rPr>
        <w:t>R</w:t>
      </w:r>
      <w:r>
        <w:rPr>
          <w:i/>
        </w:rPr>
        <w:t xml:space="preserve"> </w:t>
      </w:r>
      <w:r>
        <w:t xml:space="preserve">é a classificação de </w:t>
      </w:r>
      <w:r w:rsidRPr="006B5A48">
        <w:rPr>
          <w:i/>
        </w:rPr>
        <w:t>ratings</w:t>
      </w:r>
      <w:r>
        <w:t xml:space="preserve">, </w:t>
      </w:r>
      <w:r w:rsidRPr="006B5A48">
        <w:rPr>
          <w:position w:val="-12"/>
        </w:rPr>
        <w:object w:dxaOrig="279" w:dyaOrig="360">
          <v:shape id="_x0000_i1026" type="#_x0000_t75" style="width:14.25pt;height:18pt" o:ole="">
            <v:imagedata r:id="rId11" o:title=""/>
          </v:shape>
          <o:OLEObject Type="Embed" ProgID="Equation.DSMT4" ShapeID="_x0000_i1026" DrawAspect="Content" ObjectID="_1436112405" r:id="rId12"/>
        </w:object>
      </w:r>
      <w:r>
        <w:t xml:space="preserve"> é matriz das variáveis explicativas com k </w:t>
      </w:r>
      <w:proofErr w:type="spellStart"/>
      <w:r>
        <w:t>regressores</w:t>
      </w:r>
      <w:proofErr w:type="spellEnd"/>
      <w:r>
        <w:t xml:space="preserve"> sem a constante, </w:t>
      </w:r>
      <w:r w:rsidRPr="00BD1669">
        <w:rPr>
          <w:i/>
        </w:rPr>
        <w:t>i=1,</w:t>
      </w:r>
      <w:proofErr w:type="gramStart"/>
      <w:r w:rsidRPr="00BD1669">
        <w:rPr>
          <w:i/>
        </w:rPr>
        <w:t>...,</w:t>
      </w:r>
      <w:proofErr w:type="gramEnd"/>
      <w:r w:rsidRPr="00BD1669">
        <w:rPr>
          <w:i/>
        </w:rPr>
        <w:t xml:space="preserve">N, </w:t>
      </w:r>
      <w:r w:rsidRPr="00BD1669">
        <w:t xml:space="preserve">se refere à unidade </w:t>
      </w:r>
      <w:proofErr w:type="spellStart"/>
      <w:r w:rsidRPr="00BD1669">
        <w:rPr>
          <w:i/>
        </w:rPr>
        <w:t>cross-section</w:t>
      </w:r>
      <w:proofErr w:type="spellEnd"/>
      <w:r w:rsidRPr="00BD1669">
        <w:t xml:space="preserve"> (país</w:t>
      </w:r>
      <w:r w:rsidRPr="00BD1669">
        <w:rPr>
          <w:i/>
        </w:rPr>
        <w:t>)</w:t>
      </w:r>
      <w:r w:rsidRPr="00BD1669">
        <w:t xml:space="preserve"> e </w:t>
      </w:r>
      <w:r w:rsidRPr="00BD1669">
        <w:rPr>
          <w:i/>
        </w:rPr>
        <w:t>t=1,…,T</w:t>
      </w:r>
      <w:r w:rsidRPr="00BD1669">
        <w:t xml:space="preserve">, refere-se ao tempo (ano) e </w:t>
      </w:r>
      <w:r w:rsidRPr="006B5A48">
        <w:rPr>
          <w:position w:val="-12"/>
        </w:rPr>
        <w:object w:dxaOrig="279" w:dyaOrig="360">
          <v:shape id="_x0000_i1027" type="#_x0000_t75" style="width:14.25pt;height:18pt" o:ole="">
            <v:imagedata r:id="rId13" o:title=""/>
          </v:shape>
          <o:OLEObject Type="Embed" ProgID="Equation.DSMT4" ShapeID="_x0000_i1027" DrawAspect="Content" ObjectID="_1436112406" r:id="rId14"/>
        </w:object>
      </w:r>
      <w:r>
        <w:t xml:space="preserve"> é o termo de erro tal que </w:t>
      </w:r>
      <w:r w:rsidRPr="00BD1669">
        <w:rPr>
          <w:position w:val="-12"/>
        </w:rPr>
        <w:object w:dxaOrig="1380" w:dyaOrig="380">
          <v:shape id="_x0000_i1028" type="#_x0000_t75" style="width:59.25pt;height:16.5pt" o:ole="">
            <v:imagedata r:id="rId15" o:title=""/>
          </v:shape>
          <o:OLEObject Type="Embed" ProgID="Equation.DSMT4" ShapeID="_x0000_i1028" DrawAspect="Content" ObjectID="_1436112407" r:id="rId16"/>
        </w:object>
      </w:r>
      <w:r w:rsidRPr="00BD1669">
        <w:t xml:space="preserve"> com ausência de </w:t>
      </w:r>
      <w:proofErr w:type="spellStart"/>
      <w:r w:rsidRPr="00BD1669">
        <w:t>autocorrelação</w:t>
      </w:r>
      <w:proofErr w:type="spellEnd"/>
      <w:r w:rsidRPr="00BD1669">
        <w:t xml:space="preserve"> dos resíduos </w:t>
      </w:r>
      <w:r w:rsidRPr="00BD1669">
        <w:rPr>
          <w:i/>
        </w:rPr>
        <w:t>IID</w:t>
      </w:r>
      <w:r w:rsidRPr="00BD1669">
        <w:t xml:space="preserve"> (independente e identicamente distribuídos), o parâmetro </w:t>
      </w:r>
      <w:r w:rsidRPr="00BD1669">
        <w:rPr>
          <w:position w:val="-12"/>
        </w:rPr>
        <w:object w:dxaOrig="320" w:dyaOrig="360">
          <v:shape id="_x0000_i1029" type="#_x0000_t75" style="width:17.25pt;height:17.25pt" o:ole="">
            <v:imagedata r:id="rId17" o:title=""/>
          </v:shape>
          <o:OLEObject Type="Embed" ProgID="Equation.3" ShapeID="_x0000_i1029" DrawAspect="Content" ObjectID="_1436112408" r:id="rId18"/>
        </w:object>
      </w:r>
      <w:r w:rsidRPr="00BD1669">
        <w:rPr>
          <w:position w:val="-10"/>
        </w:rPr>
        <w:object w:dxaOrig="1100" w:dyaOrig="360">
          <v:shape id="_x0000_i1030" type="#_x0000_t75" style="width:54.75pt;height:18pt" o:ole="">
            <v:imagedata r:id="rId19" o:title=""/>
          </v:shape>
          <o:OLEObject Type="Embed" ProgID="Equation.DSMT4" ShapeID="_x0000_i1030" DrawAspect="Content" ObjectID="_1436112409" r:id="rId20"/>
        </w:object>
      </w:r>
      <w:r w:rsidRPr="00BD1669">
        <w:t xml:space="preserve">, é um termo estocástico inerente às unidades individuais, que capta os efeitos individuais e pode ou não ser correlacionado com o vetor de variáveis explicativas como mostra Cameron e </w:t>
      </w:r>
      <w:proofErr w:type="spellStart"/>
      <w:r w:rsidRPr="00BD1669">
        <w:t>Trivedi</w:t>
      </w:r>
      <w:proofErr w:type="spellEnd"/>
      <w:r w:rsidRPr="00BD1669">
        <w:t xml:space="preserve"> (2005). </w:t>
      </w:r>
    </w:p>
    <w:p w:rsidR="00C74F6E" w:rsidRDefault="00C74F6E" w:rsidP="00C74F6E">
      <w:pPr>
        <w:tabs>
          <w:tab w:val="left" w:pos="720"/>
          <w:tab w:val="num" w:pos="1440"/>
        </w:tabs>
        <w:ind w:firstLine="720"/>
        <w:jc w:val="both"/>
      </w:pPr>
      <w:r w:rsidRPr="00BD1669">
        <w:t>Caso</w:t>
      </w:r>
      <w:r>
        <w:t xml:space="preserve"> </w:t>
      </w:r>
      <w:r w:rsidRPr="006B7360">
        <w:rPr>
          <w:position w:val="-14"/>
        </w:rPr>
        <w:object w:dxaOrig="1540" w:dyaOrig="380">
          <v:shape id="_x0000_i1031" type="#_x0000_t75" style="width:66pt;height:16.5pt" o:ole="">
            <v:imagedata r:id="rId21" o:title=""/>
          </v:shape>
          <o:OLEObject Type="Embed" ProgID="Equation.DSMT4" ShapeID="_x0000_i1031" DrawAspect="Content" ObjectID="_1436112410" r:id="rId22"/>
        </w:object>
      </w:r>
      <w:r>
        <w:t xml:space="preserve">, </w:t>
      </w:r>
      <w:r w:rsidRPr="00BD1669">
        <w:t xml:space="preserve">a estimação deve ser feita </w:t>
      </w:r>
      <w:r>
        <w:t>por meio de um modelo com</w:t>
      </w:r>
      <w:r w:rsidRPr="00BD1669">
        <w:t xml:space="preserve"> efeitos fixos</w:t>
      </w:r>
      <w:r>
        <w:t xml:space="preserve">. Tem-se que a ideia é eliminar o efeito </w:t>
      </w:r>
      <w:proofErr w:type="gramStart"/>
      <w:r>
        <w:t>não-observado</w:t>
      </w:r>
      <w:proofErr w:type="gramEnd"/>
      <w:r>
        <w:t xml:space="preserve"> </w:t>
      </w:r>
      <w:r w:rsidRPr="008E6D35">
        <w:rPr>
          <w:position w:val="-12"/>
        </w:rPr>
        <w:object w:dxaOrig="260" w:dyaOrig="360">
          <v:shape id="_x0000_i1032" type="#_x0000_t75" style="width:12.75pt;height:18pt" o:ole="">
            <v:imagedata r:id="rId23" o:title=""/>
          </v:shape>
          <o:OLEObject Type="Embed" ProgID="Equation.DSMT4" ShapeID="_x0000_i1032" DrawAspect="Content" ObjectID="_1436112411" r:id="rId24"/>
        </w:object>
      </w:r>
      <w:r>
        <w:t xml:space="preserve">, baseado na suposição de que </w:t>
      </w:r>
      <w:r w:rsidRPr="008E6D35">
        <w:rPr>
          <w:position w:val="-12"/>
        </w:rPr>
        <w:object w:dxaOrig="1540" w:dyaOrig="360">
          <v:shape id="_x0000_i1033" type="#_x0000_t75" style="width:77.25pt;height:18pt" o:ole="">
            <v:imagedata r:id="rId25" o:title=""/>
          </v:shape>
          <o:OLEObject Type="Embed" ProgID="Equation.DSMT4" ShapeID="_x0000_i1033" DrawAspect="Content" ObjectID="_1436112412" r:id="rId26"/>
        </w:object>
      </w:r>
      <w:r>
        <w:t xml:space="preserve">, o que é  conhecida como condição de </w:t>
      </w:r>
      <w:proofErr w:type="spellStart"/>
      <w:r>
        <w:t>exogeneidade</w:t>
      </w:r>
      <w:proofErr w:type="spellEnd"/>
      <w:r>
        <w:t xml:space="preserve"> estrita. Para tal deve-se tirar a media da equação (1) no tempo:</w:t>
      </w:r>
    </w:p>
    <w:p w:rsidR="00C74F6E" w:rsidRDefault="00C74F6E" w:rsidP="00C74F6E">
      <w:pPr>
        <w:tabs>
          <w:tab w:val="left" w:pos="720"/>
          <w:tab w:val="num" w:pos="1440"/>
        </w:tabs>
        <w:ind w:firstLine="720"/>
        <w:jc w:val="both"/>
      </w:pPr>
      <w:r>
        <w:t xml:space="preserve"> </w:t>
      </w:r>
    </w:p>
    <w:p w:rsidR="00C74F6E" w:rsidRDefault="00C74F6E" w:rsidP="00C74F6E">
      <w:pPr>
        <w:tabs>
          <w:tab w:val="left" w:pos="720"/>
          <w:tab w:val="num" w:pos="1440"/>
        </w:tabs>
        <w:ind w:firstLine="720"/>
        <w:jc w:val="right"/>
      </w:pPr>
      <w:r w:rsidRPr="00C874C4">
        <w:rPr>
          <w:position w:val="-12"/>
        </w:rPr>
        <w:object w:dxaOrig="1719" w:dyaOrig="499">
          <v:shape id="_x0000_i1034" type="#_x0000_t75" style="width:92.25pt;height:26.25pt" o:ole="">
            <v:imagedata r:id="rId27" o:title=""/>
          </v:shape>
          <o:OLEObject Type="Embed" ProgID="Equation.DSMT4" ShapeID="_x0000_i1034" DrawAspect="Content" ObjectID="_1436112413" r:id="rId28"/>
        </w:object>
      </w:r>
      <w:r>
        <w:t xml:space="preserve">   </w:t>
      </w:r>
      <w:r>
        <w:tab/>
      </w:r>
      <w:r>
        <w:tab/>
        <w:t xml:space="preserve"> </w:t>
      </w:r>
      <w:r>
        <w:tab/>
      </w:r>
      <w:r>
        <w:tab/>
      </w:r>
      <w:r>
        <w:tab/>
      </w:r>
      <w:r>
        <w:tab/>
        <w:t xml:space="preserve">  (2)</w:t>
      </w:r>
    </w:p>
    <w:p w:rsidR="00C74F6E" w:rsidRDefault="00C74F6E" w:rsidP="00C74F6E">
      <w:pPr>
        <w:tabs>
          <w:tab w:val="left" w:pos="720"/>
          <w:tab w:val="num" w:pos="1440"/>
        </w:tabs>
        <w:jc w:val="both"/>
      </w:pPr>
      <w:proofErr w:type="gramStart"/>
      <w:r>
        <w:t>e</w:t>
      </w:r>
      <w:proofErr w:type="gramEnd"/>
      <w:r>
        <w:t xml:space="preserve"> subtraindo (2) de (1), obtém:</w:t>
      </w:r>
    </w:p>
    <w:p w:rsidR="00C74F6E" w:rsidRDefault="00C74F6E" w:rsidP="00C74F6E">
      <w:pPr>
        <w:tabs>
          <w:tab w:val="left" w:pos="720"/>
          <w:tab w:val="num" w:pos="1440"/>
        </w:tabs>
        <w:jc w:val="both"/>
      </w:pPr>
    </w:p>
    <w:p w:rsidR="00C74F6E" w:rsidRDefault="00C74F6E" w:rsidP="00C74F6E">
      <w:pPr>
        <w:tabs>
          <w:tab w:val="left" w:pos="720"/>
          <w:tab w:val="num" w:pos="1440"/>
        </w:tabs>
        <w:jc w:val="right"/>
      </w:pPr>
      <w:r w:rsidRPr="00C874C4">
        <w:rPr>
          <w:position w:val="-12"/>
        </w:rPr>
        <w:object w:dxaOrig="3100" w:dyaOrig="499">
          <v:shape id="_x0000_i1035" type="#_x0000_t75" style="width:156.75pt;height:25.5pt" o:ole="">
            <v:imagedata r:id="rId29" o:title=""/>
          </v:shape>
          <o:OLEObject Type="Embed" ProgID="Equation.DSMT4" ShapeID="_x0000_i1035" DrawAspect="Content" ObjectID="_1436112414" r:id="rId30"/>
        </w:object>
      </w:r>
      <w:r>
        <w:t xml:space="preserve"> </w:t>
      </w:r>
      <w:r>
        <w:tab/>
      </w:r>
      <w:r>
        <w:tab/>
      </w:r>
      <w:r>
        <w:tab/>
      </w:r>
      <w:r>
        <w:tab/>
      </w:r>
      <w:r>
        <w:tab/>
        <w:t xml:space="preserve">  (3)</w:t>
      </w:r>
    </w:p>
    <w:p w:rsidR="00C74F6E" w:rsidRDefault="00C74F6E" w:rsidP="00C74F6E">
      <w:pPr>
        <w:tabs>
          <w:tab w:val="left" w:pos="720"/>
          <w:tab w:val="num" w:pos="1440"/>
        </w:tabs>
        <w:jc w:val="right"/>
      </w:pPr>
    </w:p>
    <w:p w:rsidR="00C74F6E" w:rsidRDefault="00C74F6E" w:rsidP="00C74F6E">
      <w:pPr>
        <w:tabs>
          <w:tab w:val="left" w:pos="720"/>
          <w:tab w:val="num" w:pos="1440"/>
        </w:tabs>
        <w:jc w:val="both"/>
      </w:pPr>
      <w:proofErr w:type="gramStart"/>
      <w:r w:rsidRPr="0022680A">
        <w:t>de</w:t>
      </w:r>
      <w:proofErr w:type="gramEnd"/>
      <w:r w:rsidRPr="0022680A">
        <w:t xml:space="preserve"> modo que o efe</w:t>
      </w:r>
      <w:r>
        <w:t>i</w:t>
      </w:r>
      <w:r w:rsidRPr="0022680A">
        <w:t>t</w:t>
      </w:r>
      <w:r>
        <w:t xml:space="preserve">o </w:t>
      </w:r>
      <w:r w:rsidRPr="0022680A">
        <w:t xml:space="preserve">fixo </w:t>
      </w:r>
      <w:r w:rsidRPr="0022680A">
        <w:rPr>
          <w:position w:val="-12"/>
        </w:rPr>
        <w:object w:dxaOrig="260" w:dyaOrig="360">
          <v:shape id="_x0000_i1036" type="#_x0000_t75" style="width:12.75pt;height:18pt" o:ole="">
            <v:imagedata r:id="rId31" o:title=""/>
          </v:shape>
          <o:OLEObject Type="Embed" ProgID="Equation.DSMT4" ShapeID="_x0000_i1036" DrawAspect="Content" ObjectID="_1436112415" r:id="rId32"/>
        </w:object>
      </w:r>
      <w:r>
        <w:t xml:space="preserve"> é eliminado. Sendo assim, pode-se usar MQO para obter o estimador de efeitos fixos. </w:t>
      </w:r>
    </w:p>
    <w:p w:rsidR="00C74F6E" w:rsidRDefault="00C74F6E" w:rsidP="00C74F6E">
      <w:pPr>
        <w:autoSpaceDE w:val="0"/>
        <w:autoSpaceDN w:val="0"/>
        <w:adjustRightInd w:val="0"/>
        <w:jc w:val="both"/>
      </w:pPr>
      <w:r>
        <w:t xml:space="preserve">            Mas, caso </w:t>
      </w:r>
      <w:r w:rsidRPr="006B7360">
        <w:rPr>
          <w:position w:val="-14"/>
        </w:rPr>
        <w:object w:dxaOrig="1540" w:dyaOrig="380">
          <v:shape id="_x0000_i1037" type="#_x0000_t75" style="width:66pt;height:16.5pt" o:ole="">
            <v:imagedata r:id="rId33" o:title=""/>
          </v:shape>
          <o:OLEObject Type="Embed" ProgID="Equation.DSMT4" ShapeID="_x0000_i1037" DrawAspect="Content" ObjectID="_1436112416" r:id="rId34"/>
        </w:object>
      </w:r>
      <w:r>
        <w:t xml:space="preserve">, ou seja, </w:t>
      </w:r>
      <w:r w:rsidRPr="0022680A">
        <w:rPr>
          <w:position w:val="-12"/>
        </w:rPr>
        <w:object w:dxaOrig="260" w:dyaOrig="360">
          <v:shape id="_x0000_i1038" type="#_x0000_t75" style="width:12.75pt;height:18pt" o:ole="">
            <v:imagedata r:id="rId31" o:title=""/>
          </v:shape>
          <o:OLEObject Type="Embed" ProgID="Equation.DSMT4" ShapeID="_x0000_i1038" DrawAspect="Content" ObjectID="_1436112417" r:id="rId35"/>
        </w:object>
      </w:r>
      <w:r>
        <w:t xml:space="preserve"> é </w:t>
      </w:r>
      <w:r w:rsidRPr="00BD1669">
        <w:t>não correlacionado com o vetor de variáveis</w:t>
      </w:r>
      <w:r>
        <w:t xml:space="preserve"> </w:t>
      </w:r>
      <w:r w:rsidRPr="00BD1669">
        <w:t>explicativas</w:t>
      </w:r>
      <w:r>
        <w:t xml:space="preserve">, se torna preferível modelar esses efeitos como aleatoriamente distribuídos entre as unidades observacionais, utilizando o modelo de efeitos aleatórios. Por existir correlação entre os erros do mesmo indivíduo em períodos de tempo diferentes, se torna mais apropriado recorrer ao estimador de Mínimos quadrados generalizados (MQG), em vez do MQO. </w:t>
      </w:r>
    </w:p>
    <w:p w:rsidR="00C74F6E" w:rsidRDefault="00C74F6E" w:rsidP="00C74F6E">
      <w:pPr>
        <w:autoSpaceDE w:val="0"/>
        <w:autoSpaceDN w:val="0"/>
        <w:adjustRightInd w:val="0"/>
        <w:jc w:val="both"/>
      </w:pPr>
      <w:r>
        <w:t xml:space="preserve">           Percebe-se que o fator principal para a escolha de qual modelo (efeitos fixos ou aleatórios) deve ser usado reside na presença ou não de </w:t>
      </w:r>
      <w:r w:rsidRPr="00BD1669">
        <w:t>correlaç</w:t>
      </w:r>
      <w:r>
        <w:t xml:space="preserve">ão entre </w:t>
      </w:r>
      <w:r w:rsidRPr="0022680A">
        <w:rPr>
          <w:position w:val="-12"/>
        </w:rPr>
        <w:object w:dxaOrig="260" w:dyaOrig="360">
          <v:shape id="_x0000_i1039" type="#_x0000_t75" style="width:12.75pt;height:18pt" o:ole="">
            <v:imagedata r:id="rId31" o:title=""/>
          </v:shape>
          <o:OLEObject Type="Embed" ProgID="Equation.DSMT4" ShapeID="_x0000_i1039" DrawAspect="Content" ObjectID="_1436112418" r:id="rId36"/>
        </w:object>
      </w:r>
      <w:r>
        <w:t xml:space="preserve"> e </w:t>
      </w:r>
      <w:r w:rsidRPr="00BD1669">
        <w:t>o vetor de variáveis</w:t>
      </w:r>
      <w:r>
        <w:t xml:space="preserve"> </w:t>
      </w:r>
      <w:r w:rsidRPr="00BD1669">
        <w:t>explicativas</w:t>
      </w:r>
      <w:r>
        <w:t xml:space="preserve">. </w:t>
      </w:r>
      <w:r w:rsidRPr="00BD1669">
        <w:t xml:space="preserve">O teste de </w:t>
      </w:r>
      <w:proofErr w:type="spellStart"/>
      <w:r w:rsidRPr="00BD1669">
        <w:t>Hausman</w:t>
      </w:r>
      <w:proofErr w:type="spellEnd"/>
      <w:r w:rsidRPr="00BD1669">
        <w:t xml:space="preserve"> (1978) é utilizado para detectar a presença ou não de tal correlação, e assume como hipótese nula a não correlação entre </w:t>
      </w:r>
      <w:r w:rsidRPr="00BD1669">
        <w:rPr>
          <w:position w:val="-12"/>
        </w:rPr>
        <w:object w:dxaOrig="320" w:dyaOrig="360">
          <v:shape id="_x0000_i1040" type="#_x0000_t75" style="width:16.5pt;height:16.5pt" o:ole="">
            <v:imagedata r:id="rId17" o:title=""/>
          </v:shape>
          <o:OLEObject Type="Embed" ProgID="Equation.3" ShapeID="_x0000_i1040" DrawAspect="Content" ObjectID="_1436112419" r:id="rId37"/>
        </w:object>
      </w:r>
      <w:r w:rsidRPr="00BD1669">
        <w:rPr>
          <w:position w:val="-12"/>
        </w:rPr>
        <w:t xml:space="preserve"> </w:t>
      </w:r>
      <w:r w:rsidRPr="00BD1669">
        <w:t>e as variáveis explicativas do modelo.</w:t>
      </w:r>
      <w:r>
        <w:t xml:space="preserve"> Caso a hipótese nula for aceite, os estimadores de efeitos aleatórios e fixos serão consistentes, mas prefere-se o estimador de efeitos aleatório dado o fato do estimador de efeitos fixos </w:t>
      </w:r>
      <w:proofErr w:type="gramStart"/>
      <w:r>
        <w:t>ser</w:t>
      </w:r>
      <w:proofErr w:type="gramEnd"/>
      <w:r>
        <w:t xml:space="preserve"> ineficiente. Na outra mão, se a hipótese nula não for aceite, prefere-se o estimador de efeitos fixos por ser eficiente e consistente, sendo que nesse caso o estimador de efeitos aleatórios se torna inconsistente.  </w:t>
      </w:r>
    </w:p>
    <w:p w:rsidR="00754696" w:rsidRDefault="00754696" w:rsidP="00C74F6E">
      <w:pPr>
        <w:tabs>
          <w:tab w:val="left" w:pos="720"/>
          <w:tab w:val="num" w:pos="1440"/>
        </w:tabs>
        <w:jc w:val="both"/>
      </w:pPr>
      <w:r>
        <w:t xml:space="preserve">  </w:t>
      </w:r>
    </w:p>
    <w:p w:rsidR="005D6D5C" w:rsidRPr="00BD1669" w:rsidRDefault="005D6D5C" w:rsidP="001C0249">
      <w:pPr>
        <w:tabs>
          <w:tab w:val="left" w:pos="720"/>
          <w:tab w:val="num" w:pos="1440"/>
        </w:tabs>
        <w:jc w:val="both"/>
      </w:pPr>
      <w:proofErr w:type="gramStart"/>
      <w:r w:rsidRPr="00BD1669">
        <w:t>5</w:t>
      </w:r>
      <w:proofErr w:type="gramEnd"/>
      <w:r w:rsidRPr="00BD1669">
        <w:t xml:space="preserve"> RESULTADOS </w:t>
      </w:r>
    </w:p>
    <w:p w:rsidR="00483CDD" w:rsidRPr="00BD1669" w:rsidRDefault="00483CDD" w:rsidP="001C0249">
      <w:pPr>
        <w:tabs>
          <w:tab w:val="left" w:pos="720"/>
          <w:tab w:val="num" w:pos="1440"/>
        </w:tabs>
        <w:jc w:val="both"/>
      </w:pPr>
    </w:p>
    <w:p w:rsidR="004264F6" w:rsidRPr="00BD1669" w:rsidRDefault="0092184E" w:rsidP="004264F6">
      <w:pPr>
        <w:ind w:firstLine="709"/>
        <w:jc w:val="both"/>
      </w:pPr>
      <w:r w:rsidRPr="00BD1669">
        <w:t>Como já res</w:t>
      </w:r>
      <w:r w:rsidR="00A532D8" w:rsidRPr="00BD1669">
        <w:t>s</w:t>
      </w:r>
      <w:r w:rsidRPr="00BD1669">
        <w:t xml:space="preserve">altado </w:t>
      </w:r>
      <w:r w:rsidR="00D35673" w:rsidRPr="00BD1669">
        <w:t>o</w:t>
      </w:r>
      <w:r w:rsidR="00801AE3" w:rsidRPr="00BD1669">
        <w:t xml:space="preserve">s dados referentes </w:t>
      </w:r>
      <w:r w:rsidR="00D35673" w:rsidRPr="00BD1669">
        <w:t>à</w:t>
      </w:r>
      <w:r w:rsidR="00BC0D85">
        <w:t>s</w:t>
      </w:r>
      <w:r w:rsidR="00801AE3" w:rsidRPr="00BD1669">
        <w:t xml:space="preserve"> classificaç</w:t>
      </w:r>
      <w:r w:rsidR="00BC0D85">
        <w:t>ões</w:t>
      </w:r>
      <w:r w:rsidR="00801AE3" w:rsidRPr="00BD1669">
        <w:t xml:space="preserve"> de </w:t>
      </w:r>
      <w:r w:rsidR="00801AE3" w:rsidRPr="00BD1669">
        <w:rPr>
          <w:i/>
        </w:rPr>
        <w:t>ratings</w:t>
      </w:r>
      <w:r w:rsidR="00801AE3" w:rsidRPr="00BD1669">
        <w:t xml:space="preserve"> foram recolhidos </w:t>
      </w:r>
      <w:r w:rsidR="00D35673" w:rsidRPr="00BD1669">
        <w:t xml:space="preserve">junto à agência </w:t>
      </w:r>
      <w:r w:rsidR="00D35673" w:rsidRPr="00BD1669">
        <w:rPr>
          <w:i/>
        </w:rPr>
        <w:t xml:space="preserve">Standard </w:t>
      </w:r>
      <w:r w:rsidR="00D35673" w:rsidRPr="00BD1669">
        <w:t>&amp;</w:t>
      </w:r>
      <w:r w:rsidR="00D35673" w:rsidRPr="00BD1669">
        <w:rPr>
          <w:i/>
        </w:rPr>
        <w:t xml:space="preserve"> </w:t>
      </w:r>
      <w:proofErr w:type="spellStart"/>
      <w:r w:rsidR="00D35673" w:rsidRPr="00BD1669">
        <w:rPr>
          <w:i/>
        </w:rPr>
        <w:t>Poor’s</w:t>
      </w:r>
      <w:proofErr w:type="spellEnd"/>
      <w:r w:rsidR="00D35673" w:rsidRPr="00BD1669">
        <w:t xml:space="preserve"> e os referentes aos fundamentos macroeconômicos foram obtidos </w:t>
      </w:r>
      <w:r w:rsidR="00BC0D85">
        <w:t>junto ao</w:t>
      </w:r>
      <w:r w:rsidR="00801AE3" w:rsidRPr="00BD1669">
        <w:t xml:space="preserve"> Banco Mundial</w:t>
      </w:r>
      <w:r w:rsidR="00D35673" w:rsidRPr="00BD1669">
        <w:t>.</w:t>
      </w:r>
      <w:r w:rsidR="00801AE3" w:rsidRPr="00BD1669">
        <w:t xml:space="preserve"> </w:t>
      </w:r>
      <w:r w:rsidR="004264F6">
        <w:t>A amostra compreendeu dados de 29</w:t>
      </w:r>
      <w:r w:rsidR="004264F6" w:rsidRPr="00BD1669">
        <w:t xml:space="preserve"> países, e tiveram como fonte à agência </w:t>
      </w:r>
      <w:r w:rsidR="004264F6" w:rsidRPr="00BD1669">
        <w:rPr>
          <w:i/>
        </w:rPr>
        <w:t xml:space="preserve">Standard </w:t>
      </w:r>
      <w:r w:rsidR="004264F6" w:rsidRPr="00BD1669">
        <w:t>&amp;</w:t>
      </w:r>
      <w:r w:rsidR="004264F6" w:rsidRPr="00BD1669">
        <w:rPr>
          <w:i/>
        </w:rPr>
        <w:t xml:space="preserve"> </w:t>
      </w:r>
      <w:proofErr w:type="spellStart"/>
      <w:r w:rsidR="004264F6" w:rsidRPr="00BD1669">
        <w:rPr>
          <w:i/>
        </w:rPr>
        <w:t>Poor’s</w:t>
      </w:r>
      <w:proofErr w:type="spellEnd"/>
      <w:r w:rsidR="004264F6" w:rsidRPr="00BD1669">
        <w:t xml:space="preserve"> e a base de dados do Banco Mundial. É importante ressaltar que o início da amostra temporal de </w:t>
      </w:r>
      <w:r w:rsidR="004264F6" w:rsidRPr="00BD1669">
        <w:rPr>
          <w:i/>
        </w:rPr>
        <w:t xml:space="preserve">ratings </w:t>
      </w:r>
      <w:r w:rsidR="004264F6" w:rsidRPr="00BD1669">
        <w:t>se d</w:t>
      </w:r>
      <w:r w:rsidR="004264F6">
        <w:t>eu</w:t>
      </w:r>
      <w:r w:rsidR="004264F6" w:rsidRPr="00BD1669">
        <w:t xml:space="preserve"> a partir em 1989 e o termino em </w:t>
      </w:r>
      <w:r w:rsidR="004264F6" w:rsidRPr="00633D99">
        <w:t>2011</w:t>
      </w:r>
      <w:r w:rsidR="004264F6" w:rsidRPr="00BD1669">
        <w:t xml:space="preserve">, porém nem todos os países tiveram atribuições de </w:t>
      </w:r>
      <w:r w:rsidR="004264F6" w:rsidRPr="00BD1669">
        <w:rPr>
          <w:i/>
        </w:rPr>
        <w:t xml:space="preserve">ratings </w:t>
      </w:r>
      <w:r w:rsidR="004264F6" w:rsidRPr="00BD1669">
        <w:t>se iniciando nesse ano, o que leva a realizações de estimações baseadas num painel não equilibrado.</w:t>
      </w:r>
    </w:p>
    <w:p w:rsidR="00975642" w:rsidRDefault="00D35673" w:rsidP="001C0249">
      <w:pPr>
        <w:tabs>
          <w:tab w:val="left" w:pos="720"/>
          <w:tab w:val="num" w:pos="1440"/>
        </w:tabs>
        <w:ind w:firstLine="720"/>
        <w:jc w:val="both"/>
      </w:pPr>
      <w:r w:rsidRPr="00BD1669">
        <w:t>A seguir são apresentadas as estatísticas descritivas</w:t>
      </w:r>
      <w:r w:rsidR="00B313AB" w:rsidRPr="00BD1669">
        <w:t>:</w:t>
      </w:r>
    </w:p>
    <w:p w:rsidR="00A56F36" w:rsidRDefault="00A56F36" w:rsidP="00A56F36">
      <w:pPr>
        <w:tabs>
          <w:tab w:val="left" w:pos="720"/>
          <w:tab w:val="num" w:pos="1440"/>
        </w:tabs>
        <w:ind w:firstLine="720"/>
        <w:jc w:val="both"/>
      </w:pPr>
    </w:p>
    <w:p w:rsidR="00A56F36" w:rsidRDefault="00A56F36" w:rsidP="00A56F36">
      <w:pPr>
        <w:tabs>
          <w:tab w:val="left" w:pos="720"/>
          <w:tab w:val="num" w:pos="1440"/>
        </w:tabs>
        <w:jc w:val="center"/>
      </w:pPr>
      <w:r w:rsidRPr="00BD1669">
        <w:lastRenderedPageBreak/>
        <w:t>Tabela 3 - Estatística descritiva das variáveis analisadas</w:t>
      </w:r>
    </w:p>
    <w:p w:rsidR="00024B64" w:rsidRDefault="00024B64" w:rsidP="00A56F36">
      <w:pPr>
        <w:tabs>
          <w:tab w:val="left" w:pos="720"/>
          <w:tab w:val="num" w:pos="1440"/>
        </w:tabs>
        <w:jc w:val="center"/>
      </w:pPr>
    </w:p>
    <w:tbl>
      <w:tblPr>
        <w:tblW w:w="6591" w:type="dxa"/>
        <w:jc w:val="center"/>
        <w:tblInd w:w="55" w:type="dxa"/>
        <w:tblCellMar>
          <w:left w:w="70" w:type="dxa"/>
          <w:right w:w="70" w:type="dxa"/>
        </w:tblCellMar>
        <w:tblLook w:val="04A0" w:firstRow="1" w:lastRow="0" w:firstColumn="1" w:lastColumn="0" w:noHBand="0" w:noVBand="1"/>
      </w:tblPr>
      <w:tblGrid>
        <w:gridCol w:w="1140"/>
        <w:gridCol w:w="1220"/>
        <w:gridCol w:w="1462"/>
        <w:gridCol w:w="1368"/>
        <w:gridCol w:w="1401"/>
      </w:tblGrid>
      <w:tr w:rsidR="00A56F36" w:rsidRPr="00DA2352" w:rsidTr="00172D20">
        <w:trPr>
          <w:trHeight w:val="321"/>
          <w:jc w:val="center"/>
        </w:trPr>
        <w:tc>
          <w:tcPr>
            <w:tcW w:w="1140" w:type="dxa"/>
            <w:tcBorders>
              <w:top w:val="single" w:sz="4" w:space="0" w:color="auto"/>
              <w:left w:val="nil"/>
              <w:bottom w:val="single" w:sz="8" w:space="0" w:color="auto"/>
              <w:right w:val="single" w:sz="8" w:space="0" w:color="auto"/>
            </w:tcBorders>
            <w:shd w:val="clear" w:color="auto" w:fill="auto"/>
            <w:hideMark/>
          </w:tcPr>
          <w:p w:rsidR="00A56F36" w:rsidRPr="00024B64" w:rsidRDefault="00024B64" w:rsidP="00024B64">
            <w:pPr>
              <w:jc w:val="center"/>
              <w:rPr>
                <w:b/>
                <w:iCs/>
                <w:color w:val="000000"/>
                <w:sz w:val="20"/>
                <w:szCs w:val="20"/>
              </w:rPr>
            </w:pPr>
            <w:r w:rsidRPr="00024B64">
              <w:rPr>
                <w:b/>
                <w:iCs/>
                <w:color w:val="000000"/>
                <w:sz w:val="20"/>
                <w:szCs w:val="20"/>
              </w:rPr>
              <w:t>Variáveis</w:t>
            </w:r>
          </w:p>
        </w:tc>
        <w:tc>
          <w:tcPr>
            <w:tcW w:w="1220" w:type="dxa"/>
            <w:tcBorders>
              <w:top w:val="single" w:sz="4" w:space="0" w:color="auto"/>
              <w:left w:val="nil"/>
              <w:bottom w:val="single" w:sz="8" w:space="0" w:color="auto"/>
              <w:right w:val="single" w:sz="8" w:space="0" w:color="auto"/>
            </w:tcBorders>
            <w:shd w:val="clear" w:color="auto" w:fill="auto"/>
            <w:hideMark/>
          </w:tcPr>
          <w:p w:rsidR="00A56F36" w:rsidRPr="00024B64" w:rsidRDefault="00024B64" w:rsidP="00024B64">
            <w:pPr>
              <w:jc w:val="center"/>
              <w:rPr>
                <w:b/>
                <w:iCs/>
                <w:color w:val="000000"/>
                <w:sz w:val="20"/>
                <w:szCs w:val="20"/>
              </w:rPr>
            </w:pPr>
            <w:r w:rsidRPr="00024B64">
              <w:rPr>
                <w:b/>
                <w:iCs/>
                <w:color w:val="000000"/>
                <w:sz w:val="20"/>
                <w:szCs w:val="20"/>
              </w:rPr>
              <w:t>Média</w:t>
            </w:r>
          </w:p>
        </w:tc>
        <w:tc>
          <w:tcPr>
            <w:tcW w:w="1462" w:type="dxa"/>
            <w:tcBorders>
              <w:top w:val="single" w:sz="4" w:space="0" w:color="auto"/>
              <w:left w:val="nil"/>
              <w:bottom w:val="single" w:sz="8" w:space="0" w:color="auto"/>
              <w:right w:val="single" w:sz="8" w:space="0" w:color="auto"/>
            </w:tcBorders>
            <w:shd w:val="clear" w:color="auto" w:fill="auto"/>
            <w:hideMark/>
          </w:tcPr>
          <w:p w:rsidR="00A56F36" w:rsidRPr="00024B64" w:rsidRDefault="00024B64" w:rsidP="00024B64">
            <w:pPr>
              <w:jc w:val="center"/>
              <w:rPr>
                <w:b/>
                <w:iCs/>
                <w:color w:val="000000"/>
                <w:sz w:val="20"/>
                <w:szCs w:val="20"/>
              </w:rPr>
            </w:pPr>
            <w:r w:rsidRPr="00024B64">
              <w:rPr>
                <w:b/>
                <w:iCs/>
                <w:color w:val="000000"/>
                <w:sz w:val="20"/>
                <w:szCs w:val="20"/>
              </w:rPr>
              <w:t>Desvio-Padrão</w:t>
            </w:r>
          </w:p>
        </w:tc>
        <w:tc>
          <w:tcPr>
            <w:tcW w:w="1368" w:type="dxa"/>
            <w:tcBorders>
              <w:top w:val="single" w:sz="4" w:space="0" w:color="auto"/>
              <w:left w:val="nil"/>
              <w:bottom w:val="single" w:sz="8" w:space="0" w:color="auto"/>
              <w:right w:val="single" w:sz="8" w:space="0" w:color="auto"/>
            </w:tcBorders>
            <w:shd w:val="clear" w:color="auto" w:fill="auto"/>
            <w:hideMark/>
          </w:tcPr>
          <w:p w:rsidR="00A56F36" w:rsidRPr="00024B64" w:rsidRDefault="00024B64" w:rsidP="00024B64">
            <w:pPr>
              <w:jc w:val="center"/>
              <w:rPr>
                <w:b/>
                <w:iCs/>
                <w:color w:val="000000"/>
                <w:sz w:val="20"/>
                <w:szCs w:val="20"/>
              </w:rPr>
            </w:pPr>
            <w:r w:rsidRPr="00024B64">
              <w:rPr>
                <w:b/>
                <w:iCs/>
                <w:color w:val="000000"/>
                <w:sz w:val="20"/>
                <w:szCs w:val="20"/>
              </w:rPr>
              <w:t>Valor Mínimo</w:t>
            </w:r>
          </w:p>
        </w:tc>
        <w:tc>
          <w:tcPr>
            <w:tcW w:w="1401" w:type="dxa"/>
            <w:tcBorders>
              <w:top w:val="single" w:sz="4" w:space="0" w:color="auto"/>
              <w:left w:val="nil"/>
              <w:bottom w:val="single" w:sz="8" w:space="0" w:color="auto"/>
              <w:right w:val="nil"/>
            </w:tcBorders>
            <w:shd w:val="clear" w:color="auto" w:fill="auto"/>
            <w:hideMark/>
          </w:tcPr>
          <w:p w:rsidR="00A56F36" w:rsidRPr="00024B64" w:rsidRDefault="00024B64" w:rsidP="00024B64">
            <w:pPr>
              <w:jc w:val="center"/>
              <w:rPr>
                <w:b/>
                <w:iCs/>
                <w:color w:val="000000"/>
                <w:sz w:val="20"/>
                <w:szCs w:val="20"/>
              </w:rPr>
            </w:pPr>
            <w:r w:rsidRPr="00024B64">
              <w:rPr>
                <w:b/>
                <w:iCs/>
                <w:color w:val="000000"/>
                <w:sz w:val="20"/>
                <w:szCs w:val="20"/>
              </w:rPr>
              <w:t>Valor Máximo</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Ratings</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11,04098</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3,216098</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proofErr w:type="gramStart"/>
            <w:r w:rsidRPr="00024B64">
              <w:rPr>
                <w:i/>
                <w:iCs/>
                <w:color w:val="000000"/>
                <w:sz w:val="20"/>
                <w:szCs w:val="20"/>
              </w:rPr>
              <w:t>3</w:t>
            </w:r>
            <w:proofErr w:type="gramEnd"/>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22</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CEXP</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0,0734958</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0,0957059</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-0,3180498</w:t>
            </w:r>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0,3347082</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CIMP</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0,0793101</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0,1347145</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-0,5005956</w:t>
            </w:r>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0,4578205</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DLPPIB</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0,3368228</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0,1742524</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0,0270241</w:t>
            </w:r>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1,280983</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NPIB</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0,1549507</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0,0971459</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0,0122616</w:t>
            </w:r>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0,5322151</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DEEXP</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1,479486</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0,8773827</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0,2368107</w:t>
            </w:r>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4,525202</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SDTEXP</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0,2093497</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0,1453623</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0,0207178</w:t>
            </w:r>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1,153083</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CPIB</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0,0339804</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proofErr w:type="gramStart"/>
            <w:r w:rsidRPr="00024B64">
              <w:rPr>
                <w:i/>
                <w:iCs/>
                <w:color w:val="000000"/>
                <w:sz w:val="20"/>
                <w:szCs w:val="20"/>
              </w:rPr>
              <w:t>0</w:t>
            </w:r>
            <w:proofErr w:type="gramEnd"/>
            <w:r w:rsidRPr="00024B64">
              <w:rPr>
                <w:i/>
                <w:iCs/>
                <w:color w:val="000000"/>
                <w:sz w:val="20"/>
                <w:szCs w:val="20"/>
              </w:rPr>
              <w:t>,0,424886</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-0,1754528</w:t>
            </w:r>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0,1566234</w:t>
            </w:r>
          </w:p>
        </w:tc>
      </w:tr>
      <w:tr w:rsidR="00A56F36" w:rsidRPr="00024B64" w:rsidTr="00024B64">
        <w:trPr>
          <w:trHeight w:val="470"/>
          <w:jc w:val="center"/>
        </w:trPr>
        <w:tc>
          <w:tcPr>
            <w:tcW w:w="1140" w:type="dxa"/>
            <w:tcBorders>
              <w:top w:val="nil"/>
              <w:left w:val="nil"/>
              <w:bottom w:val="nil"/>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CP</w:t>
            </w:r>
          </w:p>
        </w:tc>
        <w:tc>
          <w:tcPr>
            <w:tcW w:w="1220"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0,1455615</w:t>
            </w:r>
          </w:p>
        </w:tc>
        <w:tc>
          <w:tcPr>
            <w:tcW w:w="1462"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0,9478947</w:t>
            </w:r>
          </w:p>
        </w:tc>
        <w:tc>
          <w:tcPr>
            <w:tcW w:w="1368" w:type="dxa"/>
            <w:tcBorders>
              <w:top w:val="nil"/>
              <w:left w:val="nil"/>
              <w:bottom w:val="nil"/>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-0,0140789</w:t>
            </w:r>
          </w:p>
        </w:tc>
        <w:tc>
          <w:tcPr>
            <w:tcW w:w="1401" w:type="dxa"/>
            <w:tcBorders>
              <w:top w:val="nil"/>
              <w:left w:val="nil"/>
              <w:bottom w:val="nil"/>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20,75887</w:t>
            </w:r>
          </w:p>
        </w:tc>
      </w:tr>
      <w:tr w:rsidR="00A56F36" w:rsidRPr="00024B64" w:rsidTr="00024B64">
        <w:trPr>
          <w:trHeight w:val="470"/>
          <w:jc w:val="center"/>
        </w:trPr>
        <w:tc>
          <w:tcPr>
            <w:tcW w:w="1140" w:type="dxa"/>
            <w:tcBorders>
              <w:top w:val="nil"/>
              <w:left w:val="nil"/>
              <w:bottom w:val="single" w:sz="4" w:space="0" w:color="auto"/>
              <w:right w:val="single" w:sz="8" w:space="0" w:color="auto"/>
            </w:tcBorders>
            <w:shd w:val="clear" w:color="auto" w:fill="auto"/>
            <w:vAlign w:val="center"/>
            <w:hideMark/>
          </w:tcPr>
          <w:p w:rsidR="00A56F36" w:rsidRPr="00DA2352" w:rsidRDefault="00A56F36" w:rsidP="00024B64">
            <w:pPr>
              <w:rPr>
                <w:color w:val="000000"/>
                <w:sz w:val="20"/>
                <w:szCs w:val="20"/>
              </w:rPr>
            </w:pPr>
            <w:r w:rsidRPr="00DA2352">
              <w:rPr>
                <w:color w:val="000000"/>
                <w:sz w:val="20"/>
                <w:szCs w:val="20"/>
              </w:rPr>
              <w:t>GAE</w:t>
            </w:r>
          </w:p>
        </w:tc>
        <w:tc>
          <w:tcPr>
            <w:tcW w:w="1220" w:type="dxa"/>
            <w:tcBorders>
              <w:top w:val="nil"/>
              <w:left w:val="nil"/>
              <w:bottom w:val="single" w:sz="4" w:space="0" w:color="auto"/>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0,7035302</w:t>
            </w:r>
          </w:p>
        </w:tc>
        <w:tc>
          <w:tcPr>
            <w:tcW w:w="1462" w:type="dxa"/>
            <w:tcBorders>
              <w:top w:val="nil"/>
              <w:left w:val="nil"/>
              <w:bottom w:val="single" w:sz="4" w:space="0" w:color="auto"/>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0,3956976</w:t>
            </w:r>
          </w:p>
        </w:tc>
        <w:tc>
          <w:tcPr>
            <w:tcW w:w="1368" w:type="dxa"/>
            <w:tcBorders>
              <w:top w:val="nil"/>
              <w:left w:val="nil"/>
              <w:bottom w:val="single" w:sz="4" w:space="0" w:color="auto"/>
              <w:right w:val="single" w:sz="8" w:space="0" w:color="auto"/>
            </w:tcBorders>
            <w:shd w:val="clear" w:color="auto" w:fill="auto"/>
            <w:vAlign w:val="center"/>
            <w:hideMark/>
          </w:tcPr>
          <w:p w:rsidR="00A56F36" w:rsidRPr="00024B64" w:rsidRDefault="00A56F36" w:rsidP="00024B64">
            <w:pPr>
              <w:jc w:val="center"/>
              <w:rPr>
                <w:i/>
                <w:iCs/>
                <w:color w:val="000000"/>
                <w:sz w:val="20"/>
                <w:szCs w:val="20"/>
              </w:rPr>
            </w:pPr>
            <w:r w:rsidRPr="00024B64">
              <w:rPr>
                <w:i/>
                <w:iCs/>
                <w:color w:val="000000"/>
                <w:sz w:val="20"/>
                <w:szCs w:val="20"/>
              </w:rPr>
              <w:t>0,1493285</w:t>
            </w:r>
          </w:p>
        </w:tc>
        <w:tc>
          <w:tcPr>
            <w:tcW w:w="1401" w:type="dxa"/>
            <w:tcBorders>
              <w:top w:val="nil"/>
              <w:left w:val="nil"/>
              <w:bottom w:val="single" w:sz="4" w:space="0" w:color="auto"/>
              <w:right w:val="nil"/>
            </w:tcBorders>
            <w:shd w:val="clear" w:color="auto" w:fill="auto"/>
            <w:noWrap/>
            <w:vAlign w:val="center"/>
            <w:hideMark/>
          </w:tcPr>
          <w:p w:rsidR="00A56F36" w:rsidRPr="00024B64" w:rsidRDefault="00A56F36" w:rsidP="00024B64">
            <w:pPr>
              <w:jc w:val="center"/>
              <w:rPr>
                <w:i/>
                <w:iCs/>
                <w:color w:val="000000"/>
                <w:sz w:val="20"/>
                <w:szCs w:val="20"/>
              </w:rPr>
            </w:pPr>
            <w:r w:rsidRPr="00024B64">
              <w:rPr>
                <w:i/>
                <w:iCs/>
                <w:color w:val="000000"/>
                <w:sz w:val="20"/>
                <w:szCs w:val="20"/>
              </w:rPr>
              <w:t>2,204068</w:t>
            </w:r>
          </w:p>
        </w:tc>
      </w:tr>
    </w:tbl>
    <w:p w:rsidR="00A56F36" w:rsidRPr="00BD1669" w:rsidRDefault="00A56F36" w:rsidP="00A56F36">
      <w:pPr>
        <w:ind w:left="708" w:firstLine="708"/>
        <w:jc w:val="both"/>
        <w:rPr>
          <w:color w:val="000000"/>
          <w:sz w:val="20"/>
          <w:szCs w:val="20"/>
        </w:rPr>
      </w:pPr>
      <w:r w:rsidRPr="00BD1669">
        <w:rPr>
          <w:b/>
          <w:color w:val="000000"/>
          <w:sz w:val="20"/>
          <w:szCs w:val="20"/>
        </w:rPr>
        <w:t>Fonte:</w:t>
      </w:r>
      <w:r w:rsidRPr="00BD1669">
        <w:rPr>
          <w:color w:val="000000"/>
          <w:sz w:val="20"/>
          <w:szCs w:val="20"/>
        </w:rPr>
        <w:t xml:space="preserve"> Elaboração própria a partir de dados da </w:t>
      </w:r>
      <w:r w:rsidRPr="00BD1669">
        <w:rPr>
          <w:i/>
          <w:color w:val="000000"/>
          <w:sz w:val="20"/>
          <w:szCs w:val="20"/>
        </w:rPr>
        <w:t>Standard</w:t>
      </w:r>
      <w:r w:rsidRPr="00BD1669">
        <w:rPr>
          <w:color w:val="000000"/>
          <w:sz w:val="20"/>
          <w:szCs w:val="20"/>
        </w:rPr>
        <w:t xml:space="preserve"> e </w:t>
      </w:r>
      <w:proofErr w:type="spellStart"/>
      <w:r w:rsidRPr="00BD1669">
        <w:rPr>
          <w:i/>
          <w:color w:val="000000"/>
          <w:sz w:val="20"/>
          <w:szCs w:val="20"/>
        </w:rPr>
        <w:t>Poor’s</w:t>
      </w:r>
      <w:proofErr w:type="spellEnd"/>
      <w:r w:rsidRPr="00BD1669">
        <w:rPr>
          <w:color w:val="000000"/>
          <w:sz w:val="20"/>
          <w:szCs w:val="20"/>
        </w:rPr>
        <w:t xml:space="preserve"> e </w:t>
      </w:r>
      <w:r w:rsidRPr="00BD1669">
        <w:rPr>
          <w:i/>
          <w:color w:val="000000"/>
          <w:sz w:val="20"/>
          <w:szCs w:val="20"/>
        </w:rPr>
        <w:t>World Bank</w:t>
      </w:r>
      <w:r w:rsidRPr="00BD1669">
        <w:rPr>
          <w:color w:val="000000"/>
          <w:sz w:val="20"/>
          <w:szCs w:val="20"/>
        </w:rPr>
        <w:t>.</w:t>
      </w:r>
    </w:p>
    <w:p w:rsidR="00A56F36" w:rsidRPr="00BD1669" w:rsidRDefault="00A56F36" w:rsidP="00A56F36">
      <w:pPr>
        <w:tabs>
          <w:tab w:val="left" w:pos="720"/>
          <w:tab w:val="num" w:pos="1440"/>
        </w:tabs>
        <w:jc w:val="both"/>
      </w:pPr>
    </w:p>
    <w:p w:rsidR="00A56F36" w:rsidRPr="00BD1669" w:rsidRDefault="00A56F36" w:rsidP="00A56F36">
      <w:pPr>
        <w:tabs>
          <w:tab w:val="left" w:pos="720"/>
          <w:tab w:val="num" w:pos="1440"/>
        </w:tabs>
        <w:ind w:firstLine="720"/>
        <w:jc w:val="both"/>
      </w:pPr>
      <w:r w:rsidRPr="00BD1669">
        <w:t>Na amostra</w:t>
      </w:r>
      <w:r>
        <w:t xml:space="preserve"> utilizada,</w:t>
      </w:r>
      <w:r w:rsidRPr="00BD1669">
        <w:t xml:space="preserve"> os países que tiveram a</w:t>
      </w:r>
      <w:r>
        <w:t>s</w:t>
      </w:r>
      <w:r w:rsidRPr="00BD1669">
        <w:t xml:space="preserve"> pior</w:t>
      </w:r>
      <w:r>
        <w:t>es</w:t>
      </w:r>
      <w:r w:rsidRPr="00BD1669">
        <w:t xml:space="preserve"> classificaç</w:t>
      </w:r>
      <w:r>
        <w:t>ões,</w:t>
      </w:r>
      <w:r w:rsidRPr="00BD1669">
        <w:t xml:space="preserve"> SD</w:t>
      </w:r>
      <w:r>
        <w:t>,</w:t>
      </w:r>
      <w:r w:rsidRPr="00BD1669">
        <w:t xml:space="preserve"> foram Argentina e a Rússia, enquanto que </w:t>
      </w:r>
      <w:r>
        <w:t>por outro lado,</w:t>
      </w:r>
      <w:r w:rsidRPr="00BD1669">
        <w:t xml:space="preserve"> o que teve a melhor classificação A</w:t>
      </w:r>
      <w:r>
        <w:t>A</w:t>
      </w:r>
      <w:r w:rsidRPr="00BD1669">
        <w:t xml:space="preserve"> foi </w:t>
      </w:r>
      <w:proofErr w:type="gramStart"/>
      <w:r>
        <w:t>a</w:t>
      </w:r>
      <w:proofErr w:type="gramEnd"/>
      <w:r w:rsidRPr="00BD1669">
        <w:t xml:space="preserve"> </w:t>
      </w:r>
      <w:r w:rsidRPr="00506795">
        <w:t>Lituânia</w:t>
      </w:r>
      <w:r w:rsidRPr="00BD1669">
        <w:t>. Percebe-se também que</w:t>
      </w:r>
      <w:r>
        <w:t>,</w:t>
      </w:r>
      <w:r w:rsidRPr="00BD1669">
        <w:t xml:space="preserve"> em média</w:t>
      </w:r>
      <w:r>
        <w:t>,</w:t>
      </w:r>
      <w:r w:rsidRPr="00BD1669">
        <w:t xml:space="preserve"> os países que compõe a amostra estão classificados em posição especulativos. No que tange aos indicadores de solvência tem</w:t>
      </w:r>
      <w:r>
        <w:t>-se</w:t>
      </w:r>
      <w:r w:rsidRPr="00BD1669">
        <w:t xml:space="preserve"> que </w:t>
      </w:r>
      <w:r>
        <w:t xml:space="preserve">a </w:t>
      </w:r>
      <w:r w:rsidRPr="00BD1669">
        <w:t xml:space="preserve">taxa de crescimento das exportações teve </w:t>
      </w:r>
      <w:r>
        <w:t xml:space="preserve">uma </w:t>
      </w:r>
      <w:r w:rsidRPr="00BD1669">
        <w:t>média</w:t>
      </w:r>
      <w:r>
        <w:t xml:space="preserve"> </w:t>
      </w:r>
      <w:r w:rsidRPr="00BD1669">
        <w:t xml:space="preserve">de </w:t>
      </w:r>
      <w:r>
        <w:t>7,3</w:t>
      </w:r>
      <w:r w:rsidRPr="00BD1669">
        <w:t xml:space="preserve">%, a taxa de crescimento das importações registrou média de </w:t>
      </w:r>
      <w:r>
        <w:t>7</w:t>
      </w:r>
      <w:r w:rsidRPr="00BD1669">
        <w:t xml:space="preserve">,9% e a média </w:t>
      </w:r>
      <w:r>
        <w:t xml:space="preserve">da </w:t>
      </w:r>
      <w:r w:rsidRPr="00BD1669">
        <w:t xml:space="preserve">relação dívida/PIB </w:t>
      </w:r>
      <w:r>
        <w:t>foi</w:t>
      </w:r>
      <w:r w:rsidRPr="00BD1669">
        <w:t xml:space="preserve"> de 33,</w:t>
      </w:r>
      <w:r>
        <w:t>7</w:t>
      </w:r>
      <w:r w:rsidRPr="00BD1669">
        <w:t xml:space="preserve">%. </w:t>
      </w:r>
    </w:p>
    <w:p w:rsidR="00A56F36" w:rsidRPr="00BD1669" w:rsidRDefault="00A56F36" w:rsidP="00A56F36">
      <w:pPr>
        <w:tabs>
          <w:tab w:val="left" w:pos="720"/>
          <w:tab w:val="num" w:pos="1440"/>
        </w:tabs>
        <w:ind w:firstLine="720"/>
        <w:jc w:val="both"/>
      </w:pPr>
      <w:r w:rsidRPr="00BD1669">
        <w:t xml:space="preserve">Já quanto aos indicadores de liquidez, o nível de reservas estrangeiras em relação </w:t>
      </w:r>
      <w:r>
        <w:t xml:space="preserve">ao PIB foi, em </w:t>
      </w:r>
      <w:r w:rsidRPr="00BD1669">
        <w:t>média</w:t>
      </w:r>
      <w:r>
        <w:t>,</w:t>
      </w:r>
      <w:r w:rsidRPr="00BD1669">
        <w:t xml:space="preserve"> 1</w:t>
      </w:r>
      <w:r>
        <w:t>5</w:t>
      </w:r>
      <w:r w:rsidRPr="00BD1669">
        <w:t>,</w:t>
      </w:r>
      <w:r>
        <w:t>5</w:t>
      </w:r>
      <w:r w:rsidRPr="00BD1669">
        <w:t>%</w:t>
      </w:r>
      <w:r>
        <w:t>.</w:t>
      </w:r>
      <w:r w:rsidRPr="00BD1669">
        <w:t xml:space="preserve"> </w:t>
      </w:r>
      <w:r>
        <w:t>A</w:t>
      </w:r>
      <w:r w:rsidRPr="00BD1669">
        <w:t xml:space="preserve"> dívida externa total em relação à exportação</w:t>
      </w:r>
      <w:r w:rsidR="00F26DF9">
        <w:t xml:space="preserve"> apresentou um valor médio de 1</w:t>
      </w:r>
      <w:r w:rsidRPr="00BD1669">
        <w:t>4</w:t>
      </w:r>
      <w:r w:rsidR="00F26DF9">
        <w:t>7</w:t>
      </w:r>
      <w:r w:rsidRPr="00BD1669">
        <w:t>,</w:t>
      </w:r>
      <w:r w:rsidR="00F26DF9">
        <w:t>9</w:t>
      </w:r>
      <w:r w:rsidRPr="00BD1669">
        <w:t xml:space="preserve">%, e com valor máximo de </w:t>
      </w:r>
      <w:r w:rsidRPr="00F26DF9">
        <w:t>452,5% na Argentina</w:t>
      </w:r>
      <w:r w:rsidRPr="00BD1669">
        <w:t xml:space="preserve"> </w:t>
      </w:r>
      <w:r>
        <w:t>para o ano de</w:t>
      </w:r>
      <w:r w:rsidRPr="00BD1669">
        <w:t xml:space="preserve"> 2002. O serviço da dívida total como percentual das exportações de bens e serviços </w:t>
      </w:r>
      <w:r>
        <w:t>foi, em</w:t>
      </w:r>
      <w:r w:rsidRPr="00BD1669">
        <w:t xml:space="preserve"> média</w:t>
      </w:r>
      <w:r>
        <w:t>,</w:t>
      </w:r>
      <w:r w:rsidR="00F26DF9">
        <w:t xml:space="preserve"> de 20</w:t>
      </w:r>
      <w:r w:rsidRPr="00BD1669">
        <w:t>,</w:t>
      </w:r>
      <w:r w:rsidR="00F26DF9">
        <w:t>9</w:t>
      </w:r>
      <w:r w:rsidRPr="00BD1669">
        <w:t>%, e um valor máximo de 115,3% no Brasil em 1999</w:t>
      </w:r>
      <w:r w:rsidR="00F26DF9">
        <w:t>.</w:t>
      </w:r>
      <w:r w:rsidRPr="00BD1669">
        <w:t xml:space="preserve"> </w:t>
      </w:r>
    </w:p>
    <w:p w:rsidR="00A56F36" w:rsidRPr="00BD1669" w:rsidRDefault="00A56F36" w:rsidP="00A56F36">
      <w:pPr>
        <w:tabs>
          <w:tab w:val="left" w:pos="720"/>
          <w:tab w:val="num" w:pos="1440"/>
        </w:tabs>
        <w:ind w:firstLine="720"/>
        <w:jc w:val="both"/>
      </w:pPr>
      <w:r w:rsidRPr="00BD1669">
        <w:t>Por fim</w:t>
      </w:r>
      <w:r>
        <w:t>,</w:t>
      </w:r>
      <w:r w:rsidRPr="00BD1669">
        <w:t xml:space="preserve"> têm-se as variáveis de desenvolvimento e estabilidade econômica, onde o Brasil aparece mais uma vez em destaque por apresentar o máximo valor para a taxa de inflação de 2075,8%</w:t>
      </w:r>
      <w:r>
        <w:t>,</w:t>
      </w:r>
      <w:r w:rsidRPr="00BD1669">
        <w:t xml:space="preserve"> em 1994. A taxa de crescimento do produto </w:t>
      </w:r>
      <w:r w:rsidRPr="00C1035A">
        <w:rPr>
          <w:i/>
        </w:rPr>
        <w:t>per cap</w:t>
      </w:r>
      <w:r>
        <w:rPr>
          <w:i/>
        </w:rPr>
        <w:t>i</w:t>
      </w:r>
      <w:r w:rsidRPr="00C1035A">
        <w:rPr>
          <w:i/>
        </w:rPr>
        <w:t>ta</w:t>
      </w:r>
      <w:r w:rsidR="00F26DF9">
        <w:t xml:space="preserve"> registrou média de 3</w:t>
      </w:r>
      <w:r w:rsidRPr="00BD1669">
        <w:t>,</w:t>
      </w:r>
      <w:r w:rsidR="00F26DF9">
        <w:t>4%</w:t>
      </w:r>
      <w:r w:rsidRPr="00BD1669">
        <w:t xml:space="preserve">. Em toda a amostra o país que registrou a maior taxa crescimento dessa variável foi o </w:t>
      </w:r>
      <w:r w:rsidR="00036CFF">
        <w:t xml:space="preserve">Mongólia </w:t>
      </w:r>
      <w:r>
        <w:t>para o ano de</w:t>
      </w:r>
      <w:r w:rsidRPr="00BD1669">
        <w:t xml:space="preserve"> 20</w:t>
      </w:r>
      <w:r w:rsidR="00036CFF">
        <w:t>11</w:t>
      </w:r>
      <w:r w:rsidRPr="00BD1669">
        <w:t>. Já a variável que mede o grau de abertura econômica apresentou uma média de 7</w:t>
      </w:r>
      <w:r w:rsidR="00F26DF9">
        <w:t>0,4</w:t>
      </w:r>
      <w:r w:rsidRPr="00BD1669">
        <w:t>%</w:t>
      </w:r>
      <w:r w:rsidR="00F26DF9">
        <w:t xml:space="preserve"> evidenciando, portanto que os país</w:t>
      </w:r>
      <w:r w:rsidR="00F1611B">
        <w:t xml:space="preserve">es possuem um elevado grau de </w:t>
      </w:r>
      <w:r w:rsidR="00F1611B" w:rsidRPr="00F1611B">
        <w:t>integração da</w:t>
      </w:r>
      <w:r w:rsidR="00F1611B">
        <w:t>s</w:t>
      </w:r>
      <w:r w:rsidR="00F1611B" w:rsidRPr="00F1611B">
        <w:t xml:space="preserve"> </w:t>
      </w:r>
      <w:r w:rsidR="00F1611B">
        <w:t xml:space="preserve">suas </w:t>
      </w:r>
      <w:r w:rsidR="00F1611B" w:rsidRPr="00F1611B">
        <w:t>economia</w:t>
      </w:r>
      <w:r w:rsidR="00F1611B">
        <w:t>s</w:t>
      </w:r>
      <w:r w:rsidR="00F1611B" w:rsidRPr="00F1611B">
        <w:t xml:space="preserve"> no comércio internacional</w:t>
      </w:r>
      <w:r w:rsidRPr="00BD1669">
        <w:t xml:space="preserve">. </w:t>
      </w:r>
    </w:p>
    <w:p w:rsidR="00A56F36" w:rsidRPr="00BD1669" w:rsidRDefault="00A56F36" w:rsidP="00A56F36">
      <w:pPr>
        <w:tabs>
          <w:tab w:val="left" w:pos="720"/>
          <w:tab w:val="num" w:pos="1440"/>
        </w:tabs>
        <w:ind w:firstLine="720"/>
        <w:jc w:val="both"/>
      </w:pPr>
      <w:r w:rsidRPr="00BD1669">
        <w:t xml:space="preserve">Percebe-se que países como Argentina, Brasil e Rússia tiveram destaque na amostra do estudo, o que vai de encontro com os fatos que foram marcantes nessas economias durante o período analisado, como por exemplo, a instabilidade do nível de preços vivido no Brasil antes de Plano Real (1994) a moratória </w:t>
      </w:r>
      <w:r>
        <w:t>r</w:t>
      </w:r>
      <w:r w:rsidRPr="00BD1669">
        <w:t xml:space="preserve">ussa (1998), seguida da crise cambial </w:t>
      </w:r>
      <w:r>
        <w:t>b</w:t>
      </w:r>
      <w:r w:rsidRPr="00BD1669">
        <w:t xml:space="preserve">rasileira e a </w:t>
      </w:r>
      <w:r>
        <w:t>c</w:t>
      </w:r>
      <w:r w:rsidRPr="00BD1669">
        <w:t xml:space="preserve">rise </w:t>
      </w:r>
      <w:r>
        <w:t>a</w:t>
      </w:r>
      <w:r w:rsidRPr="00BD1669">
        <w:t>rgentina</w:t>
      </w:r>
      <w:r>
        <w:t>, ocorrida no ano de 2001.</w:t>
      </w:r>
      <w:r w:rsidRPr="00BD1669">
        <w:t xml:space="preserve"> </w:t>
      </w:r>
    </w:p>
    <w:p w:rsidR="00A56F36" w:rsidRPr="00BD1669" w:rsidRDefault="00A56F36" w:rsidP="00A56F36">
      <w:pPr>
        <w:tabs>
          <w:tab w:val="left" w:pos="720"/>
          <w:tab w:val="num" w:pos="1440"/>
        </w:tabs>
        <w:ind w:firstLine="720"/>
        <w:jc w:val="both"/>
      </w:pPr>
      <w:r w:rsidRPr="00BD1669">
        <w:t xml:space="preserve">A fim de buscar obter relações entre a classificação de </w:t>
      </w:r>
      <w:r w:rsidRPr="00BD1669">
        <w:rPr>
          <w:i/>
        </w:rPr>
        <w:t>ratings</w:t>
      </w:r>
      <w:r w:rsidRPr="00BD1669">
        <w:t xml:space="preserve"> e os fundamentos macroeconômicos</w:t>
      </w:r>
      <w:r>
        <w:t>,</w:t>
      </w:r>
      <w:r w:rsidRPr="00BD1669">
        <w:t xml:space="preserve"> recorreu-se a técnicas de dados em painel</w:t>
      </w:r>
      <w:r>
        <w:t>, conforme mencionado por diversas vezes ao longo do trabalho</w:t>
      </w:r>
      <w:r w:rsidRPr="00BD1669">
        <w:t xml:space="preserve">. </w:t>
      </w:r>
      <w:r>
        <w:t xml:space="preserve">Foram estimados </w:t>
      </w:r>
      <w:r w:rsidRPr="00BD1669">
        <w:t xml:space="preserve">modelos </w:t>
      </w:r>
      <w:r>
        <w:t>com</w:t>
      </w:r>
      <w:r w:rsidRPr="00BD1669">
        <w:t xml:space="preserve"> efeitos</w:t>
      </w:r>
      <w:r>
        <w:t xml:space="preserve"> </w:t>
      </w:r>
      <w:r w:rsidRPr="00BD1669">
        <w:t>fixos</w:t>
      </w:r>
      <w:r>
        <w:t xml:space="preserve"> e com efeitos</w:t>
      </w:r>
      <w:r w:rsidRPr="00BD1669">
        <w:t xml:space="preserve"> aleatórios. A tabela 4 ilustra os resultados obtidos:</w:t>
      </w:r>
    </w:p>
    <w:p w:rsidR="00A56F36" w:rsidRDefault="00A56F36" w:rsidP="001C0249">
      <w:pPr>
        <w:tabs>
          <w:tab w:val="left" w:pos="720"/>
          <w:tab w:val="num" w:pos="1440"/>
        </w:tabs>
        <w:ind w:firstLine="720"/>
        <w:jc w:val="both"/>
      </w:pPr>
    </w:p>
    <w:p w:rsidR="00EE4641" w:rsidRDefault="004254C0" w:rsidP="00F26DF9">
      <w:pPr>
        <w:tabs>
          <w:tab w:val="left" w:pos="720"/>
          <w:tab w:val="num" w:pos="1440"/>
        </w:tabs>
        <w:ind w:firstLine="720"/>
        <w:jc w:val="center"/>
        <w:rPr>
          <w:i/>
        </w:rPr>
      </w:pPr>
      <w:r w:rsidRPr="00BD1669">
        <w:lastRenderedPageBreak/>
        <w:t xml:space="preserve">Tabela 4 – Modelo Econométrico para </w:t>
      </w:r>
      <w:r w:rsidRPr="00BD1669">
        <w:rPr>
          <w:i/>
        </w:rPr>
        <w:t>Ratings</w:t>
      </w:r>
    </w:p>
    <w:p w:rsidR="009672BA" w:rsidRPr="00BD1669" w:rsidRDefault="009672BA" w:rsidP="00F26DF9">
      <w:pPr>
        <w:tabs>
          <w:tab w:val="left" w:pos="720"/>
          <w:tab w:val="num" w:pos="1440"/>
        </w:tabs>
        <w:ind w:firstLine="720"/>
        <w:jc w:val="center"/>
      </w:pPr>
    </w:p>
    <w:tbl>
      <w:tblPr>
        <w:tblW w:w="8810" w:type="dxa"/>
        <w:jc w:val="center"/>
        <w:tblCellMar>
          <w:left w:w="70" w:type="dxa"/>
          <w:right w:w="70" w:type="dxa"/>
        </w:tblCellMar>
        <w:tblLook w:val="04A0" w:firstRow="1" w:lastRow="0" w:firstColumn="1" w:lastColumn="0" w:noHBand="0" w:noVBand="1"/>
      </w:tblPr>
      <w:tblGrid>
        <w:gridCol w:w="1363"/>
        <w:gridCol w:w="1266"/>
        <w:gridCol w:w="1473"/>
        <w:gridCol w:w="992"/>
        <w:gridCol w:w="206"/>
        <w:gridCol w:w="1154"/>
        <w:gridCol w:w="1496"/>
        <w:gridCol w:w="860"/>
      </w:tblGrid>
      <w:tr w:rsidR="00246CD1" w:rsidRPr="00BD1669" w:rsidTr="00024B64">
        <w:trPr>
          <w:trHeight w:val="397"/>
          <w:jc w:val="center"/>
        </w:trPr>
        <w:tc>
          <w:tcPr>
            <w:tcW w:w="1363" w:type="dxa"/>
            <w:tcBorders>
              <w:top w:val="single" w:sz="4" w:space="0" w:color="auto"/>
              <w:left w:val="nil"/>
              <w:bottom w:val="single" w:sz="4" w:space="0" w:color="auto"/>
              <w:right w:val="nil"/>
            </w:tcBorders>
            <w:shd w:val="clear" w:color="auto" w:fill="auto"/>
            <w:noWrap/>
            <w:vAlign w:val="bottom"/>
            <w:hideMark/>
          </w:tcPr>
          <w:p w:rsidR="00246CD1" w:rsidRPr="00BD1669" w:rsidRDefault="00246CD1" w:rsidP="001C0249">
            <w:pPr>
              <w:rPr>
                <w:color w:val="000000"/>
              </w:rPr>
            </w:pPr>
          </w:p>
        </w:tc>
        <w:tc>
          <w:tcPr>
            <w:tcW w:w="3731" w:type="dxa"/>
            <w:gridSpan w:val="3"/>
            <w:tcBorders>
              <w:top w:val="single" w:sz="4" w:space="0" w:color="auto"/>
              <w:left w:val="nil"/>
              <w:bottom w:val="single" w:sz="4" w:space="0" w:color="auto"/>
              <w:right w:val="nil"/>
            </w:tcBorders>
            <w:shd w:val="clear" w:color="auto" w:fill="auto"/>
            <w:noWrap/>
            <w:vAlign w:val="center"/>
            <w:hideMark/>
          </w:tcPr>
          <w:p w:rsidR="00246CD1" w:rsidRPr="00172D20" w:rsidRDefault="00246CD1" w:rsidP="00E4413B">
            <w:pPr>
              <w:jc w:val="center"/>
              <w:rPr>
                <w:b/>
                <w:color w:val="000000"/>
                <w:sz w:val="20"/>
                <w:szCs w:val="20"/>
              </w:rPr>
            </w:pPr>
            <w:r w:rsidRPr="00172D20">
              <w:rPr>
                <w:b/>
                <w:sz w:val="20"/>
                <w:szCs w:val="20"/>
              </w:rPr>
              <w:t>Efeitos Fixos</w:t>
            </w:r>
          </w:p>
        </w:tc>
        <w:tc>
          <w:tcPr>
            <w:tcW w:w="206" w:type="dxa"/>
            <w:tcBorders>
              <w:top w:val="single" w:sz="4" w:space="0" w:color="auto"/>
              <w:left w:val="nil"/>
              <w:bottom w:val="single" w:sz="4" w:space="0" w:color="auto"/>
              <w:right w:val="nil"/>
            </w:tcBorders>
            <w:shd w:val="clear" w:color="auto" w:fill="auto"/>
            <w:noWrap/>
            <w:vAlign w:val="center"/>
            <w:hideMark/>
          </w:tcPr>
          <w:p w:rsidR="00246CD1" w:rsidRPr="00172D20" w:rsidRDefault="00246CD1" w:rsidP="00E4413B">
            <w:pPr>
              <w:jc w:val="center"/>
              <w:rPr>
                <w:b/>
                <w:color w:val="000000"/>
                <w:sz w:val="20"/>
                <w:szCs w:val="20"/>
              </w:rPr>
            </w:pPr>
          </w:p>
        </w:tc>
        <w:tc>
          <w:tcPr>
            <w:tcW w:w="3510" w:type="dxa"/>
            <w:gridSpan w:val="3"/>
            <w:tcBorders>
              <w:top w:val="single" w:sz="4" w:space="0" w:color="auto"/>
              <w:left w:val="nil"/>
              <w:bottom w:val="single" w:sz="4" w:space="0" w:color="auto"/>
              <w:right w:val="nil"/>
            </w:tcBorders>
            <w:shd w:val="clear" w:color="auto" w:fill="auto"/>
            <w:noWrap/>
            <w:vAlign w:val="center"/>
            <w:hideMark/>
          </w:tcPr>
          <w:p w:rsidR="00246CD1" w:rsidRPr="00172D20" w:rsidRDefault="00246CD1" w:rsidP="00E4413B">
            <w:pPr>
              <w:jc w:val="center"/>
              <w:rPr>
                <w:b/>
                <w:color w:val="000000"/>
                <w:sz w:val="20"/>
                <w:szCs w:val="20"/>
              </w:rPr>
            </w:pPr>
            <w:r w:rsidRPr="00172D20">
              <w:rPr>
                <w:b/>
                <w:sz w:val="20"/>
                <w:szCs w:val="20"/>
              </w:rPr>
              <w:t>Efeitos Aleatórios</w:t>
            </w:r>
          </w:p>
        </w:tc>
      </w:tr>
      <w:tr w:rsidR="00D7611C" w:rsidRPr="00BD1669" w:rsidTr="00024B64">
        <w:trPr>
          <w:trHeight w:val="397"/>
          <w:jc w:val="center"/>
        </w:trPr>
        <w:tc>
          <w:tcPr>
            <w:tcW w:w="1363" w:type="dxa"/>
            <w:tcBorders>
              <w:top w:val="single" w:sz="4" w:space="0" w:color="auto"/>
              <w:left w:val="nil"/>
              <w:bottom w:val="single" w:sz="8" w:space="0" w:color="auto"/>
              <w:right w:val="single" w:sz="8" w:space="0" w:color="auto"/>
            </w:tcBorders>
            <w:shd w:val="clear" w:color="auto" w:fill="auto"/>
            <w:vAlign w:val="center"/>
            <w:hideMark/>
          </w:tcPr>
          <w:p w:rsidR="00E4413B" w:rsidRPr="00024B64" w:rsidRDefault="00E4413B" w:rsidP="00E4413B">
            <w:pPr>
              <w:jc w:val="center"/>
              <w:rPr>
                <w:b/>
                <w:iCs/>
                <w:color w:val="000000"/>
                <w:sz w:val="20"/>
                <w:szCs w:val="20"/>
              </w:rPr>
            </w:pPr>
            <w:r w:rsidRPr="00024B64">
              <w:rPr>
                <w:b/>
                <w:iCs/>
                <w:color w:val="000000"/>
                <w:sz w:val="20"/>
                <w:szCs w:val="20"/>
              </w:rPr>
              <w:t>Variáveis independentes</w:t>
            </w:r>
          </w:p>
        </w:tc>
        <w:tc>
          <w:tcPr>
            <w:tcW w:w="1266" w:type="dxa"/>
            <w:tcBorders>
              <w:top w:val="single" w:sz="4" w:space="0" w:color="auto"/>
              <w:left w:val="nil"/>
              <w:bottom w:val="single" w:sz="8" w:space="0" w:color="auto"/>
              <w:right w:val="single" w:sz="8" w:space="0" w:color="auto"/>
            </w:tcBorders>
            <w:shd w:val="clear" w:color="auto" w:fill="auto"/>
            <w:vAlign w:val="center"/>
            <w:hideMark/>
          </w:tcPr>
          <w:p w:rsidR="00E4413B" w:rsidRPr="00024B64" w:rsidRDefault="00E4413B" w:rsidP="00E4413B">
            <w:pPr>
              <w:jc w:val="center"/>
              <w:rPr>
                <w:b/>
                <w:iCs/>
                <w:color w:val="000000"/>
                <w:sz w:val="20"/>
                <w:szCs w:val="20"/>
              </w:rPr>
            </w:pPr>
            <w:r w:rsidRPr="00024B64">
              <w:rPr>
                <w:b/>
                <w:iCs/>
                <w:color w:val="000000"/>
                <w:sz w:val="20"/>
                <w:szCs w:val="20"/>
              </w:rPr>
              <w:t>Coeficiente</w:t>
            </w:r>
          </w:p>
        </w:tc>
        <w:tc>
          <w:tcPr>
            <w:tcW w:w="1473" w:type="dxa"/>
            <w:tcBorders>
              <w:top w:val="single" w:sz="4" w:space="0" w:color="auto"/>
              <w:left w:val="nil"/>
              <w:bottom w:val="single" w:sz="8" w:space="0" w:color="auto"/>
              <w:right w:val="single" w:sz="8" w:space="0" w:color="auto"/>
            </w:tcBorders>
            <w:shd w:val="clear" w:color="auto" w:fill="auto"/>
            <w:vAlign w:val="center"/>
            <w:hideMark/>
          </w:tcPr>
          <w:p w:rsidR="00E4413B" w:rsidRPr="00024B64" w:rsidRDefault="00E4413B" w:rsidP="00E4413B">
            <w:pPr>
              <w:jc w:val="center"/>
              <w:rPr>
                <w:b/>
                <w:iCs/>
                <w:color w:val="000000"/>
                <w:sz w:val="20"/>
                <w:szCs w:val="20"/>
              </w:rPr>
            </w:pPr>
            <w:r w:rsidRPr="00024B64">
              <w:rPr>
                <w:b/>
                <w:iCs/>
                <w:color w:val="000000"/>
                <w:sz w:val="20"/>
                <w:szCs w:val="20"/>
              </w:rPr>
              <w:t>Desvio-Padrão</w:t>
            </w:r>
          </w:p>
        </w:tc>
        <w:tc>
          <w:tcPr>
            <w:tcW w:w="992" w:type="dxa"/>
            <w:tcBorders>
              <w:top w:val="single" w:sz="4" w:space="0" w:color="auto"/>
              <w:left w:val="nil"/>
              <w:bottom w:val="single" w:sz="8" w:space="0" w:color="auto"/>
              <w:right w:val="nil"/>
            </w:tcBorders>
            <w:shd w:val="clear" w:color="auto" w:fill="auto"/>
            <w:vAlign w:val="center"/>
            <w:hideMark/>
          </w:tcPr>
          <w:p w:rsidR="00E4413B" w:rsidRPr="00024B64" w:rsidRDefault="00DC4087" w:rsidP="00E4413B">
            <w:pPr>
              <w:jc w:val="center"/>
              <w:rPr>
                <w:b/>
                <w:iCs/>
                <w:color w:val="000000"/>
                <w:sz w:val="20"/>
                <w:szCs w:val="20"/>
              </w:rPr>
            </w:pPr>
            <w:r w:rsidRPr="00024B64">
              <w:rPr>
                <w:b/>
                <w:iCs/>
                <w:color w:val="000000"/>
                <w:sz w:val="20"/>
                <w:szCs w:val="20"/>
              </w:rPr>
              <w:t>T</w:t>
            </w:r>
          </w:p>
        </w:tc>
        <w:tc>
          <w:tcPr>
            <w:tcW w:w="206" w:type="dxa"/>
            <w:tcBorders>
              <w:top w:val="single" w:sz="4" w:space="0" w:color="auto"/>
              <w:left w:val="nil"/>
              <w:bottom w:val="nil"/>
              <w:right w:val="nil"/>
            </w:tcBorders>
            <w:shd w:val="clear" w:color="auto" w:fill="auto"/>
            <w:vAlign w:val="center"/>
            <w:hideMark/>
          </w:tcPr>
          <w:p w:rsidR="00E4413B" w:rsidRPr="00024B64" w:rsidRDefault="00E4413B" w:rsidP="00E4413B">
            <w:pPr>
              <w:jc w:val="center"/>
              <w:rPr>
                <w:b/>
                <w:iCs/>
                <w:color w:val="000000"/>
                <w:sz w:val="20"/>
                <w:szCs w:val="20"/>
              </w:rPr>
            </w:pPr>
          </w:p>
        </w:tc>
        <w:tc>
          <w:tcPr>
            <w:tcW w:w="1154" w:type="dxa"/>
            <w:tcBorders>
              <w:top w:val="single" w:sz="4" w:space="0" w:color="auto"/>
              <w:left w:val="nil"/>
              <w:bottom w:val="single" w:sz="8" w:space="0" w:color="auto"/>
              <w:right w:val="single" w:sz="8" w:space="0" w:color="auto"/>
            </w:tcBorders>
            <w:shd w:val="clear" w:color="auto" w:fill="auto"/>
            <w:vAlign w:val="center"/>
            <w:hideMark/>
          </w:tcPr>
          <w:p w:rsidR="00E4413B" w:rsidRPr="00024B64" w:rsidRDefault="00E4413B" w:rsidP="007E72E2">
            <w:pPr>
              <w:jc w:val="center"/>
              <w:rPr>
                <w:b/>
                <w:iCs/>
                <w:color w:val="000000"/>
                <w:sz w:val="20"/>
                <w:szCs w:val="20"/>
              </w:rPr>
            </w:pPr>
            <w:r w:rsidRPr="00024B64">
              <w:rPr>
                <w:b/>
                <w:iCs/>
                <w:color w:val="000000"/>
                <w:sz w:val="20"/>
                <w:szCs w:val="20"/>
              </w:rPr>
              <w:t>Coeficiente</w:t>
            </w:r>
          </w:p>
        </w:tc>
        <w:tc>
          <w:tcPr>
            <w:tcW w:w="1496" w:type="dxa"/>
            <w:tcBorders>
              <w:top w:val="single" w:sz="4" w:space="0" w:color="auto"/>
              <w:left w:val="nil"/>
              <w:bottom w:val="single" w:sz="8" w:space="0" w:color="auto"/>
              <w:right w:val="single" w:sz="8" w:space="0" w:color="auto"/>
            </w:tcBorders>
            <w:shd w:val="clear" w:color="auto" w:fill="auto"/>
            <w:vAlign w:val="center"/>
            <w:hideMark/>
          </w:tcPr>
          <w:p w:rsidR="00E4413B" w:rsidRPr="00024B64" w:rsidRDefault="00E4413B" w:rsidP="007E72E2">
            <w:pPr>
              <w:jc w:val="center"/>
              <w:rPr>
                <w:b/>
                <w:iCs/>
                <w:color w:val="000000"/>
                <w:sz w:val="20"/>
                <w:szCs w:val="20"/>
              </w:rPr>
            </w:pPr>
            <w:r w:rsidRPr="00024B64">
              <w:rPr>
                <w:b/>
                <w:iCs/>
                <w:color w:val="000000"/>
                <w:sz w:val="20"/>
                <w:szCs w:val="20"/>
              </w:rPr>
              <w:t>Desvio-Padrão</w:t>
            </w:r>
          </w:p>
        </w:tc>
        <w:tc>
          <w:tcPr>
            <w:tcW w:w="860" w:type="dxa"/>
            <w:tcBorders>
              <w:top w:val="single" w:sz="4" w:space="0" w:color="auto"/>
              <w:left w:val="nil"/>
              <w:bottom w:val="single" w:sz="8" w:space="0" w:color="auto"/>
              <w:right w:val="nil"/>
            </w:tcBorders>
            <w:shd w:val="clear" w:color="auto" w:fill="auto"/>
            <w:vAlign w:val="center"/>
            <w:hideMark/>
          </w:tcPr>
          <w:p w:rsidR="00E4413B" w:rsidRPr="00024B64" w:rsidRDefault="00AA458C" w:rsidP="00E4413B">
            <w:pPr>
              <w:jc w:val="center"/>
              <w:rPr>
                <w:b/>
                <w:iCs/>
                <w:color w:val="000000"/>
                <w:sz w:val="20"/>
                <w:szCs w:val="20"/>
              </w:rPr>
            </w:pPr>
            <w:r w:rsidRPr="00024B64">
              <w:rPr>
                <w:b/>
                <w:iCs/>
                <w:color w:val="000000"/>
                <w:sz w:val="20"/>
                <w:szCs w:val="20"/>
              </w:rPr>
              <w:t>Z</w:t>
            </w:r>
          </w:p>
        </w:tc>
      </w:tr>
      <w:tr w:rsidR="00DC4087"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C4087" w:rsidRPr="00BD1669" w:rsidRDefault="00DC4087" w:rsidP="001C0249">
            <w:pPr>
              <w:jc w:val="center"/>
              <w:rPr>
                <w:color w:val="000000"/>
                <w:sz w:val="20"/>
                <w:szCs w:val="20"/>
              </w:rPr>
            </w:pPr>
            <w:r w:rsidRPr="00BD1669">
              <w:rPr>
                <w:color w:val="000000"/>
                <w:sz w:val="20"/>
                <w:szCs w:val="20"/>
              </w:rPr>
              <w:t>CEXP</w:t>
            </w:r>
          </w:p>
        </w:tc>
        <w:tc>
          <w:tcPr>
            <w:tcW w:w="126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3,46797</w:t>
            </w:r>
          </w:p>
        </w:tc>
        <w:tc>
          <w:tcPr>
            <w:tcW w:w="1473"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1,33005</w:t>
            </w:r>
          </w:p>
        </w:tc>
        <w:tc>
          <w:tcPr>
            <w:tcW w:w="992"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2,61</w:t>
            </w:r>
            <w:r w:rsidR="00DA5F08">
              <w:rPr>
                <w:color w:val="000000"/>
                <w:sz w:val="20"/>
                <w:szCs w:val="20"/>
              </w:rPr>
              <w:t>**</w:t>
            </w:r>
          </w:p>
        </w:tc>
        <w:tc>
          <w:tcPr>
            <w:tcW w:w="206" w:type="dxa"/>
            <w:tcBorders>
              <w:top w:val="nil"/>
              <w:left w:val="nil"/>
              <w:bottom w:val="nil"/>
              <w:right w:val="nil"/>
            </w:tcBorders>
            <w:shd w:val="clear" w:color="auto" w:fill="auto"/>
            <w:vAlign w:val="bottom"/>
            <w:hideMark/>
          </w:tcPr>
          <w:p w:rsidR="00DC4087" w:rsidRPr="00DC4087" w:rsidRDefault="00DC4087"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3,696381</w:t>
            </w:r>
          </w:p>
        </w:tc>
        <w:tc>
          <w:tcPr>
            <w:tcW w:w="149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1,327292</w:t>
            </w:r>
          </w:p>
        </w:tc>
        <w:tc>
          <w:tcPr>
            <w:tcW w:w="860"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2,78</w:t>
            </w:r>
            <w:r w:rsidR="007412FB">
              <w:rPr>
                <w:color w:val="000000"/>
                <w:sz w:val="20"/>
                <w:szCs w:val="20"/>
              </w:rPr>
              <w:t>**</w:t>
            </w:r>
          </w:p>
        </w:tc>
      </w:tr>
      <w:tr w:rsidR="00DC4087"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C4087" w:rsidRPr="00BD1669" w:rsidRDefault="00DC4087" w:rsidP="001C0249">
            <w:pPr>
              <w:jc w:val="center"/>
              <w:rPr>
                <w:color w:val="000000"/>
                <w:sz w:val="20"/>
                <w:szCs w:val="20"/>
              </w:rPr>
            </w:pPr>
            <w:r w:rsidRPr="00BD1669">
              <w:rPr>
                <w:color w:val="000000"/>
                <w:sz w:val="20"/>
                <w:szCs w:val="20"/>
              </w:rPr>
              <w:t>CIMP</w:t>
            </w:r>
          </w:p>
        </w:tc>
        <w:tc>
          <w:tcPr>
            <w:tcW w:w="126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-0,55882</w:t>
            </w:r>
          </w:p>
        </w:tc>
        <w:tc>
          <w:tcPr>
            <w:tcW w:w="1473"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1,145954</w:t>
            </w:r>
          </w:p>
        </w:tc>
        <w:tc>
          <w:tcPr>
            <w:tcW w:w="992"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-0,49</w:t>
            </w:r>
          </w:p>
        </w:tc>
        <w:tc>
          <w:tcPr>
            <w:tcW w:w="206" w:type="dxa"/>
            <w:tcBorders>
              <w:top w:val="nil"/>
              <w:left w:val="nil"/>
              <w:bottom w:val="nil"/>
              <w:right w:val="nil"/>
            </w:tcBorders>
            <w:shd w:val="clear" w:color="auto" w:fill="auto"/>
            <w:vAlign w:val="bottom"/>
            <w:hideMark/>
          </w:tcPr>
          <w:p w:rsidR="00DC4087" w:rsidRPr="00DC4087" w:rsidRDefault="00DC4087"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-0,2111631</w:t>
            </w:r>
          </w:p>
        </w:tc>
        <w:tc>
          <w:tcPr>
            <w:tcW w:w="149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1,151816</w:t>
            </w:r>
          </w:p>
        </w:tc>
        <w:tc>
          <w:tcPr>
            <w:tcW w:w="860"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-0,18</w:t>
            </w:r>
          </w:p>
        </w:tc>
      </w:tr>
      <w:tr w:rsidR="00DC4087"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C4087" w:rsidRPr="00BD1669" w:rsidRDefault="00DC4087" w:rsidP="001C0249">
            <w:pPr>
              <w:jc w:val="center"/>
              <w:rPr>
                <w:color w:val="000000"/>
                <w:sz w:val="20"/>
                <w:szCs w:val="20"/>
              </w:rPr>
            </w:pPr>
            <w:r w:rsidRPr="00BD1669">
              <w:rPr>
                <w:color w:val="000000"/>
                <w:sz w:val="20"/>
                <w:szCs w:val="20"/>
              </w:rPr>
              <w:t>DLPPIB</w:t>
            </w:r>
          </w:p>
        </w:tc>
        <w:tc>
          <w:tcPr>
            <w:tcW w:w="126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4,823181</w:t>
            </w:r>
          </w:p>
        </w:tc>
        <w:tc>
          <w:tcPr>
            <w:tcW w:w="1473"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1,104034</w:t>
            </w:r>
          </w:p>
        </w:tc>
        <w:tc>
          <w:tcPr>
            <w:tcW w:w="992"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4,37</w:t>
            </w:r>
            <w:r w:rsidR="00DA5F08">
              <w:rPr>
                <w:color w:val="000000"/>
                <w:sz w:val="20"/>
                <w:szCs w:val="20"/>
              </w:rPr>
              <w:t>**</w:t>
            </w:r>
          </w:p>
        </w:tc>
        <w:tc>
          <w:tcPr>
            <w:tcW w:w="206" w:type="dxa"/>
            <w:tcBorders>
              <w:top w:val="nil"/>
              <w:left w:val="nil"/>
              <w:bottom w:val="nil"/>
              <w:right w:val="nil"/>
            </w:tcBorders>
            <w:shd w:val="clear" w:color="auto" w:fill="auto"/>
            <w:vAlign w:val="bottom"/>
            <w:hideMark/>
          </w:tcPr>
          <w:p w:rsidR="00DC4087" w:rsidRPr="00DC4087" w:rsidRDefault="00DC4087"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5,24677</w:t>
            </w:r>
          </w:p>
        </w:tc>
        <w:tc>
          <w:tcPr>
            <w:tcW w:w="149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1,055701</w:t>
            </w:r>
          </w:p>
        </w:tc>
        <w:tc>
          <w:tcPr>
            <w:tcW w:w="860"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4,97</w:t>
            </w:r>
            <w:r w:rsidR="007412FB">
              <w:rPr>
                <w:color w:val="000000"/>
                <w:sz w:val="20"/>
                <w:szCs w:val="20"/>
              </w:rPr>
              <w:t>**</w:t>
            </w:r>
          </w:p>
        </w:tc>
      </w:tr>
      <w:tr w:rsidR="00DC4087"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C4087" w:rsidRPr="00BD1669" w:rsidRDefault="00DC4087" w:rsidP="001C0249">
            <w:pPr>
              <w:jc w:val="center"/>
              <w:rPr>
                <w:color w:val="000000"/>
                <w:sz w:val="20"/>
                <w:szCs w:val="20"/>
              </w:rPr>
            </w:pPr>
            <w:r w:rsidRPr="00BD1669">
              <w:rPr>
                <w:color w:val="000000"/>
                <w:sz w:val="20"/>
                <w:szCs w:val="20"/>
              </w:rPr>
              <w:t>NPIB</w:t>
            </w:r>
          </w:p>
        </w:tc>
        <w:tc>
          <w:tcPr>
            <w:tcW w:w="126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-10,6131</w:t>
            </w:r>
          </w:p>
        </w:tc>
        <w:tc>
          <w:tcPr>
            <w:tcW w:w="1473"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1,640747</w:t>
            </w:r>
          </w:p>
        </w:tc>
        <w:tc>
          <w:tcPr>
            <w:tcW w:w="992"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-6,47</w:t>
            </w:r>
            <w:r w:rsidR="00DA5F08">
              <w:rPr>
                <w:color w:val="000000"/>
                <w:sz w:val="20"/>
                <w:szCs w:val="20"/>
              </w:rPr>
              <w:t>**</w:t>
            </w:r>
          </w:p>
        </w:tc>
        <w:tc>
          <w:tcPr>
            <w:tcW w:w="206" w:type="dxa"/>
            <w:tcBorders>
              <w:top w:val="nil"/>
              <w:left w:val="nil"/>
              <w:bottom w:val="nil"/>
              <w:right w:val="nil"/>
            </w:tcBorders>
            <w:shd w:val="clear" w:color="auto" w:fill="auto"/>
            <w:vAlign w:val="bottom"/>
            <w:hideMark/>
          </w:tcPr>
          <w:p w:rsidR="00DC4087" w:rsidRPr="00DC4087" w:rsidRDefault="00DC4087"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-9,502548</w:t>
            </w:r>
          </w:p>
        </w:tc>
        <w:tc>
          <w:tcPr>
            <w:tcW w:w="149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1,530189</w:t>
            </w:r>
          </w:p>
        </w:tc>
        <w:tc>
          <w:tcPr>
            <w:tcW w:w="860"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-6,21</w:t>
            </w:r>
            <w:r w:rsidR="007412FB">
              <w:rPr>
                <w:color w:val="000000"/>
                <w:sz w:val="20"/>
                <w:szCs w:val="20"/>
              </w:rPr>
              <w:t>**</w:t>
            </w:r>
          </w:p>
        </w:tc>
      </w:tr>
      <w:tr w:rsidR="00DC4087"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C4087" w:rsidRPr="00BD1669" w:rsidRDefault="00DC4087" w:rsidP="001C0249">
            <w:pPr>
              <w:jc w:val="center"/>
              <w:rPr>
                <w:color w:val="000000"/>
                <w:sz w:val="20"/>
                <w:szCs w:val="20"/>
              </w:rPr>
            </w:pPr>
            <w:r w:rsidRPr="00BD1669">
              <w:rPr>
                <w:color w:val="000000"/>
                <w:sz w:val="20"/>
                <w:szCs w:val="20"/>
              </w:rPr>
              <w:t>DEEXP</w:t>
            </w:r>
          </w:p>
        </w:tc>
        <w:tc>
          <w:tcPr>
            <w:tcW w:w="126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-0,07181</w:t>
            </w:r>
          </w:p>
        </w:tc>
        <w:tc>
          <w:tcPr>
            <w:tcW w:w="1473"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0,290145</w:t>
            </w:r>
          </w:p>
        </w:tc>
        <w:tc>
          <w:tcPr>
            <w:tcW w:w="992"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-0,25</w:t>
            </w:r>
          </w:p>
        </w:tc>
        <w:tc>
          <w:tcPr>
            <w:tcW w:w="206" w:type="dxa"/>
            <w:tcBorders>
              <w:top w:val="nil"/>
              <w:left w:val="nil"/>
              <w:bottom w:val="nil"/>
              <w:right w:val="nil"/>
            </w:tcBorders>
            <w:shd w:val="clear" w:color="auto" w:fill="auto"/>
            <w:vAlign w:val="bottom"/>
            <w:hideMark/>
          </w:tcPr>
          <w:p w:rsidR="00DC4087" w:rsidRPr="00DC4087" w:rsidRDefault="00DC4087"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0,0200639</w:t>
            </w:r>
          </w:p>
        </w:tc>
        <w:tc>
          <w:tcPr>
            <w:tcW w:w="149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0,2789161</w:t>
            </w:r>
          </w:p>
        </w:tc>
        <w:tc>
          <w:tcPr>
            <w:tcW w:w="860"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0,07</w:t>
            </w:r>
          </w:p>
        </w:tc>
      </w:tr>
      <w:tr w:rsidR="00DC4087"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C4087" w:rsidRPr="00BD1669" w:rsidRDefault="00DC4087" w:rsidP="001C0249">
            <w:pPr>
              <w:jc w:val="center"/>
              <w:rPr>
                <w:color w:val="000000"/>
                <w:sz w:val="20"/>
                <w:szCs w:val="20"/>
              </w:rPr>
            </w:pPr>
            <w:r w:rsidRPr="00BD1669">
              <w:rPr>
                <w:color w:val="000000"/>
                <w:sz w:val="20"/>
                <w:szCs w:val="20"/>
              </w:rPr>
              <w:t>SDTEXP</w:t>
            </w:r>
          </w:p>
        </w:tc>
        <w:tc>
          <w:tcPr>
            <w:tcW w:w="126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-2,11525</w:t>
            </w:r>
          </w:p>
        </w:tc>
        <w:tc>
          <w:tcPr>
            <w:tcW w:w="1473"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1,317097</w:t>
            </w:r>
          </w:p>
        </w:tc>
        <w:tc>
          <w:tcPr>
            <w:tcW w:w="992"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-1,61</w:t>
            </w:r>
          </w:p>
        </w:tc>
        <w:tc>
          <w:tcPr>
            <w:tcW w:w="206" w:type="dxa"/>
            <w:tcBorders>
              <w:top w:val="nil"/>
              <w:left w:val="nil"/>
              <w:bottom w:val="nil"/>
              <w:right w:val="nil"/>
            </w:tcBorders>
            <w:shd w:val="clear" w:color="auto" w:fill="auto"/>
            <w:vAlign w:val="bottom"/>
            <w:hideMark/>
          </w:tcPr>
          <w:p w:rsidR="00DC4087" w:rsidRPr="00DC4087" w:rsidRDefault="00DC4087"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-3,089638</w:t>
            </w:r>
          </w:p>
        </w:tc>
        <w:tc>
          <w:tcPr>
            <w:tcW w:w="1496" w:type="dxa"/>
            <w:tcBorders>
              <w:top w:val="nil"/>
              <w:left w:val="nil"/>
              <w:bottom w:val="nil"/>
              <w:right w:val="single" w:sz="8" w:space="0" w:color="auto"/>
            </w:tcBorders>
            <w:shd w:val="clear" w:color="auto" w:fill="auto"/>
            <w:vAlign w:val="bottom"/>
            <w:hideMark/>
          </w:tcPr>
          <w:p w:rsidR="00DC4087" w:rsidRPr="00DC4087" w:rsidRDefault="00DC4087" w:rsidP="00AC1CE7">
            <w:pPr>
              <w:jc w:val="center"/>
              <w:rPr>
                <w:i/>
                <w:iCs/>
                <w:color w:val="000000"/>
                <w:sz w:val="20"/>
                <w:szCs w:val="20"/>
              </w:rPr>
            </w:pPr>
            <w:r w:rsidRPr="00DC4087">
              <w:rPr>
                <w:i/>
                <w:iCs/>
                <w:color w:val="000000"/>
                <w:sz w:val="20"/>
                <w:szCs w:val="20"/>
              </w:rPr>
              <w:t>1,268125</w:t>
            </w:r>
          </w:p>
        </w:tc>
        <w:tc>
          <w:tcPr>
            <w:tcW w:w="860" w:type="dxa"/>
            <w:tcBorders>
              <w:top w:val="nil"/>
              <w:left w:val="nil"/>
              <w:bottom w:val="nil"/>
              <w:right w:val="nil"/>
            </w:tcBorders>
            <w:shd w:val="clear" w:color="auto" w:fill="auto"/>
            <w:noWrap/>
            <w:vAlign w:val="bottom"/>
            <w:hideMark/>
          </w:tcPr>
          <w:p w:rsidR="00DC4087" w:rsidRPr="00DC4087" w:rsidRDefault="00DC4087" w:rsidP="00AC1CE7">
            <w:pPr>
              <w:jc w:val="right"/>
              <w:rPr>
                <w:color w:val="000000"/>
                <w:sz w:val="20"/>
                <w:szCs w:val="20"/>
              </w:rPr>
            </w:pPr>
            <w:r w:rsidRPr="00DC4087">
              <w:rPr>
                <w:color w:val="000000"/>
                <w:sz w:val="20"/>
                <w:szCs w:val="20"/>
              </w:rPr>
              <w:t>-2,44</w:t>
            </w:r>
            <w:r w:rsidR="007412FB">
              <w:rPr>
                <w:color w:val="000000"/>
                <w:sz w:val="20"/>
                <w:szCs w:val="20"/>
              </w:rPr>
              <w:t>***</w:t>
            </w:r>
          </w:p>
        </w:tc>
      </w:tr>
      <w:tr w:rsidR="00DA5F08"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A5F08" w:rsidRPr="00BD1669" w:rsidRDefault="00DA5F08" w:rsidP="00AC1CE7">
            <w:pPr>
              <w:jc w:val="center"/>
              <w:rPr>
                <w:color w:val="000000"/>
                <w:sz w:val="20"/>
                <w:szCs w:val="20"/>
              </w:rPr>
            </w:pPr>
            <w:r w:rsidRPr="00BD1669">
              <w:rPr>
                <w:color w:val="000000"/>
                <w:sz w:val="20"/>
                <w:szCs w:val="20"/>
              </w:rPr>
              <w:t>CPIB</w:t>
            </w:r>
          </w:p>
        </w:tc>
        <w:tc>
          <w:tcPr>
            <w:tcW w:w="1266"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-8,97366</w:t>
            </w:r>
          </w:p>
        </w:tc>
        <w:tc>
          <w:tcPr>
            <w:tcW w:w="1473"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3,611502</w:t>
            </w:r>
          </w:p>
        </w:tc>
        <w:tc>
          <w:tcPr>
            <w:tcW w:w="992" w:type="dxa"/>
            <w:tcBorders>
              <w:top w:val="nil"/>
              <w:left w:val="nil"/>
              <w:bottom w:val="nil"/>
              <w:right w:val="nil"/>
            </w:tcBorders>
            <w:shd w:val="clear" w:color="auto" w:fill="auto"/>
            <w:noWrap/>
            <w:vAlign w:val="bottom"/>
            <w:hideMark/>
          </w:tcPr>
          <w:p w:rsidR="00DA5F08" w:rsidRPr="00DC4087" w:rsidRDefault="00DA5F08" w:rsidP="00AC1CE7">
            <w:pPr>
              <w:jc w:val="right"/>
              <w:rPr>
                <w:color w:val="000000"/>
                <w:sz w:val="20"/>
                <w:szCs w:val="20"/>
              </w:rPr>
            </w:pPr>
            <w:r w:rsidRPr="00DC4087">
              <w:rPr>
                <w:color w:val="000000"/>
                <w:sz w:val="20"/>
                <w:szCs w:val="20"/>
              </w:rPr>
              <w:t>-2,48</w:t>
            </w:r>
            <w:r w:rsidR="007944B5">
              <w:rPr>
                <w:color w:val="000000"/>
                <w:sz w:val="20"/>
                <w:szCs w:val="20"/>
              </w:rPr>
              <w:t>***</w:t>
            </w:r>
          </w:p>
        </w:tc>
        <w:tc>
          <w:tcPr>
            <w:tcW w:w="206" w:type="dxa"/>
            <w:tcBorders>
              <w:top w:val="nil"/>
              <w:left w:val="nil"/>
              <w:bottom w:val="nil"/>
              <w:right w:val="nil"/>
            </w:tcBorders>
            <w:shd w:val="clear" w:color="auto" w:fill="auto"/>
            <w:vAlign w:val="bottom"/>
            <w:hideMark/>
          </w:tcPr>
          <w:p w:rsidR="00DA5F08" w:rsidRPr="00DC4087" w:rsidRDefault="00DA5F08"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-9,645731</w:t>
            </w:r>
          </w:p>
        </w:tc>
        <w:tc>
          <w:tcPr>
            <w:tcW w:w="1496"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3,577295</w:t>
            </w:r>
          </w:p>
        </w:tc>
        <w:tc>
          <w:tcPr>
            <w:tcW w:w="860" w:type="dxa"/>
            <w:tcBorders>
              <w:top w:val="nil"/>
              <w:left w:val="nil"/>
              <w:bottom w:val="nil"/>
              <w:right w:val="nil"/>
            </w:tcBorders>
            <w:shd w:val="clear" w:color="auto" w:fill="auto"/>
            <w:noWrap/>
            <w:vAlign w:val="bottom"/>
            <w:hideMark/>
          </w:tcPr>
          <w:p w:rsidR="00DA5F08" w:rsidRPr="00DC4087" w:rsidRDefault="00DA5F08" w:rsidP="00AC1CE7">
            <w:pPr>
              <w:jc w:val="right"/>
              <w:rPr>
                <w:color w:val="000000"/>
                <w:sz w:val="20"/>
                <w:szCs w:val="20"/>
              </w:rPr>
            </w:pPr>
            <w:r w:rsidRPr="00DC4087">
              <w:rPr>
                <w:color w:val="000000"/>
                <w:sz w:val="20"/>
                <w:szCs w:val="20"/>
              </w:rPr>
              <w:t>-2,7</w:t>
            </w:r>
            <w:r w:rsidR="007412FB">
              <w:rPr>
                <w:color w:val="000000"/>
                <w:sz w:val="20"/>
                <w:szCs w:val="20"/>
              </w:rPr>
              <w:t>**</w:t>
            </w:r>
          </w:p>
        </w:tc>
      </w:tr>
      <w:tr w:rsidR="00DA5F08"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A5F08" w:rsidRPr="00BD1669" w:rsidRDefault="00DA5F08" w:rsidP="00AC1CE7">
            <w:pPr>
              <w:jc w:val="center"/>
              <w:rPr>
                <w:color w:val="000000"/>
                <w:sz w:val="20"/>
                <w:szCs w:val="20"/>
              </w:rPr>
            </w:pPr>
            <w:r w:rsidRPr="00BD1669">
              <w:rPr>
                <w:color w:val="000000"/>
                <w:sz w:val="20"/>
                <w:szCs w:val="20"/>
              </w:rPr>
              <w:t>CP</w:t>
            </w:r>
          </w:p>
        </w:tc>
        <w:tc>
          <w:tcPr>
            <w:tcW w:w="1266"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0,209834</w:t>
            </w:r>
          </w:p>
        </w:tc>
        <w:tc>
          <w:tcPr>
            <w:tcW w:w="1473"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0,102725</w:t>
            </w:r>
          </w:p>
        </w:tc>
        <w:tc>
          <w:tcPr>
            <w:tcW w:w="992" w:type="dxa"/>
            <w:tcBorders>
              <w:top w:val="nil"/>
              <w:left w:val="nil"/>
              <w:bottom w:val="nil"/>
              <w:right w:val="nil"/>
            </w:tcBorders>
            <w:shd w:val="clear" w:color="auto" w:fill="auto"/>
            <w:noWrap/>
            <w:vAlign w:val="bottom"/>
            <w:hideMark/>
          </w:tcPr>
          <w:p w:rsidR="00DA5F08" w:rsidRPr="00DC4087" w:rsidRDefault="00DA5F08" w:rsidP="00AC1CE7">
            <w:pPr>
              <w:jc w:val="right"/>
              <w:rPr>
                <w:color w:val="000000"/>
                <w:sz w:val="20"/>
                <w:szCs w:val="20"/>
              </w:rPr>
            </w:pPr>
            <w:r w:rsidRPr="00DC4087">
              <w:rPr>
                <w:color w:val="000000"/>
                <w:sz w:val="20"/>
                <w:szCs w:val="20"/>
              </w:rPr>
              <w:t>2,04</w:t>
            </w:r>
            <w:r w:rsidR="007944B5">
              <w:rPr>
                <w:color w:val="000000"/>
                <w:sz w:val="20"/>
                <w:szCs w:val="20"/>
              </w:rPr>
              <w:t>***</w:t>
            </w:r>
          </w:p>
        </w:tc>
        <w:tc>
          <w:tcPr>
            <w:tcW w:w="206" w:type="dxa"/>
            <w:tcBorders>
              <w:top w:val="nil"/>
              <w:left w:val="nil"/>
              <w:bottom w:val="nil"/>
              <w:right w:val="nil"/>
            </w:tcBorders>
            <w:shd w:val="clear" w:color="auto" w:fill="auto"/>
            <w:vAlign w:val="bottom"/>
            <w:hideMark/>
          </w:tcPr>
          <w:p w:rsidR="00DA5F08" w:rsidRPr="00DC4087" w:rsidRDefault="00DA5F08"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0,2008559</w:t>
            </w:r>
          </w:p>
        </w:tc>
        <w:tc>
          <w:tcPr>
            <w:tcW w:w="1496"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0,1036132</w:t>
            </w:r>
          </w:p>
        </w:tc>
        <w:tc>
          <w:tcPr>
            <w:tcW w:w="860" w:type="dxa"/>
            <w:tcBorders>
              <w:top w:val="nil"/>
              <w:left w:val="nil"/>
              <w:bottom w:val="nil"/>
              <w:right w:val="nil"/>
            </w:tcBorders>
            <w:shd w:val="clear" w:color="auto" w:fill="auto"/>
            <w:noWrap/>
            <w:vAlign w:val="bottom"/>
            <w:hideMark/>
          </w:tcPr>
          <w:p w:rsidR="00DA5F08" w:rsidRPr="00DC4087" w:rsidRDefault="00DA5F08" w:rsidP="00AC1CE7">
            <w:pPr>
              <w:jc w:val="right"/>
              <w:rPr>
                <w:color w:val="000000"/>
                <w:sz w:val="20"/>
                <w:szCs w:val="20"/>
              </w:rPr>
            </w:pPr>
            <w:r w:rsidRPr="00DC4087">
              <w:rPr>
                <w:color w:val="000000"/>
                <w:sz w:val="20"/>
                <w:szCs w:val="20"/>
              </w:rPr>
              <w:t>1,94</w:t>
            </w:r>
            <w:r w:rsidR="007412FB">
              <w:rPr>
                <w:color w:val="000000"/>
                <w:sz w:val="20"/>
                <w:szCs w:val="20"/>
              </w:rPr>
              <w:t>***</w:t>
            </w:r>
          </w:p>
        </w:tc>
      </w:tr>
      <w:tr w:rsidR="00DA5F08" w:rsidRPr="00BD1669" w:rsidTr="00024B64">
        <w:trPr>
          <w:trHeight w:val="397"/>
          <w:jc w:val="center"/>
        </w:trPr>
        <w:tc>
          <w:tcPr>
            <w:tcW w:w="1363" w:type="dxa"/>
            <w:tcBorders>
              <w:top w:val="nil"/>
              <w:left w:val="nil"/>
              <w:bottom w:val="nil"/>
              <w:right w:val="single" w:sz="8" w:space="0" w:color="auto"/>
            </w:tcBorders>
            <w:shd w:val="clear" w:color="auto" w:fill="auto"/>
            <w:vAlign w:val="bottom"/>
            <w:hideMark/>
          </w:tcPr>
          <w:p w:rsidR="00DA5F08" w:rsidRPr="00BD1669" w:rsidRDefault="00DA5F08" w:rsidP="00AC1CE7">
            <w:pPr>
              <w:jc w:val="center"/>
              <w:rPr>
                <w:color w:val="000000"/>
                <w:sz w:val="20"/>
                <w:szCs w:val="20"/>
              </w:rPr>
            </w:pPr>
            <w:r w:rsidRPr="00BD1669">
              <w:rPr>
                <w:color w:val="000000"/>
                <w:sz w:val="20"/>
                <w:szCs w:val="20"/>
              </w:rPr>
              <w:t>GAE</w:t>
            </w:r>
          </w:p>
        </w:tc>
        <w:tc>
          <w:tcPr>
            <w:tcW w:w="1266"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0,330342</w:t>
            </w:r>
          </w:p>
        </w:tc>
        <w:tc>
          <w:tcPr>
            <w:tcW w:w="1473"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1,111007</w:t>
            </w:r>
          </w:p>
        </w:tc>
        <w:tc>
          <w:tcPr>
            <w:tcW w:w="992" w:type="dxa"/>
            <w:tcBorders>
              <w:top w:val="nil"/>
              <w:left w:val="nil"/>
              <w:bottom w:val="nil"/>
              <w:right w:val="nil"/>
            </w:tcBorders>
            <w:shd w:val="clear" w:color="auto" w:fill="auto"/>
            <w:noWrap/>
            <w:vAlign w:val="bottom"/>
            <w:hideMark/>
          </w:tcPr>
          <w:p w:rsidR="00DA5F08" w:rsidRPr="00DC4087" w:rsidRDefault="00DA5F08" w:rsidP="00AC1CE7">
            <w:pPr>
              <w:jc w:val="right"/>
              <w:rPr>
                <w:color w:val="000000"/>
                <w:sz w:val="20"/>
                <w:szCs w:val="20"/>
              </w:rPr>
            </w:pPr>
            <w:r w:rsidRPr="00DC4087">
              <w:rPr>
                <w:color w:val="000000"/>
                <w:sz w:val="20"/>
                <w:szCs w:val="20"/>
              </w:rPr>
              <w:t>0,3</w:t>
            </w:r>
          </w:p>
        </w:tc>
        <w:tc>
          <w:tcPr>
            <w:tcW w:w="206" w:type="dxa"/>
            <w:tcBorders>
              <w:top w:val="nil"/>
              <w:left w:val="nil"/>
              <w:bottom w:val="nil"/>
              <w:right w:val="nil"/>
            </w:tcBorders>
            <w:shd w:val="clear" w:color="auto" w:fill="auto"/>
            <w:vAlign w:val="bottom"/>
            <w:hideMark/>
          </w:tcPr>
          <w:p w:rsidR="00DA5F08" w:rsidRPr="00DC4087" w:rsidRDefault="00DA5F08" w:rsidP="00AC1CE7">
            <w:pPr>
              <w:jc w:val="center"/>
              <w:rPr>
                <w:i/>
                <w:iCs/>
                <w:color w:val="000000"/>
                <w:sz w:val="20"/>
                <w:szCs w:val="20"/>
              </w:rPr>
            </w:pPr>
          </w:p>
        </w:tc>
        <w:tc>
          <w:tcPr>
            <w:tcW w:w="1154"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-1,399641</w:t>
            </w:r>
          </w:p>
        </w:tc>
        <w:tc>
          <w:tcPr>
            <w:tcW w:w="1496" w:type="dxa"/>
            <w:tcBorders>
              <w:top w:val="nil"/>
              <w:left w:val="nil"/>
              <w:bottom w:val="nil"/>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0,7789577</w:t>
            </w:r>
          </w:p>
        </w:tc>
        <w:tc>
          <w:tcPr>
            <w:tcW w:w="860" w:type="dxa"/>
            <w:tcBorders>
              <w:top w:val="nil"/>
              <w:left w:val="nil"/>
              <w:bottom w:val="nil"/>
              <w:right w:val="nil"/>
            </w:tcBorders>
            <w:shd w:val="clear" w:color="auto" w:fill="auto"/>
            <w:noWrap/>
            <w:vAlign w:val="bottom"/>
            <w:hideMark/>
          </w:tcPr>
          <w:p w:rsidR="00DA5F08" w:rsidRPr="00DC4087" w:rsidRDefault="00DA5F08" w:rsidP="00AC1CE7">
            <w:pPr>
              <w:jc w:val="right"/>
              <w:rPr>
                <w:color w:val="000000"/>
                <w:sz w:val="20"/>
                <w:szCs w:val="20"/>
              </w:rPr>
            </w:pPr>
            <w:r w:rsidRPr="00DC4087">
              <w:rPr>
                <w:color w:val="000000"/>
                <w:sz w:val="20"/>
                <w:szCs w:val="20"/>
              </w:rPr>
              <w:t>-1,8</w:t>
            </w:r>
            <w:r w:rsidR="007412FB">
              <w:rPr>
                <w:color w:val="000000"/>
                <w:sz w:val="20"/>
                <w:szCs w:val="20"/>
              </w:rPr>
              <w:t>***</w:t>
            </w:r>
            <w:r w:rsidR="00633D99">
              <w:rPr>
                <w:color w:val="000000"/>
                <w:sz w:val="20"/>
                <w:szCs w:val="20"/>
              </w:rPr>
              <w:t>*</w:t>
            </w:r>
          </w:p>
        </w:tc>
      </w:tr>
      <w:tr w:rsidR="00DA5F08" w:rsidRPr="00BD1669" w:rsidTr="00024B64">
        <w:trPr>
          <w:trHeight w:val="397"/>
          <w:jc w:val="center"/>
        </w:trPr>
        <w:tc>
          <w:tcPr>
            <w:tcW w:w="1363" w:type="dxa"/>
            <w:tcBorders>
              <w:top w:val="nil"/>
              <w:left w:val="nil"/>
              <w:bottom w:val="single" w:sz="4" w:space="0" w:color="auto"/>
              <w:right w:val="single" w:sz="8" w:space="0" w:color="auto"/>
            </w:tcBorders>
            <w:shd w:val="clear" w:color="auto" w:fill="auto"/>
            <w:vAlign w:val="bottom"/>
            <w:hideMark/>
          </w:tcPr>
          <w:p w:rsidR="00DA5F08" w:rsidRPr="00BD1669" w:rsidRDefault="00DA5F08" w:rsidP="001C0249">
            <w:pPr>
              <w:jc w:val="center"/>
              <w:rPr>
                <w:iCs/>
                <w:color w:val="000000"/>
                <w:sz w:val="20"/>
                <w:szCs w:val="20"/>
              </w:rPr>
            </w:pPr>
            <w:r w:rsidRPr="00BD1669">
              <w:rPr>
                <w:iCs/>
                <w:color w:val="000000"/>
                <w:sz w:val="20"/>
                <w:szCs w:val="20"/>
              </w:rPr>
              <w:t>CONS</w:t>
            </w:r>
          </w:p>
        </w:tc>
        <w:tc>
          <w:tcPr>
            <w:tcW w:w="1266" w:type="dxa"/>
            <w:tcBorders>
              <w:top w:val="nil"/>
              <w:left w:val="nil"/>
              <w:bottom w:val="single" w:sz="4" w:space="0" w:color="auto"/>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11,44142</w:t>
            </w:r>
          </w:p>
        </w:tc>
        <w:tc>
          <w:tcPr>
            <w:tcW w:w="1473" w:type="dxa"/>
            <w:tcBorders>
              <w:top w:val="nil"/>
              <w:left w:val="nil"/>
              <w:bottom w:val="single" w:sz="4" w:space="0" w:color="auto"/>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0,797453</w:t>
            </w:r>
          </w:p>
        </w:tc>
        <w:tc>
          <w:tcPr>
            <w:tcW w:w="992" w:type="dxa"/>
            <w:tcBorders>
              <w:top w:val="nil"/>
              <w:left w:val="nil"/>
              <w:bottom w:val="single" w:sz="4" w:space="0" w:color="auto"/>
              <w:right w:val="nil"/>
            </w:tcBorders>
            <w:shd w:val="clear" w:color="auto" w:fill="auto"/>
            <w:noWrap/>
            <w:vAlign w:val="bottom"/>
            <w:hideMark/>
          </w:tcPr>
          <w:p w:rsidR="00DA5F08" w:rsidRPr="00DC4087" w:rsidRDefault="00DA5F08" w:rsidP="00AC1CE7">
            <w:pPr>
              <w:jc w:val="right"/>
              <w:rPr>
                <w:color w:val="000000"/>
                <w:sz w:val="20"/>
                <w:szCs w:val="20"/>
              </w:rPr>
            </w:pPr>
            <w:r w:rsidRPr="00DC4087">
              <w:rPr>
                <w:color w:val="000000"/>
                <w:sz w:val="20"/>
                <w:szCs w:val="20"/>
              </w:rPr>
              <w:t>14,35</w:t>
            </w:r>
            <w:r w:rsidR="007944B5">
              <w:rPr>
                <w:color w:val="000000"/>
                <w:sz w:val="20"/>
                <w:szCs w:val="20"/>
              </w:rPr>
              <w:t>**</w:t>
            </w:r>
          </w:p>
        </w:tc>
        <w:tc>
          <w:tcPr>
            <w:tcW w:w="206" w:type="dxa"/>
            <w:tcBorders>
              <w:top w:val="nil"/>
              <w:left w:val="nil"/>
              <w:bottom w:val="single" w:sz="4" w:space="0" w:color="auto"/>
              <w:right w:val="nil"/>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 </w:t>
            </w:r>
          </w:p>
        </w:tc>
        <w:tc>
          <w:tcPr>
            <w:tcW w:w="1154" w:type="dxa"/>
            <w:tcBorders>
              <w:top w:val="nil"/>
              <w:left w:val="nil"/>
              <w:bottom w:val="single" w:sz="4" w:space="0" w:color="auto"/>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12,43864</w:t>
            </w:r>
          </w:p>
        </w:tc>
        <w:tc>
          <w:tcPr>
            <w:tcW w:w="1496" w:type="dxa"/>
            <w:tcBorders>
              <w:top w:val="nil"/>
              <w:left w:val="nil"/>
              <w:bottom w:val="single" w:sz="4" w:space="0" w:color="auto"/>
              <w:right w:val="single" w:sz="8" w:space="0" w:color="auto"/>
            </w:tcBorders>
            <w:shd w:val="clear" w:color="auto" w:fill="auto"/>
            <w:vAlign w:val="bottom"/>
            <w:hideMark/>
          </w:tcPr>
          <w:p w:rsidR="00DA5F08" w:rsidRPr="00DC4087" w:rsidRDefault="00DA5F08" w:rsidP="00AC1CE7">
            <w:pPr>
              <w:jc w:val="center"/>
              <w:rPr>
                <w:i/>
                <w:iCs/>
                <w:color w:val="000000"/>
                <w:sz w:val="20"/>
                <w:szCs w:val="20"/>
              </w:rPr>
            </w:pPr>
            <w:r w:rsidRPr="00DC4087">
              <w:rPr>
                <w:i/>
                <w:iCs/>
                <w:color w:val="000000"/>
                <w:sz w:val="20"/>
                <w:szCs w:val="20"/>
              </w:rPr>
              <w:t>0,7076626</w:t>
            </w:r>
          </w:p>
        </w:tc>
        <w:tc>
          <w:tcPr>
            <w:tcW w:w="860" w:type="dxa"/>
            <w:tcBorders>
              <w:top w:val="nil"/>
              <w:left w:val="nil"/>
              <w:bottom w:val="single" w:sz="4" w:space="0" w:color="auto"/>
              <w:right w:val="nil"/>
            </w:tcBorders>
            <w:shd w:val="clear" w:color="auto" w:fill="auto"/>
            <w:noWrap/>
            <w:vAlign w:val="bottom"/>
            <w:hideMark/>
          </w:tcPr>
          <w:p w:rsidR="00DA5F08" w:rsidRPr="00DC4087" w:rsidRDefault="00DA5F08" w:rsidP="00AC1CE7">
            <w:pPr>
              <w:jc w:val="right"/>
              <w:rPr>
                <w:color w:val="000000"/>
                <w:sz w:val="20"/>
                <w:szCs w:val="20"/>
              </w:rPr>
            </w:pPr>
            <w:r w:rsidRPr="00DC4087">
              <w:rPr>
                <w:color w:val="000000"/>
                <w:sz w:val="20"/>
                <w:szCs w:val="20"/>
              </w:rPr>
              <w:t>17,58</w:t>
            </w:r>
            <w:r w:rsidR="007412FB">
              <w:rPr>
                <w:color w:val="000000"/>
                <w:sz w:val="20"/>
                <w:szCs w:val="20"/>
              </w:rPr>
              <w:t>**</w:t>
            </w:r>
          </w:p>
        </w:tc>
      </w:tr>
      <w:tr w:rsidR="00DA5F08" w:rsidRPr="00BD1669" w:rsidTr="00024B64">
        <w:trPr>
          <w:trHeight w:val="397"/>
          <w:jc w:val="center"/>
        </w:trPr>
        <w:tc>
          <w:tcPr>
            <w:tcW w:w="1363" w:type="dxa"/>
            <w:tcBorders>
              <w:top w:val="single" w:sz="4" w:space="0" w:color="auto"/>
              <w:left w:val="nil"/>
              <w:bottom w:val="nil"/>
              <w:right w:val="nil"/>
            </w:tcBorders>
            <w:shd w:val="clear" w:color="auto" w:fill="auto"/>
            <w:vAlign w:val="bottom"/>
            <w:hideMark/>
          </w:tcPr>
          <w:p w:rsidR="00DA5F08" w:rsidRPr="00BD1669" w:rsidRDefault="00DA5F08" w:rsidP="00BE1559">
            <w:pPr>
              <w:rPr>
                <w:i/>
                <w:iCs/>
                <w:color w:val="000000"/>
                <w:sz w:val="20"/>
                <w:szCs w:val="20"/>
              </w:rPr>
            </w:pPr>
            <w:r>
              <w:rPr>
                <w:i/>
                <w:iCs/>
                <w:color w:val="000000"/>
                <w:sz w:val="20"/>
                <w:szCs w:val="20"/>
              </w:rPr>
              <w:t xml:space="preserve"> </w:t>
            </w:r>
          </w:p>
        </w:tc>
        <w:tc>
          <w:tcPr>
            <w:tcW w:w="1266" w:type="dxa"/>
            <w:tcBorders>
              <w:top w:val="single" w:sz="4" w:space="0" w:color="auto"/>
              <w:left w:val="nil"/>
              <w:bottom w:val="nil"/>
              <w:right w:val="nil"/>
            </w:tcBorders>
            <w:shd w:val="clear" w:color="auto" w:fill="auto"/>
            <w:vAlign w:val="bottom"/>
            <w:hideMark/>
          </w:tcPr>
          <w:p w:rsidR="00DA5F08" w:rsidRPr="00BD1669" w:rsidRDefault="00DA5F08" w:rsidP="007412FB">
            <w:pPr>
              <w:rPr>
                <w:i/>
                <w:iCs/>
                <w:color w:val="000000"/>
                <w:sz w:val="20"/>
                <w:szCs w:val="20"/>
              </w:rPr>
            </w:pPr>
            <w:r w:rsidRPr="00BD1669">
              <w:rPr>
                <w:i/>
                <w:iCs/>
                <w:color w:val="000000"/>
                <w:sz w:val="20"/>
                <w:szCs w:val="20"/>
              </w:rPr>
              <w:t>R2</w:t>
            </w:r>
            <w:r>
              <w:rPr>
                <w:i/>
                <w:iCs/>
                <w:color w:val="000000"/>
                <w:sz w:val="20"/>
                <w:szCs w:val="20"/>
              </w:rPr>
              <w:t xml:space="preserve"> = </w:t>
            </w:r>
            <w:r w:rsidRPr="00DC4087">
              <w:rPr>
                <w:i/>
                <w:iCs/>
                <w:color w:val="000000"/>
                <w:sz w:val="20"/>
                <w:szCs w:val="20"/>
              </w:rPr>
              <w:t>0,224</w:t>
            </w:r>
            <w:r w:rsidR="007412FB">
              <w:rPr>
                <w:i/>
                <w:iCs/>
                <w:color w:val="000000"/>
                <w:sz w:val="20"/>
                <w:szCs w:val="20"/>
              </w:rPr>
              <w:t>1</w:t>
            </w:r>
          </w:p>
        </w:tc>
        <w:tc>
          <w:tcPr>
            <w:tcW w:w="1473" w:type="dxa"/>
            <w:tcBorders>
              <w:top w:val="single" w:sz="4" w:space="0" w:color="auto"/>
              <w:left w:val="nil"/>
              <w:bottom w:val="nil"/>
              <w:right w:val="nil"/>
            </w:tcBorders>
            <w:shd w:val="clear" w:color="auto" w:fill="auto"/>
            <w:vAlign w:val="bottom"/>
            <w:hideMark/>
          </w:tcPr>
          <w:p w:rsidR="00DA5F08" w:rsidRPr="00BD1669" w:rsidRDefault="00DA5F08" w:rsidP="001C0249">
            <w:pPr>
              <w:jc w:val="center"/>
              <w:rPr>
                <w:i/>
                <w:iCs/>
                <w:color w:val="000000"/>
                <w:sz w:val="20"/>
                <w:szCs w:val="20"/>
              </w:rPr>
            </w:pPr>
          </w:p>
        </w:tc>
        <w:tc>
          <w:tcPr>
            <w:tcW w:w="992" w:type="dxa"/>
            <w:tcBorders>
              <w:top w:val="single" w:sz="4" w:space="0" w:color="auto"/>
              <w:left w:val="nil"/>
              <w:bottom w:val="nil"/>
              <w:right w:val="nil"/>
            </w:tcBorders>
            <w:shd w:val="clear" w:color="auto" w:fill="auto"/>
            <w:noWrap/>
            <w:vAlign w:val="bottom"/>
            <w:hideMark/>
          </w:tcPr>
          <w:p w:rsidR="00DA5F08" w:rsidRPr="00BD1669" w:rsidRDefault="00DA5F08" w:rsidP="001C0249">
            <w:pPr>
              <w:rPr>
                <w:color w:val="000000"/>
                <w:sz w:val="20"/>
                <w:szCs w:val="20"/>
              </w:rPr>
            </w:pPr>
          </w:p>
        </w:tc>
        <w:tc>
          <w:tcPr>
            <w:tcW w:w="206" w:type="dxa"/>
            <w:tcBorders>
              <w:top w:val="single" w:sz="4" w:space="0" w:color="auto"/>
              <w:left w:val="nil"/>
              <w:bottom w:val="nil"/>
              <w:right w:val="nil"/>
            </w:tcBorders>
            <w:shd w:val="clear" w:color="auto" w:fill="auto"/>
            <w:vAlign w:val="bottom"/>
            <w:hideMark/>
          </w:tcPr>
          <w:p w:rsidR="00DA5F08" w:rsidRPr="00BD1669" w:rsidRDefault="00DA5F08" w:rsidP="001C0249">
            <w:pPr>
              <w:jc w:val="center"/>
              <w:rPr>
                <w:i/>
                <w:iCs/>
                <w:color w:val="000000"/>
                <w:sz w:val="20"/>
                <w:szCs w:val="20"/>
              </w:rPr>
            </w:pPr>
          </w:p>
        </w:tc>
        <w:tc>
          <w:tcPr>
            <w:tcW w:w="1154" w:type="dxa"/>
            <w:tcBorders>
              <w:top w:val="single" w:sz="4" w:space="0" w:color="auto"/>
              <w:left w:val="nil"/>
              <w:bottom w:val="nil"/>
              <w:right w:val="nil"/>
            </w:tcBorders>
            <w:shd w:val="clear" w:color="auto" w:fill="auto"/>
            <w:vAlign w:val="bottom"/>
            <w:hideMark/>
          </w:tcPr>
          <w:p w:rsidR="00DA5F08" w:rsidRPr="00BD1669" w:rsidRDefault="00DA5F08" w:rsidP="007412FB">
            <w:pPr>
              <w:jc w:val="center"/>
              <w:rPr>
                <w:i/>
                <w:iCs/>
                <w:color w:val="000000"/>
                <w:sz w:val="20"/>
                <w:szCs w:val="20"/>
              </w:rPr>
            </w:pPr>
            <w:r w:rsidRPr="00BD1669">
              <w:rPr>
                <w:i/>
                <w:iCs/>
                <w:color w:val="000000"/>
                <w:sz w:val="20"/>
                <w:szCs w:val="20"/>
              </w:rPr>
              <w:t>R2</w:t>
            </w:r>
            <w:r>
              <w:rPr>
                <w:i/>
                <w:iCs/>
                <w:color w:val="000000"/>
                <w:sz w:val="20"/>
                <w:szCs w:val="20"/>
              </w:rPr>
              <w:t xml:space="preserve"> = </w:t>
            </w:r>
            <w:r w:rsidRPr="00DC4087">
              <w:rPr>
                <w:i/>
                <w:iCs/>
                <w:color w:val="000000"/>
                <w:sz w:val="20"/>
                <w:szCs w:val="20"/>
              </w:rPr>
              <w:t>0,</w:t>
            </w:r>
            <w:r w:rsidR="007412FB">
              <w:rPr>
                <w:i/>
                <w:iCs/>
                <w:color w:val="000000"/>
                <w:sz w:val="20"/>
                <w:szCs w:val="20"/>
              </w:rPr>
              <w:t>3290</w:t>
            </w:r>
          </w:p>
        </w:tc>
        <w:tc>
          <w:tcPr>
            <w:tcW w:w="1496" w:type="dxa"/>
            <w:tcBorders>
              <w:top w:val="single" w:sz="4" w:space="0" w:color="auto"/>
              <w:left w:val="nil"/>
              <w:bottom w:val="nil"/>
              <w:right w:val="nil"/>
            </w:tcBorders>
            <w:shd w:val="clear" w:color="auto" w:fill="auto"/>
            <w:vAlign w:val="bottom"/>
            <w:hideMark/>
          </w:tcPr>
          <w:p w:rsidR="00DA5F08" w:rsidRPr="00BD1669" w:rsidRDefault="00DA5F08" w:rsidP="001C0249">
            <w:pPr>
              <w:jc w:val="center"/>
              <w:rPr>
                <w:i/>
                <w:iCs/>
                <w:color w:val="000000"/>
                <w:sz w:val="20"/>
                <w:szCs w:val="20"/>
              </w:rPr>
            </w:pPr>
          </w:p>
        </w:tc>
        <w:tc>
          <w:tcPr>
            <w:tcW w:w="860" w:type="dxa"/>
            <w:tcBorders>
              <w:top w:val="single" w:sz="4" w:space="0" w:color="auto"/>
              <w:left w:val="nil"/>
              <w:bottom w:val="nil"/>
              <w:right w:val="nil"/>
            </w:tcBorders>
            <w:shd w:val="clear" w:color="auto" w:fill="auto"/>
            <w:noWrap/>
            <w:vAlign w:val="bottom"/>
            <w:hideMark/>
          </w:tcPr>
          <w:p w:rsidR="00DA5F08" w:rsidRPr="00BD1669" w:rsidRDefault="00DA5F08" w:rsidP="001C0249">
            <w:pPr>
              <w:rPr>
                <w:color w:val="000000"/>
                <w:sz w:val="20"/>
                <w:szCs w:val="20"/>
              </w:rPr>
            </w:pPr>
          </w:p>
        </w:tc>
      </w:tr>
      <w:tr w:rsidR="00DA5F08" w:rsidRPr="00BD1669" w:rsidTr="00024B64">
        <w:trPr>
          <w:trHeight w:val="397"/>
          <w:jc w:val="center"/>
        </w:trPr>
        <w:tc>
          <w:tcPr>
            <w:tcW w:w="1363" w:type="dxa"/>
            <w:tcBorders>
              <w:top w:val="nil"/>
              <w:left w:val="nil"/>
              <w:bottom w:val="nil"/>
              <w:right w:val="nil"/>
            </w:tcBorders>
            <w:shd w:val="clear" w:color="auto" w:fill="auto"/>
            <w:vAlign w:val="bottom"/>
            <w:hideMark/>
          </w:tcPr>
          <w:p w:rsidR="00DA5F08" w:rsidRPr="00BD1669" w:rsidRDefault="00DA5F08" w:rsidP="00BE1559">
            <w:pPr>
              <w:rPr>
                <w:i/>
                <w:iCs/>
                <w:color w:val="000000"/>
                <w:sz w:val="20"/>
                <w:szCs w:val="20"/>
              </w:rPr>
            </w:pPr>
            <w:r w:rsidRPr="00BD1669">
              <w:rPr>
                <w:i/>
                <w:iCs/>
                <w:color w:val="000000"/>
                <w:sz w:val="20"/>
                <w:szCs w:val="20"/>
              </w:rPr>
              <w:t xml:space="preserve">Teste </w:t>
            </w:r>
            <w:proofErr w:type="spellStart"/>
            <w:r w:rsidRPr="00BD1669">
              <w:rPr>
                <w:i/>
                <w:iCs/>
                <w:color w:val="000000"/>
                <w:sz w:val="20"/>
                <w:szCs w:val="20"/>
              </w:rPr>
              <w:t>Hausman</w:t>
            </w:r>
            <w:proofErr w:type="spellEnd"/>
          </w:p>
        </w:tc>
        <w:tc>
          <w:tcPr>
            <w:tcW w:w="2739" w:type="dxa"/>
            <w:gridSpan w:val="2"/>
            <w:tcBorders>
              <w:top w:val="nil"/>
              <w:left w:val="nil"/>
              <w:bottom w:val="nil"/>
              <w:right w:val="nil"/>
            </w:tcBorders>
            <w:shd w:val="clear" w:color="auto" w:fill="auto"/>
            <w:noWrap/>
            <w:vAlign w:val="bottom"/>
            <w:hideMark/>
          </w:tcPr>
          <w:p w:rsidR="00DA5F08" w:rsidRPr="00BD1669" w:rsidRDefault="00502F08" w:rsidP="00DC4087">
            <w:pPr>
              <w:rPr>
                <w:i/>
                <w:iCs/>
                <w:color w:val="000000"/>
                <w:sz w:val="20"/>
                <w:szCs w:val="20"/>
              </w:rPr>
            </w:pPr>
            <w:r>
              <w:rPr>
                <w:i/>
                <w:iCs/>
                <w:color w:val="000000"/>
                <w:sz w:val="20"/>
                <w:szCs w:val="20"/>
              </w:rPr>
              <w:t>12</w:t>
            </w:r>
            <w:r w:rsidRPr="00BD1669">
              <w:rPr>
                <w:i/>
                <w:iCs/>
                <w:color w:val="000000"/>
                <w:sz w:val="20"/>
                <w:szCs w:val="20"/>
              </w:rPr>
              <w:t>,</w:t>
            </w:r>
            <w:r>
              <w:rPr>
                <w:i/>
                <w:iCs/>
                <w:color w:val="000000"/>
                <w:sz w:val="20"/>
                <w:szCs w:val="20"/>
              </w:rPr>
              <w:t>57</w:t>
            </w:r>
            <w:r w:rsidRPr="00246CD1">
              <w:rPr>
                <w:iCs/>
                <w:color w:val="000000"/>
                <w:sz w:val="20"/>
                <w:szCs w:val="20"/>
              </w:rPr>
              <w:t xml:space="preserve"> (</w:t>
            </w:r>
            <w:r w:rsidRPr="00BD1669">
              <w:rPr>
                <w:i/>
                <w:iCs/>
                <w:color w:val="000000"/>
                <w:sz w:val="20"/>
                <w:szCs w:val="20"/>
              </w:rPr>
              <w:t>0,</w:t>
            </w:r>
            <w:r>
              <w:rPr>
                <w:i/>
                <w:iCs/>
                <w:color w:val="000000"/>
                <w:sz w:val="20"/>
                <w:szCs w:val="20"/>
              </w:rPr>
              <w:t>1832</w:t>
            </w:r>
            <w:proofErr w:type="gramStart"/>
            <w:r w:rsidRPr="00246CD1">
              <w:rPr>
                <w:iCs/>
                <w:color w:val="000000"/>
                <w:sz w:val="20"/>
                <w:szCs w:val="20"/>
              </w:rPr>
              <w:t>)</w:t>
            </w:r>
            <w:proofErr w:type="gramEnd"/>
            <w:r w:rsidR="00DA5F08">
              <w:rPr>
                <w:iCs/>
                <w:color w:val="000000"/>
                <w:sz w:val="20"/>
                <w:szCs w:val="20"/>
              </w:rPr>
              <w:t>*</w:t>
            </w:r>
          </w:p>
        </w:tc>
        <w:tc>
          <w:tcPr>
            <w:tcW w:w="1198" w:type="dxa"/>
            <w:gridSpan w:val="2"/>
            <w:tcBorders>
              <w:top w:val="nil"/>
              <w:left w:val="nil"/>
              <w:bottom w:val="nil"/>
              <w:right w:val="nil"/>
            </w:tcBorders>
            <w:shd w:val="clear" w:color="auto" w:fill="auto"/>
            <w:noWrap/>
            <w:vAlign w:val="bottom"/>
            <w:hideMark/>
          </w:tcPr>
          <w:p w:rsidR="00DA5F08" w:rsidRPr="00BD1669" w:rsidRDefault="00DA5F08" w:rsidP="001C0249">
            <w:pPr>
              <w:jc w:val="center"/>
              <w:rPr>
                <w:i/>
                <w:iCs/>
                <w:color w:val="000000"/>
                <w:sz w:val="20"/>
                <w:szCs w:val="20"/>
              </w:rPr>
            </w:pPr>
          </w:p>
        </w:tc>
        <w:tc>
          <w:tcPr>
            <w:tcW w:w="1154" w:type="dxa"/>
            <w:tcBorders>
              <w:top w:val="nil"/>
              <w:left w:val="nil"/>
              <w:bottom w:val="nil"/>
              <w:right w:val="nil"/>
            </w:tcBorders>
            <w:shd w:val="clear" w:color="auto" w:fill="auto"/>
            <w:vAlign w:val="bottom"/>
            <w:hideMark/>
          </w:tcPr>
          <w:p w:rsidR="00DA5F08" w:rsidRPr="00BD1669" w:rsidRDefault="00DA5F08" w:rsidP="001C0249">
            <w:pPr>
              <w:jc w:val="center"/>
              <w:rPr>
                <w:i/>
                <w:iCs/>
                <w:color w:val="000000"/>
                <w:sz w:val="20"/>
                <w:szCs w:val="20"/>
              </w:rPr>
            </w:pPr>
          </w:p>
        </w:tc>
        <w:tc>
          <w:tcPr>
            <w:tcW w:w="1496" w:type="dxa"/>
            <w:tcBorders>
              <w:top w:val="nil"/>
              <w:left w:val="nil"/>
              <w:bottom w:val="nil"/>
              <w:right w:val="nil"/>
            </w:tcBorders>
            <w:shd w:val="clear" w:color="auto" w:fill="auto"/>
            <w:vAlign w:val="bottom"/>
            <w:hideMark/>
          </w:tcPr>
          <w:p w:rsidR="00DA5F08" w:rsidRPr="00BD1669" w:rsidRDefault="00DA5F08" w:rsidP="001C0249">
            <w:pPr>
              <w:jc w:val="center"/>
              <w:rPr>
                <w:i/>
                <w:iCs/>
                <w:color w:val="000000"/>
                <w:sz w:val="20"/>
                <w:szCs w:val="20"/>
              </w:rPr>
            </w:pPr>
          </w:p>
        </w:tc>
        <w:tc>
          <w:tcPr>
            <w:tcW w:w="860" w:type="dxa"/>
            <w:tcBorders>
              <w:top w:val="nil"/>
              <w:left w:val="nil"/>
              <w:bottom w:val="nil"/>
              <w:right w:val="nil"/>
            </w:tcBorders>
            <w:shd w:val="clear" w:color="auto" w:fill="auto"/>
            <w:vAlign w:val="bottom"/>
            <w:hideMark/>
          </w:tcPr>
          <w:p w:rsidR="00DA5F08" w:rsidRPr="00BD1669" w:rsidRDefault="00DA5F08" w:rsidP="001C0249">
            <w:pPr>
              <w:jc w:val="center"/>
              <w:rPr>
                <w:i/>
                <w:iCs/>
                <w:color w:val="000000"/>
                <w:sz w:val="20"/>
                <w:szCs w:val="20"/>
              </w:rPr>
            </w:pPr>
          </w:p>
        </w:tc>
      </w:tr>
      <w:tr w:rsidR="00DA5F08" w:rsidRPr="00BD1669" w:rsidTr="00024B64">
        <w:trPr>
          <w:trHeight w:val="397"/>
          <w:jc w:val="center"/>
        </w:trPr>
        <w:tc>
          <w:tcPr>
            <w:tcW w:w="2629" w:type="dxa"/>
            <w:gridSpan w:val="2"/>
            <w:tcBorders>
              <w:top w:val="nil"/>
              <w:left w:val="nil"/>
              <w:bottom w:val="nil"/>
              <w:right w:val="nil"/>
            </w:tcBorders>
            <w:shd w:val="clear" w:color="auto" w:fill="auto"/>
            <w:noWrap/>
            <w:vAlign w:val="bottom"/>
          </w:tcPr>
          <w:p w:rsidR="00DA5F08" w:rsidRPr="00BD1669" w:rsidRDefault="00DA5F08" w:rsidP="00246CD1">
            <w:pPr>
              <w:rPr>
                <w:color w:val="000000"/>
                <w:sz w:val="20"/>
                <w:szCs w:val="20"/>
              </w:rPr>
            </w:pPr>
            <w:r>
              <w:rPr>
                <w:i/>
                <w:color w:val="000000"/>
                <w:sz w:val="20"/>
                <w:szCs w:val="20"/>
              </w:rPr>
              <w:t>*</w:t>
            </w:r>
            <w:r w:rsidRPr="00246CD1">
              <w:rPr>
                <w:i/>
                <w:color w:val="000000"/>
                <w:sz w:val="20"/>
                <w:szCs w:val="20"/>
              </w:rPr>
              <w:t>p</w:t>
            </w:r>
            <w:r w:rsidRPr="00BD1669">
              <w:rPr>
                <w:color w:val="000000"/>
                <w:sz w:val="20"/>
                <w:szCs w:val="20"/>
              </w:rPr>
              <w:t>-valor entre parênteses</w:t>
            </w:r>
          </w:p>
        </w:tc>
        <w:tc>
          <w:tcPr>
            <w:tcW w:w="1473" w:type="dxa"/>
            <w:tcBorders>
              <w:top w:val="nil"/>
              <w:left w:val="nil"/>
              <w:bottom w:val="nil"/>
              <w:right w:val="nil"/>
            </w:tcBorders>
            <w:shd w:val="clear" w:color="auto" w:fill="auto"/>
            <w:noWrap/>
            <w:vAlign w:val="bottom"/>
            <w:hideMark/>
          </w:tcPr>
          <w:p w:rsidR="00DA5F08" w:rsidRPr="00BD1669" w:rsidRDefault="00DA5F08" w:rsidP="001C0249">
            <w:pPr>
              <w:rPr>
                <w:color w:val="000000"/>
              </w:rPr>
            </w:pPr>
          </w:p>
        </w:tc>
        <w:tc>
          <w:tcPr>
            <w:tcW w:w="992" w:type="dxa"/>
            <w:tcBorders>
              <w:top w:val="nil"/>
              <w:left w:val="nil"/>
              <w:bottom w:val="nil"/>
              <w:right w:val="nil"/>
            </w:tcBorders>
            <w:shd w:val="clear" w:color="auto" w:fill="auto"/>
            <w:noWrap/>
            <w:vAlign w:val="bottom"/>
            <w:hideMark/>
          </w:tcPr>
          <w:p w:rsidR="00DA5F08" w:rsidRPr="00BD1669" w:rsidRDefault="00DA5F08" w:rsidP="001C0249">
            <w:pPr>
              <w:rPr>
                <w:color w:val="000000"/>
              </w:rPr>
            </w:pPr>
          </w:p>
        </w:tc>
        <w:tc>
          <w:tcPr>
            <w:tcW w:w="206" w:type="dxa"/>
            <w:tcBorders>
              <w:top w:val="nil"/>
              <w:left w:val="nil"/>
              <w:bottom w:val="nil"/>
              <w:right w:val="nil"/>
            </w:tcBorders>
            <w:shd w:val="clear" w:color="auto" w:fill="auto"/>
            <w:noWrap/>
            <w:vAlign w:val="bottom"/>
            <w:hideMark/>
          </w:tcPr>
          <w:p w:rsidR="00DA5F08" w:rsidRPr="00BD1669" w:rsidRDefault="00DA5F08" w:rsidP="001C0249">
            <w:pPr>
              <w:rPr>
                <w:color w:val="000000"/>
              </w:rPr>
            </w:pPr>
          </w:p>
        </w:tc>
        <w:tc>
          <w:tcPr>
            <w:tcW w:w="1154" w:type="dxa"/>
            <w:tcBorders>
              <w:top w:val="nil"/>
              <w:left w:val="nil"/>
              <w:bottom w:val="nil"/>
              <w:right w:val="nil"/>
            </w:tcBorders>
            <w:shd w:val="clear" w:color="auto" w:fill="auto"/>
            <w:noWrap/>
            <w:vAlign w:val="bottom"/>
            <w:hideMark/>
          </w:tcPr>
          <w:p w:rsidR="00DA5F08" w:rsidRPr="00BD1669" w:rsidRDefault="00DA5F08" w:rsidP="001C0249">
            <w:pPr>
              <w:rPr>
                <w:color w:val="000000"/>
              </w:rPr>
            </w:pPr>
          </w:p>
        </w:tc>
        <w:tc>
          <w:tcPr>
            <w:tcW w:w="1496" w:type="dxa"/>
            <w:tcBorders>
              <w:top w:val="nil"/>
              <w:left w:val="nil"/>
              <w:bottom w:val="nil"/>
              <w:right w:val="nil"/>
            </w:tcBorders>
            <w:shd w:val="clear" w:color="auto" w:fill="auto"/>
            <w:noWrap/>
            <w:vAlign w:val="bottom"/>
            <w:hideMark/>
          </w:tcPr>
          <w:p w:rsidR="00DA5F08" w:rsidRPr="00BD1669" w:rsidRDefault="00DA5F08" w:rsidP="001C0249">
            <w:pPr>
              <w:rPr>
                <w:color w:val="000000"/>
              </w:rPr>
            </w:pPr>
          </w:p>
        </w:tc>
        <w:tc>
          <w:tcPr>
            <w:tcW w:w="860" w:type="dxa"/>
            <w:tcBorders>
              <w:top w:val="nil"/>
              <w:left w:val="nil"/>
              <w:bottom w:val="nil"/>
              <w:right w:val="nil"/>
            </w:tcBorders>
            <w:shd w:val="clear" w:color="auto" w:fill="auto"/>
            <w:noWrap/>
            <w:vAlign w:val="bottom"/>
            <w:hideMark/>
          </w:tcPr>
          <w:p w:rsidR="00DA5F08" w:rsidRPr="00BD1669" w:rsidRDefault="00DA5F08" w:rsidP="001C0249">
            <w:pPr>
              <w:rPr>
                <w:color w:val="000000"/>
              </w:rPr>
            </w:pPr>
          </w:p>
        </w:tc>
      </w:tr>
      <w:tr w:rsidR="00DA5F08" w:rsidRPr="00BD1669" w:rsidTr="00024B64">
        <w:trPr>
          <w:trHeight w:val="397"/>
          <w:jc w:val="center"/>
        </w:trPr>
        <w:tc>
          <w:tcPr>
            <w:tcW w:w="8810" w:type="dxa"/>
            <w:gridSpan w:val="8"/>
            <w:tcBorders>
              <w:top w:val="nil"/>
              <w:left w:val="nil"/>
              <w:bottom w:val="nil"/>
              <w:right w:val="nil"/>
            </w:tcBorders>
            <w:shd w:val="clear" w:color="auto" w:fill="auto"/>
            <w:noWrap/>
            <w:vAlign w:val="bottom"/>
          </w:tcPr>
          <w:p w:rsidR="00DA5F08" w:rsidRPr="00BD1669" w:rsidRDefault="00DA5F08" w:rsidP="001C0249">
            <w:pPr>
              <w:rPr>
                <w:color w:val="000000"/>
              </w:rPr>
            </w:pPr>
            <w:r w:rsidRPr="00BD1669">
              <w:rPr>
                <w:color w:val="000000"/>
                <w:sz w:val="20"/>
                <w:szCs w:val="20"/>
              </w:rPr>
              <w:t>**</w:t>
            </w:r>
            <w:r>
              <w:rPr>
                <w:color w:val="000000"/>
                <w:sz w:val="20"/>
                <w:szCs w:val="20"/>
              </w:rPr>
              <w:t xml:space="preserve">não rejeitada a 1% </w:t>
            </w:r>
            <w:r w:rsidRPr="00BD1669">
              <w:rPr>
                <w:color w:val="000000"/>
                <w:sz w:val="20"/>
                <w:szCs w:val="20"/>
              </w:rPr>
              <w:t>de significância</w:t>
            </w:r>
            <w:r>
              <w:rPr>
                <w:color w:val="000000"/>
                <w:sz w:val="20"/>
                <w:szCs w:val="20"/>
              </w:rPr>
              <w:t>.</w:t>
            </w:r>
          </w:p>
        </w:tc>
      </w:tr>
      <w:tr w:rsidR="00DA5F08" w:rsidRPr="00BD1669" w:rsidTr="00024B64">
        <w:trPr>
          <w:trHeight w:val="397"/>
          <w:jc w:val="center"/>
        </w:trPr>
        <w:tc>
          <w:tcPr>
            <w:tcW w:w="8810" w:type="dxa"/>
            <w:gridSpan w:val="8"/>
            <w:tcBorders>
              <w:top w:val="nil"/>
              <w:left w:val="nil"/>
              <w:bottom w:val="nil"/>
              <w:right w:val="nil"/>
            </w:tcBorders>
            <w:shd w:val="clear" w:color="auto" w:fill="auto"/>
            <w:noWrap/>
            <w:vAlign w:val="bottom"/>
          </w:tcPr>
          <w:p w:rsidR="00DA5F08" w:rsidRPr="00BD1669" w:rsidRDefault="00DA5F08" w:rsidP="001C0249">
            <w:pPr>
              <w:rPr>
                <w:color w:val="000000"/>
              </w:rPr>
            </w:pPr>
            <w:r w:rsidRPr="00BD1669">
              <w:rPr>
                <w:color w:val="000000"/>
                <w:sz w:val="20"/>
                <w:szCs w:val="20"/>
              </w:rPr>
              <w:t>*</w:t>
            </w:r>
            <w:r>
              <w:rPr>
                <w:color w:val="000000"/>
                <w:sz w:val="20"/>
                <w:szCs w:val="20"/>
              </w:rPr>
              <w:t>*</w:t>
            </w:r>
            <w:r w:rsidRPr="00BD1669">
              <w:rPr>
                <w:color w:val="000000"/>
                <w:sz w:val="20"/>
                <w:szCs w:val="20"/>
              </w:rPr>
              <w:t>*</w:t>
            </w:r>
            <w:r>
              <w:rPr>
                <w:color w:val="000000"/>
                <w:sz w:val="20"/>
                <w:szCs w:val="20"/>
              </w:rPr>
              <w:t xml:space="preserve"> não rejeitada a 5% </w:t>
            </w:r>
            <w:r w:rsidRPr="00BD1669">
              <w:rPr>
                <w:color w:val="000000"/>
                <w:sz w:val="20"/>
                <w:szCs w:val="20"/>
              </w:rPr>
              <w:t>de significância</w:t>
            </w:r>
            <w:r>
              <w:rPr>
                <w:color w:val="000000"/>
                <w:sz w:val="20"/>
                <w:szCs w:val="20"/>
              </w:rPr>
              <w:t>.</w:t>
            </w:r>
          </w:p>
        </w:tc>
      </w:tr>
      <w:tr w:rsidR="00DA5F08" w:rsidRPr="00BD1669" w:rsidTr="00024B64">
        <w:trPr>
          <w:trHeight w:val="397"/>
          <w:jc w:val="center"/>
        </w:trPr>
        <w:tc>
          <w:tcPr>
            <w:tcW w:w="5094" w:type="dxa"/>
            <w:gridSpan w:val="4"/>
            <w:tcBorders>
              <w:top w:val="nil"/>
              <w:left w:val="nil"/>
              <w:bottom w:val="single" w:sz="8" w:space="0" w:color="auto"/>
              <w:right w:val="nil"/>
            </w:tcBorders>
            <w:shd w:val="clear" w:color="auto" w:fill="auto"/>
            <w:noWrap/>
            <w:vAlign w:val="bottom"/>
            <w:hideMark/>
          </w:tcPr>
          <w:p w:rsidR="00DA5F08" w:rsidRPr="00246CD1" w:rsidRDefault="00DA5F08" w:rsidP="001C0249">
            <w:pPr>
              <w:rPr>
                <w:color w:val="000000"/>
                <w:sz w:val="20"/>
                <w:szCs w:val="20"/>
              </w:rPr>
            </w:pPr>
            <w:r w:rsidRPr="00BD1669">
              <w:rPr>
                <w:color w:val="000000"/>
                <w:sz w:val="20"/>
                <w:szCs w:val="20"/>
              </w:rPr>
              <w:t>**</w:t>
            </w:r>
            <w:r>
              <w:rPr>
                <w:color w:val="000000"/>
                <w:sz w:val="20"/>
                <w:szCs w:val="20"/>
              </w:rPr>
              <w:t>*</w:t>
            </w:r>
            <w:r w:rsidRPr="00BD1669">
              <w:rPr>
                <w:color w:val="000000"/>
                <w:sz w:val="20"/>
                <w:szCs w:val="20"/>
              </w:rPr>
              <w:t>*</w:t>
            </w:r>
            <w:r>
              <w:rPr>
                <w:color w:val="000000"/>
                <w:sz w:val="20"/>
                <w:szCs w:val="20"/>
              </w:rPr>
              <w:t xml:space="preserve"> não rejeitada a 10% </w:t>
            </w:r>
            <w:r w:rsidRPr="00BD1669">
              <w:rPr>
                <w:color w:val="000000"/>
                <w:sz w:val="20"/>
                <w:szCs w:val="20"/>
              </w:rPr>
              <w:t>de significância</w:t>
            </w:r>
            <w:r>
              <w:rPr>
                <w:color w:val="000000"/>
                <w:sz w:val="20"/>
                <w:szCs w:val="20"/>
              </w:rPr>
              <w:t>.</w:t>
            </w:r>
            <w:r w:rsidRPr="00BD1669">
              <w:rPr>
                <w:color w:val="000000"/>
                <w:sz w:val="22"/>
                <w:szCs w:val="22"/>
              </w:rPr>
              <w:t> </w:t>
            </w:r>
          </w:p>
        </w:tc>
        <w:tc>
          <w:tcPr>
            <w:tcW w:w="206" w:type="dxa"/>
            <w:tcBorders>
              <w:top w:val="nil"/>
              <w:left w:val="nil"/>
              <w:bottom w:val="single" w:sz="8" w:space="0" w:color="auto"/>
              <w:right w:val="nil"/>
            </w:tcBorders>
            <w:shd w:val="clear" w:color="auto" w:fill="auto"/>
            <w:noWrap/>
            <w:vAlign w:val="bottom"/>
            <w:hideMark/>
          </w:tcPr>
          <w:p w:rsidR="00DA5F08" w:rsidRPr="00BD1669" w:rsidRDefault="00DA5F08" w:rsidP="001C0249">
            <w:pPr>
              <w:rPr>
                <w:color w:val="000000"/>
              </w:rPr>
            </w:pPr>
            <w:r w:rsidRPr="00BD1669">
              <w:rPr>
                <w:color w:val="000000"/>
                <w:sz w:val="22"/>
                <w:szCs w:val="22"/>
              </w:rPr>
              <w:t> </w:t>
            </w:r>
          </w:p>
        </w:tc>
        <w:tc>
          <w:tcPr>
            <w:tcW w:w="1154" w:type="dxa"/>
            <w:tcBorders>
              <w:top w:val="nil"/>
              <w:left w:val="nil"/>
              <w:bottom w:val="single" w:sz="8" w:space="0" w:color="auto"/>
              <w:right w:val="nil"/>
            </w:tcBorders>
            <w:shd w:val="clear" w:color="auto" w:fill="auto"/>
            <w:noWrap/>
            <w:vAlign w:val="bottom"/>
            <w:hideMark/>
          </w:tcPr>
          <w:p w:rsidR="00DA5F08" w:rsidRPr="00BD1669" w:rsidRDefault="00DA5F08" w:rsidP="001C0249">
            <w:pPr>
              <w:rPr>
                <w:color w:val="000000"/>
              </w:rPr>
            </w:pPr>
            <w:r w:rsidRPr="00BD1669">
              <w:rPr>
                <w:color w:val="000000"/>
                <w:sz w:val="22"/>
                <w:szCs w:val="22"/>
              </w:rPr>
              <w:t> </w:t>
            </w:r>
          </w:p>
        </w:tc>
        <w:tc>
          <w:tcPr>
            <w:tcW w:w="1496" w:type="dxa"/>
            <w:tcBorders>
              <w:top w:val="nil"/>
              <w:left w:val="nil"/>
              <w:bottom w:val="single" w:sz="8" w:space="0" w:color="auto"/>
              <w:right w:val="nil"/>
            </w:tcBorders>
            <w:shd w:val="clear" w:color="auto" w:fill="auto"/>
            <w:noWrap/>
            <w:vAlign w:val="bottom"/>
            <w:hideMark/>
          </w:tcPr>
          <w:p w:rsidR="00DA5F08" w:rsidRPr="00BD1669" w:rsidRDefault="00DA5F08" w:rsidP="001C0249">
            <w:pPr>
              <w:rPr>
                <w:color w:val="000000"/>
              </w:rPr>
            </w:pPr>
            <w:r w:rsidRPr="00BD1669">
              <w:rPr>
                <w:color w:val="000000"/>
                <w:sz w:val="22"/>
                <w:szCs w:val="22"/>
              </w:rPr>
              <w:t> </w:t>
            </w:r>
          </w:p>
        </w:tc>
        <w:tc>
          <w:tcPr>
            <w:tcW w:w="860" w:type="dxa"/>
            <w:tcBorders>
              <w:top w:val="nil"/>
              <w:left w:val="nil"/>
              <w:bottom w:val="single" w:sz="8" w:space="0" w:color="auto"/>
              <w:right w:val="nil"/>
            </w:tcBorders>
            <w:shd w:val="clear" w:color="auto" w:fill="auto"/>
            <w:noWrap/>
            <w:vAlign w:val="bottom"/>
            <w:hideMark/>
          </w:tcPr>
          <w:p w:rsidR="00DA5F08" w:rsidRPr="00BD1669" w:rsidRDefault="00DA5F08" w:rsidP="001C0249">
            <w:pPr>
              <w:rPr>
                <w:color w:val="000000"/>
              </w:rPr>
            </w:pPr>
            <w:r w:rsidRPr="00BD1669">
              <w:rPr>
                <w:color w:val="000000"/>
                <w:sz w:val="22"/>
                <w:szCs w:val="22"/>
              </w:rPr>
              <w:t> </w:t>
            </w:r>
          </w:p>
        </w:tc>
      </w:tr>
    </w:tbl>
    <w:p w:rsidR="00181E00" w:rsidRDefault="00BC2B3C" w:rsidP="00181E00">
      <w:pPr>
        <w:ind w:firstLine="708"/>
        <w:jc w:val="both"/>
        <w:rPr>
          <w:color w:val="000000"/>
          <w:sz w:val="20"/>
          <w:szCs w:val="20"/>
        </w:rPr>
      </w:pPr>
      <w:r w:rsidRPr="00BD1669">
        <w:rPr>
          <w:b/>
          <w:color w:val="000000"/>
          <w:sz w:val="20"/>
          <w:szCs w:val="20"/>
        </w:rPr>
        <w:t>Fonte:</w:t>
      </w:r>
      <w:r w:rsidRPr="00BD1669">
        <w:rPr>
          <w:color w:val="000000"/>
          <w:sz w:val="20"/>
          <w:szCs w:val="20"/>
        </w:rPr>
        <w:t xml:space="preserve"> </w:t>
      </w:r>
      <w:r w:rsidR="00181E00" w:rsidRPr="00BD1669">
        <w:rPr>
          <w:color w:val="000000"/>
          <w:sz w:val="20"/>
          <w:szCs w:val="20"/>
        </w:rPr>
        <w:t xml:space="preserve">Elaboração própria a partir de dados da </w:t>
      </w:r>
      <w:r w:rsidR="00181E00" w:rsidRPr="00BD1669">
        <w:rPr>
          <w:i/>
          <w:color w:val="000000"/>
          <w:sz w:val="20"/>
          <w:szCs w:val="20"/>
        </w:rPr>
        <w:t>Standard</w:t>
      </w:r>
      <w:r w:rsidR="00181E00" w:rsidRPr="00BD1669">
        <w:rPr>
          <w:color w:val="000000"/>
          <w:sz w:val="20"/>
          <w:szCs w:val="20"/>
        </w:rPr>
        <w:t xml:space="preserve"> e </w:t>
      </w:r>
      <w:proofErr w:type="spellStart"/>
      <w:r w:rsidR="00181E00" w:rsidRPr="00BD1669">
        <w:rPr>
          <w:i/>
          <w:color w:val="000000"/>
          <w:sz w:val="20"/>
          <w:szCs w:val="20"/>
        </w:rPr>
        <w:t>Poor’s</w:t>
      </w:r>
      <w:proofErr w:type="spellEnd"/>
      <w:r w:rsidR="00181E00" w:rsidRPr="00BD1669">
        <w:rPr>
          <w:color w:val="000000"/>
          <w:sz w:val="20"/>
          <w:szCs w:val="20"/>
        </w:rPr>
        <w:t xml:space="preserve"> e </w:t>
      </w:r>
      <w:r w:rsidR="00181E00" w:rsidRPr="00BD1669">
        <w:rPr>
          <w:i/>
          <w:color w:val="000000"/>
          <w:sz w:val="20"/>
          <w:szCs w:val="20"/>
        </w:rPr>
        <w:t>World Bank</w:t>
      </w:r>
      <w:r w:rsidR="00181E00" w:rsidRPr="00BD1669">
        <w:rPr>
          <w:color w:val="000000"/>
          <w:sz w:val="20"/>
          <w:szCs w:val="20"/>
        </w:rPr>
        <w:t>.</w:t>
      </w:r>
    </w:p>
    <w:p w:rsidR="00BC2B3C" w:rsidRDefault="00BC2B3C" w:rsidP="00181E00">
      <w:pPr>
        <w:tabs>
          <w:tab w:val="left" w:pos="720"/>
          <w:tab w:val="num" w:pos="1440"/>
        </w:tabs>
        <w:ind w:firstLine="720"/>
        <w:jc w:val="both"/>
      </w:pPr>
    </w:p>
    <w:p w:rsidR="00925EE5" w:rsidRDefault="00AA458C" w:rsidP="00925EE5">
      <w:pPr>
        <w:ind w:firstLine="709"/>
        <w:jc w:val="both"/>
      </w:pPr>
      <w:r>
        <w:t>De acordo com o resultado</w:t>
      </w:r>
      <w:r w:rsidR="00925EE5" w:rsidRPr="00BD1669">
        <w:t xml:space="preserve"> do modelo </w:t>
      </w:r>
      <w:r w:rsidR="00925EE5">
        <w:t xml:space="preserve">estimado por </w:t>
      </w:r>
      <w:r w:rsidR="00925EE5" w:rsidRPr="00BD1669">
        <w:t>efeitos fixos</w:t>
      </w:r>
      <w:r w:rsidR="00925EE5">
        <w:t xml:space="preserve"> </w:t>
      </w:r>
      <w:r>
        <w:t xml:space="preserve">tem-se que </w:t>
      </w:r>
      <w:r w:rsidR="00925EE5" w:rsidRPr="00BD1669">
        <w:t xml:space="preserve">as variáveis </w:t>
      </w:r>
      <w:r w:rsidR="00925EE5">
        <w:t xml:space="preserve">como </w:t>
      </w:r>
      <w:proofErr w:type="gramStart"/>
      <w:r w:rsidR="00925EE5" w:rsidRPr="000A2B68">
        <w:rPr>
          <w:i/>
        </w:rPr>
        <w:t>proxy</w:t>
      </w:r>
      <w:proofErr w:type="gramEnd"/>
      <w:r w:rsidR="00925EE5">
        <w:t xml:space="preserve"> de solvência que </w:t>
      </w:r>
      <w:r w:rsidR="00925EE5" w:rsidRPr="00BD1669">
        <w:t>afetam a classificação d</w:t>
      </w:r>
      <w:r w:rsidR="00925EE5">
        <w:t xml:space="preserve">os </w:t>
      </w:r>
      <w:r w:rsidR="00925EE5" w:rsidRPr="00BD1669">
        <w:rPr>
          <w:i/>
        </w:rPr>
        <w:t>ratings</w:t>
      </w:r>
      <w:r w:rsidR="00925EE5" w:rsidRPr="00BD1669">
        <w:t xml:space="preserve"> são a</w:t>
      </w:r>
      <w:r w:rsidR="00925EE5">
        <w:t>s</w:t>
      </w:r>
      <w:r w:rsidR="00925EE5" w:rsidRPr="00BD1669">
        <w:t xml:space="preserve"> taxa</w:t>
      </w:r>
      <w:r w:rsidR="00925EE5">
        <w:t>s de crescimento das exportações e</w:t>
      </w:r>
      <w:r w:rsidR="00925EE5" w:rsidRPr="00BD1669">
        <w:t xml:space="preserve"> a</w:t>
      </w:r>
      <w:r w:rsidR="00925EE5">
        <w:t xml:space="preserve"> relação dívida de longo prazo. </w:t>
      </w:r>
      <w:r>
        <w:t xml:space="preserve">Ambas as variáveis se mostraram </w:t>
      </w:r>
      <w:r w:rsidR="00925EE5">
        <w:t xml:space="preserve">estatisticamente </w:t>
      </w:r>
      <w:r w:rsidR="00925EE5" w:rsidRPr="00BD1669">
        <w:t>significa</w:t>
      </w:r>
      <w:r w:rsidR="00925EE5">
        <w:t>tivo</w:t>
      </w:r>
      <w:r w:rsidR="00925EE5" w:rsidRPr="00BD1669">
        <w:t xml:space="preserve"> ao nível</w:t>
      </w:r>
      <w:r w:rsidR="00925EE5">
        <w:t xml:space="preserve"> de 1</w:t>
      </w:r>
      <w:r w:rsidR="00925EE5" w:rsidRPr="00BD1669">
        <w:t>%</w:t>
      </w:r>
      <w:r>
        <w:t>. No entanto, o</w:t>
      </w:r>
      <w:r w:rsidRPr="00BD1669">
        <w:t xml:space="preserve"> </w:t>
      </w:r>
      <w:r w:rsidR="00A33839">
        <w:t>parâmetro estimado</w:t>
      </w:r>
      <w:r w:rsidRPr="00BD1669">
        <w:t xml:space="preserve"> relativo ao crescimento das exportações se mostrou</w:t>
      </w:r>
      <w:r w:rsidR="00925EE5">
        <w:t xml:space="preserve"> </w:t>
      </w:r>
      <w:r w:rsidR="00925EE5" w:rsidRPr="00BD1669">
        <w:t xml:space="preserve">com o sinal </w:t>
      </w:r>
      <w:r w:rsidR="00925EE5">
        <w:t>contr</w:t>
      </w:r>
      <w:r w:rsidR="00A23683">
        <w:t>á</w:t>
      </w:r>
      <w:r w:rsidR="00925EE5">
        <w:t xml:space="preserve">rio ao </w:t>
      </w:r>
      <w:r w:rsidR="00925EE5" w:rsidRPr="00BD1669">
        <w:t>esperado, ou seja, quanto maior for esse índice, m</w:t>
      </w:r>
      <w:r w:rsidR="00925EE5">
        <w:t xml:space="preserve">aior </w:t>
      </w:r>
      <w:r w:rsidR="00925EE5" w:rsidRPr="00BD1669">
        <w:t xml:space="preserve">será </w:t>
      </w:r>
      <w:r w:rsidR="00925EE5" w:rsidRPr="006B7F47">
        <w:t>a escala numérica do</w:t>
      </w:r>
      <w:r w:rsidR="00925EE5">
        <w:t xml:space="preserve"> </w:t>
      </w:r>
      <w:r w:rsidR="00925EE5">
        <w:rPr>
          <w:i/>
        </w:rPr>
        <w:t xml:space="preserve">rating </w:t>
      </w:r>
      <w:r w:rsidR="00925EE5">
        <w:t>do país</w:t>
      </w:r>
      <w:r w:rsidR="00925EE5" w:rsidRPr="00BD1669">
        <w:t xml:space="preserve">. </w:t>
      </w:r>
      <w:r w:rsidR="00925EE5">
        <w:t xml:space="preserve">Foi única variável que se mostrou </w:t>
      </w:r>
      <w:proofErr w:type="spellStart"/>
      <w:proofErr w:type="gramStart"/>
      <w:r w:rsidR="00925EE5">
        <w:t>contra-intuitiva</w:t>
      </w:r>
      <w:proofErr w:type="spellEnd"/>
      <w:proofErr w:type="gramEnd"/>
      <w:r w:rsidR="00925EE5">
        <w:t xml:space="preserve">. </w:t>
      </w:r>
      <w:r>
        <w:t xml:space="preserve">Já </w:t>
      </w:r>
      <w:r w:rsidR="00925EE5">
        <w:t>a</w:t>
      </w:r>
      <w:r w:rsidR="00925EE5" w:rsidRPr="00BD1669">
        <w:t xml:space="preserve"> relação dívida/PIB apresentou </w:t>
      </w:r>
      <w:r w:rsidR="00A33839">
        <w:t>um parâmetro estimado</w:t>
      </w:r>
      <w:r w:rsidR="00925EE5" w:rsidRPr="00BD1669">
        <w:t xml:space="preserve"> positivo conforme aponta a literatura, ou seja, quanto maior essa relação, maior será </w:t>
      </w:r>
      <w:r w:rsidR="00925EE5">
        <w:t xml:space="preserve">a escala numérica do </w:t>
      </w:r>
      <w:r w:rsidR="00925EE5">
        <w:rPr>
          <w:i/>
        </w:rPr>
        <w:t>rating</w:t>
      </w:r>
      <w:r w:rsidR="00925EE5">
        <w:t xml:space="preserve"> atribuída, ou seja, o país teria uma piora na classificação do </w:t>
      </w:r>
      <w:r w:rsidR="00925EE5" w:rsidRPr="00134C5E">
        <w:rPr>
          <w:i/>
        </w:rPr>
        <w:t>rating</w:t>
      </w:r>
      <w:r w:rsidR="00925EE5">
        <w:t>.</w:t>
      </w:r>
    </w:p>
    <w:p w:rsidR="00925EE5" w:rsidRDefault="00AA458C" w:rsidP="00925EE5">
      <w:pPr>
        <w:ind w:firstLine="709"/>
        <w:jc w:val="both"/>
        <w:rPr>
          <w:color w:val="000000"/>
        </w:rPr>
      </w:pPr>
      <w:r>
        <w:t>N</w:t>
      </w:r>
      <w:r w:rsidR="00925EE5">
        <w:t xml:space="preserve">o que tange as variáveis como </w:t>
      </w:r>
      <w:proofErr w:type="gramStart"/>
      <w:r w:rsidR="00925EE5" w:rsidRPr="00FF37C6">
        <w:rPr>
          <w:i/>
        </w:rPr>
        <w:t>proxy</w:t>
      </w:r>
      <w:proofErr w:type="gramEnd"/>
      <w:r w:rsidR="00925EE5">
        <w:t xml:space="preserve"> de </w:t>
      </w:r>
      <w:r>
        <w:t>liquidez pode ser observado na T</w:t>
      </w:r>
      <w:r w:rsidR="00925EE5">
        <w:t>a</w:t>
      </w:r>
      <w:r>
        <w:t>b</w:t>
      </w:r>
      <w:r w:rsidR="00925EE5">
        <w:t xml:space="preserve">ela </w:t>
      </w:r>
      <w:r>
        <w:t>4</w:t>
      </w:r>
      <w:r w:rsidR="00925EE5">
        <w:t xml:space="preserve"> que somente </w:t>
      </w:r>
      <w:r w:rsidR="00AC1CE7">
        <w:t xml:space="preserve">o </w:t>
      </w:r>
      <w:r w:rsidR="00925EE5">
        <w:rPr>
          <w:color w:val="000000"/>
        </w:rPr>
        <w:t>n</w:t>
      </w:r>
      <w:r w:rsidR="00925EE5" w:rsidRPr="00BD1669">
        <w:rPr>
          <w:color w:val="000000"/>
        </w:rPr>
        <w:t>ível de reservas totais como percentual do produto</w:t>
      </w:r>
      <w:r w:rsidR="00925EE5">
        <w:rPr>
          <w:color w:val="000000"/>
        </w:rPr>
        <w:t xml:space="preserve"> foi estatisticamente significante ao nível de 1%. O resultado encontrado apresenta uma rela</w:t>
      </w:r>
      <w:r w:rsidR="00AC1CE7">
        <w:rPr>
          <w:color w:val="000000"/>
        </w:rPr>
        <w:t xml:space="preserve">ção direta com a </w:t>
      </w:r>
      <w:r w:rsidR="00925EE5">
        <w:rPr>
          <w:color w:val="000000"/>
        </w:rPr>
        <w:t xml:space="preserve">classificação de </w:t>
      </w:r>
      <w:r w:rsidR="00925EE5" w:rsidRPr="00AC1CE7">
        <w:rPr>
          <w:i/>
          <w:color w:val="000000"/>
        </w:rPr>
        <w:t>ratings</w:t>
      </w:r>
      <w:r w:rsidR="00925EE5">
        <w:rPr>
          <w:color w:val="000000"/>
        </w:rPr>
        <w:t xml:space="preserve">, ou seja, quanto maior for essa variável, melhor avaliada será o </w:t>
      </w:r>
      <w:r w:rsidR="00925EE5" w:rsidRPr="00AC1CE7">
        <w:rPr>
          <w:i/>
          <w:color w:val="000000"/>
        </w:rPr>
        <w:t>ratings</w:t>
      </w:r>
      <w:r w:rsidR="00925EE5">
        <w:rPr>
          <w:color w:val="000000"/>
        </w:rPr>
        <w:t xml:space="preserve"> do país. Pode perceber que entre todas as variáveis analisadas nesse estudo é o que se apresenta como o mais impactante na classificação de </w:t>
      </w:r>
      <w:r w:rsidR="00925EE5" w:rsidRPr="00D26F89">
        <w:rPr>
          <w:i/>
          <w:color w:val="000000"/>
        </w:rPr>
        <w:t>ratings</w:t>
      </w:r>
      <w:r w:rsidR="00925EE5">
        <w:rPr>
          <w:color w:val="000000"/>
        </w:rPr>
        <w:t xml:space="preserve">. Essa variável é importante na medida em que possibilita maior poder de manobra da política cambial por parte dos países, e vale lembrar que apesar de muitos países apresentarem teoricamente regime cambial flexível, o que se tem deparado na pratica é que os seus governos interferem no mercado cambial principalmente nos momentos de crise. </w:t>
      </w:r>
    </w:p>
    <w:p w:rsidR="00925EE5" w:rsidRPr="00D700F8" w:rsidRDefault="00925EE5" w:rsidP="00925EE5">
      <w:pPr>
        <w:ind w:firstLine="709"/>
        <w:jc w:val="both"/>
      </w:pPr>
      <w:r>
        <w:rPr>
          <w:color w:val="000000"/>
        </w:rPr>
        <w:lastRenderedPageBreak/>
        <w:t xml:space="preserve">Quanto as variáveis como </w:t>
      </w:r>
      <w:proofErr w:type="gramStart"/>
      <w:r w:rsidRPr="00FF37C6">
        <w:rPr>
          <w:i/>
          <w:color w:val="000000"/>
        </w:rPr>
        <w:t>proxy</w:t>
      </w:r>
      <w:proofErr w:type="gramEnd"/>
      <w:r>
        <w:rPr>
          <w:color w:val="000000"/>
        </w:rPr>
        <w:t xml:space="preserve"> de d</w:t>
      </w:r>
      <w:r w:rsidRPr="00AD7D7F">
        <w:rPr>
          <w:color w:val="000000"/>
        </w:rPr>
        <w:t xml:space="preserve">esenvolvimento e </w:t>
      </w:r>
      <w:r>
        <w:rPr>
          <w:color w:val="000000"/>
        </w:rPr>
        <w:t>estabilidade e</w:t>
      </w:r>
      <w:r w:rsidRPr="00AD7D7F">
        <w:rPr>
          <w:color w:val="000000"/>
        </w:rPr>
        <w:t>conômica</w:t>
      </w:r>
      <w:r>
        <w:rPr>
          <w:color w:val="000000"/>
        </w:rPr>
        <w:t xml:space="preserve"> tem-se que o </w:t>
      </w:r>
      <w:r w:rsidRPr="00BD1669">
        <w:rPr>
          <w:color w:val="000000"/>
        </w:rPr>
        <w:t xml:space="preserve">crescimento do produto </w:t>
      </w:r>
      <w:r w:rsidRPr="00BD1669">
        <w:rPr>
          <w:i/>
          <w:color w:val="000000"/>
        </w:rPr>
        <w:t>per capita</w:t>
      </w:r>
      <w:r>
        <w:t xml:space="preserve"> (CPIB) e a </w:t>
      </w:r>
      <w:r>
        <w:rPr>
          <w:color w:val="000000"/>
        </w:rPr>
        <w:t>e</w:t>
      </w:r>
      <w:r w:rsidRPr="00BD1669">
        <w:rPr>
          <w:color w:val="000000"/>
        </w:rPr>
        <w:t>volução do nível de preços ao consumidor</w:t>
      </w:r>
      <w:r>
        <w:rPr>
          <w:color w:val="000000"/>
        </w:rPr>
        <w:t xml:space="preserve"> (CP)</w:t>
      </w:r>
      <w:r>
        <w:t>, foram estatisticamente significativos</w:t>
      </w:r>
      <w:r w:rsidR="00AC1CE7">
        <w:t xml:space="preserve"> a nível de 5</w:t>
      </w:r>
      <w:r>
        <w:t xml:space="preserve">% de significância. O resultado encontrado para ambas as variáveis são consistentes com o esperado. No entanto vale ressaltar que a inflação pouco impacta na avaliação dos </w:t>
      </w:r>
      <w:r w:rsidRPr="00AC1CE7">
        <w:rPr>
          <w:i/>
        </w:rPr>
        <w:t>ratings</w:t>
      </w:r>
      <w:r>
        <w:t xml:space="preserve">, enquanto que o </w:t>
      </w:r>
      <w:r w:rsidRPr="00BD1669">
        <w:rPr>
          <w:color w:val="000000"/>
        </w:rPr>
        <w:t xml:space="preserve">crescimento do produto </w:t>
      </w:r>
      <w:r w:rsidRPr="00BD1669">
        <w:rPr>
          <w:i/>
          <w:color w:val="000000"/>
        </w:rPr>
        <w:t>per capita</w:t>
      </w:r>
      <w:r>
        <w:rPr>
          <w:i/>
          <w:color w:val="000000"/>
        </w:rPr>
        <w:t xml:space="preserve"> </w:t>
      </w:r>
      <w:r>
        <w:rPr>
          <w:color w:val="000000"/>
        </w:rPr>
        <w:t>mostrou ser bem expressivo nesse processo de avaliação.</w:t>
      </w:r>
    </w:p>
    <w:p w:rsidR="00AD099F" w:rsidRDefault="00925EE5" w:rsidP="00925EE5">
      <w:pPr>
        <w:ind w:firstLine="709"/>
        <w:jc w:val="both"/>
        <w:rPr>
          <w:color w:val="000000"/>
        </w:rPr>
      </w:pPr>
      <w:r>
        <w:rPr>
          <w:color w:val="000000"/>
        </w:rPr>
        <w:t>O</w:t>
      </w:r>
      <w:r w:rsidRPr="00BD1669">
        <w:rPr>
          <w:color w:val="000000"/>
        </w:rPr>
        <w:t xml:space="preserve">s resultados obtidos </w:t>
      </w:r>
      <w:r>
        <w:rPr>
          <w:color w:val="000000"/>
        </w:rPr>
        <w:t xml:space="preserve">por </w:t>
      </w:r>
      <w:r w:rsidRPr="00BD1669">
        <w:t>efeitos aleatórios difere</w:t>
      </w:r>
      <w:r>
        <w:t xml:space="preserve">m daqueles obtidos ao empregar </w:t>
      </w:r>
      <w:r w:rsidRPr="00BD1669">
        <w:t xml:space="preserve">o modelo </w:t>
      </w:r>
      <w:r>
        <w:t xml:space="preserve">com </w:t>
      </w:r>
      <w:r w:rsidRPr="00BD1669">
        <w:t>efeitos fixos</w:t>
      </w:r>
      <w:r w:rsidR="00B8688D">
        <w:t xml:space="preserve">, </w:t>
      </w:r>
      <w:r w:rsidR="0082267B">
        <w:t>na medida em que</w:t>
      </w:r>
      <w:r w:rsidR="00B8688D">
        <w:t xml:space="preserve"> outras </w:t>
      </w:r>
      <w:r w:rsidR="0082267B">
        <w:t>variáveis</w:t>
      </w:r>
      <w:r w:rsidR="00B8688D">
        <w:t xml:space="preserve"> passaram a ser </w:t>
      </w:r>
      <w:r w:rsidR="0082267B">
        <w:t>estatisticamente</w:t>
      </w:r>
      <w:r w:rsidR="00B8688D">
        <w:t xml:space="preserve"> significa</w:t>
      </w:r>
      <w:r w:rsidR="00A33839">
        <w:t>tivas</w:t>
      </w:r>
      <w:r w:rsidR="00B8688D">
        <w:t>. São el</w:t>
      </w:r>
      <w:r w:rsidR="00A33839">
        <w:t>a</w:t>
      </w:r>
      <w:r w:rsidR="00B8688D">
        <w:t>s: o s</w:t>
      </w:r>
      <w:r w:rsidRPr="00BE3A7E">
        <w:t>erviço da dívida total como percentual das exportações de bens e serviços</w:t>
      </w:r>
      <w:r>
        <w:t xml:space="preserve"> (SD/EXP)</w:t>
      </w:r>
      <w:r>
        <w:rPr>
          <w:i/>
          <w:color w:val="000000"/>
        </w:rPr>
        <w:t xml:space="preserve"> </w:t>
      </w:r>
      <w:r w:rsidRPr="00BD1669">
        <w:rPr>
          <w:color w:val="000000"/>
        </w:rPr>
        <w:t>e o grau de abertura econômica</w:t>
      </w:r>
      <w:r>
        <w:rPr>
          <w:color w:val="000000"/>
        </w:rPr>
        <w:t xml:space="preserve"> (GAE)</w:t>
      </w:r>
      <w:r w:rsidR="00B8688D">
        <w:rPr>
          <w:color w:val="000000"/>
        </w:rPr>
        <w:t xml:space="preserve">, </w:t>
      </w:r>
      <w:r w:rsidR="00B8688D">
        <w:t xml:space="preserve">sendo que o primeiro </w:t>
      </w:r>
      <w:proofErr w:type="gramStart"/>
      <w:r w:rsidR="00B8688D">
        <w:t>a nível de</w:t>
      </w:r>
      <w:proofErr w:type="gramEnd"/>
      <w:r w:rsidR="00B8688D">
        <w:t xml:space="preserve"> 5% de significância enquanto que </w:t>
      </w:r>
      <w:r w:rsidR="0082267B">
        <w:t>o</w:t>
      </w:r>
      <w:r w:rsidR="00B8688D">
        <w:t xml:space="preserve"> segund</w:t>
      </w:r>
      <w:r w:rsidR="0082267B">
        <w:t>o</w:t>
      </w:r>
      <w:r w:rsidR="00B8688D">
        <w:t xml:space="preserve"> a nível de 10% de significância.</w:t>
      </w:r>
      <w:r>
        <w:rPr>
          <w:color w:val="000000"/>
        </w:rPr>
        <w:t xml:space="preserve"> P</w:t>
      </w:r>
      <w:r w:rsidRPr="00BD1669">
        <w:rPr>
          <w:color w:val="000000"/>
        </w:rPr>
        <w:t>orém</w:t>
      </w:r>
      <w:r>
        <w:rPr>
          <w:color w:val="000000"/>
        </w:rPr>
        <w:t>,</w:t>
      </w:r>
      <w:r w:rsidRPr="00BD1669">
        <w:rPr>
          <w:color w:val="000000"/>
        </w:rPr>
        <w:t xml:space="preserve"> </w:t>
      </w:r>
      <w:r w:rsidRPr="00BD1669">
        <w:t xml:space="preserve">o </w:t>
      </w:r>
      <w:r>
        <w:rPr>
          <w:color w:val="000000"/>
        </w:rPr>
        <w:t>SD/EXP</w:t>
      </w:r>
      <w:r w:rsidRPr="00BD1669">
        <w:rPr>
          <w:color w:val="000000"/>
        </w:rPr>
        <w:t xml:space="preserve"> apresentou </w:t>
      </w:r>
      <w:r w:rsidR="00A33839">
        <w:rPr>
          <w:color w:val="000000"/>
        </w:rPr>
        <w:t>um parâmetro estimado</w:t>
      </w:r>
      <w:r w:rsidRPr="00BD1669">
        <w:rPr>
          <w:color w:val="000000"/>
        </w:rPr>
        <w:t xml:space="preserve"> negativo, sendo que a literatura aponta para o fato de quanto maior for esse índice pior será a classificação de </w:t>
      </w:r>
      <w:r w:rsidRPr="00BD1669">
        <w:rPr>
          <w:i/>
          <w:color w:val="000000"/>
        </w:rPr>
        <w:t>ratings</w:t>
      </w:r>
      <w:r w:rsidRPr="00BD1669">
        <w:rPr>
          <w:color w:val="000000"/>
        </w:rPr>
        <w:t xml:space="preserve">. </w:t>
      </w:r>
    </w:p>
    <w:p w:rsidR="00925EE5" w:rsidRPr="00BD1669" w:rsidRDefault="00AC54BE" w:rsidP="000B6968">
      <w:pPr>
        <w:ind w:firstLine="709"/>
        <w:jc w:val="both"/>
      </w:pPr>
      <w:r>
        <w:rPr>
          <w:color w:val="000000"/>
        </w:rPr>
        <w:t>O</w:t>
      </w:r>
      <w:r w:rsidR="00925EE5">
        <w:rPr>
          <w:color w:val="000000"/>
        </w:rPr>
        <w:t xml:space="preserve"> parâmetro referente ao GAE </w:t>
      </w:r>
      <w:r w:rsidR="00AD099F">
        <w:rPr>
          <w:color w:val="000000"/>
        </w:rPr>
        <w:t>é</w:t>
      </w:r>
      <w:r w:rsidR="00925EE5">
        <w:t xml:space="preserve"> </w:t>
      </w:r>
      <w:r w:rsidR="00925EE5" w:rsidRPr="00BD1669">
        <w:t xml:space="preserve">negativo, </w:t>
      </w:r>
      <w:r w:rsidR="00AD099F">
        <w:t xml:space="preserve">remetendo a ideia de que </w:t>
      </w:r>
      <w:r w:rsidR="00925EE5" w:rsidRPr="00BD1669">
        <w:t xml:space="preserve">quanto maior esse índice, melhor será a classificação de </w:t>
      </w:r>
      <w:r w:rsidR="00925EE5" w:rsidRPr="00BD1669">
        <w:rPr>
          <w:i/>
        </w:rPr>
        <w:t>ratings</w:t>
      </w:r>
      <w:r w:rsidR="00925EE5" w:rsidRPr="00BD1669">
        <w:t xml:space="preserve"> que os países </w:t>
      </w:r>
      <w:r w:rsidR="00D60DEB" w:rsidRPr="00BD1669">
        <w:t>recebem</w:t>
      </w:r>
      <w:r w:rsidR="00AD099F">
        <w:t xml:space="preserve"> o que mostra se</w:t>
      </w:r>
      <w:r w:rsidR="00AD099F">
        <w:rPr>
          <w:color w:val="000000"/>
        </w:rPr>
        <w:t xml:space="preserve">r </w:t>
      </w:r>
      <w:r w:rsidR="00AD099F" w:rsidRPr="00BD1669">
        <w:rPr>
          <w:color w:val="000000"/>
        </w:rPr>
        <w:t>consistente com a literatura do assunto</w:t>
      </w:r>
      <w:r w:rsidR="00AD099F">
        <w:rPr>
          <w:color w:val="000000"/>
        </w:rPr>
        <w:t xml:space="preserve">. </w:t>
      </w:r>
      <w:r w:rsidR="000B6968">
        <w:rPr>
          <w:color w:val="000000"/>
        </w:rPr>
        <w:t xml:space="preserve">Segundo </w:t>
      </w:r>
      <w:r w:rsidR="000B6968" w:rsidRPr="000B6968">
        <w:rPr>
          <w:color w:val="000000"/>
        </w:rPr>
        <w:t xml:space="preserve">Brum e </w:t>
      </w:r>
      <w:proofErr w:type="spellStart"/>
      <w:r w:rsidR="000B6968" w:rsidRPr="000B6968">
        <w:rPr>
          <w:color w:val="000000"/>
        </w:rPr>
        <w:t>Heck</w:t>
      </w:r>
      <w:proofErr w:type="spellEnd"/>
      <w:r w:rsidR="000B6968" w:rsidRPr="000B6968">
        <w:rPr>
          <w:color w:val="000000"/>
        </w:rPr>
        <w:t xml:space="preserve"> (2005) </w:t>
      </w:r>
      <w:r w:rsidR="000B6968">
        <w:rPr>
          <w:color w:val="000000"/>
        </w:rPr>
        <w:t xml:space="preserve">a abertura econômica do país </w:t>
      </w:r>
      <w:r w:rsidR="000B6968" w:rsidRPr="000B6968">
        <w:rPr>
          <w:color w:val="000000"/>
        </w:rPr>
        <w:t>v</w:t>
      </w:r>
      <w:r w:rsidR="000B6968">
        <w:rPr>
          <w:color w:val="000000"/>
        </w:rPr>
        <w:t xml:space="preserve">ai </w:t>
      </w:r>
      <w:r w:rsidR="000B6968" w:rsidRPr="000B6968">
        <w:rPr>
          <w:color w:val="000000"/>
        </w:rPr>
        <w:t>ao encontro da teoria das</w:t>
      </w:r>
      <w:r w:rsidR="000B6968">
        <w:rPr>
          <w:color w:val="000000"/>
        </w:rPr>
        <w:t xml:space="preserve"> </w:t>
      </w:r>
      <w:r w:rsidR="000B6968" w:rsidRPr="000B6968">
        <w:rPr>
          <w:color w:val="000000"/>
        </w:rPr>
        <w:t>vantagens comparativas, de Ricardo, segundo a qual o incremento do comércio internacional favorece a geração de emprego e renda</w:t>
      </w:r>
      <w:r w:rsidR="000B6968">
        <w:rPr>
          <w:color w:val="000000"/>
        </w:rPr>
        <w:t>.</w:t>
      </w:r>
      <w:r w:rsidR="00D60DEB">
        <w:rPr>
          <w:color w:val="000000"/>
        </w:rPr>
        <w:t xml:space="preserve"> O mercado externo apresenta não só como uma fonte de demanda do país, como a possibilidade de redução dos custos do setor produtivo interno, deixando o país mais competitivo</w:t>
      </w:r>
      <w:r w:rsidR="00DC5259">
        <w:rPr>
          <w:color w:val="000000"/>
        </w:rPr>
        <w:t xml:space="preserve"> no cenário internacional</w:t>
      </w:r>
      <w:r w:rsidR="00D60DEB">
        <w:rPr>
          <w:color w:val="000000"/>
        </w:rPr>
        <w:t xml:space="preserve">. </w:t>
      </w:r>
      <w:r w:rsidR="000B6968">
        <w:rPr>
          <w:color w:val="000000"/>
        </w:rPr>
        <w:t xml:space="preserve"> </w:t>
      </w:r>
    </w:p>
    <w:p w:rsidR="00DA0ECB" w:rsidRPr="00BD1669" w:rsidRDefault="001D6881" w:rsidP="00925EE5">
      <w:pPr>
        <w:tabs>
          <w:tab w:val="left" w:pos="720"/>
          <w:tab w:val="num" w:pos="1440"/>
        </w:tabs>
        <w:ind w:firstLine="720"/>
        <w:jc w:val="both"/>
      </w:pPr>
      <w:r>
        <w:t xml:space="preserve">Ao fazer uso do resultado teste de </w:t>
      </w:r>
      <w:proofErr w:type="spellStart"/>
      <w:r>
        <w:t>Hausman</w:t>
      </w:r>
      <w:proofErr w:type="spellEnd"/>
      <w:r>
        <w:t xml:space="preserve"> que se encontra na Tabela 4, </w:t>
      </w:r>
      <w:r w:rsidR="00DA0ECB">
        <w:t>percebe-se um</w:t>
      </w:r>
      <w:r w:rsidR="00907EA9">
        <w:t xml:space="preserve"> melhor ajustamento</w:t>
      </w:r>
      <w:r w:rsidR="00DA0ECB" w:rsidRPr="00DA0ECB">
        <w:t xml:space="preserve"> do estimador de efeito</w:t>
      </w:r>
      <w:r w:rsidR="00907EA9">
        <w:t>s</w:t>
      </w:r>
      <w:r w:rsidR="00DA0ECB" w:rsidRPr="00DA0ECB">
        <w:t xml:space="preserve"> </w:t>
      </w:r>
      <w:r w:rsidR="00DA0ECB">
        <w:t>aleatório</w:t>
      </w:r>
      <w:r w:rsidR="00907EA9">
        <w:t>s</w:t>
      </w:r>
      <w:r w:rsidR="00DA0ECB" w:rsidRPr="00DA0ECB">
        <w:t>, uma</w:t>
      </w:r>
      <w:r w:rsidR="00DA0ECB">
        <w:t xml:space="preserve"> </w:t>
      </w:r>
      <w:r w:rsidR="00DA0ECB" w:rsidRPr="00DA0ECB">
        <w:t xml:space="preserve">vez que </w:t>
      </w:r>
      <w:r w:rsidR="00DA0ECB">
        <w:t xml:space="preserve">se aceita </w:t>
      </w:r>
      <w:r w:rsidR="00DA0ECB" w:rsidRPr="00DA0ECB">
        <w:t>a hipótese nula de não correlação entre os efeitos específicos e as</w:t>
      </w:r>
      <w:r w:rsidR="00DA0ECB">
        <w:t xml:space="preserve"> </w:t>
      </w:r>
      <w:r w:rsidR="00DA0ECB" w:rsidRPr="00DA0ECB">
        <w:t>variáveis explicativas. Sendo assim, os testes apontam para a conveniência da</w:t>
      </w:r>
      <w:r w:rsidR="00DA0ECB">
        <w:t xml:space="preserve"> </w:t>
      </w:r>
      <w:r w:rsidR="00DA0ECB" w:rsidRPr="00DA0ECB">
        <w:t>estimação do modelo de efeito fixo.</w:t>
      </w:r>
    </w:p>
    <w:p w:rsidR="0057231B" w:rsidRPr="00BD1669" w:rsidRDefault="0057231B" w:rsidP="001C0249">
      <w:pPr>
        <w:ind w:firstLine="709"/>
        <w:jc w:val="both"/>
      </w:pPr>
    </w:p>
    <w:p w:rsidR="00BC2B3C" w:rsidRPr="00BD1669" w:rsidRDefault="0095390C" w:rsidP="001C0249">
      <w:pPr>
        <w:jc w:val="both"/>
      </w:pPr>
      <w:proofErr w:type="gramStart"/>
      <w:r w:rsidRPr="00BD1669">
        <w:t>6</w:t>
      </w:r>
      <w:proofErr w:type="gramEnd"/>
      <w:r w:rsidRPr="00BD1669">
        <w:t xml:space="preserve"> </w:t>
      </w:r>
      <w:r w:rsidR="00BC2B3C" w:rsidRPr="00BD1669">
        <w:t xml:space="preserve">CONCLUSÃO </w:t>
      </w:r>
    </w:p>
    <w:p w:rsidR="00BC2B3C" w:rsidRPr="00BD1669" w:rsidRDefault="00BC2B3C" w:rsidP="001C0249">
      <w:pPr>
        <w:jc w:val="both"/>
      </w:pPr>
    </w:p>
    <w:p w:rsidR="00F6008D" w:rsidRPr="00BD1669" w:rsidRDefault="00244FD2" w:rsidP="001C0249">
      <w:pPr>
        <w:ind w:firstLine="709"/>
        <w:jc w:val="both"/>
      </w:pPr>
      <w:r w:rsidRPr="00BD1669">
        <w:t>O presente artigo objetivo</w:t>
      </w:r>
      <w:r w:rsidR="00AC0098" w:rsidRPr="00BD1669">
        <w:t>u</w:t>
      </w:r>
      <w:r w:rsidRPr="00BD1669">
        <w:t xml:space="preserve"> estudar a </w:t>
      </w:r>
      <w:r w:rsidR="00F6008D" w:rsidRPr="00BD1669">
        <w:t xml:space="preserve">relação entre a </w:t>
      </w:r>
      <w:r w:rsidRPr="00BD1669">
        <w:t xml:space="preserve">classificação dos </w:t>
      </w:r>
      <w:r w:rsidRPr="00BD1669">
        <w:rPr>
          <w:i/>
        </w:rPr>
        <w:t>ratings</w:t>
      </w:r>
      <w:r w:rsidRPr="00BD1669">
        <w:t xml:space="preserve"> de risco soberano realizadas pelas agências de </w:t>
      </w:r>
      <w:r w:rsidRPr="00BD1669">
        <w:rPr>
          <w:i/>
        </w:rPr>
        <w:t>rating</w:t>
      </w:r>
      <w:r w:rsidR="001F2533">
        <w:rPr>
          <w:i/>
        </w:rPr>
        <w:t>s</w:t>
      </w:r>
      <w:r w:rsidRPr="00BD1669">
        <w:t xml:space="preserve"> </w:t>
      </w:r>
      <w:r w:rsidR="00F6008D" w:rsidRPr="00BD1669">
        <w:t>e os fundamentos macroeconômicos.</w:t>
      </w:r>
      <w:r w:rsidRPr="00BD1669">
        <w:t xml:space="preserve"> </w:t>
      </w:r>
      <w:r w:rsidR="00D578C6">
        <w:t>C</w:t>
      </w:r>
      <w:r w:rsidR="00D578C6" w:rsidRPr="00BD1669">
        <w:t xml:space="preserve">om base na literatura econômica dos </w:t>
      </w:r>
      <w:r w:rsidR="00D578C6" w:rsidRPr="00BD1669">
        <w:rPr>
          <w:i/>
        </w:rPr>
        <w:t>ratings</w:t>
      </w:r>
      <w:r w:rsidR="00D578C6" w:rsidRPr="00BD1669">
        <w:t xml:space="preserve"> e nas premissas de estatísticas tradicionais</w:t>
      </w:r>
      <w:r w:rsidR="00D578C6">
        <w:t>,</w:t>
      </w:r>
      <w:r w:rsidR="00D578C6" w:rsidRPr="00BD1669">
        <w:t xml:space="preserve"> tentou-se encontrar qual a melhor especificação do modelo a</w:t>
      </w:r>
      <w:r w:rsidR="00D578C6">
        <w:t xml:space="preserve"> ser usado. </w:t>
      </w:r>
      <w:r w:rsidR="00F6008D" w:rsidRPr="00BD1669">
        <w:t xml:space="preserve">Recorreu-se </w:t>
      </w:r>
      <w:r w:rsidR="0033575B">
        <w:t>à</w:t>
      </w:r>
      <w:r w:rsidRPr="00BD1669">
        <w:t xml:space="preserve"> utilização </w:t>
      </w:r>
      <w:r w:rsidR="0033575B">
        <w:t xml:space="preserve">do modelo </w:t>
      </w:r>
      <w:r w:rsidRPr="00BD1669">
        <w:t xml:space="preserve">de dados em painel </w:t>
      </w:r>
      <w:r w:rsidR="00F6008D" w:rsidRPr="00BD1669">
        <w:t>devido</w:t>
      </w:r>
      <w:r w:rsidRPr="00BD1669">
        <w:t xml:space="preserve"> ao fato deste método ser </w:t>
      </w:r>
      <w:r w:rsidR="00D578C6">
        <w:t>um dos</w:t>
      </w:r>
      <w:r w:rsidRPr="00BD1669">
        <w:t xml:space="preserve"> mais apropriado</w:t>
      </w:r>
      <w:r w:rsidR="00D578C6">
        <w:t>s</w:t>
      </w:r>
      <w:r w:rsidRPr="00BD1669">
        <w:t xml:space="preserve"> quando se leva em consideração </w:t>
      </w:r>
      <w:r w:rsidR="0033575B">
        <w:t>a obtenção de</w:t>
      </w:r>
      <w:r w:rsidRPr="00BD1669">
        <w:t xml:space="preserve"> efeitos específicos </w:t>
      </w:r>
      <w:r w:rsidR="0033575B">
        <w:t xml:space="preserve">das variáveis </w:t>
      </w:r>
      <w:r w:rsidRPr="00BD1669">
        <w:t>dos países, onde se destacam os indicadores de liquidez, solvência e desenvolvimento e estabilidade econômica.</w:t>
      </w:r>
    </w:p>
    <w:p w:rsidR="00AF1EA4" w:rsidRPr="00BD1669" w:rsidRDefault="00650828" w:rsidP="00D578C6">
      <w:pPr>
        <w:ind w:firstLine="708"/>
        <w:jc w:val="both"/>
      </w:pPr>
      <w:r>
        <w:t xml:space="preserve"> </w:t>
      </w:r>
      <w:r w:rsidR="004264F6">
        <w:t xml:space="preserve"> </w:t>
      </w:r>
      <w:r w:rsidR="006C75AA" w:rsidRPr="00BD1669">
        <w:t>Sendo assim</w:t>
      </w:r>
      <w:r w:rsidR="00B702C0">
        <w:t>, ao tomar</w:t>
      </w:r>
      <w:r w:rsidR="006C75AA" w:rsidRPr="00BD1669">
        <w:t xml:space="preserve"> o </w:t>
      </w:r>
      <w:r w:rsidR="00894D19" w:rsidRPr="00BD1669">
        <w:t>nível</w:t>
      </w:r>
      <w:r w:rsidR="006C75AA" w:rsidRPr="00BD1669">
        <w:t xml:space="preserve"> de significância de 10% para a validação estatística dos </w:t>
      </w:r>
      <w:r w:rsidR="00A33839">
        <w:t>parâmetro</w:t>
      </w:r>
      <w:r w:rsidR="006C75AA" w:rsidRPr="00BD1669">
        <w:t>s estimados</w:t>
      </w:r>
      <w:r w:rsidR="00B702C0">
        <w:t>,</w:t>
      </w:r>
      <w:r w:rsidR="006C75AA" w:rsidRPr="00BD1669">
        <w:t xml:space="preserve"> </w:t>
      </w:r>
      <w:r w:rsidR="00894D19" w:rsidRPr="00BD1669">
        <w:t>tem-se que as variáveis como a taxa</w:t>
      </w:r>
      <w:r w:rsidR="00633D99">
        <w:t xml:space="preserve"> de crescimento das exportações</w:t>
      </w:r>
      <w:r w:rsidR="00894D19" w:rsidRPr="00BD1669">
        <w:t xml:space="preserve">, a relação dívida de longo prazo e o PIB, </w:t>
      </w:r>
      <w:r w:rsidR="00633D99">
        <w:t xml:space="preserve">o </w:t>
      </w:r>
      <w:r w:rsidR="00633D99">
        <w:rPr>
          <w:color w:val="000000"/>
        </w:rPr>
        <w:t>n</w:t>
      </w:r>
      <w:r w:rsidR="00633D99" w:rsidRPr="00BD1669">
        <w:rPr>
          <w:color w:val="000000"/>
        </w:rPr>
        <w:t>ível de reservas totais como percentual do produto</w:t>
      </w:r>
      <w:r w:rsidR="00633D99">
        <w:rPr>
          <w:color w:val="000000"/>
        </w:rPr>
        <w:t xml:space="preserve">, </w:t>
      </w:r>
      <w:r w:rsidR="00173DCA">
        <w:t>s</w:t>
      </w:r>
      <w:r w:rsidR="00173DCA" w:rsidRPr="00BE3A7E">
        <w:t>erviço da dívida total como percentual das exportações de bens e serviços</w:t>
      </w:r>
      <w:r w:rsidR="00173DCA">
        <w:t>,</w:t>
      </w:r>
      <w:r w:rsidR="00173DCA">
        <w:rPr>
          <w:i/>
          <w:color w:val="000000"/>
        </w:rPr>
        <w:t xml:space="preserve"> </w:t>
      </w:r>
      <w:r w:rsidR="00173DCA">
        <w:rPr>
          <w:color w:val="000000"/>
        </w:rPr>
        <w:t xml:space="preserve">o </w:t>
      </w:r>
      <w:r w:rsidR="00173DCA" w:rsidRPr="00BD1669">
        <w:rPr>
          <w:color w:val="000000"/>
        </w:rPr>
        <w:t xml:space="preserve">crescimento do produto </w:t>
      </w:r>
      <w:r w:rsidR="00173DCA" w:rsidRPr="00BD1669">
        <w:rPr>
          <w:i/>
          <w:color w:val="000000"/>
        </w:rPr>
        <w:t>per capita</w:t>
      </w:r>
      <w:r w:rsidR="00173DCA">
        <w:t xml:space="preserve">, a </w:t>
      </w:r>
      <w:r w:rsidR="00173DCA">
        <w:rPr>
          <w:color w:val="000000"/>
        </w:rPr>
        <w:t>e</w:t>
      </w:r>
      <w:r w:rsidR="00173DCA" w:rsidRPr="00BD1669">
        <w:rPr>
          <w:color w:val="000000"/>
        </w:rPr>
        <w:t>volução do nível de preços ao consumidor</w:t>
      </w:r>
      <w:r w:rsidR="00173DCA">
        <w:rPr>
          <w:color w:val="000000"/>
        </w:rPr>
        <w:t xml:space="preserve"> </w:t>
      </w:r>
      <w:r w:rsidR="00173DCA" w:rsidRPr="00BD1669">
        <w:rPr>
          <w:color w:val="000000"/>
        </w:rPr>
        <w:t>e o grau de abertura econômica</w:t>
      </w:r>
      <w:r w:rsidR="00173DCA" w:rsidRPr="00BD1669">
        <w:t xml:space="preserve"> </w:t>
      </w:r>
      <w:r w:rsidR="00894D19" w:rsidRPr="00BD1669">
        <w:t xml:space="preserve">ajudam a explicar a classificação dos </w:t>
      </w:r>
      <w:r w:rsidR="00894D19" w:rsidRPr="00BD1669">
        <w:rPr>
          <w:i/>
        </w:rPr>
        <w:t>ratings.</w:t>
      </w:r>
      <w:r w:rsidR="00894D19" w:rsidRPr="00BD1669">
        <w:t xml:space="preserve"> </w:t>
      </w:r>
    </w:p>
    <w:p w:rsidR="005F6C96" w:rsidRDefault="00894D19" w:rsidP="001C0249">
      <w:pPr>
        <w:ind w:firstLine="709"/>
        <w:jc w:val="both"/>
        <w:rPr>
          <w:color w:val="000000"/>
        </w:rPr>
      </w:pPr>
      <w:r w:rsidRPr="00BD1669">
        <w:t>Porém</w:t>
      </w:r>
      <w:r w:rsidR="00B702C0">
        <w:t>,</w:t>
      </w:r>
      <w:r w:rsidRPr="00BD1669">
        <w:t xml:space="preserve"> vale ainda ressaltar que para as variáveis </w:t>
      </w:r>
      <w:r w:rsidR="00173DCA" w:rsidRPr="00BD1669">
        <w:t>taxa</w:t>
      </w:r>
      <w:r w:rsidR="00173DCA">
        <w:t xml:space="preserve"> de crescimento das exportações</w:t>
      </w:r>
      <w:r w:rsidR="00173DCA" w:rsidRPr="00BD1669">
        <w:rPr>
          <w:color w:val="000000"/>
        </w:rPr>
        <w:t xml:space="preserve"> </w:t>
      </w:r>
      <w:r w:rsidR="00173DCA">
        <w:rPr>
          <w:color w:val="000000"/>
        </w:rPr>
        <w:t xml:space="preserve">e </w:t>
      </w:r>
      <w:r w:rsidRPr="00BD1669">
        <w:rPr>
          <w:color w:val="000000"/>
        </w:rPr>
        <w:t>serviço da dívida total como percentual das exportações de bens</w:t>
      </w:r>
      <w:r w:rsidR="00B702C0">
        <w:rPr>
          <w:color w:val="000000"/>
        </w:rPr>
        <w:t>,</w:t>
      </w:r>
      <w:r w:rsidRPr="00BD1669">
        <w:rPr>
          <w:color w:val="000000"/>
        </w:rPr>
        <w:t xml:space="preserve"> os resultados não foram consistentes, por apresentarem sinal contr</w:t>
      </w:r>
      <w:r w:rsidR="00B702C0">
        <w:rPr>
          <w:color w:val="000000"/>
        </w:rPr>
        <w:t>á</w:t>
      </w:r>
      <w:r w:rsidRPr="00BD1669">
        <w:rPr>
          <w:color w:val="000000"/>
        </w:rPr>
        <w:t>rio do esperado.</w:t>
      </w:r>
      <w:r w:rsidR="00AF1EA4" w:rsidRPr="00BD1669">
        <w:rPr>
          <w:color w:val="000000"/>
        </w:rPr>
        <w:t xml:space="preserve"> Outro fato que merece atenção é</w:t>
      </w:r>
      <w:r w:rsidR="005F6C96" w:rsidRPr="00BD1669">
        <w:rPr>
          <w:color w:val="000000"/>
        </w:rPr>
        <w:t xml:space="preserve"> a magnitude do </w:t>
      </w:r>
      <w:r w:rsidR="00A33839">
        <w:rPr>
          <w:color w:val="000000"/>
        </w:rPr>
        <w:t>parâmetro</w:t>
      </w:r>
      <w:r w:rsidR="005F6C96" w:rsidRPr="00BD1669">
        <w:rPr>
          <w:color w:val="000000"/>
        </w:rPr>
        <w:t xml:space="preserve"> encontrado</w:t>
      </w:r>
      <w:r w:rsidR="00AF1EA4" w:rsidRPr="00BD1669">
        <w:rPr>
          <w:color w:val="000000"/>
        </w:rPr>
        <w:t xml:space="preserve"> para a relação dívida/PIB. P</w:t>
      </w:r>
      <w:r w:rsidR="005F6C96" w:rsidRPr="00BD1669">
        <w:rPr>
          <w:color w:val="000000"/>
        </w:rPr>
        <w:t>e</w:t>
      </w:r>
      <w:r w:rsidR="00AF1EA4" w:rsidRPr="00BD1669">
        <w:rPr>
          <w:color w:val="000000"/>
        </w:rPr>
        <w:t>rcebe-se que manter essa relação baixa contribui muito para manter o risco país baixo, devido ao fato de sinalizar ao mercado externo a qualidade de solvência da dívida.</w:t>
      </w:r>
    </w:p>
    <w:p w:rsidR="00F546F6" w:rsidRPr="00BD1669" w:rsidRDefault="00F546F6" w:rsidP="001C0249">
      <w:pPr>
        <w:ind w:firstLine="709"/>
        <w:jc w:val="both"/>
        <w:rPr>
          <w:color w:val="000000"/>
        </w:rPr>
      </w:pPr>
      <w:r>
        <w:rPr>
          <w:color w:val="000000"/>
        </w:rPr>
        <w:t xml:space="preserve">As variáveis </w:t>
      </w:r>
      <w:r w:rsidR="009B353A">
        <w:rPr>
          <w:color w:val="000000"/>
        </w:rPr>
        <w:t xml:space="preserve">que apresentaram ter maior impacto para a classificação dos </w:t>
      </w:r>
      <w:r w:rsidR="009B353A" w:rsidRPr="009B353A">
        <w:rPr>
          <w:i/>
          <w:color w:val="000000"/>
        </w:rPr>
        <w:t>ratings</w:t>
      </w:r>
      <w:r w:rsidR="009B353A">
        <w:rPr>
          <w:color w:val="000000"/>
        </w:rPr>
        <w:t xml:space="preserve"> foram o n</w:t>
      </w:r>
      <w:r w:rsidR="009B353A" w:rsidRPr="00BD1669">
        <w:rPr>
          <w:color w:val="000000"/>
        </w:rPr>
        <w:t>ível de reservas totais como percentual do produto</w:t>
      </w:r>
      <w:r w:rsidR="009B353A">
        <w:rPr>
          <w:color w:val="000000"/>
        </w:rPr>
        <w:t xml:space="preserve"> e</w:t>
      </w:r>
      <w:r w:rsidR="009B353A">
        <w:rPr>
          <w:i/>
          <w:color w:val="000000"/>
        </w:rPr>
        <w:t xml:space="preserve"> </w:t>
      </w:r>
      <w:r w:rsidR="009B353A">
        <w:rPr>
          <w:color w:val="000000"/>
        </w:rPr>
        <w:t xml:space="preserve">o </w:t>
      </w:r>
      <w:r w:rsidR="009B353A" w:rsidRPr="00BD1669">
        <w:rPr>
          <w:color w:val="000000"/>
        </w:rPr>
        <w:t xml:space="preserve">crescimento do produto </w:t>
      </w:r>
      <w:r w:rsidR="009B353A" w:rsidRPr="00BD1669">
        <w:rPr>
          <w:i/>
          <w:color w:val="000000"/>
        </w:rPr>
        <w:t>per capita</w:t>
      </w:r>
      <w:r w:rsidR="009B353A">
        <w:t>,</w:t>
      </w:r>
      <w:r w:rsidR="00E93B19">
        <w:t xml:space="preserve"> sendo as duas como </w:t>
      </w:r>
      <w:proofErr w:type="gramStart"/>
      <w:r w:rsidR="00D97646" w:rsidRPr="00D97646">
        <w:rPr>
          <w:i/>
        </w:rPr>
        <w:t>p</w:t>
      </w:r>
      <w:r w:rsidR="00E93B19" w:rsidRPr="00D97646">
        <w:rPr>
          <w:i/>
        </w:rPr>
        <w:t>roxy</w:t>
      </w:r>
      <w:proofErr w:type="gramEnd"/>
      <w:r w:rsidR="00E93B19">
        <w:t xml:space="preserve"> da liquidez e desenvolvimento econômico respectivamente.</w:t>
      </w:r>
      <w:r w:rsidR="000860BA">
        <w:t xml:space="preserve"> </w:t>
      </w:r>
      <w:r w:rsidR="000860BA">
        <w:lastRenderedPageBreak/>
        <w:t>O primeiro sinaliza a capacidade do país no cumprimento dos seus compromissos financeiros</w:t>
      </w:r>
      <w:r w:rsidR="00EF213D">
        <w:t xml:space="preserve"> e permite os governos em momentos de crises </w:t>
      </w:r>
      <w:r w:rsidR="00CC6434">
        <w:t>interferirem</w:t>
      </w:r>
      <w:r w:rsidR="00EF213D">
        <w:t xml:space="preserve"> no mercado cambial</w:t>
      </w:r>
      <w:r w:rsidR="007749E5">
        <w:t>, ainda mais nesse contexto de alto nível de integração econômica. Já</w:t>
      </w:r>
      <w:r w:rsidR="000860BA">
        <w:t xml:space="preserve"> o segundo indica a capacidade do país gerar renda e consequentemente fortalecer seu</w:t>
      </w:r>
      <w:r w:rsidR="007749E5">
        <w:t xml:space="preserve"> </w:t>
      </w:r>
      <w:r w:rsidR="000860BA">
        <w:t>processo de desenvolvimento.</w:t>
      </w:r>
    </w:p>
    <w:p w:rsidR="00D578C6" w:rsidRDefault="00D578C6" w:rsidP="00D578C6">
      <w:pPr>
        <w:ind w:firstLine="709"/>
        <w:jc w:val="both"/>
      </w:pPr>
      <w:r>
        <w:t xml:space="preserve">O teste </w:t>
      </w:r>
      <w:proofErr w:type="spellStart"/>
      <w:r>
        <w:t>Haus</w:t>
      </w:r>
      <w:r w:rsidRPr="00BD1669">
        <w:t>man</w:t>
      </w:r>
      <w:proofErr w:type="spellEnd"/>
      <w:r w:rsidRPr="00BD1669">
        <w:t xml:space="preserve"> indicou a </w:t>
      </w:r>
      <w:r>
        <w:t xml:space="preserve">ausência </w:t>
      </w:r>
      <w:r w:rsidRPr="00BD1669">
        <w:t xml:space="preserve">de correlação do efeito individual com os </w:t>
      </w:r>
      <w:proofErr w:type="spellStart"/>
      <w:r w:rsidRPr="00BD1669">
        <w:t>regressores</w:t>
      </w:r>
      <w:proofErr w:type="spellEnd"/>
      <w:r w:rsidRPr="00BD1669">
        <w:t xml:space="preserve">, logo, prefere-se o método </w:t>
      </w:r>
      <w:r>
        <w:t>com</w:t>
      </w:r>
      <w:r w:rsidRPr="00BD1669">
        <w:t xml:space="preserve"> efeitos </w:t>
      </w:r>
      <w:r>
        <w:t xml:space="preserve">aleatórios </w:t>
      </w:r>
      <w:r w:rsidRPr="00BD1669">
        <w:t>para a estimação do modelo em estudo.</w:t>
      </w:r>
      <w:r>
        <w:t xml:space="preserve"> Com base neste resultado, é possível que a hipótese levantada por Cantor e </w:t>
      </w:r>
      <w:proofErr w:type="spellStart"/>
      <w:r>
        <w:t>Packer</w:t>
      </w:r>
      <w:proofErr w:type="spellEnd"/>
      <w:r>
        <w:t xml:space="preserve"> (1996), ainda antes da crise americana de 2008, de que os ratings dos países não tem relação clara com seus fundamentos macroeconômicos seja factível, de forma que os mesmos não sejam bons </w:t>
      </w:r>
      <w:proofErr w:type="spellStart"/>
      <w:r>
        <w:t>preditores</w:t>
      </w:r>
      <w:proofErr w:type="spellEnd"/>
      <w:r>
        <w:t xml:space="preserve"> de crises internacionais.</w:t>
      </w:r>
    </w:p>
    <w:p w:rsidR="00FE7033" w:rsidRPr="00BD1669" w:rsidRDefault="00B702C0" w:rsidP="001C0249">
      <w:pPr>
        <w:ind w:firstLine="709"/>
        <w:jc w:val="both"/>
      </w:pPr>
      <w:r>
        <w:rPr>
          <w:color w:val="000000"/>
        </w:rPr>
        <w:t>É deixada,</w:t>
      </w:r>
      <w:r w:rsidR="009F3CC2" w:rsidRPr="00BD1669">
        <w:rPr>
          <w:color w:val="000000"/>
        </w:rPr>
        <w:t xml:space="preserve"> portanto</w:t>
      </w:r>
      <w:r>
        <w:rPr>
          <w:color w:val="000000"/>
        </w:rPr>
        <w:t>,</w:t>
      </w:r>
      <w:r w:rsidR="00FE7033" w:rsidRPr="00BD1669">
        <w:rPr>
          <w:color w:val="000000"/>
        </w:rPr>
        <w:t xml:space="preserve"> como sugestão </w:t>
      </w:r>
      <w:r>
        <w:rPr>
          <w:color w:val="000000"/>
        </w:rPr>
        <w:t xml:space="preserve">principal </w:t>
      </w:r>
      <w:r w:rsidR="00FE7033" w:rsidRPr="00BD1669">
        <w:rPr>
          <w:color w:val="000000"/>
        </w:rPr>
        <w:t xml:space="preserve">para </w:t>
      </w:r>
      <w:r>
        <w:rPr>
          <w:color w:val="000000"/>
        </w:rPr>
        <w:t>t</w:t>
      </w:r>
      <w:r w:rsidR="00FE7033" w:rsidRPr="00BD1669">
        <w:rPr>
          <w:color w:val="000000"/>
        </w:rPr>
        <w:t>rabalho</w:t>
      </w:r>
      <w:r>
        <w:rPr>
          <w:color w:val="000000"/>
        </w:rPr>
        <w:t>s</w:t>
      </w:r>
      <w:r w:rsidR="00FE7033" w:rsidRPr="00BD1669">
        <w:rPr>
          <w:color w:val="000000"/>
        </w:rPr>
        <w:t xml:space="preserve"> futuro</w:t>
      </w:r>
      <w:r>
        <w:rPr>
          <w:color w:val="000000"/>
        </w:rPr>
        <w:t>s</w:t>
      </w:r>
      <w:r w:rsidR="00FE7033" w:rsidRPr="00BD1669">
        <w:rPr>
          <w:color w:val="000000"/>
        </w:rPr>
        <w:t xml:space="preserve"> </w:t>
      </w:r>
      <w:r>
        <w:rPr>
          <w:color w:val="000000"/>
        </w:rPr>
        <w:t xml:space="preserve">aplicação de </w:t>
      </w:r>
      <w:r w:rsidR="00FE7033" w:rsidRPr="00BD1669">
        <w:rPr>
          <w:color w:val="000000"/>
        </w:rPr>
        <w:t>esforços para melhora</w:t>
      </w:r>
      <w:r>
        <w:rPr>
          <w:color w:val="000000"/>
        </w:rPr>
        <w:t>s</w:t>
      </w:r>
      <w:r w:rsidR="00FE7033" w:rsidRPr="00BD1669">
        <w:rPr>
          <w:color w:val="000000"/>
        </w:rPr>
        <w:t xml:space="preserve"> </w:t>
      </w:r>
      <w:r>
        <w:rPr>
          <w:color w:val="000000"/>
        </w:rPr>
        <w:t>d</w:t>
      </w:r>
      <w:r w:rsidR="00FE7033" w:rsidRPr="00BD1669">
        <w:rPr>
          <w:color w:val="000000"/>
        </w:rPr>
        <w:t>a especificação do</w:t>
      </w:r>
      <w:r>
        <w:rPr>
          <w:color w:val="000000"/>
        </w:rPr>
        <w:t>s</w:t>
      </w:r>
      <w:r w:rsidR="00FE7033" w:rsidRPr="00BD1669">
        <w:rPr>
          <w:color w:val="000000"/>
        </w:rPr>
        <w:t xml:space="preserve"> modelo</w:t>
      </w:r>
      <w:r>
        <w:rPr>
          <w:color w:val="000000"/>
        </w:rPr>
        <w:t>s</w:t>
      </w:r>
      <w:r w:rsidR="00FE7033" w:rsidRPr="00BD1669">
        <w:rPr>
          <w:color w:val="000000"/>
        </w:rPr>
        <w:t xml:space="preserve">, quer via procedimentos estatísticos e econométricos mais robustos, ou </w:t>
      </w:r>
      <w:r>
        <w:rPr>
          <w:color w:val="000000"/>
        </w:rPr>
        <w:t>a combinação de modelos de aproximação de funções que compreendem modelos nos quais se combinam técnicas de dados em painel com a de redes neurais artificiais, por exemplo.</w:t>
      </w:r>
      <w:r w:rsidR="00FE7033" w:rsidRPr="00BD1669">
        <w:rPr>
          <w:color w:val="000000"/>
        </w:rPr>
        <w:t xml:space="preserve">  </w:t>
      </w:r>
    </w:p>
    <w:p w:rsidR="0056165A" w:rsidRPr="00BD1669" w:rsidRDefault="0056165A" w:rsidP="001C0249">
      <w:pPr>
        <w:ind w:firstLine="709"/>
        <w:jc w:val="both"/>
        <w:rPr>
          <w:color w:val="000000"/>
        </w:rPr>
      </w:pPr>
    </w:p>
    <w:p w:rsidR="005D6D5C" w:rsidRPr="00BD1669" w:rsidRDefault="005D6D5C" w:rsidP="001C0249">
      <w:pPr>
        <w:jc w:val="both"/>
      </w:pPr>
      <w:r w:rsidRPr="00BD1669">
        <w:t xml:space="preserve">REFERÊNCIAS </w:t>
      </w:r>
    </w:p>
    <w:p w:rsidR="005D6D5C" w:rsidRPr="00BD1669" w:rsidRDefault="005D6D5C" w:rsidP="001C0249">
      <w:pPr>
        <w:jc w:val="both"/>
        <w:rPr>
          <w:color w:val="FF0000"/>
        </w:rPr>
      </w:pPr>
    </w:p>
    <w:p w:rsidR="005D6D5C" w:rsidRDefault="005D6D5C" w:rsidP="00024B64">
      <w:pPr>
        <w:pStyle w:val="Ttulo1"/>
        <w:rPr>
          <w:b w:val="0"/>
          <w:sz w:val="24"/>
          <w:lang w:val="en-US"/>
        </w:rPr>
      </w:pPr>
      <w:r w:rsidRPr="00BD1669">
        <w:rPr>
          <w:b w:val="0"/>
          <w:sz w:val="24"/>
        </w:rPr>
        <w:t>ARELLANO, M.</w:t>
      </w:r>
      <w:r w:rsidRPr="00BD1669">
        <w:rPr>
          <w:sz w:val="24"/>
        </w:rPr>
        <w:t xml:space="preserve"> </w:t>
      </w:r>
      <w:proofErr w:type="spellStart"/>
      <w:r w:rsidRPr="00BD1669">
        <w:rPr>
          <w:sz w:val="24"/>
        </w:rPr>
        <w:t>Panel</w:t>
      </w:r>
      <w:proofErr w:type="spellEnd"/>
      <w:r w:rsidRPr="00BD1669">
        <w:rPr>
          <w:sz w:val="24"/>
        </w:rPr>
        <w:t xml:space="preserve"> </w:t>
      </w:r>
      <w:r w:rsidR="00024B64" w:rsidRPr="00BD1669">
        <w:rPr>
          <w:sz w:val="24"/>
        </w:rPr>
        <w:t xml:space="preserve">data </w:t>
      </w:r>
      <w:proofErr w:type="spellStart"/>
      <w:r w:rsidR="00024B64" w:rsidRPr="00BD1669">
        <w:rPr>
          <w:sz w:val="24"/>
        </w:rPr>
        <w:t>econometrics</w:t>
      </w:r>
      <w:proofErr w:type="spellEnd"/>
      <w:r w:rsidRPr="00BD1669">
        <w:rPr>
          <w:b w:val="0"/>
          <w:sz w:val="24"/>
        </w:rPr>
        <w:t xml:space="preserve">. </w:t>
      </w:r>
      <w:proofErr w:type="gramStart"/>
      <w:r w:rsidRPr="00BD1669">
        <w:rPr>
          <w:b w:val="0"/>
          <w:sz w:val="24"/>
          <w:lang w:val="en-US"/>
        </w:rPr>
        <w:t>Oxford University Press, 2002.</w:t>
      </w:r>
      <w:proofErr w:type="gramEnd"/>
    </w:p>
    <w:p w:rsidR="006313A8" w:rsidRPr="00024B64" w:rsidRDefault="006313A8" w:rsidP="00024B64">
      <w:pPr>
        <w:jc w:val="both"/>
        <w:rPr>
          <w:lang w:val="en-US"/>
        </w:rPr>
      </w:pPr>
      <w:r w:rsidRPr="00024B64">
        <w:rPr>
          <w:rFonts w:ascii="Verdana" w:hAnsi="Verdana"/>
          <w:color w:val="505050"/>
          <w:sz w:val="18"/>
          <w:szCs w:val="18"/>
          <w:lang w:val="en-US"/>
        </w:rPr>
        <w:br/>
      </w:r>
      <w:r w:rsidRPr="006313A8">
        <w:rPr>
          <w:lang w:val="en-US"/>
        </w:rPr>
        <w:t>AREZKI, R</w:t>
      </w:r>
      <w:r>
        <w:rPr>
          <w:lang w:val="en-US"/>
        </w:rPr>
        <w:t>.</w:t>
      </w:r>
      <w:r w:rsidRPr="006313A8">
        <w:rPr>
          <w:lang w:val="en-US"/>
        </w:rPr>
        <w:t>; CANDELON, B</w:t>
      </w:r>
      <w:r>
        <w:rPr>
          <w:lang w:val="en-US"/>
        </w:rPr>
        <w:t>.</w:t>
      </w:r>
      <w:r w:rsidRPr="006313A8">
        <w:rPr>
          <w:lang w:val="en-US"/>
        </w:rPr>
        <w:t>; SY, A</w:t>
      </w:r>
      <w:r>
        <w:rPr>
          <w:lang w:val="en-US"/>
        </w:rPr>
        <w:t>.</w:t>
      </w:r>
      <w:r w:rsidRPr="006313A8">
        <w:rPr>
          <w:lang w:val="en-US"/>
        </w:rPr>
        <w:t xml:space="preserve"> N. R.</w:t>
      </w:r>
      <w:r>
        <w:rPr>
          <w:lang w:val="en-US"/>
        </w:rPr>
        <w:t xml:space="preserve"> </w:t>
      </w:r>
      <w:r w:rsidRPr="006313A8">
        <w:rPr>
          <w:b/>
          <w:lang w:val="en-US"/>
        </w:rPr>
        <w:t xml:space="preserve">Sovereign </w:t>
      </w:r>
      <w:r w:rsidR="00024B64" w:rsidRPr="006313A8">
        <w:rPr>
          <w:b/>
          <w:lang w:val="en-US"/>
        </w:rPr>
        <w:t>rating news and financial markets spillovers</w:t>
      </w:r>
      <w:r w:rsidRPr="00024B64">
        <w:rPr>
          <w:lang w:val="en-US"/>
        </w:rPr>
        <w:t xml:space="preserve">: </w:t>
      </w:r>
      <w:r w:rsidR="00024B64">
        <w:rPr>
          <w:lang w:val="en-US"/>
        </w:rPr>
        <w:t>e</w:t>
      </w:r>
      <w:r w:rsidRPr="00024B64">
        <w:rPr>
          <w:lang w:val="en-US"/>
        </w:rPr>
        <w:t xml:space="preserve">vidence from the </w:t>
      </w:r>
      <w:r w:rsidR="004623D8">
        <w:rPr>
          <w:lang w:val="en-US"/>
        </w:rPr>
        <w:t>E</w:t>
      </w:r>
      <w:r w:rsidR="004623D8" w:rsidRPr="00024B64">
        <w:rPr>
          <w:lang w:val="en-US"/>
        </w:rPr>
        <w:t>uropean</w:t>
      </w:r>
      <w:r w:rsidRPr="00024B64">
        <w:rPr>
          <w:lang w:val="en-US"/>
        </w:rPr>
        <w:t xml:space="preserve"> </w:t>
      </w:r>
      <w:r w:rsidR="00024B64">
        <w:rPr>
          <w:lang w:val="en-US"/>
        </w:rPr>
        <w:t>d</w:t>
      </w:r>
      <w:r w:rsidRPr="00024B64">
        <w:rPr>
          <w:lang w:val="en-US"/>
        </w:rPr>
        <w:t xml:space="preserve">ebt </w:t>
      </w:r>
      <w:r w:rsidR="00024B64">
        <w:rPr>
          <w:lang w:val="en-US"/>
        </w:rPr>
        <w:t>c</w:t>
      </w:r>
      <w:r w:rsidRPr="00024B64">
        <w:rPr>
          <w:lang w:val="en-US"/>
        </w:rPr>
        <w:t>risis.</w:t>
      </w:r>
      <w:r>
        <w:rPr>
          <w:lang w:val="en-US"/>
        </w:rPr>
        <w:t xml:space="preserve"> </w:t>
      </w:r>
      <w:proofErr w:type="gramStart"/>
      <w:r>
        <w:rPr>
          <w:lang w:val="en-US"/>
        </w:rPr>
        <w:t xml:space="preserve">IMF </w:t>
      </w:r>
      <w:r w:rsidR="009E49B7">
        <w:rPr>
          <w:lang w:val="en-US"/>
        </w:rPr>
        <w:t>w</w:t>
      </w:r>
      <w:r w:rsidRPr="00402910">
        <w:rPr>
          <w:lang w:val="en-US"/>
        </w:rPr>
        <w:t xml:space="preserve">orking paper, No. </w:t>
      </w:r>
      <w:r>
        <w:rPr>
          <w:lang w:val="en-US"/>
        </w:rPr>
        <w:t xml:space="preserve">68, </w:t>
      </w:r>
      <w:r w:rsidRPr="00024B64">
        <w:rPr>
          <w:lang w:val="en-US"/>
        </w:rPr>
        <w:t>2011.</w:t>
      </w:r>
      <w:proofErr w:type="gramEnd"/>
    </w:p>
    <w:p w:rsidR="006313A8" w:rsidRPr="006313A8" w:rsidRDefault="006313A8" w:rsidP="00024B64">
      <w:pPr>
        <w:jc w:val="both"/>
        <w:rPr>
          <w:lang w:val="en-US"/>
        </w:rPr>
      </w:pPr>
      <w:r>
        <w:rPr>
          <w:lang w:val="en-US"/>
        </w:rPr>
        <w:t xml:space="preserve"> </w:t>
      </w:r>
    </w:p>
    <w:p w:rsidR="005D6D5C" w:rsidRPr="00BD1669" w:rsidRDefault="005D6D5C" w:rsidP="00024B64">
      <w:pPr>
        <w:autoSpaceDE w:val="0"/>
        <w:autoSpaceDN w:val="0"/>
        <w:adjustRightInd w:val="0"/>
        <w:jc w:val="both"/>
        <w:rPr>
          <w:lang w:val="en-US"/>
        </w:rPr>
      </w:pPr>
      <w:proofErr w:type="gramStart"/>
      <w:r w:rsidRPr="00BD1669">
        <w:rPr>
          <w:lang w:val="en-US"/>
        </w:rPr>
        <w:t>ARNOTT, R. J.; STIGLITZ, J. E.</w:t>
      </w:r>
      <w:proofErr w:type="gramEnd"/>
      <w:r w:rsidRPr="00BD1669">
        <w:rPr>
          <w:lang w:val="en-US"/>
        </w:rPr>
        <w:t xml:space="preserve"> </w:t>
      </w:r>
      <w:r w:rsidRPr="00BD1669">
        <w:rPr>
          <w:b/>
          <w:iCs/>
          <w:lang w:val="en-US"/>
        </w:rPr>
        <w:t>The basic analytics of Moral Hazard</w:t>
      </w:r>
      <w:r w:rsidRPr="00BD1669">
        <w:rPr>
          <w:iCs/>
          <w:lang w:val="en-US"/>
        </w:rPr>
        <w:t>.</w:t>
      </w:r>
      <w:r w:rsidRPr="00BD1669">
        <w:rPr>
          <w:lang w:val="en-US"/>
        </w:rPr>
        <w:t xml:space="preserve"> Scandinavian Journal of Economics, Blackwell Publishing, v. 90 n. 3 p. 383-413, 1988.</w:t>
      </w:r>
    </w:p>
    <w:p w:rsidR="005D6D5C" w:rsidRPr="00BD1669" w:rsidRDefault="005D6D5C" w:rsidP="00024B64">
      <w:pPr>
        <w:tabs>
          <w:tab w:val="left" w:pos="720"/>
          <w:tab w:val="num" w:pos="1440"/>
        </w:tabs>
        <w:jc w:val="both"/>
        <w:rPr>
          <w:lang w:val="en-US"/>
        </w:rPr>
      </w:pPr>
    </w:p>
    <w:p w:rsidR="005D6D5C" w:rsidRPr="00907EA9" w:rsidRDefault="005D6D5C" w:rsidP="00024B64">
      <w:pPr>
        <w:tabs>
          <w:tab w:val="left" w:pos="720"/>
          <w:tab w:val="num" w:pos="1440"/>
        </w:tabs>
        <w:jc w:val="both"/>
        <w:rPr>
          <w:sz w:val="32"/>
          <w:szCs w:val="32"/>
          <w:lang w:val="en-US"/>
        </w:rPr>
      </w:pPr>
      <w:proofErr w:type="gramStart"/>
      <w:r w:rsidRPr="00BD1669">
        <w:rPr>
          <w:lang w:val="en-US"/>
        </w:rPr>
        <w:t xml:space="preserve">BALTAGI, B. H. </w:t>
      </w:r>
      <w:r w:rsidRPr="00BD1669">
        <w:rPr>
          <w:b/>
          <w:lang w:val="en-US"/>
        </w:rPr>
        <w:t>Econometric</w:t>
      </w:r>
      <w:r w:rsidR="00024B64" w:rsidRPr="00BD1669">
        <w:rPr>
          <w:b/>
          <w:lang w:val="en-US"/>
        </w:rPr>
        <w:t xml:space="preserve"> analysis of panel dat</w:t>
      </w:r>
      <w:r w:rsidRPr="00BD1669">
        <w:rPr>
          <w:b/>
          <w:lang w:val="en-US"/>
        </w:rPr>
        <w:t>a</w:t>
      </w:r>
      <w:r w:rsidRPr="00BD1669">
        <w:rPr>
          <w:lang w:val="en-US"/>
        </w:rPr>
        <w:t>.</w:t>
      </w:r>
      <w:proofErr w:type="gramEnd"/>
      <w:r w:rsidRPr="00BD1669">
        <w:rPr>
          <w:lang w:val="en-US"/>
        </w:rPr>
        <w:t xml:space="preserve"> </w:t>
      </w:r>
      <w:proofErr w:type="spellStart"/>
      <w:r w:rsidRPr="00907EA9">
        <w:rPr>
          <w:lang w:val="en-US"/>
        </w:rPr>
        <w:t>Chichester</w:t>
      </w:r>
      <w:proofErr w:type="spellEnd"/>
      <w:r w:rsidRPr="00907EA9">
        <w:rPr>
          <w:lang w:val="en-US"/>
        </w:rPr>
        <w:t>: Wiley, 1995.</w:t>
      </w:r>
    </w:p>
    <w:p w:rsidR="005D6D5C" w:rsidRPr="00907EA9" w:rsidRDefault="005D6D5C" w:rsidP="00024B64">
      <w:pPr>
        <w:jc w:val="both"/>
        <w:rPr>
          <w:b/>
          <w:lang w:val="en-US"/>
        </w:rPr>
      </w:pPr>
    </w:p>
    <w:p w:rsidR="00A77801" w:rsidRPr="009E49B7" w:rsidRDefault="00A77801" w:rsidP="00024B64">
      <w:pPr>
        <w:tabs>
          <w:tab w:val="num" w:pos="1440"/>
        </w:tabs>
        <w:jc w:val="both"/>
      </w:pPr>
      <w:r w:rsidRPr="00A77801">
        <w:rPr>
          <w:lang w:val="en-US"/>
        </w:rPr>
        <w:t xml:space="preserve">BHATIA, V. A. </w:t>
      </w:r>
      <w:r w:rsidRPr="00A77801">
        <w:rPr>
          <w:b/>
          <w:lang w:val="en-US"/>
        </w:rPr>
        <w:t>Sovereign credit ratings methodology</w:t>
      </w:r>
      <w:r w:rsidRPr="00A77801">
        <w:rPr>
          <w:lang w:val="en-US"/>
        </w:rPr>
        <w:t xml:space="preserve">: an evaluation. </w:t>
      </w:r>
      <w:r w:rsidRPr="009E49B7">
        <w:t xml:space="preserve">IMF. </w:t>
      </w:r>
      <w:proofErr w:type="spellStart"/>
      <w:r w:rsidRPr="009E49B7">
        <w:t>Working</w:t>
      </w:r>
      <w:proofErr w:type="spellEnd"/>
      <w:r w:rsidRPr="009E49B7">
        <w:t xml:space="preserve"> </w:t>
      </w:r>
      <w:proofErr w:type="spellStart"/>
      <w:r w:rsidRPr="009E49B7">
        <w:t>paper</w:t>
      </w:r>
      <w:proofErr w:type="spellEnd"/>
      <w:r w:rsidRPr="009E49B7">
        <w:t xml:space="preserve">, n 170, 2002. </w:t>
      </w:r>
    </w:p>
    <w:p w:rsidR="00A77801" w:rsidRPr="009E49B7" w:rsidRDefault="00A77801" w:rsidP="00024B64">
      <w:pPr>
        <w:tabs>
          <w:tab w:val="num" w:pos="1440"/>
        </w:tabs>
        <w:jc w:val="both"/>
      </w:pPr>
    </w:p>
    <w:p w:rsidR="005D6D5C" w:rsidRPr="00BD1669" w:rsidRDefault="005D6D5C" w:rsidP="00024B64">
      <w:pPr>
        <w:tabs>
          <w:tab w:val="num" w:pos="1440"/>
        </w:tabs>
        <w:jc w:val="both"/>
      </w:pPr>
      <w:r w:rsidRPr="00C33C2C">
        <w:t>BONE, R</w:t>
      </w:r>
      <w:r w:rsidR="00C33C2C" w:rsidRPr="00C33C2C">
        <w:t>.</w:t>
      </w:r>
      <w:r w:rsidRPr="00C33C2C">
        <w:t xml:space="preserve"> B. </w:t>
      </w:r>
      <w:r w:rsidRPr="00BD1669">
        <w:rPr>
          <w:b/>
        </w:rPr>
        <w:t>Análise crítica dos fundamentos dos ratings soberanos</w:t>
      </w:r>
      <w:r w:rsidRPr="00BD1669">
        <w:t xml:space="preserve">: o caso da Argentina. Banco Central </w:t>
      </w:r>
      <w:proofErr w:type="spellStart"/>
      <w:r w:rsidRPr="00BD1669">
        <w:t>del</w:t>
      </w:r>
      <w:proofErr w:type="spellEnd"/>
      <w:r w:rsidRPr="00BD1669">
        <w:t xml:space="preserve"> </w:t>
      </w:r>
      <w:proofErr w:type="spellStart"/>
      <w:r w:rsidRPr="00BD1669">
        <w:t>Uruguay</w:t>
      </w:r>
      <w:proofErr w:type="spellEnd"/>
      <w:r w:rsidRPr="00BD1669">
        <w:t xml:space="preserve">. Montevideo, Uruguai, 2002. </w:t>
      </w:r>
    </w:p>
    <w:p w:rsidR="005D6D5C" w:rsidRPr="00BD1669" w:rsidRDefault="005D6D5C" w:rsidP="00024B64">
      <w:pPr>
        <w:jc w:val="both"/>
      </w:pPr>
    </w:p>
    <w:p w:rsidR="005D6D5C" w:rsidRPr="00024B64" w:rsidRDefault="005D6D5C" w:rsidP="00024B64">
      <w:pPr>
        <w:jc w:val="both"/>
      </w:pPr>
      <w:r w:rsidRPr="00BD1669">
        <w:t>BONE, R</w:t>
      </w:r>
      <w:r w:rsidR="00443A70">
        <w:t>.</w:t>
      </w:r>
      <w:r w:rsidRPr="00BD1669">
        <w:t xml:space="preserve"> B. </w:t>
      </w:r>
      <w:r w:rsidRPr="00BD1669">
        <w:rPr>
          <w:b/>
        </w:rPr>
        <w:t>A importância dos fundamentos nos ratings soberanos brasileiros, 1994-2002</w:t>
      </w:r>
      <w:r w:rsidRPr="00BD1669">
        <w:t xml:space="preserve">. In: XXXIII Encontro Nacional de Economia, Dez. 2005, Natal </w:t>
      </w:r>
      <w:r w:rsidRPr="00024B64">
        <w:t>Anais</w:t>
      </w:r>
      <w:r w:rsidRPr="00BD1669">
        <w:t xml:space="preserve">. Natal: XXXIII Encontro Nacional de Economia, 2005. </w:t>
      </w:r>
      <w:r w:rsidRPr="00024B64">
        <w:t>CD-ROM.</w:t>
      </w:r>
    </w:p>
    <w:p w:rsidR="00174483" w:rsidRPr="00024B64" w:rsidRDefault="00174483" w:rsidP="00024B64">
      <w:pPr>
        <w:jc w:val="both"/>
      </w:pPr>
    </w:p>
    <w:p w:rsidR="00174483" w:rsidRPr="00024B64" w:rsidRDefault="00174483" w:rsidP="00024B64">
      <w:pPr>
        <w:jc w:val="both"/>
        <w:rPr>
          <w:lang w:val="en-US"/>
        </w:rPr>
      </w:pPr>
      <w:r w:rsidRPr="00174483">
        <w:t>BRUM, A</w:t>
      </w:r>
      <w:r w:rsidR="00024B64">
        <w:t>.</w:t>
      </w:r>
      <w:r w:rsidRPr="00174483">
        <w:t xml:space="preserve"> L</w:t>
      </w:r>
      <w:r w:rsidR="00024B64">
        <w:t>.</w:t>
      </w:r>
      <w:r w:rsidRPr="00174483">
        <w:t>; HECK, C</w:t>
      </w:r>
      <w:r w:rsidR="00024B64">
        <w:t>.</w:t>
      </w:r>
      <w:r w:rsidRPr="00174483">
        <w:t xml:space="preserve"> R</w:t>
      </w:r>
      <w:r w:rsidR="00024B64">
        <w:t>.</w:t>
      </w:r>
      <w:r w:rsidRPr="00174483">
        <w:t xml:space="preserve"> </w:t>
      </w:r>
      <w:r w:rsidRPr="00174483">
        <w:rPr>
          <w:b/>
        </w:rPr>
        <w:t>Economia internacional</w:t>
      </w:r>
      <w:r w:rsidRPr="00024B64">
        <w:t>: uma síntese da</w:t>
      </w:r>
      <w:r w:rsidR="00024B64" w:rsidRPr="00024B64">
        <w:t xml:space="preserve"> </w:t>
      </w:r>
      <w:r w:rsidRPr="00024B64">
        <w:t xml:space="preserve">análise teórica. </w:t>
      </w:r>
      <w:proofErr w:type="spellStart"/>
      <w:r w:rsidRPr="00024B64">
        <w:rPr>
          <w:lang w:val="en-US"/>
        </w:rPr>
        <w:t>Ijuí</w:t>
      </w:r>
      <w:proofErr w:type="spellEnd"/>
      <w:r w:rsidRPr="00024B64">
        <w:rPr>
          <w:lang w:val="en-US"/>
        </w:rPr>
        <w:t>: UNIJUÍ, 2005.</w:t>
      </w:r>
    </w:p>
    <w:p w:rsidR="00174483" w:rsidRPr="00024B64" w:rsidRDefault="00174483" w:rsidP="00024B64">
      <w:pPr>
        <w:jc w:val="both"/>
        <w:rPr>
          <w:lang w:val="en-US"/>
        </w:rPr>
      </w:pPr>
    </w:p>
    <w:p w:rsidR="005D6D5C" w:rsidRPr="00BD1669" w:rsidRDefault="005D6D5C" w:rsidP="00024B64">
      <w:pPr>
        <w:jc w:val="both"/>
        <w:rPr>
          <w:lang w:val="en-US"/>
        </w:rPr>
      </w:pPr>
      <w:proofErr w:type="gramStart"/>
      <w:r w:rsidRPr="00BD1669">
        <w:rPr>
          <w:lang w:val="en-US"/>
        </w:rPr>
        <w:t xml:space="preserve">CAMERON, A. C; TRIVEDI, P. K. </w:t>
      </w:r>
      <w:proofErr w:type="spellStart"/>
      <w:r w:rsidRPr="00BD1669">
        <w:rPr>
          <w:b/>
          <w:lang w:val="en-US"/>
        </w:rPr>
        <w:t>Microeconometrics</w:t>
      </w:r>
      <w:proofErr w:type="spellEnd"/>
      <w:r w:rsidRPr="00BD1669">
        <w:rPr>
          <w:b/>
          <w:lang w:val="en-US"/>
        </w:rPr>
        <w:t xml:space="preserve"> – </w:t>
      </w:r>
      <w:r w:rsidR="00024B64" w:rsidRPr="00BD1669">
        <w:rPr>
          <w:b/>
          <w:lang w:val="en-US"/>
        </w:rPr>
        <w:t>methods and applications</w:t>
      </w:r>
      <w:r w:rsidRPr="00BD1669">
        <w:rPr>
          <w:lang w:val="en-US"/>
        </w:rPr>
        <w:t>.</w:t>
      </w:r>
      <w:proofErr w:type="gramEnd"/>
      <w:r w:rsidRPr="00BD1669">
        <w:rPr>
          <w:b/>
          <w:lang w:val="en-US"/>
        </w:rPr>
        <w:t xml:space="preserve"> </w:t>
      </w:r>
      <w:r w:rsidRPr="00BD1669">
        <w:rPr>
          <w:lang w:val="en-US"/>
        </w:rPr>
        <w:t>Cambridge University Press, New York, 2005.</w:t>
      </w:r>
    </w:p>
    <w:p w:rsidR="005D6D5C" w:rsidRPr="00BD1669" w:rsidRDefault="005D6D5C" w:rsidP="00024B64">
      <w:pPr>
        <w:autoSpaceDE w:val="0"/>
        <w:autoSpaceDN w:val="0"/>
        <w:adjustRightInd w:val="0"/>
        <w:jc w:val="both"/>
        <w:rPr>
          <w:lang w:val="en-US"/>
        </w:rPr>
      </w:pPr>
    </w:p>
    <w:p w:rsidR="005D6D5C" w:rsidRDefault="005D6D5C" w:rsidP="009E49B7">
      <w:pPr>
        <w:autoSpaceDE w:val="0"/>
        <w:autoSpaceDN w:val="0"/>
        <w:adjustRightInd w:val="0"/>
        <w:jc w:val="both"/>
        <w:rPr>
          <w:lang w:val="en-US"/>
        </w:rPr>
      </w:pPr>
      <w:proofErr w:type="gramStart"/>
      <w:r w:rsidRPr="00BD1669">
        <w:rPr>
          <w:lang w:val="en-US"/>
        </w:rPr>
        <w:t xml:space="preserve">CANTOR, R.; PACKER, F. </w:t>
      </w:r>
      <w:r w:rsidRPr="00BD1669">
        <w:rPr>
          <w:b/>
          <w:lang w:val="en-US"/>
        </w:rPr>
        <w:t xml:space="preserve">Determinants </w:t>
      </w:r>
      <w:r w:rsidR="00024B64" w:rsidRPr="00BD1669">
        <w:rPr>
          <w:b/>
          <w:lang w:val="en-US"/>
        </w:rPr>
        <w:t>and impact of sovereign credit ratings</w:t>
      </w:r>
      <w:r w:rsidRPr="00BD1669">
        <w:rPr>
          <w:lang w:val="en-US"/>
        </w:rPr>
        <w:t>.</w:t>
      </w:r>
      <w:proofErr w:type="gramEnd"/>
      <w:r w:rsidR="00812E4B">
        <w:rPr>
          <w:lang w:val="en-US"/>
        </w:rPr>
        <w:t xml:space="preserve"> </w:t>
      </w:r>
      <w:proofErr w:type="gramStart"/>
      <w:r w:rsidRPr="00BD1669">
        <w:rPr>
          <w:lang w:val="en-US"/>
        </w:rPr>
        <w:t>E</w:t>
      </w:r>
      <w:r w:rsidRPr="00BD1669">
        <w:rPr>
          <w:iCs/>
          <w:lang w:val="en-US"/>
        </w:rPr>
        <w:t>conomic Policy Review,</w:t>
      </w:r>
      <w:r w:rsidRPr="00BD1669">
        <w:rPr>
          <w:i/>
          <w:iCs/>
          <w:lang w:val="en-US"/>
        </w:rPr>
        <w:t xml:space="preserve"> </w:t>
      </w:r>
      <w:r w:rsidRPr="00BD1669">
        <w:rPr>
          <w:lang w:val="en-US"/>
        </w:rPr>
        <w:t>v. 2, n. 2, 1996.</w:t>
      </w:r>
      <w:proofErr w:type="gramEnd"/>
      <w:r w:rsidRPr="00BD1669">
        <w:rPr>
          <w:lang w:val="en-US"/>
        </w:rPr>
        <w:t xml:space="preserve"> </w:t>
      </w:r>
    </w:p>
    <w:p w:rsidR="009E49B7" w:rsidRPr="00BD1669" w:rsidRDefault="009E49B7" w:rsidP="009E49B7">
      <w:pPr>
        <w:autoSpaceDE w:val="0"/>
        <w:autoSpaceDN w:val="0"/>
        <w:adjustRightInd w:val="0"/>
        <w:jc w:val="both"/>
      </w:pPr>
    </w:p>
    <w:p w:rsidR="0030612B" w:rsidRPr="0030612B" w:rsidRDefault="0030612B" w:rsidP="0030612B">
      <w:pPr>
        <w:autoSpaceDE w:val="0"/>
        <w:autoSpaceDN w:val="0"/>
        <w:adjustRightInd w:val="0"/>
        <w:jc w:val="both"/>
        <w:rPr>
          <w:lang w:val="en-US"/>
        </w:rPr>
      </w:pPr>
      <w:proofErr w:type="gramStart"/>
      <w:r w:rsidRPr="0030612B">
        <w:rPr>
          <w:lang w:val="en-US"/>
        </w:rPr>
        <w:t xml:space="preserve">CANUTO, O.; SANTOS, P. F.; PORTO, P. C. S. </w:t>
      </w:r>
      <w:r w:rsidRPr="0030612B">
        <w:rPr>
          <w:b/>
          <w:lang w:val="en-US"/>
        </w:rPr>
        <w:t>Macroeconomics and sovereign risk ratings</w:t>
      </w:r>
      <w:r w:rsidRPr="0030612B">
        <w:rPr>
          <w:lang w:val="en-US"/>
        </w:rPr>
        <w:t>.</w:t>
      </w:r>
      <w:proofErr w:type="gramEnd"/>
      <w:r w:rsidRPr="0030612B">
        <w:rPr>
          <w:lang w:val="en-US"/>
        </w:rPr>
        <w:t xml:space="preserve"> </w:t>
      </w:r>
      <w:proofErr w:type="gramStart"/>
      <w:r w:rsidRPr="0030612B">
        <w:rPr>
          <w:lang w:val="en-US"/>
        </w:rPr>
        <w:t>World Bank Discussion papers.</w:t>
      </w:r>
      <w:proofErr w:type="gramEnd"/>
      <w:r w:rsidRPr="0030612B">
        <w:rPr>
          <w:lang w:val="en-US"/>
        </w:rPr>
        <w:t xml:space="preserve"> Washington D. C., Jan. 2004.  </w:t>
      </w:r>
      <w:r w:rsidRPr="0030612B">
        <w:rPr>
          <w:b/>
          <w:lang w:val="en-US"/>
        </w:rPr>
        <w:t xml:space="preserve"> </w:t>
      </w:r>
    </w:p>
    <w:p w:rsidR="005D6D5C" w:rsidRPr="0030612B" w:rsidRDefault="005D6D5C" w:rsidP="00024B64">
      <w:pPr>
        <w:autoSpaceDE w:val="0"/>
        <w:autoSpaceDN w:val="0"/>
        <w:adjustRightInd w:val="0"/>
        <w:jc w:val="both"/>
        <w:rPr>
          <w:lang w:val="en-US"/>
        </w:rPr>
      </w:pPr>
    </w:p>
    <w:p w:rsidR="005D6D5C" w:rsidRPr="00BD1669" w:rsidRDefault="005D6D5C" w:rsidP="00024B64">
      <w:pPr>
        <w:jc w:val="both"/>
        <w:rPr>
          <w:lang w:val="en-US"/>
        </w:rPr>
      </w:pPr>
      <w:proofErr w:type="gramStart"/>
      <w:r w:rsidRPr="00BD1669">
        <w:rPr>
          <w:lang w:val="en-US"/>
        </w:rPr>
        <w:lastRenderedPageBreak/>
        <w:t>CENTRAL INTELLIGENT AGENCY - CIA.</w:t>
      </w:r>
      <w:proofErr w:type="gramEnd"/>
      <w:r w:rsidRPr="00BD1669">
        <w:rPr>
          <w:lang w:val="en-US"/>
        </w:rPr>
        <w:t xml:space="preserve"> </w:t>
      </w:r>
      <w:proofErr w:type="gramStart"/>
      <w:r w:rsidRPr="00BD1669">
        <w:rPr>
          <w:b/>
          <w:lang w:val="en-US"/>
        </w:rPr>
        <w:t xml:space="preserve">Handbook of </w:t>
      </w:r>
      <w:r w:rsidR="00024B64">
        <w:rPr>
          <w:b/>
          <w:lang w:val="en-US"/>
        </w:rPr>
        <w:t>i</w:t>
      </w:r>
      <w:r w:rsidRPr="00BD1669">
        <w:rPr>
          <w:b/>
          <w:lang w:val="en-US"/>
        </w:rPr>
        <w:t xml:space="preserve">nternational </w:t>
      </w:r>
      <w:r w:rsidR="00024B64">
        <w:rPr>
          <w:b/>
          <w:lang w:val="en-US"/>
        </w:rPr>
        <w:t>e</w:t>
      </w:r>
      <w:r w:rsidRPr="00BD1669">
        <w:rPr>
          <w:b/>
          <w:lang w:val="en-US"/>
        </w:rPr>
        <w:t xml:space="preserve">conomic </w:t>
      </w:r>
      <w:r w:rsidR="00024B64">
        <w:rPr>
          <w:b/>
          <w:lang w:val="en-US"/>
        </w:rPr>
        <w:t>s</w:t>
      </w:r>
      <w:r w:rsidRPr="00BD1669">
        <w:rPr>
          <w:b/>
          <w:lang w:val="en-US"/>
        </w:rPr>
        <w:t>tatistics,</w:t>
      </w:r>
      <w:r w:rsidRPr="00BD1669">
        <w:rPr>
          <w:lang w:val="en-US"/>
        </w:rPr>
        <w:t xml:space="preserve"> 1999.</w:t>
      </w:r>
      <w:proofErr w:type="gramEnd"/>
    </w:p>
    <w:p w:rsidR="005D6D5C" w:rsidRPr="00BD1669" w:rsidRDefault="005D6D5C" w:rsidP="00024B64">
      <w:pPr>
        <w:jc w:val="both"/>
        <w:rPr>
          <w:lang w:val="en-US"/>
        </w:rPr>
      </w:pPr>
    </w:p>
    <w:p w:rsidR="005D6D5C" w:rsidRPr="00BD1669" w:rsidRDefault="005D6D5C" w:rsidP="00024B64">
      <w:pPr>
        <w:autoSpaceDE w:val="0"/>
        <w:autoSpaceDN w:val="0"/>
        <w:adjustRightInd w:val="0"/>
        <w:jc w:val="both"/>
      </w:pPr>
      <w:r w:rsidRPr="00BD1669">
        <w:t xml:space="preserve">FRASCAROLI, B. F; SILVA, L. C; SILVA FILHO, O. C. </w:t>
      </w:r>
      <w:r w:rsidRPr="00BD1669">
        <w:rPr>
          <w:b/>
        </w:rPr>
        <w:t xml:space="preserve">Classificação de </w:t>
      </w:r>
      <w:r w:rsidRPr="00BD1669">
        <w:rPr>
          <w:b/>
          <w:i/>
        </w:rPr>
        <w:t>ratings</w:t>
      </w:r>
      <w:r w:rsidRPr="00BD1669">
        <w:rPr>
          <w:b/>
        </w:rPr>
        <w:t xml:space="preserve"> de risco soberano de países emergentes a partir de fundamentos macroeconômicos utilizando redes neurais artificiais</w:t>
      </w:r>
      <w:r w:rsidRPr="00BD1669">
        <w:t>. Revista Brasileira de Finanças. V. 7 Março, 2009.</w:t>
      </w:r>
    </w:p>
    <w:p w:rsidR="005D6D5C" w:rsidRPr="00BD1669" w:rsidRDefault="005D6D5C" w:rsidP="00024B64">
      <w:pPr>
        <w:autoSpaceDE w:val="0"/>
        <w:autoSpaceDN w:val="0"/>
        <w:adjustRightInd w:val="0"/>
        <w:jc w:val="both"/>
      </w:pPr>
    </w:p>
    <w:p w:rsidR="00105B51" w:rsidRDefault="00105B51" w:rsidP="00024B64">
      <w:pPr>
        <w:autoSpaceDE w:val="0"/>
        <w:autoSpaceDN w:val="0"/>
        <w:adjustRightInd w:val="0"/>
        <w:jc w:val="both"/>
        <w:rPr>
          <w:lang w:val="en-US"/>
        </w:rPr>
      </w:pPr>
      <w:proofErr w:type="gramStart"/>
      <w:r w:rsidRPr="00105B51">
        <w:rPr>
          <w:lang w:val="en-US"/>
        </w:rPr>
        <w:t xml:space="preserve">GOMES, P; FURCERI, D; AFONSO A. </w:t>
      </w:r>
      <w:r w:rsidRPr="00105B51">
        <w:rPr>
          <w:b/>
          <w:lang w:val="en-US"/>
        </w:rPr>
        <w:t xml:space="preserve">Sovereign credit ratings and financial markets - linkages </w:t>
      </w:r>
      <w:proofErr w:type="spellStart"/>
      <w:r w:rsidRPr="00105B51">
        <w:rPr>
          <w:b/>
          <w:lang w:val="en-US"/>
        </w:rPr>
        <w:t>aplication</w:t>
      </w:r>
      <w:proofErr w:type="spellEnd"/>
      <w:r w:rsidRPr="00105B51">
        <w:rPr>
          <w:b/>
          <w:lang w:val="en-US"/>
        </w:rPr>
        <w:t xml:space="preserve"> to European data</w:t>
      </w:r>
      <w:r w:rsidRPr="00105B51">
        <w:rPr>
          <w:lang w:val="en-US"/>
        </w:rPr>
        <w:t>.</w:t>
      </w:r>
      <w:proofErr w:type="gramEnd"/>
      <w:r w:rsidRPr="00105B51">
        <w:rPr>
          <w:lang w:val="en-US"/>
        </w:rPr>
        <w:t xml:space="preserve"> European Central Bank, working paper </w:t>
      </w:r>
      <w:proofErr w:type="spellStart"/>
      <w:r w:rsidRPr="00105B51">
        <w:rPr>
          <w:lang w:val="en-US"/>
        </w:rPr>
        <w:t>n</w:t>
      </w:r>
      <w:proofErr w:type="spellEnd"/>
      <w:r w:rsidRPr="00105B51">
        <w:rPr>
          <w:lang w:val="en-US"/>
        </w:rPr>
        <w:t xml:space="preserve"> 1347, 2011.</w:t>
      </w:r>
    </w:p>
    <w:p w:rsidR="00105B51" w:rsidRDefault="00105B51" w:rsidP="00024B64">
      <w:pPr>
        <w:autoSpaceDE w:val="0"/>
        <w:autoSpaceDN w:val="0"/>
        <w:adjustRightInd w:val="0"/>
        <w:jc w:val="both"/>
        <w:rPr>
          <w:lang w:val="en-US"/>
        </w:rPr>
      </w:pPr>
    </w:p>
    <w:p w:rsidR="005D6D5C" w:rsidRPr="00BD1669" w:rsidRDefault="005D6D5C" w:rsidP="00024B64">
      <w:pPr>
        <w:autoSpaceDE w:val="0"/>
        <w:autoSpaceDN w:val="0"/>
        <w:adjustRightInd w:val="0"/>
        <w:jc w:val="both"/>
        <w:rPr>
          <w:lang w:val="en-US"/>
        </w:rPr>
      </w:pPr>
      <w:proofErr w:type="gramStart"/>
      <w:r w:rsidRPr="00024B64">
        <w:rPr>
          <w:lang w:val="en-US"/>
        </w:rPr>
        <w:t>GREENE, W</w:t>
      </w:r>
      <w:r w:rsidR="00024B64">
        <w:rPr>
          <w:lang w:val="en-US"/>
        </w:rPr>
        <w:t>.</w:t>
      </w:r>
      <w:r w:rsidRPr="00024B64">
        <w:rPr>
          <w:lang w:val="en-US"/>
        </w:rPr>
        <w:t xml:space="preserve"> H. </w:t>
      </w:r>
      <w:r w:rsidRPr="00024B64">
        <w:rPr>
          <w:b/>
          <w:lang w:val="en-US"/>
        </w:rPr>
        <w:t xml:space="preserve">Econometric </w:t>
      </w:r>
      <w:r w:rsidR="00024B64" w:rsidRPr="00024B64">
        <w:rPr>
          <w:b/>
          <w:lang w:val="en-US"/>
        </w:rPr>
        <w:t>a</w:t>
      </w:r>
      <w:r w:rsidRPr="00024B64">
        <w:rPr>
          <w:b/>
          <w:lang w:val="en-US"/>
        </w:rPr>
        <w:t>nalysis</w:t>
      </w:r>
      <w:r w:rsidRPr="00024B64">
        <w:rPr>
          <w:lang w:val="en-US"/>
        </w:rPr>
        <w:t>.</w:t>
      </w:r>
      <w:proofErr w:type="gramEnd"/>
      <w:r w:rsidRPr="00024B64">
        <w:rPr>
          <w:lang w:val="en-US"/>
        </w:rPr>
        <w:t xml:space="preserve"> </w:t>
      </w:r>
      <w:r w:rsidRPr="00BD1669">
        <w:rPr>
          <w:lang w:val="en-US"/>
        </w:rPr>
        <w:t xml:space="preserve">5th ed. Upper Saddle River, New Jersey: Prentice Hall, 2002. </w:t>
      </w:r>
    </w:p>
    <w:p w:rsidR="005D6D5C" w:rsidRPr="00BD1669" w:rsidRDefault="005D6D5C" w:rsidP="00024B64">
      <w:pPr>
        <w:autoSpaceDE w:val="0"/>
        <w:autoSpaceDN w:val="0"/>
        <w:adjustRightInd w:val="0"/>
        <w:jc w:val="both"/>
        <w:rPr>
          <w:lang w:val="en-US"/>
        </w:rPr>
      </w:pPr>
    </w:p>
    <w:p w:rsidR="00895DA4" w:rsidRPr="00D67FDC" w:rsidRDefault="00895DA4" w:rsidP="00895DA4">
      <w:pPr>
        <w:autoSpaceDE w:val="0"/>
        <w:autoSpaceDN w:val="0"/>
        <w:adjustRightInd w:val="0"/>
        <w:rPr>
          <w:sz w:val="20"/>
          <w:szCs w:val="20"/>
          <w:lang w:val="en-US"/>
        </w:rPr>
      </w:pPr>
      <w:proofErr w:type="gramStart"/>
      <w:r w:rsidRPr="00D67FDC">
        <w:rPr>
          <w:lang w:val="en-US"/>
        </w:rPr>
        <w:t>HAQUE, N</w:t>
      </w:r>
      <w:r>
        <w:rPr>
          <w:lang w:val="en-US"/>
        </w:rPr>
        <w:t>.</w:t>
      </w:r>
      <w:r w:rsidRPr="00D67FDC">
        <w:rPr>
          <w:lang w:val="en-US"/>
        </w:rPr>
        <w:t xml:space="preserve"> U.; MARK, N</w:t>
      </w:r>
      <w:r>
        <w:rPr>
          <w:lang w:val="en-US"/>
        </w:rPr>
        <w:t>.</w:t>
      </w:r>
      <w:r w:rsidRPr="00D67FDC">
        <w:rPr>
          <w:lang w:val="en-US"/>
        </w:rPr>
        <w:t>; MATHIESON, D</w:t>
      </w:r>
      <w:r>
        <w:rPr>
          <w:lang w:val="en-US"/>
        </w:rPr>
        <w:t>.</w:t>
      </w:r>
      <w:r w:rsidRPr="00D67FDC">
        <w:rPr>
          <w:lang w:val="en-US"/>
        </w:rPr>
        <w:t xml:space="preserve"> J.</w:t>
      </w:r>
      <w:proofErr w:type="gramEnd"/>
      <w:r w:rsidRPr="00D67FDC">
        <w:rPr>
          <w:lang w:val="en-US"/>
        </w:rPr>
        <w:t xml:space="preserve"> </w:t>
      </w:r>
      <w:proofErr w:type="gramStart"/>
      <w:r w:rsidRPr="00D67FDC">
        <w:rPr>
          <w:b/>
          <w:lang w:val="en-US"/>
        </w:rPr>
        <w:t>The relative importance of political and economic variable in creditworthiness ratings</w:t>
      </w:r>
      <w:r w:rsidRPr="00D67FDC">
        <w:rPr>
          <w:lang w:val="en-US"/>
        </w:rPr>
        <w:t>.</w:t>
      </w:r>
      <w:proofErr w:type="gramEnd"/>
      <w:r w:rsidRPr="00D67FDC">
        <w:rPr>
          <w:lang w:val="en-US"/>
        </w:rPr>
        <w:t xml:space="preserve"> IMF: working paper 98/46. </w:t>
      </w:r>
      <w:proofErr w:type="gramStart"/>
      <w:r w:rsidRPr="00D67FDC">
        <w:rPr>
          <w:lang w:val="en-US"/>
        </w:rPr>
        <w:t>A</w:t>
      </w:r>
      <w:r>
        <w:rPr>
          <w:lang w:val="en-US"/>
        </w:rPr>
        <w:t>br.</w:t>
      </w:r>
      <w:r w:rsidRPr="00D67FDC">
        <w:rPr>
          <w:lang w:val="en-US"/>
        </w:rPr>
        <w:t xml:space="preserve"> 1998.</w:t>
      </w:r>
      <w:proofErr w:type="gramEnd"/>
    </w:p>
    <w:p w:rsidR="00895DA4" w:rsidRDefault="00895DA4" w:rsidP="00024B64">
      <w:pPr>
        <w:autoSpaceDE w:val="0"/>
        <w:autoSpaceDN w:val="0"/>
        <w:adjustRightInd w:val="0"/>
        <w:jc w:val="both"/>
        <w:rPr>
          <w:lang w:val="en-US"/>
        </w:rPr>
      </w:pPr>
    </w:p>
    <w:p w:rsidR="009F3CC2" w:rsidRPr="00BD1669" w:rsidRDefault="009F3CC2" w:rsidP="00024B64">
      <w:pPr>
        <w:autoSpaceDE w:val="0"/>
        <w:autoSpaceDN w:val="0"/>
        <w:adjustRightInd w:val="0"/>
        <w:jc w:val="both"/>
        <w:rPr>
          <w:lang w:val="en-US"/>
        </w:rPr>
      </w:pPr>
      <w:proofErr w:type="gramStart"/>
      <w:r w:rsidRPr="00BD1669">
        <w:rPr>
          <w:lang w:val="en-US"/>
        </w:rPr>
        <w:t xml:space="preserve">HAUSMAN, J. A. </w:t>
      </w:r>
      <w:r w:rsidRPr="00BD1669">
        <w:rPr>
          <w:b/>
          <w:lang w:val="en-US"/>
        </w:rPr>
        <w:t>Specification test in econometrics.</w:t>
      </w:r>
      <w:proofErr w:type="gramEnd"/>
      <w:r w:rsidRPr="00BD1669">
        <w:rPr>
          <w:b/>
          <w:lang w:val="en-US"/>
        </w:rPr>
        <w:t xml:space="preserve"> </w:t>
      </w:r>
      <w:proofErr w:type="spellStart"/>
      <w:proofErr w:type="gramStart"/>
      <w:r w:rsidRPr="00BD1669">
        <w:rPr>
          <w:lang w:val="en-US"/>
        </w:rPr>
        <w:t>Econometrica</w:t>
      </w:r>
      <w:proofErr w:type="spellEnd"/>
      <w:r w:rsidRPr="00BD1669">
        <w:rPr>
          <w:lang w:val="en-US"/>
        </w:rPr>
        <w:t>, v. 46, n. 6, p. 1251-1271, 1978.</w:t>
      </w:r>
      <w:proofErr w:type="gramEnd"/>
    </w:p>
    <w:p w:rsidR="0033224E" w:rsidRPr="00BD1669" w:rsidRDefault="0033224E" w:rsidP="00024B64">
      <w:pPr>
        <w:autoSpaceDE w:val="0"/>
        <w:autoSpaceDN w:val="0"/>
        <w:adjustRightInd w:val="0"/>
        <w:jc w:val="both"/>
        <w:rPr>
          <w:lang w:val="en-US"/>
        </w:rPr>
      </w:pPr>
    </w:p>
    <w:p w:rsidR="005D6D5C" w:rsidRDefault="005D6D5C" w:rsidP="00024B64">
      <w:pPr>
        <w:tabs>
          <w:tab w:val="left" w:pos="720"/>
          <w:tab w:val="num" w:pos="1440"/>
        </w:tabs>
        <w:jc w:val="both"/>
        <w:rPr>
          <w:lang w:val="en-US"/>
        </w:rPr>
      </w:pPr>
      <w:r w:rsidRPr="00BD1669">
        <w:rPr>
          <w:lang w:val="en-US"/>
        </w:rPr>
        <w:t xml:space="preserve">HSIAO, C. </w:t>
      </w:r>
      <w:r w:rsidRPr="00BD1669">
        <w:rPr>
          <w:b/>
          <w:lang w:val="en-US"/>
        </w:rPr>
        <w:t xml:space="preserve">Analysis of </w:t>
      </w:r>
      <w:r w:rsidR="00024B64">
        <w:rPr>
          <w:b/>
          <w:lang w:val="en-US"/>
        </w:rPr>
        <w:t>p</w:t>
      </w:r>
      <w:r w:rsidRPr="00BD1669">
        <w:rPr>
          <w:b/>
          <w:lang w:val="en-US"/>
        </w:rPr>
        <w:t xml:space="preserve">anel </w:t>
      </w:r>
      <w:r w:rsidR="00024B64">
        <w:rPr>
          <w:b/>
          <w:lang w:val="en-US"/>
        </w:rPr>
        <w:t>d</w:t>
      </w:r>
      <w:r w:rsidRPr="00BD1669">
        <w:rPr>
          <w:b/>
          <w:lang w:val="en-US"/>
        </w:rPr>
        <w:t>ata</w:t>
      </w:r>
      <w:r w:rsidRPr="00BD1669">
        <w:rPr>
          <w:lang w:val="en-US"/>
        </w:rPr>
        <w:t xml:space="preserve">. </w:t>
      </w:r>
      <w:proofErr w:type="gramStart"/>
      <w:r w:rsidRPr="00BD1669">
        <w:rPr>
          <w:lang w:val="en-US"/>
        </w:rPr>
        <w:t>Cambridge University Press, 1986.</w:t>
      </w:r>
      <w:proofErr w:type="gramEnd"/>
    </w:p>
    <w:p w:rsidR="009137C2" w:rsidRPr="00024B64" w:rsidRDefault="00630B48" w:rsidP="00024B64">
      <w:pPr>
        <w:jc w:val="both"/>
        <w:rPr>
          <w:lang w:val="en-US"/>
        </w:rPr>
      </w:pPr>
      <w:r w:rsidRPr="00024B64">
        <w:rPr>
          <w:rFonts w:ascii="Verdana" w:hAnsi="Verdana"/>
          <w:color w:val="505050"/>
          <w:sz w:val="18"/>
          <w:szCs w:val="18"/>
          <w:lang w:val="en-US"/>
        </w:rPr>
        <w:br/>
      </w:r>
      <w:proofErr w:type="gramStart"/>
      <w:r w:rsidRPr="00630B48">
        <w:rPr>
          <w:lang w:val="en-US"/>
        </w:rPr>
        <w:t>KIFF</w:t>
      </w:r>
      <w:r>
        <w:rPr>
          <w:lang w:val="en-US"/>
        </w:rPr>
        <w:t>, J.</w:t>
      </w:r>
      <w:r w:rsidRPr="00630B48">
        <w:rPr>
          <w:lang w:val="en-US"/>
        </w:rPr>
        <w:t>; NOWAK, S</w:t>
      </w:r>
      <w:r>
        <w:rPr>
          <w:lang w:val="en-US"/>
        </w:rPr>
        <w:t>.</w:t>
      </w:r>
      <w:r w:rsidRPr="00630B48">
        <w:rPr>
          <w:lang w:val="en-US"/>
        </w:rPr>
        <w:t xml:space="preserve"> B</w:t>
      </w:r>
      <w:r>
        <w:rPr>
          <w:lang w:val="en-US"/>
        </w:rPr>
        <w:t>.</w:t>
      </w:r>
      <w:r w:rsidRPr="00630B48">
        <w:rPr>
          <w:lang w:val="en-US"/>
        </w:rPr>
        <w:t>; SCHUMACHER, L</w:t>
      </w:r>
      <w:r>
        <w:rPr>
          <w:lang w:val="en-US"/>
        </w:rPr>
        <w:t>.</w:t>
      </w:r>
      <w:proofErr w:type="gramEnd"/>
      <w:r>
        <w:rPr>
          <w:lang w:val="en-US"/>
        </w:rPr>
        <w:t xml:space="preserve"> </w:t>
      </w:r>
      <w:r w:rsidRPr="009137C2">
        <w:rPr>
          <w:b/>
          <w:lang w:val="en-US"/>
        </w:rPr>
        <w:t xml:space="preserve">Are </w:t>
      </w:r>
      <w:r w:rsidR="00024B64" w:rsidRPr="009137C2">
        <w:rPr>
          <w:b/>
          <w:lang w:val="en-US"/>
        </w:rPr>
        <w:t>rating agencies powerful</w:t>
      </w:r>
      <w:r w:rsidRPr="009137C2">
        <w:rPr>
          <w:b/>
          <w:lang w:val="en-US"/>
        </w:rPr>
        <w:t xml:space="preserve">? </w:t>
      </w:r>
      <w:proofErr w:type="gramStart"/>
      <w:r w:rsidR="00024B64">
        <w:rPr>
          <w:lang w:val="en-US"/>
        </w:rPr>
        <w:t>A</w:t>
      </w:r>
      <w:r w:rsidR="00024B64" w:rsidRPr="00024B64">
        <w:rPr>
          <w:lang w:val="en-US"/>
        </w:rPr>
        <w:t>n investigation into the impact and accuracy of sovereign ratings</w:t>
      </w:r>
      <w:r w:rsidRPr="00024B64">
        <w:rPr>
          <w:lang w:val="en-US"/>
        </w:rPr>
        <w:t>.</w:t>
      </w:r>
      <w:proofErr w:type="gramEnd"/>
      <w:r>
        <w:rPr>
          <w:lang w:val="en-US"/>
        </w:rPr>
        <w:t xml:space="preserve"> </w:t>
      </w:r>
      <w:proofErr w:type="gramStart"/>
      <w:r>
        <w:rPr>
          <w:lang w:val="en-US"/>
        </w:rPr>
        <w:t>IMF</w:t>
      </w:r>
      <w:r w:rsidR="009137C2">
        <w:rPr>
          <w:lang w:val="en-US"/>
        </w:rPr>
        <w:t>.</w:t>
      </w:r>
      <w:proofErr w:type="gramEnd"/>
      <w:r w:rsidR="009137C2">
        <w:rPr>
          <w:lang w:val="en-US"/>
        </w:rPr>
        <w:t xml:space="preserve"> </w:t>
      </w:r>
      <w:proofErr w:type="gramStart"/>
      <w:r w:rsidR="009137C2" w:rsidRPr="00402910">
        <w:rPr>
          <w:lang w:val="en-US"/>
        </w:rPr>
        <w:t xml:space="preserve">Working paper, No. </w:t>
      </w:r>
      <w:r w:rsidR="009137C2">
        <w:rPr>
          <w:lang w:val="en-US"/>
        </w:rPr>
        <w:t xml:space="preserve">23, </w:t>
      </w:r>
      <w:r w:rsidR="009137C2" w:rsidRPr="00024B64">
        <w:rPr>
          <w:lang w:val="en-US"/>
        </w:rPr>
        <w:t>2012.</w:t>
      </w:r>
      <w:proofErr w:type="gramEnd"/>
    </w:p>
    <w:p w:rsidR="005D6D5C" w:rsidRPr="00BD1669" w:rsidRDefault="005D6D5C" w:rsidP="00024B64">
      <w:pPr>
        <w:pStyle w:val="NormalWeb"/>
        <w:spacing w:before="0" w:beforeAutospacing="0" w:after="0" w:afterAutospacing="0"/>
        <w:jc w:val="both"/>
        <w:rPr>
          <w:rStyle w:val="surname"/>
          <w:lang w:val="en-US"/>
        </w:rPr>
      </w:pPr>
      <w:bookmarkStart w:id="4" w:name="141"/>
      <w:bookmarkStart w:id="5" w:name="ch01entry93"/>
      <w:bookmarkEnd w:id="4"/>
      <w:bookmarkEnd w:id="5"/>
    </w:p>
    <w:p w:rsidR="005D6D5C" w:rsidRPr="00BD1669" w:rsidRDefault="005D6D5C" w:rsidP="00024B64">
      <w:pPr>
        <w:jc w:val="both"/>
        <w:rPr>
          <w:lang w:val="en-US"/>
        </w:rPr>
      </w:pPr>
      <w:proofErr w:type="gramStart"/>
      <w:r w:rsidRPr="00BD1669">
        <w:rPr>
          <w:lang w:val="en-US"/>
        </w:rPr>
        <w:t>MOODY´S INVESTORS SERVICE.</w:t>
      </w:r>
      <w:proofErr w:type="gramEnd"/>
      <w:r w:rsidRPr="00BD1669">
        <w:rPr>
          <w:lang w:val="en-US"/>
        </w:rPr>
        <w:t xml:space="preserve"> </w:t>
      </w:r>
      <w:r w:rsidRPr="00BD1669">
        <w:rPr>
          <w:b/>
          <w:lang w:val="en-US"/>
        </w:rPr>
        <w:t>Moody’s rating symbols and definitions</w:t>
      </w:r>
      <w:r w:rsidRPr="00BD1669">
        <w:rPr>
          <w:lang w:val="en-US"/>
        </w:rPr>
        <w:t xml:space="preserve">. </w:t>
      </w:r>
      <w:proofErr w:type="gramStart"/>
      <w:r w:rsidRPr="00BD1669">
        <w:rPr>
          <w:lang w:val="en-US"/>
        </w:rPr>
        <w:t>Ago.</w:t>
      </w:r>
      <w:proofErr w:type="gramEnd"/>
      <w:r w:rsidRPr="00BD1669">
        <w:rPr>
          <w:lang w:val="en-US"/>
        </w:rPr>
        <w:t xml:space="preserve"> 2003. </w:t>
      </w:r>
      <w:proofErr w:type="spellStart"/>
      <w:r w:rsidRPr="00BD1669">
        <w:rPr>
          <w:lang w:val="en-US"/>
        </w:rPr>
        <w:t>Disponível</w:t>
      </w:r>
      <w:proofErr w:type="spellEnd"/>
      <w:r w:rsidRPr="00BD1669">
        <w:rPr>
          <w:lang w:val="en-US"/>
        </w:rPr>
        <w:t xml:space="preserve"> </w:t>
      </w:r>
      <w:proofErr w:type="spellStart"/>
      <w:r w:rsidRPr="00BD1669">
        <w:rPr>
          <w:lang w:val="en-US"/>
        </w:rPr>
        <w:t>em</w:t>
      </w:r>
      <w:proofErr w:type="spellEnd"/>
      <w:r w:rsidRPr="00BD1669">
        <w:rPr>
          <w:lang w:val="en-US"/>
        </w:rPr>
        <w:t xml:space="preserve">: &lt;www.moodys.com&gt;. </w:t>
      </w:r>
      <w:proofErr w:type="spellStart"/>
      <w:r w:rsidRPr="00BD1669">
        <w:rPr>
          <w:rStyle w:val="surname"/>
          <w:lang w:val="en-US"/>
        </w:rPr>
        <w:t>Acesso</w:t>
      </w:r>
      <w:proofErr w:type="spellEnd"/>
      <w:r w:rsidRPr="00BD1669">
        <w:rPr>
          <w:rStyle w:val="surname"/>
          <w:lang w:val="en-US"/>
        </w:rPr>
        <w:t xml:space="preserve"> </w:t>
      </w:r>
      <w:proofErr w:type="spellStart"/>
      <w:r w:rsidRPr="00BD1669">
        <w:rPr>
          <w:rStyle w:val="surname"/>
          <w:lang w:val="en-US"/>
        </w:rPr>
        <w:t>em</w:t>
      </w:r>
      <w:proofErr w:type="spellEnd"/>
      <w:r w:rsidRPr="00BD1669">
        <w:rPr>
          <w:rStyle w:val="surname"/>
          <w:lang w:val="en-US"/>
        </w:rPr>
        <w:t>: set. 2005.</w:t>
      </w:r>
    </w:p>
    <w:p w:rsidR="005D6D5C" w:rsidRPr="00BD1669" w:rsidRDefault="005D6D5C" w:rsidP="00024B64">
      <w:pPr>
        <w:jc w:val="both"/>
        <w:rPr>
          <w:lang w:val="en-US"/>
        </w:rPr>
      </w:pPr>
    </w:p>
    <w:p w:rsidR="005D6D5C" w:rsidRPr="00BD1669" w:rsidRDefault="005D6D5C" w:rsidP="00024B64">
      <w:pPr>
        <w:autoSpaceDE w:val="0"/>
        <w:autoSpaceDN w:val="0"/>
        <w:adjustRightInd w:val="0"/>
        <w:jc w:val="both"/>
        <w:rPr>
          <w:lang w:val="en-US"/>
        </w:rPr>
      </w:pPr>
      <w:r w:rsidRPr="00BD1669">
        <w:rPr>
          <w:lang w:val="en-US"/>
        </w:rPr>
        <w:t xml:space="preserve">PARTNOY, F. </w:t>
      </w:r>
      <w:r w:rsidRPr="00BD1669">
        <w:rPr>
          <w:b/>
          <w:lang w:val="en-US"/>
        </w:rPr>
        <w:t>The paradox of credit ratings</w:t>
      </w:r>
      <w:r w:rsidRPr="00BD1669">
        <w:rPr>
          <w:lang w:val="en-US"/>
        </w:rPr>
        <w:t xml:space="preserve">. </w:t>
      </w:r>
      <w:r w:rsidRPr="00BD1669">
        <w:rPr>
          <w:iCs/>
          <w:lang w:val="en-US"/>
        </w:rPr>
        <w:t xml:space="preserve">In: </w:t>
      </w:r>
      <w:proofErr w:type="spellStart"/>
      <w:r w:rsidRPr="00BD1669">
        <w:rPr>
          <w:iCs/>
          <w:lang w:val="en-US"/>
        </w:rPr>
        <w:t>Levich</w:t>
      </w:r>
      <w:proofErr w:type="spellEnd"/>
      <w:r w:rsidRPr="00BD1669">
        <w:rPr>
          <w:iCs/>
          <w:lang w:val="en-US"/>
        </w:rPr>
        <w:t xml:space="preserve">; </w:t>
      </w:r>
      <w:proofErr w:type="spellStart"/>
      <w:r w:rsidRPr="00BD1669">
        <w:rPr>
          <w:iCs/>
          <w:lang w:val="en-US"/>
        </w:rPr>
        <w:t>Majnoni</w:t>
      </w:r>
      <w:proofErr w:type="spellEnd"/>
      <w:r w:rsidRPr="00BD1669">
        <w:rPr>
          <w:iCs/>
          <w:lang w:val="en-US"/>
        </w:rPr>
        <w:t xml:space="preserve"> e Reinhart</w:t>
      </w:r>
      <w:r w:rsidRPr="00BD1669">
        <w:rPr>
          <w:lang w:val="en-US"/>
        </w:rPr>
        <w:t xml:space="preserve">, </w:t>
      </w:r>
      <w:r w:rsidRPr="00BD1669">
        <w:rPr>
          <w:iCs/>
          <w:lang w:val="en-US"/>
        </w:rPr>
        <w:t>Ratings, Rating agencies and the global financial system.</w:t>
      </w:r>
      <w:r w:rsidRPr="00BD1669">
        <w:rPr>
          <w:i/>
          <w:iCs/>
          <w:lang w:val="en-US"/>
        </w:rPr>
        <w:t xml:space="preserve"> </w:t>
      </w:r>
      <w:r w:rsidRPr="00BD1669">
        <w:rPr>
          <w:lang w:val="en-US"/>
        </w:rPr>
        <w:t>Boston – Kluwer, 2002.</w:t>
      </w:r>
    </w:p>
    <w:p w:rsidR="005D6D5C" w:rsidRPr="00BD1669" w:rsidRDefault="005D6D5C" w:rsidP="00024B64">
      <w:pPr>
        <w:autoSpaceDE w:val="0"/>
        <w:autoSpaceDN w:val="0"/>
        <w:adjustRightInd w:val="0"/>
        <w:jc w:val="both"/>
        <w:rPr>
          <w:lang w:val="en-US"/>
        </w:rPr>
      </w:pPr>
    </w:p>
    <w:p w:rsidR="005D6D5C" w:rsidRPr="00BD1669" w:rsidRDefault="005D6D5C" w:rsidP="00024B64">
      <w:pPr>
        <w:autoSpaceDE w:val="0"/>
        <w:autoSpaceDN w:val="0"/>
        <w:adjustRightInd w:val="0"/>
        <w:jc w:val="both"/>
        <w:rPr>
          <w:lang w:val="en-US"/>
        </w:rPr>
      </w:pPr>
      <w:proofErr w:type="gramStart"/>
      <w:r w:rsidRPr="00BD1669">
        <w:rPr>
          <w:lang w:val="en-US"/>
        </w:rPr>
        <w:t xml:space="preserve">OBSTFELD, M; </w:t>
      </w:r>
      <w:r w:rsidRPr="00BD1669">
        <w:rPr>
          <w:rStyle w:val="nfase"/>
          <w:i w:val="0"/>
          <w:lang w:val="en-US"/>
        </w:rPr>
        <w:t>ROGOFF</w:t>
      </w:r>
      <w:r w:rsidRPr="00BD1669">
        <w:rPr>
          <w:lang w:val="en-US"/>
        </w:rPr>
        <w:t>, K.</w:t>
      </w:r>
      <w:r w:rsidRPr="00BD1669">
        <w:rPr>
          <w:rStyle w:val="nfase"/>
          <w:i w:val="0"/>
          <w:lang w:val="en-US"/>
        </w:rPr>
        <w:t xml:space="preserve"> </w:t>
      </w:r>
      <w:r w:rsidRPr="00BD1669">
        <w:rPr>
          <w:rStyle w:val="nfase"/>
          <w:b/>
          <w:i w:val="0"/>
          <w:lang w:val="en-US"/>
        </w:rPr>
        <w:t>Foundations</w:t>
      </w:r>
      <w:r w:rsidRPr="00BD1669">
        <w:rPr>
          <w:b/>
          <w:i/>
          <w:lang w:val="en-US"/>
        </w:rPr>
        <w:t xml:space="preserve"> </w:t>
      </w:r>
      <w:r w:rsidRPr="00BD1669">
        <w:rPr>
          <w:b/>
          <w:lang w:val="en-US"/>
        </w:rPr>
        <w:t xml:space="preserve">of </w:t>
      </w:r>
      <w:r w:rsidR="00024B64">
        <w:rPr>
          <w:b/>
          <w:lang w:val="en-US"/>
        </w:rPr>
        <w:t>i</w:t>
      </w:r>
      <w:r w:rsidRPr="00BD1669">
        <w:rPr>
          <w:b/>
          <w:lang w:val="en-US"/>
        </w:rPr>
        <w:t xml:space="preserve">nternational </w:t>
      </w:r>
      <w:r w:rsidR="00024B64">
        <w:rPr>
          <w:b/>
          <w:lang w:val="en-US"/>
        </w:rPr>
        <w:t>m</w:t>
      </w:r>
      <w:r w:rsidRPr="00BD1669">
        <w:rPr>
          <w:b/>
          <w:lang w:val="en-US"/>
        </w:rPr>
        <w:t>acroeconomics</w:t>
      </w:r>
      <w:r w:rsidRPr="00BD1669">
        <w:rPr>
          <w:lang w:val="en-US"/>
        </w:rPr>
        <w:t>.</w:t>
      </w:r>
      <w:proofErr w:type="gramEnd"/>
      <w:r w:rsidRPr="00BD1669">
        <w:rPr>
          <w:lang w:val="en-US"/>
        </w:rPr>
        <w:t xml:space="preserve"> The MIT Press, London, England e Cambridge, Massachusetts, 1996.</w:t>
      </w:r>
    </w:p>
    <w:p w:rsidR="005D6D5C" w:rsidRPr="00BD1669" w:rsidRDefault="005D6D5C" w:rsidP="00024B64">
      <w:pPr>
        <w:autoSpaceDE w:val="0"/>
        <w:autoSpaceDN w:val="0"/>
        <w:adjustRightInd w:val="0"/>
        <w:jc w:val="both"/>
        <w:rPr>
          <w:lang w:val="en-US"/>
        </w:rPr>
      </w:pPr>
    </w:p>
    <w:p w:rsidR="005D6D5C" w:rsidRPr="00BD1669" w:rsidRDefault="005D6D5C" w:rsidP="009E49B7">
      <w:pPr>
        <w:jc w:val="both"/>
      </w:pPr>
      <w:r w:rsidRPr="00BD1669">
        <w:rPr>
          <w:lang w:val="en-US"/>
        </w:rPr>
        <w:t>ROWLAND, P</w:t>
      </w:r>
      <w:r w:rsidR="00024B64">
        <w:rPr>
          <w:lang w:val="en-US"/>
        </w:rPr>
        <w:t>.</w:t>
      </w:r>
      <w:r w:rsidRPr="00BD1669">
        <w:rPr>
          <w:lang w:val="en-US"/>
        </w:rPr>
        <w:t xml:space="preserve"> </w:t>
      </w:r>
      <w:r w:rsidRPr="00BD1669">
        <w:rPr>
          <w:b/>
          <w:lang w:val="en-US"/>
        </w:rPr>
        <w:t>Determinants of spread, credit ratings and creditworthiness for emerging market sovereign debt</w:t>
      </w:r>
      <w:r w:rsidRPr="00BD1669">
        <w:rPr>
          <w:lang w:val="en-US"/>
        </w:rPr>
        <w:t xml:space="preserve">: a </w:t>
      </w:r>
      <w:proofErr w:type="spellStart"/>
      <w:r w:rsidRPr="00BD1669">
        <w:rPr>
          <w:lang w:val="en-US"/>
        </w:rPr>
        <w:t>folow</w:t>
      </w:r>
      <w:proofErr w:type="spellEnd"/>
      <w:r w:rsidRPr="00BD1669">
        <w:rPr>
          <w:lang w:val="en-US"/>
        </w:rPr>
        <w:t xml:space="preserve">-up study using pooled data analysis. </w:t>
      </w:r>
      <w:r w:rsidRPr="00BD1669">
        <w:t xml:space="preserve">Banco de </w:t>
      </w:r>
      <w:proofErr w:type="spellStart"/>
      <w:r w:rsidRPr="00BD1669">
        <w:t>la</w:t>
      </w:r>
      <w:proofErr w:type="spellEnd"/>
      <w:r w:rsidRPr="00BD1669">
        <w:t xml:space="preserve"> Republica de </w:t>
      </w:r>
      <w:proofErr w:type="spellStart"/>
      <w:r w:rsidRPr="00BD1669">
        <w:t>Colombia</w:t>
      </w:r>
      <w:proofErr w:type="spellEnd"/>
      <w:r w:rsidRPr="00BD1669">
        <w:t xml:space="preserve">. Bogotá, Colômbia: 2004. </w:t>
      </w:r>
    </w:p>
    <w:p w:rsidR="005D6D5C" w:rsidRPr="00BD1669" w:rsidRDefault="005D6D5C" w:rsidP="00024B64">
      <w:pPr>
        <w:autoSpaceDE w:val="0"/>
        <w:autoSpaceDN w:val="0"/>
        <w:adjustRightInd w:val="0"/>
        <w:jc w:val="both"/>
      </w:pPr>
    </w:p>
    <w:p w:rsidR="005D6D5C" w:rsidRPr="00BD1669" w:rsidRDefault="005D6D5C" w:rsidP="00024B64">
      <w:pPr>
        <w:jc w:val="both"/>
      </w:pPr>
      <w:r w:rsidRPr="00BD1669">
        <w:t xml:space="preserve">STANDARD &amp; POOR’S. </w:t>
      </w:r>
      <w:r w:rsidRPr="00BD1669">
        <w:rPr>
          <w:b/>
        </w:rPr>
        <w:t>Critérios - comentários</w:t>
      </w:r>
      <w:r w:rsidRPr="00BD1669">
        <w:t xml:space="preserve">: ratings de crédito soberano: principais conceitos. 2004. </w:t>
      </w:r>
    </w:p>
    <w:p w:rsidR="005D6D5C" w:rsidRPr="00BD1669" w:rsidRDefault="005D6D5C" w:rsidP="00024B64">
      <w:pPr>
        <w:jc w:val="both"/>
      </w:pPr>
    </w:p>
    <w:p w:rsidR="00ED66DA" w:rsidRDefault="00ED66DA" w:rsidP="00ED66DA">
      <w:pPr>
        <w:jc w:val="both"/>
      </w:pPr>
      <w:proofErr w:type="gramStart"/>
      <w:r w:rsidRPr="00024B64">
        <w:rPr>
          <w:lang w:val="en-US"/>
        </w:rPr>
        <w:t>STANDARD &amp; POOR’S.</w:t>
      </w:r>
      <w:proofErr w:type="gramEnd"/>
      <w:r w:rsidRPr="00024B64">
        <w:rPr>
          <w:lang w:val="en-US"/>
        </w:rPr>
        <w:t xml:space="preserve"> </w:t>
      </w:r>
      <w:proofErr w:type="gramStart"/>
      <w:r w:rsidRPr="00024B64">
        <w:rPr>
          <w:b/>
          <w:lang w:val="en-US"/>
        </w:rPr>
        <w:t>Sovereign ratings history since 1975</w:t>
      </w:r>
      <w:r w:rsidRPr="00024B64">
        <w:rPr>
          <w:lang w:val="en-US"/>
        </w:rPr>
        <w:t>.</w:t>
      </w:r>
      <w:proofErr w:type="gramEnd"/>
      <w:r w:rsidRPr="00024B64">
        <w:rPr>
          <w:lang w:val="en-US"/>
        </w:rPr>
        <w:t xml:space="preserve"> </w:t>
      </w:r>
      <w:r w:rsidRPr="00BD1669">
        <w:t>New York</w:t>
      </w:r>
      <w:proofErr w:type="gramStart"/>
      <w:r w:rsidRPr="00BD1669">
        <w:t>, USA</w:t>
      </w:r>
      <w:proofErr w:type="gramEnd"/>
      <w:r w:rsidRPr="00BD1669">
        <w:t xml:space="preserve">: nov. 2005. </w:t>
      </w:r>
    </w:p>
    <w:p w:rsidR="00ED66DA" w:rsidRPr="00BD1669" w:rsidRDefault="00ED66DA" w:rsidP="00ED66DA">
      <w:pPr>
        <w:jc w:val="both"/>
      </w:pPr>
    </w:p>
    <w:p w:rsidR="005D6D5C" w:rsidRPr="00BD1669" w:rsidRDefault="005D6D5C" w:rsidP="00024B64">
      <w:pPr>
        <w:jc w:val="both"/>
        <w:rPr>
          <w:rStyle w:val="surname"/>
        </w:rPr>
      </w:pPr>
      <w:r w:rsidRPr="00BD1669">
        <w:t xml:space="preserve">STANDARD &amp; POOR’S. </w:t>
      </w:r>
      <w:r w:rsidRPr="00BD1669">
        <w:rPr>
          <w:b/>
        </w:rPr>
        <w:t>Risco soberano e ratings acima do soberano</w:t>
      </w:r>
      <w:r w:rsidRPr="00BD1669">
        <w:t xml:space="preserve">. critérios – comentários. </w:t>
      </w:r>
      <w:r w:rsidRPr="00BD1669">
        <w:rPr>
          <w:i/>
        </w:rPr>
        <w:t>ratings</w:t>
      </w:r>
      <w:r w:rsidRPr="00BD1669">
        <w:t xml:space="preserve"> de crédito: soberanias. 23 jul. </w:t>
      </w:r>
      <w:proofErr w:type="gramStart"/>
      <w:r w:rsidRPr="00BD1669">
        <w:t>2001a.</w:t>
      </w:r>
      <w:proofErr w:type="gramEnd"/>
      <w:r w:rsidRPr="00BD1669">
        <w:t xml:space="preserve"> </w:t>
      </w:r>
    </w:p>
    <w:p w:rsidR="005D6D5C" w:rsidRPr="00BD1669" w:rsidRDefault="005D6D5C" w:rsidP="00024B64">
      <w:pPr>
        <w:autoSpaceDE w:val="0"/>
        <w:autoSpaceDN w:val="0"/>
        <w:adjustRightInd w:val="0"/>
        <w:jc w:val="both"/>
      </w:pPr>
    </w:p>
    <w:p w:rsidR="0009382D" w:rsidRDefault="0009382D" w:rsidP="00024B64">
      <w:pPr>
        <w:tabs>
          <w:tab w:val="left" w:pos="720"/>
          <w:tab w:val="num" w:pos="1440"/>
        </w:tabs>
        <w:jc w:val="both"/>
        <w:rPr>
          <w:lang w:val="en-US"/>
        </w:rPr>
      </w:pPr>
      <w:r w:rsidRPr="0009382D">
        <w:rPr>
          <w:lang w:val="en-US"/>
        </w:rPr>
        <w:t>SY</w:t>
      </w:r>
      <w:r>
        <w:rPr>
          <w:lang w:val="en-US"/>
        </w:rPr>
        <w:t xml:space="preserve">, A. N. R. </w:t>
      </w:r>
      <w:proofErr w:type="gramStart"/>
      <w:r w:rsidRPr="00010455">
        <w:rPr>
          <w:b/>
          <w:lang w:val="en-US"/>
        </w:rPr>
        <w:t xml:space="preserve">The </w:t>
      </w:r>
      <w:r w:rsidR="00024B64" w:rsidRPr="00010455">
        <w:rPr>
          <w:b/>
          <w:lang w:val="en-US"/>
        </w:rPr>
        <w:t>systemic regulation of credit rating agencies and rated</w:t>
      </w:r>
      <w:r w:rsidR="00024B64">
        <w:rPr>
          <w:b/>
          <w:lang w:val="en-US"/>
        </w:rPr>
        <w:t xml:space="preserve"> </w:t>
      </w:r>
      <w:r w:rsidR="00024B64" w:rsidRPr="00010455">
        <w:rPr>
          <w:b/>
          <w:lang w:val="en-US"/>
        </w:rPr>
        <w:t>markets</w:t>
      </w:r>
      <w:r w:rsidRPr="00024B64">
        <w:rPr>
          <w:lang w:val="en-US"/>
        </w:rPr>
        <w:t>.</w:t>
      </w:r>
      <w:proofErr w:type="gramEnd"/>
      <w:r>
        <w:rPr>
          <w:lang w:val="en-US"/>
        </w:rPr>
        <w:t xml:space="preserve"> </w:t>
      </w:r>
      <w:r w:rsidRPr="0009382D">
        <w:rPr>
          <w:lang w:val="en-US"/>
        </w:rPr>
        <w:t xml:space="preserve"> World Economics, vol. 10(4), pp. 69-108, October</w:t>
      </w:r>
      <w:r>
        <w:rPr>
          <w:lang w:val="en-US"/>
        </w:rPr>
        <w:t>, 2009</w:t>
      </w:r>
      <w:r w:rsidRPr="0009382D">
        <w:rPr>
          <w:lang w:val="en-US"/>
        </w:rPr>
        <w:t>.</w:t>
      </w:r>
    </w:p>
    <w:p w:rsidR="0009382D" w:rsidRDefault="0009382D" w:rsidP="00024B64">
      <w:pPr>
        <w:tabs>
          <w:tab w:val="left" w:pos="720"/>
          <w:tab w:val="num" w:pos="1440"/>
        </w:tabs>
        <w:jc w:val="both"/>
        <w:rPr>
          <w:lang w:val="en-US"/>
        </w:rPr>
      </w:pPr>
    </w:p>
    <w:p w:rsidR="005D6D5C" w:rsidRPr="00BD1669" w:rsidRDefault="005D6D5C" w:rsidP="00024B64">
      <w:pPr>
        <w:tabs>
          <w:tab w:val="left" w:pos="720"/>
          <w:tab w:val="num" w:pos="1440"/>
        </w:tabs>
        <w:jc w:val="both"/>
        <w:rPr>
          <w:lang w:val="en-US"/>
        </w:rPr>
      </w:pPr>
      <w:proofErr w:type="gramStart"/>
      <w:r w:rsidRPr="00BD1669">
        <w:rPr>
          <w:lang w:val="en-US"/>
        </w:rPr>
        <w:lastRenderedPageBreak/>
        <w:t>WOOLDRIDGE, J</w:t>
      </w:r>
      <w:r w:rsidR="00024B64">
        <w:rPr>
          <w:lang w:val="en-US"/>
        </w:rPr>
        <w:t>.</w:t>
      </w:r>
      <w:r w:rsidRPr="00BD1669">
        <w:rPr>
          <w:lang w:val="en-US"/>
        </w:rPr>
        <w:t xml:space="preserve"> </w:t>
      </w:r>
      <w:r w:rsidRPr="00BD1669">
        <w:rPr>
          <w:rStyle w:val="nfase"/>
          <w:b/>
          <w:i w:val="0"/>
          <w:lang w:val="en-US"/>
        </w:rPr>
        <w:t>Econometri</w:t>
      </w:r>
      <w:r w:rsidR="00024B64" w:rsidRPr="00BD1669">
        <w:rPr>
          <w:rStyle w:val="nfase"/>
          <w:b/>
          <w:i w:val="0"/>
          <w:lang w:val="en-US"/>
        </w:rPr>
        <w:t>c analysis of cross-section and panel d</w:t>
      </w:r>
      <w:r w:rsidRPr="00BD1669">
        <w:rPr>
          <w:rStyle w:val="nfase"/>
          <w:b/>
          <w:i w:val="0"/>
          <w:lang w:val="en-US"/>
        </w:rPr>
        <w:t>ata</w:t>
      </w:r>
      <w:r w:rsidRPr="00BD1669">
        <w:rPr>
          <w:lang w:val="en-US"/>
        </w:rPr>
        <w:t>.</w:t>
      </w:r>
      <w:proofErr w:type="gramEnd"/>
      <w:r w:rsidRPr="00BD1669">
        <w:rPr>
          <w:lang w:val="en-US"/>
        </w:rPr>
        <w:t xml:space="preserve"> </w:t>
      </w:r>
      <w:proofErr w:type="gramStart"/>
      <w:r w:rsidRPr="00BD1669">
        <w:rPr>
          <w:lang w:val="en-US"/>
        </w:rPr>
        <w:t>The MIT Press, London, England e Cambridge, Massachusetts, 2002.</w:t>
      </w:r>
      <w:proofErr w:type="gramEnd"/>
    </w:p>
    <w:p w:rsidR="00B85A4A" w:rsidRPr="00024B64" w:rsidRDefault="00B85A4A" w:rsidP="001C0249">
      <w:pPr>
        <w:rPr>
          <w:lang w:val="en-US"/>
        </w:rPr>
      </w:pPr>
    </w:p>
    <w:sectPr w:rsidR="00B85A4A" w:rsidRPr="00024B64" w:rsidSect="001C024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93B" w:rsidRDefault="002B193B" w:rsidP="005D6D5C">
      <w:r>
        <w:separator/>
      </w:r>
    </w:p>
  </w:endnote>
  <w:endnote w:type="continuationSeparator" w:id="0">
    <w:p w:rsidR="002B193B" w:rsidRDefault="002B193B" w:rsidP="005D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93B" w:rsidRDefault="002B193B" w:rsidP="005D6D5C">
      <w:r>
        <w:separator/>
      </w:r>
    </w:p>
  </w:footnote>
  <w:footnote w:type="continuationSeparator" w:id="0">
    <w:p w:rsidR="002B193B" w:rsidRDefault="002B193B" w:rsidP="005D6D5C">
      <w:r>
        <w:continuationSeparator/>
      </w:r>
    </w:p>
  </w:footnote>
  <w:footnote w:id="1">
    <w:p w:rsidR="00226D03" w:rsidRDefault="00226D03" w:rsidP="00511D37">
      <w:pPr>
        <w:pStyle w:val="Textodenotaderodap"/>
        <w:jc w:val="both"/>
      </w:pPr>
      <w:r>
        <w:rPr>
          <w:rStyle w:val="Refdenotaderodap"/>
        </w:rPr>
        <w:footnoteRef/>
      </w:r>
      <w:r>
        <w:t xml:space="preserve">Rebaixamento na posição dos </w:t>
      </w:r>
      <w:r w:rsidRPr="00371E1E">
        <w:rPr>
          <w:i/>
        </w:rPr>
        <w:t>ratings</w:t>
      </w:r>
      <w:r>
        <w:t xml:space="preserve"> que significa elevação de risco soberano na escala das agências de </w:t>
      </w:r>
      <w:r w:rsidRPr="00371E1E">
        <w:rPr>
          <w:i/>
        </w:rPr>
        <w:t>ratings</w:t>
      </w:r>
      <w:r>
        <w:t xml:space="preserve">.  </w:t>
      </w:r>
    </w:p>
  </w:footnote>
  <w:footnote w:id="2">
    <w:p w:rsidR="00226D03" w:rsidRDefault="00226D03" w:rsidP="005D6D5C">
      <w:pPr>
        <w:pStyle w:val="Textodenotaderodap"/>
        <w:jc w:val="both"/>
      </w:pPr>
      <w:r>
        <w:rPr>
          <w:rStyle w:val="Refdenotaderodap"/>
        </w:rPr>
        <w:footnoteRef/>
      </w:r>
      <w:r>
        <w:t xml:space="preserve">Segundo </w:t>
      </w:r>
      <w:proofErr w:type="spellStart"/>
      <w:r>
        <w:t>Bone</w:t>
      </w:r>
      <w:proofErr w:type="spellEnd"/>
      <w:r>
        <w:t xml:space="preserve"> (2005), as agências </w:t>
      </w:r>
      <w:r w:rsidRPr="003C38EA">
        <w:rPr>
          <w:i/>
        </w:rPr>
        <w:t xml:space="preserve">Standard </w:t>
      </w:r>
      <w:r>
        <w:t>&amp;</w:t>
      </w:r>
      <w:r w:rsidRPr="003C38EA">
        <w:rPr>
          <w:i/>
        </w:rPr>
        <w:t xml:space="preserve"> </w:t>
      </w:r>
      <w:proofErr w:type="spellStart"/>
      <w:r w:rsidRPr="003C38EA">
        <w:rPr>
          <w:i/>
        </w:rPr>
        <w:t>Poor’s</w:t>
      </w:r>
      <w:proofErr w:type="spellEnd"/>
      <w:r>
        <w:rPr>
          <w:i/>
        </w:rPr>
        <w:t xml:space="preserve"> </w:t>
      </w:r>
      <w:r>
        <w:t>e</w:t>
      </w:r>
      <w:r w:rsidRPr="003C38EA">
        <w:rPr>
          <w:i/>
        </w:rPr>
        <w:t xml:space="preserve"> Moody’s</w:t>
      </w:r>
      <w:r>
        <w:rPr>
          <w:i/>
        </w:rPr>
        <w:t xml:space="preserve"> Investor Service</w:t>
      </w:r>
      <w:r>
        <w:t xml:space="preserve"> detém juntas cerca de 80% do mercado de classificação de </w:t>
      </w:r>
      <w:r w:rsidRPr="00316BE5">
        <w:rPr>
          <w:i/>
        </w:rPr>
        <w:t>ratings</w:t>
      </w:r>
      <w:r>
        <w:t xml:space="preserve">. Este seria então, um mercado de concorrência imperfeita o que implica em diferentes ganhos de escala para captar informações por parte de cada agência individual, exigindo por este lado, uma série de considerações.   </w:t>
      </w:r>
    </w:p>
  </w:footnote>
  <w:footnote w:id="3">
    <w:p w:rsidR="00226D03" w:rsidRPr="00024B64" w:rsidRDefault="00226D03">
      <w:pPr>
        <w:pStyle w:val="Textodenotaderodap"/>
      </w:pPr>
      <w:r>
        <w:rPr>
          <w:rStyle w:val="Refdenotaderodap"/>
        </w:rPr>
        <w:footnoteRef/>
      </w:r>
      <w:r>
        <w:t xml:space="preserve"> Foram</w:t>
      </w:r>
      <w:r w:rsidRPr="00535E1B">
        <w:t xml:space="preserve"> 71 anúncios classificação entre outubro de 2006 e abril de 2010</w:t>
      </w:r>
      <w:r>
        <w:t xml:space="preserve">. No entanto, 29 eram os que de fato foram anúncios de mudanças de ratings e desses 28 eram </w:t>
      </w:r>
      <w:proofErr w:type="spellStart"/>
      <w:r w:rsidRPr="00535E1B">
        <w:rPr>
          <w:i/>
        </w:rPr>
        <w:t>downgrades</w:t>
      </w:r>
      <w:proofErr w:type="spellEnd"/>
      <w:r>
        <w:t xml:space="preserve">. </w:t>
      </w:r>
    </w:p>
  </w:footnote>
  <w:footnote w:id="4">
    <w:p w:rsidR="00226D03" w:rsidRDefault="00226D03" w:rsidP="0030264E">
      <w:pPr>
        <w:pStyle w:val="Textodenotaderodap"/>
        <w:jc w:val="both"/>
      </w:pPr>
      <w:r w:rsidRPr="00A96443">
        <w:rPr>
          <w:rStyle w:val="Refdenotaderodap"/>
        </w:rPr>
        <w:footnoteRef/>
      </w:r>
      <w:r>
        <w:t>A</w:t>
      </w:r>
      <w:r w:rsidRPr="00A96443">
        <w:t xml:space="preserve">s escalas </w:t>
      </w:r>
      <w:r>
        <w:t xml:space="preserve">AAA, </w:t>
      </w:r>
      <w:r w:rsidRPr="00A357C4">
        <w:rPr>
          <w:i/>
        </w:rPr>
        <w:t>AA</w:t>
      </w:r>
      <w:r w:rsidRPr="00A96443">
        <w:t>+</w:t>
      </w:r>
      <w:proofErr w:type="gramStart"/>
      <w:r>
        <w:t>,</w:t>
      </w:r>
      <w:proofErr w:type="gramEnd"/>
      <w:r>
        <w:t>CCC+, CC</w:t>
      </w:r>
      <w:r w:rsidRPr="00A357C4">
        <w:rPr>
          <w:i/>
        </w:rPr>
        <w:t>C</w:t>
      </w:r>
      <w:r>
        <w:t xml:space="preserve">, C e </w:t>
      </w:r>
      <w:r w:rsidRPr="00A357C4">
        <w:rPr>
          <w:i/>
        </w:rPr>
        <w:t>D</w:t>
      </w:r>
      <w:r>
        <w:t xml:space="preserve"> não foram encontradas na amostra utilizada de avaliações de </w:t>
      </w:r>
      <w:r w:rsidRPr="00A96443">
        <w:rPr>
          <w:i/>
        </w:rPr>
        <w:t>ratings</w:t>
      </w:r>
    </w:p>
  </w:footnote>
  <w:footnote w:id="5">
    <w:p w:rsidR="00226D03" w:rsidRPr="00EE0211" w:rsidRDefault="00226D03" w:rsidP="0088582B">
      <w:pPr>
        <w:pStyle w:val="Textodenotaderodap"/>
        <w:jc w:val="both"/>
      </w:pPr>
      <w:r w:rsidRPr="00EE0211">
        <w:rPr>
          <w:rStyle w:val="Refdenotaderodap"/>
        </w:rPr>
        <w:footnoteRef/>
      </w:r>
      <w:r w:rsidRPr="00EE0211">
        <w:t xml:space="preserve"> Ver mais sobre </w:t>
      </w:r>
      <w:r w:rsidRPr="00EE0211">
        <w:rPr>
          <w:i/>
        </w:rPr>
        <w:t>painéis não equilibrados</w:t>
      </w:r>
      <w:r w:rsidRPr="00EE0211">
        <w:t xml:space="preserve"> em </w:t>
      </w:r>
      <w:proofErr w:type="spellStart"/>
      <w:r w:rsidRPr="00EE0211">
        <w:t>Wooldridge</w:t>
      </w:r>
      <w:proofErr w:type="spellEnd"/>
      <w:r w:rsidRPr="00EE0211">
        <w:t xml:space="preserve"> (2002) ou Greene (2002).</w:t>
      </w:r>
    </w:p>
  </w:footnote>
  <w:footnote w:id="6">
    <w:p w:rsidR="00226D03" w:rsidRPr="00441997" w:rsidRDefault="00226D03" w:rsidP="00A532D8">
      <w:pPr>
        <w:pStyle w:val="Textodenotaderodap"/>
        <w:jc w:val="both"/>
      </w:pPr>
      <w:r>
        <w:rPr>
          <w:rStyle w:val="Refdenotaderodap"/>
        </w:rPr>
        <w:footnoteRef/>
      </w:r>
      <w:r>
        <w:t xml:space="preserve"> Ver Cameron e </w:t>
      </w:r>
      <w:proofErr w:type="spellStart"/>
      <w:r>
        <w:t>Trivedi</w:t>
      </w:r>
      <w:proofErr w:type="spellEnd"/>
      <w:r>
        <w:t xml:space="preserve"> (2005) para uma maior compreensão das vantagens que advém do uso dos modelos que captam a heterogeneidade dos indivíduos.</w:t>
      </w:r>
    </w:p>
  </w:footnote>
  <w:footnote w:id="7">
    <w:p w:rsidR="00226D03" w:rsidRPr="009672BA" w:rsidRDefault="00226D03" w:rsidP="0033367C">
      <w:pPr>
        <w:pStyle w:val="Textodenotaderodap"/>
        <w:jc w:val="both"/>
      </w:pPr>
      <w:r w:rsidRPr="009672BA">
        <w:rPr>
          <w:rStyle w:val="Refdenotaderodap"/>
        </w:rPr>
        <w:footnoteRef/>
      </w:r>
      <w:r w:rsidRPr="009672BA">
        <w:t xml:space="preserve"> </w:t>
      </w:r>
      <w:r>
        <w:t xml:space="preserve">Para mais sobre </w:t>
      </w:r>
      <w:r w:rsidRPr="00BD1669">
        <w:t>painéis não equilibrados</w:t>
      </w:r>
      <w:r w:rsidRPr="009672BA">
        <w:t xml:space="preserve"> </w:t>
      </w:r>
      <w:r>
        <w:t>v</w:t>
      </w:r>
      <w:r w:rsidRPr="009672BA">
        <w:t xml:space="preserve">er </w:t>
      </w:r>
      <w:r>
        <w:t xml:space="preserve">Cameron e </w:t>
      </w:r>
      <w:proofErr w:type="spellStart"/>
      <w:r>
        <w:t>Trivedi</w:t>
      </w:r>
      <w:proofErr w:type="spellEnd"/>
      <w:r>
        <w:t xml:space="preserve"> (2005) ou </w:t>
      </w:r>
      <w:proofErr w:type="spellStart"/>
      <w:r>
        <w:t>Arellano</w:t>
      </w:r>
      <w:proofErr w:type="spellEnd"/>
      <w:r>
        <w:t xml:space="preserve"> (2002)</w:t>
      </w:r>
      <w:r w:rsidRPr="009672BA">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1C34"/>
    <w:multiLevelType w:val="hybridMultilevel"/>
    <w:tmpl w:val="75049B04"/>
    <w:lvl w:ilvl="0" w:tplc="04160005">
      <w:start w:val="1"/>
      <w:numFmt w:val="bullet"/>
      <w:lvlText w:val=""/>
      <w:lvlJc w:val="left"/>
      <w:pPr>
        <w:tabs>
          <w:tab w:val="num" w:pos="1428"/>
        </w:tabs>
        <w:ind w:left="1428" w:hanging="360"/>
      </w:pPr>
      <w:rPr>
        <w:rFonts w:ascii="Wingdings" w:hAnsi="Wingdings"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
    <w:nsid w:val="613F674D"/>
    <w:multiLevelType w:val="hybridMultilevel"/>
    <w:tmpl w:val="5F98E1E0"/>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
    <w:nsid w:val="633711F0"/>
    <w:multiLevelType w:val="hybridMultilevel"/>
    <w:tmpl w:val="BE486120"/>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3">
    <w:nsid w:val="79DB18C5"/>
    <w:multiLevelType w:val="hybridMultilevel"/>
    <w:tmpl w:val="FBE63528"/>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4">
    <w:nsid w:val="7A8772D0"/>
    <w:multiLevelType w:val="hybridMultilevel"/>
    <w:tmpl w:val="49DABB80"/>
    <w:lvl w:ilvl="0" w:tplc="2FE6F28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D6D5C"/>
    <w:rsid w:val="000064A1"/>
    <w:rsid w:val="00010455"/>
    <w:rsid w:val="0001541A"/>
    <w:rsid w:val="00024B64"/>
    <w:rsid w:val="0003015F"/>
    <w:rsid w:val="00033170"/>
    <w:rsid w:val="00035A81"/>
    <w:rsid w:val="00036CFF"/>
    <w:rsid w:val="0004406F"/>
    <w:rsid w:val="00044C92"/>
    <w:rsid w:val="00046E98"/>
    <w:rsid w:val="000604FF"/>
    <w:rsid w:val="00062271"/>
    <w:rsid w:val="00070F8B"/>
    <w:rsid w:val="000776AE"/>
    <w:rsid w:val="000860BA"/>
    <w:rsid w:val="000921CD"/>
    <w:rsid w:val="0009382D"/>
    <w:rsid w:val="000A3257"/>
    <w:rsid w:val="000A58C6"/>
    <w:rsid w:val="000A6D00"/>
    <w:rsid w:val="000A73CD"/>
    <w:rsid w:val="000B6968"/>
    <w:rsid w:val="000D1E98"/>
    <w:rsid w:val="000E2516"/>
    <w:rsid w:val="000E253F"/>
    <w:rsid w:val="000E6732"/>
    <w:rsid w:val="000E79AC"/>
    <w:rsid w:val="000F69A6"/>
    <w:rsid w:val="000F6EE0"/>
    <w:rsid w:val="00105B51"/>
    <w:rsid w:val="00107F05"/>
    <w:rsid w:val="0011104B"/>
    <w:rsid w:val="001122C7"/>
    <w:rsid w:val="00145DDA"/>
    <w:rsid w:val="0014799E"/>
    <w:rsid w:val="00164759"/>
    <w:rsid w:val="00172D20"/>
    <w:rsid w:val="00173DCA"/>
    <w:rsid w:val="00174483"/>
    <w:rsid w:val="00181E00"/>
    <w:rsid w:val="001828A5"/>
    <w:rsid w:val="001910BA"/>
    <w:rsid w:val="001A0BDC"/>
    <w:rsid w:val="001A3AC0"/>
    <w:rsid w:val="001A4CAF"/>
    <w:rsid w:val="001C0249"/>
    <w:rsid w:val="001C5AB1"/>
    <w:rsid w:val="001D041B"/>
    <w:rsid w:val="001D3A8A"/>
    <w:rsid w:val="001D410F"/>
    <w:rsid w:val="001D463D"/>
    <w:rsid w:val="001D6881"/>
    <w:rsid w:val="001E5AEE"/>
    <w:rsid w:val="001F038E"/>
    <w:rsid w:val="001F2533"/>
    <w:rsid w:val="00205DC3"/>
    <w:rsid w:val="00226D03"/>
    <w:rsid w:val="00244FD2"/>
    <w:rsid w:val="00246CD1"/>
    <w:rsid w:val="00257622"/>
    <w:rsid w:val="00276F6C"/>
    <w:rsid w:val="002828C2"/>
    <w:rsid w:val="002A1495"/>
    <w:rsid w:val="002A2E4C"/>
    <w:rsid w:val="002A48ED"/>
    <w:rsid w:val="002B193B"/>
    <w:rsid w:val="002C31F4"/>
    <w:rsid w:val="002C398C"/>
    <w:rsid w:val="002D29FC"/>
    <w:rsid w:val="002E657E"/>
    <w:rsid w:val="002F339B"/>
    <w:rsid w:val="002F4726"/>
    <w:rsid w:val="003010EE"/>
    <w:rsid w:val="0030264E"/>
    <w:rsid w:val="0030612B"/>
    <w:rsid w:val="00307412"/>
    <w:rsid w:val="00313C30"/>
    <w:rsid w:val="0033224E"/>
    <w:rsid w:val="0033367C"/>
    <w:rsid w:val="0033575B"/>
    <w:rsid w:val="0035534F"/>
    <w:rsid w:val="00384FAD"/>
    <w:rsid w:val="00395255"/>
    <w:rsid w:val="003D5FB0"/>
    <w:rsid w:val="003E0A46"/>
    <w:rsid w:val="003E140A"/>
    <w:rsid w:val="003F7C0A"/>
    <w:rsid w:val="004254C0"/>
    <w:rsid w:val="004264F6"/>
    <w:rsid w:val="0043048C"/>
    <w:rsid w:val="00441997"/>
    <w:rsid w:val="00443A70"/>
    <w:rsid w:val="00444B74"/>
    <w:rsid w:val="0046071B"/>
    <w:rsid w:val="0046180F"/>
    <w:rsid w:val="004623D8"/>
    <w:rsid w:val="00464FBB"/>
    <w:rsid w:val="00471D1E"/>
    <w:rsid w:val="00474080"/>
    <w:rsid w:val="0048039D"/>
    <w:rsid w:val="00483CDD"/>
    <w:rsid w:val="00497395"/>
    <w:rsid w:val="004B0D79"/>
    <w:rsid w:val="004B61F1"/>
    <w:rsid w:val="004B75E9"/>
    <w:rsid w:val="004C32A5"/>
    <w:rsid w:val="004C35E7"/>
    <w:rsid w:val="004C41AB"/>
    <w:rsid w:val="004D0232"/>
    <w:rsid w:val="00500625"/>
    <w:rsid w:val="00502F08"/>
    <w:rsid w:val="00511D37"/>
    <w:rsid w:val="005229D0"/>
    <w:rsid w:val="00535682"/>
    <w:rsid w:val="00535E1B"/>
    <w:rsid w:val="00542237"/>
    <w:rsid w:val="00552A24"/>
    <w:rsid w:val="00560E8E"/>
    <w:rsid w:val="0056165A"/>
    <w:rsid w:val="005675ED"/>
    <w:rsid w:val="0057231B"/>
    <w:rsid w:val="00592969"/>
    <w:rsid w:val="005B0832"/>
    <w:rsid w:val="005D490C"/>
    <w:rsid w:val="005D6D5C"/>
    <w:rsid w:val="005D70D3"/>
    <w:rsid w:val="005F6C96"/>
    <w:rsid w:val="005F70CF"/>
    <w:rsid w:val="00605641"/>
    <w:rsid w:val="00625512"/>
    <w:rsid w:val="00630B48"/>
    <w:rsid w:val="006313A8"/>
    <w:rsid w:val="00633D99"/>
    <w:rsid w:val="0063766E"/>
    <w:rsid w:val="00650464"/>
    <w:rsid w:val="006505A6"/>
    <w:rsid w:val="00650828"/>
    <w:rsid w:val="006524FD"/>
    <w:rsid w:val="006668C9"/>
    <w:rsid w:val="00666E82"/>
    <w:rsid w:val="00673D13"/>
    <w:rsid w:val="006A1AC6"/>
    <w:rsid w:val="006B3415"/>
    <w:rsid w:val="006B39A5"/>
    <w:rsid w:val="006B7F47"/>
    <w:rsid w:val="006C75AA"/>
    <w:rsid w:val="006C78E1"/>
    <w:rsid w:val="006D0CFD"/>
    <w:rsid w:val="006D13FA"/>
    <w:rsid w:val="006D51D7"/>
    <w:rsid w:val="006F597D"/>
    <w:rsid w:val="006F5CEB"/>
    <w:rsid w:val="007046F4"/>
    <w:rsid w:val="00721756"/>
    <w:rsid w:val="0072235F"/>
    <w:rsid w:val="00735BDB"/>
    <w:rsid w:val="007412FB"/>
    <w:rsid w:val="00754696"/>
    <w:rsid w:val="00760820"/>
    <w:rsid w:val="007749E5"/>
    <w:rsid w:val="00775CAB"/>
    <w:rsid w:val="007944B5"/>
    <w:rsid w:val="00797376"/>
    <w:rsid w:val="007A2951"/>
    <w:rsid w:val="007A7818"/>
    <w:rsid w:val="007B4C28"/>
    <w:rsid w:val="007C1EBD"/>
    <w:rsid w:val="007E72E2"/>
    <w:rsid w:val="00801AE3"/>
    <w:rsid w:val="00812E4B"/>
    <w:rsid w:val="00814D12"/>
    <w:rsid w:val="0082077D"/>
    <w:rsid w:val="0082267B"/>
    <w:rsid w:val="00825AF9"/>
    <w:rsid w:val="008724F4"/>
    <w:rsid w:val="0088582B"/>
    <w:rsid w:val="00894D19"/>
    <w:rsid w:val="00895DA4"/>
    <w:rsid w:val="008A7ABB"/>
    <w:rsid w:val="008B373A"/>
    <w:rsid w:val="008E60EC"/>
    <w:rsid w:val="008F428D"/>
    <w:rsid w:val="008F714F"/>
    <w:rsid w:val="00907EA9"/>
    <w:rsid w:val="009137C2"/>
    <w:rsid w:val="00915E2D"/>
    <w:rsid w:val="0092184E"/>
    <w:rsid w:val="00925EE5"/>
    <w:rsid w:val="00925EF5"/>
    <w:rsid w:val="00930456"/>
    <w:rsid w:val="00946145"/>
    <w:rsid w:val="00946813"/>
    <w:rsid w:val="0095390C"/>
    <w:rsid w:val="00953F62"/>
    <w:rsid w:val="0095582D"/>
    <w:rsid w:val="00957A15"/>
    <w:rsid w:val="00966693"/>
    <w:rsid w:val="009672BA"/>
    <w:rsid w:val="00975642"/>
    <w:rsid w:val="00984F19"/>
    <w:rsid w:val="009866F1"/>
    <w:rsid w:val="00991DF8"/>
    <w:rsid w:val="009B0300"/>
    <w:rsid w:val="009B353A"/>
    <w:rsid w:val="009C05C5"/>
    <w:rsid w:val="009C7232"/>
    <w:rsid w:val="009D1AE7"/>
    <w:rsid w:val="009E49B7"/>
    <w:rsid w:val="009E7D02"/>
    <w:rsid w:val="009F3CC2"/>
    <w:rsid w:val="00A00E08"/>
    <w:rsid w:val="00A1074B"/>
    <w:rsid w:val="00A16F1E"/>
    <w:rsid w:val="00A23683"/>
    <w:rsid w:val="00A33839"/>
    <w:rsid w:val="00A33984"/>
    <w:rsid w:val="00A3650D"/>
    <w:rsid w:val="00A472DF"/>
    <w:rsid w:val="00A5285D"/>
    <w:rsid w:val="00A532D8"/>
    <w:rsid w:val="00A5468C"/>
    <w:rsid w:val="00A56F36"/>
    <w:rsid w:val="00A717AE"/>
    <w:rsid w:val="00A71F46"/>
    <w:rsid w:val="00A747AE"/>
    <w:rsid w:val="00A77801"/>
    <w:rsid w:val="00A932AD"/>
    <w:rsid w:val="00AA30AC"/>
    <w:rsid w:val="00AA3D7D"/>
    <w:rsid w:val="00AA458C"/>
    <w:rsid w:val="00AA4A33"/>
    <w:rsid w:val="00AC0098"/>
    <w:rsid w:val="00AC1CE7"/>
    <w:rsid w:val="00AC1F99"/>
    <w:rsid w:val="00AC54BE"/>
    <w:rsid w:val="00AD099F"/>
    <w:rsid w:val="00AD268D"/>
    <w:rsid w:val="00AD3BC2"/>
    <w:rsid w:val="00AD3FDE"/>
    <w:rsid w:val="00AD7692"/>
    <w:rsid w:val="00AD779B"/>
    <w:rsid w:val="00AF1EA4"/>
    <w:rsid w:val="00B020FC"/>
    <w:rsid w:val="00B03B60"/>
    <w:rsid w:val="00B0423A"/>
    <w:rsid w:val="00B1235B"/>
    <w:rsid w:val="00B313AB"/>
    <w:rsid w:val="00B320EE"/>
    <w:rsid w:val="00B420DA"/>
    <w:rsid w:val="00B5245C"/>
    <w:rsid w:val="00B702C0"/>
    <w:rsid w:val="00B858E1"/>
    <w:rsid w:val="00B85A4A"/>
    <w:rsid w:val="00B863F7"/>
    <w:rsid w:val="00B8688D"/>
    <w:rsid w:val="00B94B23"/>
    <w:rsid w:val="00BA7DA3"/>
    <w:rsid w:val="00BC0D85"/>
    <w:rsid w:val="00BC1876"/>
    <w:rsid w:val="00BC2B3C"/>
    <w:rsid w:val="00BC6E04"/>
    <w:rsid w:val="00BD1669"/>
    <w:rsid w:val="00BD4214"/>
    <w:rsid w:val="00BE1559"/>
    <w:rsid w:val="00BE1DCB"/>
    <w:rsid w:val="00BE7E59"/>
    <w:rsid w:val="00BF1E8A"/>
    <w:rsid w:val="00C02F63"/>
    <w:rsid w:val="00C1035A"/>
    <w:rsid w:val="00C33C2C"/>
    <w:rsid w:val="00C6361E"/>
    <w:rsid w:val="00C74F6E"/>
    <w:rsid w:val="00C838B9"/>
    <w:rsid w:val="00CA7157"/>
    <w:rsid w:val="00CC2FD1"/>
    <w:rsid w:val="00CC6434"/>
    <w:rsid w:val="00CE580D"/>
    <w:rsid w:val="00D06B6C"/>
    <w:rsid w:val="00D15917"/>
    <w:rsid w:val="00D31447"/>
    <w:rsid w:val="00D332BE"/>
    <w:rsid w:val="00D35673"/>
    <w:rsid w:val="00D37B60"/>
    <w:rsid w:val="00D46A49"/>
    <w:rsid w:val="00D53726"/>
    <w:rsid w:val="00D578C6"/>
    <w:rsid w:val="00D60DEB"/>
    <w:rsid w:val="00D70E09"/>
    <w:rsid w:val="00D73514"/>
    <w:rsid w:val="00D7611C"/>
    <w:rsid w:val="00D77906"/>
    <w:rsid w:val="00D77EC7"/>
    <w:rsid w:val="00D97646"/>
    <w:rsid w:val="00DA0ECB"/>
    <w:rsid w:val="00DA5F08"/>
    <w:rsid w:val="00DA7304"/>
    <w:rsid w:val="00DA75F9"/>
    <w:rsid w:val="00DC4087"/>
    <w:rsid w:val="00DC5259"/>
    <w:rsid w:val="00DC650B"/>
    <w:rsid w:val="00DD43A3"/>
    <w:rsid w:val="00DF1379"/>
    <w:rsid w:val="00E01594"/>
    <w:rsid w:val="00E12531"/>
    <w:rsid w:val="00E14FB1"/>
    <w:rsid w:val="00E27603"/>
    <w:rsid w:val="00E4413B"/>
    <w:rsid w:val="00E469F6"/>
    <w:rsid w:val="00E818E2"/>
    <w:rsid w:val="00E86818"/>
    <w:rsid w:val="00E93B19"/>
    <w:rsid w:val="00E97F98"/>
    <w:rsid w:val="00EC52DD"/>
    <w:rsid w:val="00ED66DA"/>
    <w:rsid w:val="00EE2336"/>
    <w:rsid w:val="00EE4641"/>
    <w:rsid w:val="00EF213D"/>
    <w:rsid w:val="00EF5742"/>
    <w:rsid w:val="00EF7D0E"/>
    <w:rsid w:val="00F1611B"/>
    <w:rsid w:val="00F169F4"/>
    <w:rsid w:val="00F26DF9"/>
    <w:rsid w:val="00F4307C"/>
    <w:rsid w:val="00F44501"/>
    <w:rsid w:val="00F46BCC"/>
    <w:rsid w:val="00F546F6"/>
    <w:rsid w:val="00F6008D"/>
    <w:rsid w:val="00FA21FC"/>
    <w:rsid w:val="00FA7FE7"/>
    <w:rsid w:val="00FB124F"/>
    <w:rsid w:val="00FC1104"/>
    <w:rsid w:val="00FC4394"/>
    <w:rsid w:val="00FD4808"/>
    <w:rsid w:val="00FE7033"/>
    <w:rsid w:val="00FF1F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D5C"/>
    <w:pPr>
      <w:jc w:val="left"/>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D6D5C"/>
    <w:pPr>
      <w:keepNext/>
      <w:jc w:val="both"/>
      <w:outlineLvl w:val="0"/>
    </w:pPr>
    <w:rPr>
      <w:b/>
      <w:bC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D6D5C"/>
    <w:rPr>
      <w:rFonts w:ascii="Times New Roman" w:eastAsia="Times New Roman" w:hAnsi="Times New Roman" w:cs="Times New Roman"/>
      <w:b/>
      <w:bCs/>
      <w:sz w:val="28"/>
      <w:szCs w:val="24"/>
      <w:lang w:eastAsia="pt-BR"/>
    </w:rPr>
  </w:style>
  <w:style w:type="character" w:styleId="Refdenotaderodap">
    <w:name w:val="footnote reference"/>
    <w:basedOn w:val="Fontepargpadro"/>
    <w:semiHidden/>
    <w:rsid w:val="005D6D5C"/>
    <w:rPr>
      <w:vertAlign w:val="superscript"/>
    </w:rPr>
  </w:style>
  <w:style w:type="paragraph" w:styleId="Textodenotaderodap">
    <w:name w:val="footnote text"/>
    <w:aliases w:val="Texto de nota de rodapé Char Char"/>
    <w:basedOn w:val="Normal"/>
    <w:link w:val="TextodenotaderodapChar"/>
    <w:semiHidden/>
    <w:rsid w:val="005D6D5C"/>
    <w:rPr>
      <w:sz w:val="20"/>
      <w:szCs w:val="20"/>
    </w:rPr>
  </w:style>
  <w:style w:type="character" w:customStyle="1" w:styleId="TextodenotaderodapChar">
    <w:name w:val="Texto de nota de rodapé Char"/>
    <w:aliases w:val="Texto de nota de rodapé Char Char Char"/>
    <w:basedOn w:val="Fontepargpadro"/>
    <w:link w:val="Textodenotaderodap"/>
    <w:semiHidden/>
    <w:rsid w:val="005D6D5C"/>
    <w:rPr>
      <w:rFonts w:ascii="Times New Roman" w:eastAsia="Times New Roman" w:hAnsi="Times New Roman" w:cs="Times New Roman"/>
      <w:sz w:val="20"/>
      <w:szCs w:val="20"/>
      <w:lang w:eastAsia="pt-BR"/>
    </w:rPr>
  </w:style>
  <w:style w:type="paragraph" w:customStyle="1" w:styleId="Default">
    <w:name w:val="Default"/>
    <w:rsid w:val="005D6D5C"/>
    <w:pPr>
      <w:autoSpaceDE w:val="0"/>
      <w:autoSpaceDN w:val="0"/>
      <w:adjustRightInd w:val="0"/>
      <w:jc w:val="left"/>
    </w:pPr>
    <w:rPr>
      <w:rFonts w:ascii="Times New Roman" w:eastAsia="Times New Roman" w:hAnsi="Times New Roman" w:cs="Times New Roman"/>
      <w:color w:val="000000"/>
      <w:sz w:val="24"/>
      <w:szCs w:val="24"/>
      <w:lang w:eastAsia="pt-BR"/>
    </w:rPr>
  </w:style>
  <w:style w:type="paragraph" w:customStyle="1" w:styleId="Estilo1">
    <w:name w:val="Estilo1"/>
    <w:basedOn w:val="Default"/>
    <w:next w:val="Default"/>
    <w:rsid w:val="005D6D5C"/>
    <w:rPr>
      <w:color w:val="auto"/>
    </w:rPr>
  </w:style>
  <w:style w:type="character" w:customStyle="1" w:styleId="surname">
    <w:name w:val="surname"/>
    <w:basedOn w:val="Fontepargpadro"/>
    <w:rsid w:val="005D6D5C"/>
  </w:style>
  <w:style w:type="paragraph" w:styleId="NormalWeb">
    <w:name w:val="Normal (Web)"/>
    <w:basedOn w:val="Normal"/>
    <w:rsid w:val="005D6D5C"/>
    <w:pPr>
      <w:spacing w:before="100" w:beforeAutospacing="1" w:after="100" w:afterAutospacing="1"/>
    </w:pPr>
  </w:style>
  <w:style w:type="character" w:styleId="nfase">
    <w:name w:val="Emphasis"/>
    <w:basedOn w:val="Fontepargpadro"/>
    <w:uiPriority w:val="20"/>
    <w:qFormat/>
    <w:rsid w:val="005D6D5C"/>
    <w:rPr>
      <w:i/>
      <w:iCs/>
    </w:rPr>
  </w:style>
  <w:style w:type="paragraph" w:styleId="Textodecomentrio">
    <w:name w:val="annotation text"/>
    <w:basedOn w:val="Normal"/>
    <w:link w:val="TextodecomentrioChar"/>
    <w:uiPriority w:val="99"/>
    <w:unhideWhenUsed/>
    <w:rsid w:val="005D6D5C"/>
    <w:pPr>
      <w:spacing w:after="200" w:line="276" w:lineRule="auto"/>
    </w:pPr>
    <w:rPr>
      <w:rFonts w:ascii="Calibri" w:eastAsia="Calibri" w:hAnsi="Calibri"/>
      <w:sz w:val="20"/>
      <w:szCs w:val="20"/>
      <w:lang w:eastAsia="en-US"/>
    </w:rPr>
  </w:style>
  <w:style w:type="character" w:customStyle="1" w:styleId="TextodecomentrioChar">
    <w:name w:val="Texto de comentário Char"/>
    <w:basedOn w:val="Fontepargpadro"/>
    <w:link w:val="Textodecomentrio"/>
    <w:uiPriority w:val="99"/>
    <w:rsid w:val="005D6D5C"/>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5D6D5C"/>
    <w:rPr>
      <w:rFonts w:ascii="Tahoma" w:hAnsi="Tahoma" w:cs="Tahoma"/>
      <w:sz w:val="16"/>
      <w:szCs w:val="16"/>
    </w:rPr>
  </w:style>
  <w:style w:type="character" w:customStyle="1" w:styleId="TextodebaloChar">
    <w:name w:val="Texto de balão Char"/>
    <w:basedOn w:val="Fontepargpadro"/>
    <w:link w:val="Textodebalo"/>
    <w:uiPriority w:val="99"/>
    <w:semiHidden/>
    <w:rsid w:val="005D6D5C"/>
    <w:rPr>
      <w:rFonts w:ascii="Tahoma" w:eastAsia="Times New Roman" w:hAnsi="Tahoma" w:cs="Tahoma"/>
      <w:sz w:val="16"/>
      <w:szCs w:val="16"/>
      <w:lang w:eastAsia="pt-BR"/>
    </w:rPr>
  </w:style>
  <w:style w:type="paragraph" w:styleId="PargrafodaLista">
    <w:name w:val="List Paragraph"/>
    <w:basedOn w:val="Normal"/>
    <w:uiPriority w:val="34"/>
    <w:qFormat/>
    <w:rsid w:val="00A16F1E"/>
    <w:pPr>
      <w:ind w:left="720"/>
      <w:contextualSpacing/>
    </w:pPr>
  </w:style>
  <w:style w:type="character" w:customStyle="1" w:styleId="hps">
    <w:name w:val="hps"/>
    <w:basedOn w:val="Fontepargpadro"/>
    <w:rsid w:val="00AD7692"/>
  </w:style>
  <w:style w:type="character" w:customStyle="1" w:styleId="shorttext">
    <w:name w:val="short_text"/>
    <w:basedOn w:val="Fontepargpadro"/>
    <w:rsid w:val="00D15917"/>
  </w:style>
  <w:style w:type="paragraph" w:styleId="Cabealho">
    <w:name w:val="header"/>
    <w:basedOn w:val="Normal"/>
    <w:link w:val="CabealhoChar"/>
    <w:uiPriority w:val="99"/>
    <w:unhideWhenUsed/>
    <w:rsid w:val="009E49B7"/>
    <w:pPr>
      <w:tabs>
        <w:tab w:val="center" w:pos="4252"/>
        <w:tab w:val="right" w:pos="8504"/>
      </w:tabs>
    </w:pPr>
  </w:style>
  <w:style w:type="character" w:customStyle="1" w:styleId="CabealhoChar">
    <w:name w:val="Cabeçalho Char"/>
    <w:basedOn w:val="Fontepargpadro"/>
    <w:link w:val="Cabealho"/>
    <w:uiPriority w:val="99"/>
    <w:rsid w:val="009E49B7"/>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9E49B7"/>
    <w:pPr>
      <w:tabs>
        <w:tab w:val="center" w:pos="4252"/>
        <w:tab w:val="right" w:pos="8504"/>
      </w:tabs>
    </w:pPr>
  </w:style>
  <w:style w:type="character" w:customStyle="1" w:styleId="RodapChar">
    <w:name w:val="Rodapé Char"/>
    <w:basedOn w:val="Fontepargpadro"/>
    <w:link w:val="Rodap"/>
    <w:uiPriority w:val="99"/>
    <w:rsid w:val="009E49B7"/>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D5C"/>
    <w:pPr>
      <w:jc w:val="left"/>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D6D5C"/>
    <w:pPr>
      <w:keepNext/>
      <w:jc w:val="both"/>
      <w:outlineLvl w:val="0"/>
    </w:pPr>
    <w:rPr>
      <w:b/>
      <w:bC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D6D5C"/>
    <w:rPr>
      <w:rFonts w:ascii="Times New Roman" w:eastAsia="Times New Roman" w:hAnsi="Times New Roman" w:cs="Times New Roman"/>
      <w:b/>
      <w:bCs/>
      <w:sz w:val="28"/>
      <w:szCs w:val="24"/>
      <w:lang w:eastAsia="pt-BR"/>
    </w:rPr>
  </w:style>
  <w:style w:type="character" w:styleId="Refdenotaderodap">
    <w:name w:val="footnote reference"/>
    <w:basedOn w:val="Fontepargpadro"/>
    <w:semiHidden/>
    <w:rsid w:val="005D6D5C"/>
    <w:rPr>
      <w:vertAlign w:val="superscript"/>
    </w:rPr>
  </w:style>
  <w:style w:type="paragraph" w:styleId="Textodenotaderodap">
    <w:name w:val="footnote text"/>
    <w:aliases w:val="Texto de nota de rodapé Char Char"/>
    <w:basedOn w:val="Normal"/>
    <w:link w:val="TextodenotaderodapChar"/>
    <w:semiHidden/>
    <w:rsid w:val="005D6D5C"/>
    <w:rPr>
      <w:sz w:val="20"/>
      <w:szCs w:val="20"/>
    </w:rPr>
  </w:style>
  <w:style w:type="character" w:customStyle="1" w:styleId="TextodenotaderodapChar">
    <w:name w:val="Texto de nota de rodapé Char"/>
    <w:aliases w:val="Texto de nota de rodapé Char Char Char"/>
    <w:basedOn w:val="Fontepargpadro"/>
    <w:link w:val="Textodenotaderodap"/>
    <w:semiHidden/>
    <w:rsid w:val="005D6D5C"/>
    <w:rPr>
      <w:rFonts w:ascii="Times New Roman" w:eastAsia="Times New Roman" w:hAnsi="Times New Roman" w:cs="Times New Roman"/>
      <w:sz w:val="20"/>
      <w:szCs w:val="20"/>
      <w:lang w:eastAsia="pt-BR"/>
    </w:rPr>
  </w:style>
  <w:style w:type="paragraph" w:customStyle="1" w:styleId="Default">
    <w:name w:val="Default"/>
    <w:rsid w:val="005D6D5C"/>
    <w:pPr>
      <w:autoSpaceDE w:val="0"/>
      <w:autoSpaceDN w:val="0"/>
      <w:adjustRightInd w:val="0"/>
      <w:jc w:val="left"/>
    </w:pPr>
    <w:rPr>
      <w:rFonts w:ascii="Times New Roman" w:eastAsia="Times New Roman" w:hAnsi="Times New Roman" w:cs="Times New Roman"/>
      <w:color w:val="000000"/>
      <w:sz w:val="24"/>
      <w:szCs w:val="24"/>
      <w:lang w:eastAsia="pt-BR"/>
    </w:rPr>
  </w:style>
  <w:style w:type="paragraph" w:customStyle="1" w:styleId="Estilo1">
    <w:name w:val="Estilo1"/>
    <w:basedOn w:val="Default"/>
    <w:next w:val="Default"/>
    <w:rsid w:val="005D6D5C"/>
    <w:rPr>
      <w:color w:val="auto"/>
    </w:rPr>
  </w:style>
  <w:style w:type="character" w:customStyle="1" w:styleId="surname">
    <w:name w:val="surname"/>
    <w:basedOn w:val="Fontepargpadro"/>
    <w:rsid w:val="005D6D5C"/>
  </w:style>
  <w:style w:type="paragraph" w:styleId="NormalWeb">
    <w:name w:val="Normal (Web)"/>
    <w:basedOn w:val="Normal"/>
    <w:rsid w:val="005D6D5C"/>
    <w:pPr>
      <w:spacing w:before="100" w:beforeAutospacing="1" w:after="100" w:afterAutospacing="1"/>
    </w:pPr>
  </w:style>
  <w:style w:type="character" w:styleId="nfase">
    <w:name w:val="Emphasis"/>
    <w:basedOn w:val="Fontepargpadro"/>
    <w:uiPriority w:val="20"/>
    <w:qFormat/>
    <w:rsid w:val="005D6D5C"/>
    <w:rPr>
      <w:i/>
      <w:iCs/>
    </w:rPr>
  </w:style>
  <w:style w:type="paragraph" w:styleId="Textodecomentrio">
    <w:name w:val="annotation text"/>
    <w:basedOn w:val="Normal"/>
    <w:link w:val="TextodecomentrioChar"/>
    <w:uiPriority w:val="99"/>
    <w:unhideWhenUsed/>
    <w:rsid w:val="005D6D5C"/>
    <w:pPr>
      <w:spacing w:after="200" w:line="276" w:lineRule="auto"/>
    </w:pPr>
    <w:rPr>
      <w:rFonts w:ascii="Calibri" w:eastAsia="Calibri" w:hAnsi="Calibri"/>
      <w:sz w:val="20"/>
      <w:szCs w:val="20"/>
      <w:lang w:eastAsia="en-US"/>
    </w:rPr>
  </w:style>
  <w:style w:type="character" w:customStyle="1" w:styleId="TextodecomentrioChar">
    <w:name w:val="Texto de comentário Char"/>
    <w:basedOn w:val="Fontepargpadro"/>
    <w:link w:val="Textodecomentrio"/>
    <w:uiPriority w:val="99"/>
    <w:rsid w:val="005D6D5C"/>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5D6D5C"/>
    <w:rPr>
      <w:rFonts w:ascii="Tahoma" w:hAnsi="Tahoma" w:cs="Tahoma"/>
      <w:sz w:val="16"/>
      <w:szCs w:val="16"/>
    </w:rPr>
  </w:style>
  <w:style w:type="character" w:customStyle="1" w:styleId="TextodebaloChar">
    <w:name w:val="Texto de balão Char"/>
    <w:basedOn w:val="Fontepargpadro"/>
    <w:link w:val="Textodebalo"/>
    <w:uiPriority w:val="99"/>
    <w:semiHidden/>
    <w:rsid w:val="005D6D5C"/>
    <w:rPr>
      <w:rFonts w:ascii="Tahoma" w:eastAsia="Times New Roman" w:hAnsi="Tahoma" w:cs="Tahoma"/>
      <w:sz w:val="16"/>
      <w:szCs w:val="16"/>
      <w:lang w:eastAsia="pt-BR"/>
    </w:rPr>
  </w:style>
  <w:style w:type="paragraph" w:styleId="PargrafodaLista">
    <w:name w:val="List Paragraph"/>
    <w:basedOn w:val="Normal"/>
    <w:uiPriority w:val="34"/>
    <w:qFormat/>
    <w:rsid w:val="00A16F1E"/>
    <w:pPr>
      <w:ind w:left="720"/>
      <w:contextualSpacing/>
    </w:pPr>
  </w:style>
  <w:style w:type="character" w:customStyle="1" w:styleId="hps">
    <w:name w:val="hps"/>
    <w:basedOn w:val="Fontepargpadro"/>
    <w:rsid w:val="00AD7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9322">
      <w:bodyDiv w:val="1"/>
      <w:marLeft w:val="0"/>
      <w:marRight w:val="0"/>
      <w:marTop w:val="0"/>
      <w:marBottom w:val="0"/>
      <w:divBdr>
        <w:top w:val="none" w:sz="0" w:space="0" w:color="auto"/>
        <w:left w:val="none" w:sz="0" w:space="0" w:color="auto"/>
        <w:bottom w:val="none" w:sz="0" w:space="0" w:color="auto"/>
        <w:right w:val="none" w:sz="0" w:space="0" w:color="auto"/>
      </w:divBdr>
    </w:div>
    <w:div w:id="200436360">
      <w:bodyDiv w:val="1"/>
      <w:marLeft w:val="0"/>
      <w:marRight w:val="0"/>
      <w:marTop w:val="0"/>
      <w:marBottom w:val="0"/>
      <w:divBdr>
        <w:top w:val="none" w:sz="0" w:space="0" w:color="auto"/>
        <w:left w:val="none" w:sz="0" w:space="0" w:color="auto"/>
        <w:bottom w:val="none" w:sz="0" w:space="0" w:color="auto"/>
        <w:right w:val="none" w:sz="0" w:space="0" w:color="auto"/>
      </w:divBdr>
    </w:div>
    <w:div w:id="274481690">
      <w:bodyDiv w:val="1"/>
      <w:marLeft w:val="0"/>
      <w:marRight w:val="0"/>
      <w:marTop w:val="0"/>
      <w:marBottom w:val="0"/>
      <w:divBdr>
        <w:top w:val="none" w:sz="0" w:space="0" w:color="auto"/>
        <w:left w:val="none" w:sz="0" w:space="0" w:color="auto"/>
        <w:bottom w:val="none" w:sz="0" w:space="0" w:color="auto"/>
        <w:right w:val="none" w:sz="0" w:space="0" w:color="auto"/>
      </w:divBdr>
    </w:div>
    <w:div w:id="325943203">
      <w:bodyDiv w:val="1"/>
      <w:marLeft w:val="0"/>
      <w:marRight w:val="0"/>
      <w:marTop w:val="0"/>
      <w:marBottom w:val="0"/>
      <w:divBdr>
        <w:top w:val="none" w:sz="0" w:space="0" w:color="auto"/>
        <w:left w:val="none" w:sz="0" w:space="0" w:color="auto"/>
        <w:bottom w:val="none" w:sz="0" w:space="0" w:color="auto"/>
        <w:right w:val="none" w:sz="0" w:space="0" w:color="auto"/>
      </w:divBdr>
    </w:div>
    <w:div w:id="508568740">
      <w:bodyDiv w:val="1"/>
      <w:marLeft w:val="0"/>
      <w:marRight w:val="0"/>
      <w:marTop w:val="0"/>
      <w:marBottom w:val="0"/>
      <w:divBdr>
        <w:top w:val="none" w:sz="0" w:space="0" w:color="auto"/>
        <w:left w:val="none" w:sz="0" w:space="0" w:color="auto"/>
        <w:bottom w:val="none" w:sz="0" w:space="0" w:color="auto"/>
        <w:right w:val="none" w:sz="0" w:space="0" w:color="auto"/>
      </w:divBdr>
    </w:div>
    <w:div w:id="574751128">
      <w:bodyDiv w:val="1"/>
      <w:marLeft w:val="0"/>
      <w:marRight w:val="0"/>
      <w:marTop w:val="0"/>
      <w:marBottom w:val="0"/>
      <w:divBdr>
        <w:top w:val="none" w:sz="0" w:space="0" w:color="auto"/>
        <w:left w:val="none" w:sz="0" w:space="0" w:color="auto"/>
        <w:bottom w:val="none" w:sz="0" w:space="0" w:color="auto"/>
        <w:right w:val="none" w:sz="0" w:space="0" w:color="auto"/>
      </w:divBdr>
    </w:div>
    <w:div w:id="618997493">
      <w:bodyDiv w:val="1"/>
      <w:marLeft w:val="0"/>
      <w:marRight w:val="0"/>
      <w:marTop w:val="0"/>
      <w:marBottom w:val="0"/>
      <w:divBdr>
        <w:top w:val="none" w:sz="0" w:space="0" w:color="auto"/>
        <w:left w:val="none" w:sz="0" w:space="0" w:color="auto"/>
        <w:bottom w:val="none" w:sz="0" w:space="0" w:color="auto"/>
        <w:right w:val="none" w:sz="0" w:space="0" w:color="auto"/>
      </w:divBdr>
    </w:div>
    <w:div w:id="714086503">
      <w:bodyDiv w:val="1"/>
      <w:marLeft w:val="0"/>
      <w:marRight w:val="0"/>
      <w:marTop w:val="0"/>
      <w:marBottom w:val="0"/>
      <w:divBdr>
        <w:top w:val="none" w:sz="0" w:space="0" w:color="auto"/>
        <w:left w:val="none" w:sz="0" w:space="0" w:color="auto"/>
        <w:bottom w:val="none" w:sz="0" w:space="0" w:color="auto"/>
        <w:right w:val="none" w:sz="0" w:space="0" w:color="auto"/>
      </w:divBdr>
    </w:div>
    <w:div w:id="924874283">
      <w:bodyDiv w:val="1"/>
      <w:marLeft w:val="0"/>
      <w:marRight w:val="0"/>
      <w:marTop w:val="0"/>
      <w:marBottom w:val="0"/>
      <w:divBdr>
        <w:top w:val="none" w:sz="0" w:space="0" w:color="auto"/>
        <w:left w:val="none" w:sz="0" w:space="0" w:color="auto"/>
        <w:bottom w:val="none" w:sz="0" w:space="0" w:color="auto"/>
        <w:right w:val="none" w:sz="0" w:space="0" w:color="auto"/>
      </w:divBdr>
    </w:div>
    <w:div w:id="1006204747">
      <w:bodyDiv w:val="1"/>
      <w:marLeft w:val="0"/>
      <w:marRight w:val="0"/>
      <w:marTop w:val="0"/>
      <w:marBottom w:val="0"/>
      <w:divBdr>
        <w:top w:val="none" w:sz="0" w:space="0" w:color="auto"/>
        <w:left w:val="none" w:sz="0" w:space="0" w:color="auto"/>
        <w:bottom w:val="none" w:sz="0" w:space="0" w:color="auto"/>
        <w:right w:val="none" w:sz="0" w:space="0" w:color="auto"/>
      </w:divBdr>
    </w:div>
    <w:div w:id="1106537289">
      <w:bodyDiv w:val="1"/>
      <w:marLeft w:val="0"/>
      <w:marRight w:val="0"/>
      <w:marTop w:val="0"/>
      <w:marBottom w:val="0"/>
      <w:divBdr>
        <w:top w:val="none" w:sz="0" w:space="0" w:color="auto"/>
        <w:left w:val="none" w:sz="0" w:space="0" w:color="auto"/>
        <w:bottom w:val="none" w:sz="0" w:space="0" w:color="auto"/>
        <w:right w:val="none" w:sz="0" w:space="0" w:color="auto"/>
      </w:divBdr>
    </w:div>
    <w:div w:id="1110122100">
      <w:bodyDiv w:val="1"/>
      <w:marLeft w:val="0"/>
      <w:marRight w:val="0"/>
      <w:marTop w:val="0"/>
      <w:marBottom w:val="0"/>
      <w:divBdr>
        <w:top w:val="none" w:sz="0" w:space="0" w:color="auto"/>
        <w:left w:val="none" w:sz="0" w:space="0" w:color="auto"/>
        <w:bottom w:val="none" w:sz="0" w:space="0" w:color="auto"/>
        <w:right w:val="none" w:sz="0" w:space="0" w:color="auto"/>
      </w:divBdr>
    </w:div>
    <w:div w:id="1224177174">
      <w:bodyDiv w:val="1"/>
      <w:marLeft w:val="0"/>
      <w:marRight w:val="0"/>
      <w:marTop w:val="0"/>
      <w:marBottom w:val="0"/>
      <w:divBdr>
        <w:top w:val="none" w:sz="0" w:space="0" w:color="auto"/>
        <w:left w:val="none" w:sz="0" w:space="0" w:color="auto"/>
        <w:bottom w:val="none" w:sz="0" w:space="0" w:color="auto"/>
        <w:right w:val="none" w:sz="0" w:space="0" w:color="auto"/>
      </w:divBdr>
    </w:div>
    <w:div w:id="1351025045">
      <w:bodyDiv w:val="1"/>
      <w:marLeft w:val="0"/>
      <w:marRight w:val="0"/>
      <w:marTop w:val="0"/>
      <w:marBottom w:val="0"/>
      <w:divBdr>
        <w:top w:val="none" w:sz="0" w:space="0" w:color="auto"/>
        <w:left w:val="none" w:sz="0" w:space="0" w:color="auto"/>
        <w:bottom w:val="none" w:sz="0" w:space="0" w:color="auto"/>
        <w:right w:val="none" w:sz="0" w:space="0" w:color="auto"/>
      </w:divBdr>
    </w:div>
    <w:div w:id="1446342105">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80289268">
      <w:bodyDiv w:val="1"/>
      <w:marLeft w:val="0"/>
      <w:marRight w:val="0"/>
      <w:marTop w:val="0"/>
      <w:marBottom w:val="0"/>
      <w:divBdr>
        <w:top w:val="none" w:sz="0" w:space="0" w:color="auto"/>
        <w:left w:val="none" w:sz="0" w:space="0" w:color="auto"/>
        <w:bottom w:val="none" w:sz="0" w:space="0" w:color="auto"/>
        <w:right w:val="none" w:sz="0" w:space="0" w:color="auto"/>
      </w:divBdr>
    </w:div>
    <w:div w:id="1965887927">
      <w:bodyDiv w:val="1"/>
      <w:marLeft w:val="0"/>
      <w:marRight w:val="0"/>
      <w:marTop w:val="0"/>
      <w:marBottom w:val="0"/>
      <w:divBdr>
        <w:top w:val="none" w:sz="0" w:space="0" w:color="auto"/>
        <w:left w:val="none" w:sz="0" w:space="0" w:color="auto"/>
        <w:bottom w:val="none" w:sz="0" w:space="0" w:color="auto"/>
        <w:right w:val="none" w:sz="0" w:space="0" w:color="auto"/>
      </w:divBdr>
    </w:div>
    <w:div w:id="2095200139">
      <w:bodyDiv w:val="1"/>
      <w:marLeft w:val="0"/>
      <w:marRight w:val="0"/>
      <w:marTop w:val="0"/>
      <w:marBottom w:val="0"/>
      <w:divBdr>
        <w:top w:val="none" w:sz="0" w:space="0" w:color="auto"/>
        <w:left w:val="none" w:sz="0" w:space="0" w:color="auto"/>
        <w:bottom w:val="none" w:sz="0" w:space="0" w:color="auto"/>
        <w:right w:val="none" w:sz="0" w:space="0" w:color="auto"/>
      </w:divBdr>
    </w:div>
    <w:div w:id="20996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6.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4FFCD-A674-4402-A68A-AA2E414A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17</Pages>
  <Words>7970</Words>
  <Characters>44078</Characters>
  <Application>Microsoft Office Word</Application>
  <DocSecurity>0</DocSecurity>
  <Lines>1075</Lines>
  <Paragraphs>486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51562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Jailson</dc:creator>
  <cp:lastModifiedBy>Denise</cp:lastModifiedBy>
  <cp:revision>35</cp:revision>
  <dcterms:created xsi:type="dcterms:W3CDTF">2013-05-04T00:46:00Z</dcterms:created>
  <dcterms:modified xsi:type="dcterms:W3CDTF">2013-07-23T22:18:00Z</dcterms:modified>
</cp:coreProperties>
</file>