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329" w:rsidRDefault="00051329" w:rsidP="00051329">
      <w:pPr>
        <w:spacing w:line="240" w:lineRule="auto"/>
        <w:jc w:val="center"/>
        <w:rPr>
          <w:rFonts w:ascii="Arial" w:hAnsi="Arial" w:cs="Arial"/>
          <w:b/>
          <w:sz w:val="24"/>
          <w:szCs w:val="24"/>
          <w:lang w:val="en-US"/>
        </w:rPr>
      </w:pPr>
      <w:r w:rsidRPr="001321DB">
        <w:rPr>
          <w:rFonts w:ascii="Arial" w:hAnsi="Arial" w:cs="Arial"/>
          <w:b/>
          <w:sz w:val="24"/>
          <w:szCs w:val="24"/>
          <w:lang w:val="en-US"/>
        </w:rPr>
        <w:t xml:space="preserve">Technological Regimes in the Brazilian </w:t>
      </w:r>
      <w:r>
        <w:rPr>
          <w:rFonts w:ascii="Arial" w:hAnsi="Arial" w:cs="Arial"/>
          <w:b/>
          <w:sz w:val="24"/>
          <w:szCs w:val="24"/>
          <w:lang w:val="en-US"/>
        </w:rPr>
        <w:t xml:space="preserve">Manufacturing </w:t>
      </w:r>
      <w:r w:rsidRPr="001321DB">
        <w:rPr>
          <w:rFonts w:ascii="Arial" w:hAnsi="Arial" w:cs="Arial"/>
          <w:b/>
          <w:sz w:val="24"/>
          <w:szCs w:val="24"/>
          <w:lang w:val="en-US"/>
        </w:rPr>
        <w:t>Industry: an Empirical Investigation</w:t>
      </w:r>
    </w:p>
    <w:p w:rsidR="00051329" w:rsidRDefault="00051329" w:rsidP="00051329">
      <w:pPr>
        <w:spacing w:line="240" w:lineRule="auto"/>
        <w:jc w:val="center"/>
        <w:rPr>
          <w:rFonts w:ascii="Arial" w:hAnsi="Arial" w:cs="Arial"/>
          <w:b/>
          <w:sz w:val="24"/>
          <w:szCs w:val="24"/>
          <w:lang w:val="en-US"/>
        </w:rPr>
      </w:pPr>
    </w:p>
    <w:p w:rsidR="008201F4" w:rsidRPr="001321DB" w:rsidRDefault="008201F4" w:rsidP="008201F4">
      <w:pPr>
        <w:spacing w:line="240" w:lineRule="auto"/>
        <w:ind w:firstLine="709"/>
        <w:jc w:val="center"/>
        <w:rPr>
          <w:rFonts w:ascii="Arial" w:hAnsi="Arial" w:cs="Arial"/>
          <w:sz w:val="24"/>
          <w:szCs w:val="24"/>
        </w:rPr>
      </w:pPr>
      <w:r w:rsidRPr="001321DB">
        <w:rPr>
          <w:rFonts w:ascii="Arial" w:hAnsi="Arial" w:cs="Arial"/>
          <w:sz w:val="24"/>
          <w:szCs w:val="24"/>
        </w:rPr>
        <w:t>Vinícius Vieira</w:t>
      </w:r>
    </w:p>
    <w:p w:rsidR="008201F4" w:rsidRPr="006D577A" w:rsidRDefault="008201F4" w:rsidP="008201F4">
      <w:pPr>
        <w:spacing w:line="240" w:lineRule="auto"/>
        <w:ind w:firstLine="709"/>
        <w:jc w:val="center"/>
        <w:rPr>
          <w:rFonts w:ascii="Arial" w:hAnsi="Arial" w:cs="Arial"/>
          <w:sz w:val="24"/>
          <w:szCs w:val="24"/>
          <w:lang w:val="en-US"/>
        </w:rPr>
      </w:pPr>
      <w:r w:rsidRPr="006D577A">
        <w:rPr>
          <w:rFonts w:ascii="Arial" w:hAnsi="Arial" w:cs="Arial"/>
          <w:sz w:val="24"/>
          <w:szCs w:val="24"/>
        </w:rPr>
        <w:t>BB DTVM, Banco do Brasil, Praça XV de Novembro 20</w:t>
      </w:r>
      <w:r>
        <w:rPr>
          <w:rFonts w:ascii="Arial" w:hAnsi="Arial" w:cs="Arial"/>
          <w:sz w:val="24"/>
          <w:szCs w:val="24"/>
        </w:rPr>
        <w:t xml:space="preserve"> – 3rd </w:t>
      </w:r>
      <w:proofErr w:type="spellStart"/>
      <w:r>
        <w:rPr>
          <w:rFonts w:ascii="Arial" w:hAnsi="Arial" w:cs="Arial"/>
          <w:sz w:val="24"/>
          <w:szCs w:val="24"/>
        </w:rPr>
        <w:t>floor</w:t>
      </w:r>
      <w:proofErr w:type="spellEnd"/>
      <w:r w:rsidRPr="006D577A">
        <w:rPr>
          <w:rFonts w:ascii="Arial" w:hAnsi="Arial" w:cs="Arial"/>
          <w:sz w:val="24"/>
          <w:szCs w:val="24"/>
        </w:rPr>
        <w:t>, Centro,</w:t>
      </w:r>
      <w:r>
        <w:rPr>
          <w:rFonts w:ascii="Arial" w:hAnsi="Arial" w:cs="Arial"/>
          <w:sz w:val="24"/>
          <w:szCs w:val="24"/>
        </w:rPr>
        <w:t xml:space="preserve"> 20010-010,</w:t>
      </w:r>
      <w:r w:rsidRPr="006D577A">
        <w:rPr>
          <w:rFonts w:ascii="Arial" w:hAnsi="Arial" w:cs="Arial"/>
          <w:sz w:val="24"/>
          <w:szCs w:val="24"/>
        </w:rPr>
        <w:t xml:space="preserve"> Rio de Janeiro</w:t>
      </w:r>
      <w:r>
        <w:rPr>
          <w:rFonts w:ascii="Arial" w:hAnsi="Arial" w:cs="Arial"/>
          <w:sz w:val="24"/>
          <w:szCs w:val="24"/>
        </w:rPr>
        <w:t xml:space="preserve">-RJ, </w:t>
      </w:r>
      <w:proofErr w:type="spellStart"/>
      <w:r>
        <w:rPr>
          <w:rFonts w:ascii="Arial" w:hAnsi="Arial" w:cs="Arial"/>
          <w:sz w:val="24"/>
          <w:szCs w:val="24"/>
        </w:rPr>
        <w:t>Brazil</w:t>
      </w:r>
      <w:proofErr w:type="spellEnd"/>
      <w:r>
        <w:rPr>
          <w:rFonts w:ascii="Arial" w:hAnsi="Arial" w:cs="Arial"/>
          <w:sz w:val="24"/>
          <w:szCs w:val="24"/>
        </w:rPr>
        <w:t xml:space="preserve">, </w:t>
      </w:r>
      <w:r w:rsidRPr="006D577A">
        <w:rPr>
          <w:rFonts w:ascii="Arial" w:hAnsi="Arial" w:cs="Arial"/>
          <w:sz w:val="24"/>
          <w:szCs w:val="24"/>
          <w:lang w:val="en-US"/>
        </w:rPr>
        <w:t xml:space="preserve">Email: </w:t>
      </w:r>
      <w:proofErr w:type="gramStart"/>
      <w:r w:rsidRPr="006D577A">
        <w:rPr>
          <w:rFonts w:ascii="Arial" w:hAnsi="Arial" w:cs="Arial"/>
          <w:sz w:val="24"/>
          <w:szCs w:val="24"/>
          <w:lang w:val="en-US"/>
        </w:rPr>
        <w:t>vinicius.r.vieira@gmail.com</w:t>
      </w:r>
      <w:proofErr w:type="gramEnd"/>
      <w:r w:rsidRPr="006D577A">
        <w:rPr>
          <w:rFonts w:ascii="Arial" w:hAnsi="Arial" w:cs="Arial"/>
          <w:sz w:val="24"/>
          <w:szCs w:val="24"/>
          <w:lang w:val="en-US"/>
        </w:rPr>
        <w:t xml:space="preserve"> </w:t>
      </w:r>
    </w:p>
    <w:p w:rsidR="008201F4" w:rsidRDefault="008201F4" w:rsidP="008201F4">
      <w:pPr>
        <w:spacing w:line="240" w:lineRule="auto"/>
        <w:ind w:firstLine="709"/>
        <w:jc w:val="center"/>
        <w:rPr>
          <w:rFonts w:ascii="Arial" w:hAnsi="Arial" w:cs="Arial"/>
          <w:sz w:val="24"/>
          <w:szCs w:val="24"/>
        </w:rPr>
      </w:pPr>
      <w:r>
        <w:rPr>
          <w:rFonts w:ascii="Arial" w:hAnsi="Arial" w:cs="Arial"/>
          <w:sz w:val="24"/>
          <w:szCs w:val="24"/>
        </w:rPr>
        <w:t>Marcelo Resende</w:t>
      </w:r>
    </w:p>
    <w:p w:rsidR="008201F4" w:rsidRPr="00F010DB" w:rsidRDefault="008201F4" w:rsidP="008201F4">
      <w:pPr>
        <w:spacing w:line="240" w:lineRule="auto"/>
        <w:ind w:firstLine="709"/>
        <w:jc w:val="center"/>
        <w:rPr>
          <w:rFonts w:ascii="Arial" w:hAnsi="Arial" w:cs="Arial"/>
          <w:sz w:val="24"/>
          <w:szCs w:val="24"/>
        </w:rPr>
      </w:pPr>
      <w:r w:rsidRPr="001321DB">
        <w:rPr>
          <w:rFonts w:ascii="Arial" w:hAnsi="Arial" w:cs="Arial"/>
          <w:sz w:val="24"/>
          <w:szCs w:val="24"/>
        </w:rPr>
        <w:t xml:space="preserve">Instituto de Economia, Universidade Federal do Rio de Janeiro, Av. Pasteur 250, Urca, 22290-240, Rio de Janeiro-RJ, </w:t>
      </w:r>
      <w:proofErr w:type="spellStart"/>
      <w:r w:rsidRPr="001321DB">
        <w:rPr>
          <w:rFonts w:ascii="Arial" w:hAnsi="Arial" w:cs="Arial"/>
          <w:sz w:val="24"/>
          <w:szCs w:val="24"/>
        </w:rPr>
        <w:t>Brazil</w:t>
      </w:r>
      <w:proofErr w:type="spellEnd"/>
      <w:r>
        <w:rPr>
          <w:rFonts w:ascii="Arial" w:hAnsi="Arial" w:cs="Arial"/>
          <w:sz w:val="24"/>
          <w:szCs w:val="24"/>
        </w:rPr>
        <w:t xml:space="preserve">, </w:t>
      </w:r>
      <w:proofErr w:type="spellStart"/>
      <w:r w:rsidRPr="00F010DB">
        <w:rPr>
          <w:rFonts w:ascii="Arial" w:hAnsi="Arial" w:cs="Arial"/>
          <w:sz w:val="24"/>
          <w:szCs w:val="24"/>
        </w:rPr>
        <w:t>Email</w:t>
      </w:r>
      <w:proofErr w:type="spellEnd"/>
      <w:r w:rsidRPr="00F010DB">
        <w:rPr>
          <w:rFonts w:ascii="Arial" w:hAnsi="Arial" w:cs="Arial"/>
          <w:sz w:val="24"/>
          <w:szCs w:val="24"/>
        </w:rPr>
        <w:t xml:space="preserve">: </w:t>
      </w:r>
      <w:proofErr w:type="gramStart"/>
      <w:r w:rsidRPr="00F010DB">
        <w:rPr>
          <w:rFonts w:ascii="Arial" w:hAnsi="Arial" w:cs="Arial"/>
          <w:sz w:val="24"/>
          <w:szCs w:val="24"/>
        </w:rPr>
        <w:t>mresende@ie.ufrj.br</w:t>
      </w:r>
      <w:proofErr w:type="gramEnd"/>
    </w:p>
    <w:p w:rsidR="00051329" w:rsidRPr="001321DB" w:rsidRDefault="00051329" w:rsidP="00051329">
      <w:pPr>
        <w:spacing w:line="240" w:lineRule="auto"/>
        <w:jc w:val="center"/>
        <w:rPr>
          <w:rFonts w:ascii="Arial" w:hAnsi="Arial" w:cs="Arial"/>
          <w:b/>
          <w:sz w:val="24"/>
          <w:szCs w:val="24"/>
          <w:lang w:val="en-US"/>
        </w:rPr>
      </w:pPr>
      <w:bookmarkStart w:id="0" w:name="_GoBack"/>
      <w:bookmarkEnd w:id="0"/>
    </w:p>
    <w:p w:rsidR="00051329" w:rsidRPr="00F010DB" w:rsidRDefault="00051329" w:rsidP="00612A59">
      <w:pPr>
        <w:spacing w:line="240" w:lineRule="auto"/>
        <w:ind w:firstLine="709"/>
        <w:rPr>
          <w:rFonts w:ascii="Arial" w:hAnsi="Arial" w:cs="Arial"/>
          <w:sz w:val="24"/>
          <w:szCs w:val="24"/>
        </w:rPr>
      </w:pPr>
      <w:r>
        <w:rPr>
          <w:rFonts w:ascii="Arial" w:hAnsi="Arial" w:cs="Arial"/>
          <w:sz w:val="24"/>
          <w:szCs w:val="24"/>
        </w:rPr>
        <w:t xml:space="preserve">                                               </w:t>
      </w:r>
    </w:p>
    <w:p w:rsidR="00051329" w:rsidRPr="002965B3" w:rsidRDefault="00612A59" w:rsidP="00612A59">
      <w:pPr>
        <w:spacing w:line="240" w:lineRule="auto"/>
        <w:ind w:firstLine="709"/>
        <w:rPr>
          <w:rFonts w:ascii="Arial" w:hAnsi="Arial" w:cs="Arial"/>
          <w:b/>
          <w:sz w:val="24"/>
          <w:szCs w:val="24"/>
          <w:lang w:val="en-US"/>
        </w:rPr>
      </w:pPr>
      <w:r>
        <w:rPr>
          <w:rFonts w:ascii="Arial" w:hAnsi="Arial" w:cs="Arial"/>
          <w:b/>
          <w:sz w:val="24"/>
          <w:szCs w:val="24"/>
          <w:lang w:val="en-US"/>
        </w:rPr>
        <w:t xml:space="preserve">                                                  </w:t>
      </w:r>
      <w:r w:rsidR="00051329" w:rsidRPr="002965B3">
        <w:rPr>
          <w:rFonts w:ascii="Arial" w:hAnsi="Arial" w:cs="Arial"/>
          <w:b/>
          <w:sz w:val="24"/>
          <w:szCs w:val="24"/>
          <w:lang w:val="en-US"/>
        </w:rPr>
        <w:t>Abstract</w:t>
      </w:r>
    </w:p>
    <w:p w:rsidR="00051329" w:rsidRDefault="00051329" w:rsidP="00051329">
      <w:pPr>
        <w:spacing w:line="240" w:lineRule="auto"/>
        <w:ind w:firstLine="709"/>
        <w:jc w:val="both"/>
        <w:rPr>
          <w:rFonts w:ascii="Arial" w:hAnsi="Arial" w:cs="Arial"/>
          <w:iCs/>
          <w:sz w:val="24"/>
          <w:szCs w:val="24"/>
          <w:lang w:val="en-US"/>
        </w:rPr>
      </w:pPr>
      <w:r>
        <w:rPr>
          <w:rFonts w:ascii="Arial" w:hAnsi="Arial" w:cs="Arial"/>
          <w:sz w:val="24"/>
          <w:szCs w:val="24"/>
          <w:lang w:val="en-US"/>
        </w:rPr>
        <w:t>The paper aims to</w:t>
      </w:r>
      <w:r w:rsidRPr="002965B3">
        <w:rPr>
          <w:rFonts w:ascii="Arial" w:hAnsi="Arial" w:cs="Arial"/>
          <w:sz w:val="24"/>
          <w:szCs w:val="24"/>
          <w:lang w:val="en-US"/>
        </w:rPr>
        <w:t xml:space="preserve"> assess technological regimes in the context of the Br</w:t>
      </w:r>
      <w:r>
        <w:rPr>
          <w:rFonts w:ascii="Arial" w:hAnsi="Arial" w:cs="Arial"/>
          <w:sz w:val="24"/>
          <w:szCs w:val="24"/>
          <w:lang w:val="en-US"/>
        </w:rPr>
        <w:t xml:space="preserve">azilian manufacturing industry over the 2000-2005 </w:t>
      </w:r>
      <w:proofErr w:type="gramStart"/>
      <w:r>
        <w:rPr>
          <w:rFonts w:ascii="Arial" w:hAnsi="Arial" w:cs="Arial"/>
          <w:sz w:val="24"/>
          <w:szCs w:val="24"/>
          <w:lang w:val="en-US"/>
        </w:rPr>
        <w:t>period</w:t>
      </w:r>
      <w:proofErr w:type="gramEnd"/>
      <w:r>
        <w:rPr>
          <w:rFonts w:ascii="Arial" w:hAnsi="Arial" w:cs="Arial"/>
          <w:sz w:val="24"/>
          <w:szCs w:val="24"/>
          <w:lang w:val="en-US"/>
        </w:rPr>
        <w:t xml:space="preserve">. The industries were classified in terms of SM-I and SM-II technological regimes by means of multivariate statistical methods based on variable approximating technological </w:t>
      </w:r>
      <w:r w:rsidRPr="00324454">
        <w:rPr>
          <w:rFonts w:ascii="Arial" w:hAnsi="Arial" w:cs="Arial"/>
          <w:sz w:val="24"/>
          <w:szCs w:val="24"/>
          <w:lang w:val="en-US"/>
        </w:rPr>
        <w:t xml:space="preserve">opportunity, </w:t>
      </w:r>
      <w:proofErr w:type="spellStart"/>
      <w:r w:rsidRPr="00324454">
        <w:rPr>
          <w:rFonts w:ascii="Arial" w:hAnsi="Arial" w:cs="Arial"/>
          <w:sz w:val="24"/>
          <w:szCs w:val="24"/>
          <w:lang w:val="en-US"/>
        </w:rPr>
        <w:t>appropriability</w:t>
      </w:r>
      <w:proofErr w:type="spellEnd"/>
      <w:r w:rsidRPr="00324454">
        <w:rPr>
          <w:rFonts w:ascii="Arial" w:hAnsi="Arial" w:cs="Arial"/>
          <w:sz w:val="24"/>
          <w:szCs w:val="24"/>
          <w:lang w:val="en-US"/>
        </w:rPr>
        <w:t>, cumulativeness and knowledge base</w:t>
      </w:r>
      <w:r>
        <w:rPr>
          <w:rFonts w:ascii="Arial" w:hAnsi="Arial" w:cs="Arial"/>
          <w:sz w:val="24"/>
          <w:szCs w:val="24"/>
          <w:lang w:val="en-US"/>
        </w:rPr>
        <w:t xml:space="preserve">. The evidence indicated some salient classification contrasts with respect to previous evidence for developed countries. In particular, the pharmaceuticals and paper and cellulose sectors in the Brazilian case have some expected specificities. The contrasts between SM-I and SM-II for the totality of firms, indicated discernible differences </w:t>
      </w:r>
      <w:r w:rsidRPr="006D577A">
        <w:rPr>
          <w:rFonts w:ascii="Arial" w:hAnsi="Arial" w:cs="Arial"/>
          <w:sz w:val="24"/>
          <w:szCs w:val="24"/>
          <w:lang w:val="en-US"/>
        </w:rPr>
        <w:t>in the case of two hypotheses</w:t>
      </w:r>
      <w:r>
        <w:rPr>
          <w:rFonts w:ascii="Arial" w:hAnsi="Arial" w:cs="Arial"/>
          <w:sz w:val="24"/>
          <w:szCs w:val="24"/>
          <w:lang w:val="en-US"/>
        </w:rPr>
        <w:t>:</w:t>
      </w:r>
      <w:r w:rsidRPr="00B23BD8">
        <w:rPr>
          <w:rFonts w:ascii="Arial" w:hAnsi="Arial" w:cs="Arial"/>
          <w:sz w:val="24"/>
          <w:szCs w:val="24"/>
          <w:lang w:val="en-US"/>
        </w:rPr>
        <w:t xml:space="preserve"> </w:t>
      </w:r>
      <w:r>
        <w:rPr>
          <w:rFonts w:ascii="Arial" w:hAnsi="Arial" w:cs="Arial"/>
          <w:iCs/>
          <w:sz w:val="24"/>
          <w:szCs w:val="24"/>
          <w:lang w:val="en-US"/>
        </w:rPr>
        <w:t>t</w:t>
      </w:r>
      <w:r w:rsidRPr="00B23BD8">
        <w:rPr>
          <w:rFonts w:ascii="Arial" w:hAnsi="Arial" w:cs="Arial"/>
          <w:iCs/>
          <w:sz w:val="24"/>
          <w:szCs w:val="24"/>
          <w:lang w:val="en-US"/>
        </w:rPr>
        <w:t>he share of small firms is higher in SM-I industries than in SM-II industries and in SM-I industries profit rates are lower than in SM-II industries</w:t>
      </w:r>
      <w:r>
        <w:rPr>
          <w:rFonts w:ascii="Arial" w:hAnsi="Arial" w:cs="Arial"/>
          <w:iCs/>
          <w:sz w:val="24"/>
          <w:szCs w:val="24"/>
          <w:lang w:val="en-US"/>
        </w:rPr>
        <w:t>.</w:t>
      </w:r>
    </w:p>
    <w:p w:rsidR="00051329" w:rsidRDefault="00051329" w:rsidP="00051329">
      <w:pPr>
        <w:spacing w:line="240" w:lineRule="auto"/>
        <w:rPr>
          <w:rFonts w:ascii="Arial" w:hAnsi="Arial" w:cs="Arial"/>
          <w:sz w:val="24"/>
          <w:szCs w:val="24"/>
          <w:lang w:val="en-US"/>
        </w:rPr>
      </w:pPr>
      <w:r w:rsidRPr="002965B3">
        <w:rPr>
          <w:rFonts w:ascii="Arial" w:hAnsi="Arial" w:cs="Arial"/>
          <w:b/>
          <w:sz w:val="24"/>
          <w:szCs w:val="24"/>
          <w:lang w:val="en-US"/>
        </w:rPr>
        <w:t xml:space="preserve">Keywords: </w:t>
      </w:r>
      <w:r w:rsidRPr="002965B3">
        <w:rPr>
          <w:rFonts w:ascii="Arial" w:hAnsi="Arial" w:cs="Arial"/>
          <w:sz w:val="24"/>
          <w:szCs w:val="24"/>
          <w:lang w:val="en-US"/>
        </w:rPr>
        <w:t>technological regimes; manufacturing industry; Brazil</w:t>
      </w:r>
      <w:r>
        <w:rPr>
          <w:rFonts w:ascii="Arial" w:hAnsi="Arial" w:cs="Arial"/>
          <w:sz w:val="24"/>
          <w:szCs w:val="24"/>
          <w:lang w:val="en-US"/>
        </w:rPr>
        <w:t xml:space="preserve">; </w:t>
      </w:r>
    </w:p>
    <w:p w:rsidR="00051329" w:rsidRPr="00E72B21" w:rsidRDefault="00051329" w:rsidP="00051329">
      <w:pPr>
        <w:spacing w:line="240" w:lineRule="auto"/>
        <w:rPr>
          <w:rFonts w:ascii="Arial" w:hAnsi="Arial" w:cs="Arial"/>
          <w:sz w:val="24"/>
          <w:szCs w:val="24"/>
        </w:rPr>
      </w:pPr>
      <w:r w:rsidRPr="00E72B21">
        <w:rPr>
          <w:rFonts w:ascii="Arial" w:hAnsi="Arial" w:cs="Arial"/>
          <w:b/>
          <w:sz w:val="24"/>
          <w:szCs w:val="24"/>
        </w:rPr>
        <w:t xml:space="preserve">JEL </w:t>
      </w:r>
      <w:proofErr w:type="spellStart"/>
      <w:r w:rsidRPr="00E72B21">
        <w:rPr>
          <w:rFonts w:ascii="Arial" w:hAnsi="Arial" w:cs="Arial"/>
          <w:b/>
          <w:sz w:val="24"/>
          <w:szCs w:val="24"/>
        </w:rPr>
        <w:t>classification</w:t>
      </w:r>
      <w:proofErr w:type="spellEnd"/>
      <w:r>
        <w:rPr>
          <w:rFonts w:ascii="Arial" w:hAnsi="Arial" w:cs="Arial"/>
          <w:b/>
          <w:sz w:val="24"/>
          <w:szCs w:val="24"/>
        </w:rPr>
        <w:t xml:space="preserve">: </w:t>
      </w:r>
      <w:r>
        <w:rPr>
          <w:rFonts w:ascii="Arial" w:hAnsi="Arial" w:cs="Arial"/>
          <w:sz w:val="24"/>
          <w:szCs w:val="24"/>
        </w:rPr>
        <w:t>L60; O30</w:t>
      </w:r>
    </w:p>
    <w:p w:rsidR="00051329" w:rsidRDefault="00051329">
      <w:pPr>
        <w:spacing w:after="0" w:line="240" w:lineRule="auto"/>
        <w:rPr>
          <w:rFonts w:ascii="Arial" w:hAnsi="Arial" w:cs="Arial"/>
          <w:b/>
          <w:sz w:val="24"/>
          <w:szCs w:val="24"/>
          <w:lang w:val="en-US"/>
        </w:rPr>
      </w:pPr>
      <w:r>
        <w:rPr>
          <w:rFonts w:ascii="Arial" w:hAnsi="Arial" w:cs="Arial"/>
          <w:b/>
          <w:sz w:val="24"/>
          <w:szCs w:val="24"/>
          <w:lang w:val="en-US"/>
        </w:rPr>
        <w:br w:type="page"/>
      </w:r>
    </w:p>
    <w:p w:rsidR="00713255" w:rsidRPr="00051329" w:rsidRDefault="00713255" w:rsidP="00051329">
      <w:pPr>
        <w:pStyle w:val="PargrafodaLista"/>
        <w:numPr>
          <w:ilvl w:val="0"/>
          <w:numId w:val="2"/>
        </w:numPr>
        <w:spacing w:line="480" w:lineRule="auto"/>
        <w:ind w:left="0" w:firstLine="0"/>
        <w:contextualSpacing w:val="0"/>
        <w:rPr>
          <w:rFonts w:ascii="Arial" w:hAnsi="Arial" w:cs="Arial"/>
          <w:b/>
          <w:sz w:val="24"/>
          <w:szCs w:val="24"/>
        </w:rPr>
      </w:pPr>
      <w:r w:rsidRPr="00051329">
        <w:rPr>
          <w:rFonts w:ascii="Arial" w:hAnsi="Arial" w:cs="Arial"/>
          <w:b/>
          <w:sz w:val="24"/>
          <w:szCs w:val="24"/>
          <w:lang w:val="en-US"/>
        </w:rPr>
        <w:lastRenderedPageBreak/>
        <w:t>Introduction</w:t>
      </w:r>
    </w:p>
    <w:p w:rsidR="00D755FD" w:rsidRPr="00324454" w:rsidRDefault="003906CF" w:rsidP="006072EF">
      <w:pPr>
        <w:pStyle w:val="PargrafodaLista"/>
        <w:spacing w:line="480" w:lineRule="auto"/>
        <w:ind w:left="0" w:firstLine="709"/>
        <w:contextualSpacing w:val="0"/>
        <w:jc w:val="both"/>
        <w:rPr>
          <w:rFonts w:ascii="Arial" w:hAnsi="Arial" w:cs="Arial"/>
          <w:sz w:val="24"/>
          <w:szCs w:val="24"/>
          <w:lang w:val="en-US"/>
        </w:rPr>
      </w:pPr>
      <w:r w:rsidRPr="00324454">
        <w:rPr>
          <w:rFonts w:ascii="Arial" w:hAnsi="Arial" w:cs="Arial"/>
          <w:sz w:val="24"/>
          <w:szCs w:val="24"/>
          <w:lang w:val="en-US"/>
        </w:rPr>
        <w:t>The role of i</w:t>
      </w:r>
      <w:r w:rsidR="001551E1" w:rsidRPr="00324454">
        <w:rPr>
          <w:rFonts w:ascii="Arial" w:hAnsi="Arial" w:cs="Arial"/>
          <w:sz w:val="24"/>
          <w:szCs w:val="24"/>
          <w:lang w:val="en-US"/>
        </w:rPr>
        <w:t>nnovation i</w:t>
      </w:r>
      <w:r w:rsidRPr="00324454">
        <w:rPr>
          <w:rFonts w:ascii="Arial" w:hAnsi="Arial" w:cs="Arial"/>
          <w:sz w:val="24"/>
          <w:szCs w:val="24"/>
          <w:lang w:val="en-US"/>
        </w:rPr>
        <w:t xml:space="preserve">n stimulating economic growth </w:t>
      </w:r>
      <w:r w:rsidR="004E4CAF">
        <w:rPr>
          <w:rFonts w:ascii="Arial" w:hAnsi="Arial" w:cs="Arial"/>
          <w:sz w:val="24"/>
          <w:szCs w:val="24"/>
          <w:lang w:val="en-US"/>
        </w:rPr>
        <w:t xml:space="preserve">has been increasingly </w:t>
      </w:r>
      <w:proofErr w:type="spellStart"/>
      <w:r w:rsidR="004E4CAF">
        <w:rPr>
          <w:rFonts w:ascii="Arial" w:hAnsi="Arial" w:cs="Arial"/>
          <w:sz w:val="24"/>
          <w:szCs w:val="24"/>
          <w:lang w:val="en-US"/>
        </w:rPr>
        <w:t>recognis</w:t>
      </w:r>
      <w:r w:rsidRPr="00324454">
        <w:rPr>
          <w:rFonts w:ascii="Arial" w:hAnsi="Arial" w:cs="Arial"/>
          <w:sz w:val="24"/>
          <w:szCs w:val="24"/>
          <w:lang w:val="en-US"/>
        </w:rPr>
        <w:t>ed</w:t>
      </w:r>
      <w:proofErr w:type="spellEnd"/>
      <w:r w:rsidRPr="00324454">
        <w:rPr>
          <w:rFonts w:ascii="Arial" w:hAnsi="Arial" w:cs="Arial"/>
          <w:sz w:val="24"/>
          <w:szCs w:val="24"/>
          <w:lang w:val="en-US"/>
        </w:rPr>
        <w:t xml:space="preserve"> </w:t>
      </w:r>
      <w:r w:rsidR="004E4CAF">
        <w:rPr>
          <w:rFonts w:ascii="Arial" w:hAnsi="Arial" w:cs="Arial"/>
          <w:sz w:val="24"/>
          <w:szCs w:val="24"/>
          <w:lang w:val="en-US"/>
        </w:rPr>
        <w:t>in</w:t>
      </w:r>
      <w:r w:rsidRPr="00324454">
        <w:rPr>
          <w:rFonts w:ascii="Arial" w:hAnsi="Arial" w:cs="Arial"/>
          <w:sz w:val="24"/>
          <w:szCs w:val="24"/>
          <w:lang w:val="en-US"/>
        </w:rPr>
        <w:t xml:space="preserve"> the endogenous growth literature [see e.g. Romer</w:t>
      </w:r>
      <w:r w:rsidR="001D3375" w:rsidRPr="00324454">
        <w:rPr>
          <w:rFonts w:ascii="Arial" w:hAnsi="Arial" w:cs="Arial"/>
          <w:sz w:val="24"/>
          <w:szCs w:val="24"/>
          <w:lang w:val="en-US"/>
        </w:rPr>
        <w:t xml:space="preserve"> (1990)]. </w:t>
      </w:r>
      <w:r w:rsidR="006072EF" w:rsidRPr="00324454">
        <w:rPr>
          <w:rFonts w:ascii="Arial" w:hAnsi="Arial" w:cs="Arial"/>
          <w:sz w:val="24"/>
          <w:szCs w:val="24"/>
          <w:lang w:val="en-US"/>
        </w:rPr>
        <w:t>In fact, abrupt changes followi</w:t>
      </w:r>
      <w:r w:rsidR="004E4CAF">
        <w:rPr>
          <w:rFonts w:ascii="Arial" w:hAnsi="Arial" w:cs="Arial"/>
          <w:sz w:val="24"/>
          <w:szCs w:val="24"/>
          <w:lang w:val="en-US"/>
        </w:rPr>
        <w:t xml:space="preserve">ng innovation have been </w:t>
      </w:r>
      <w:proofErr w:type="spellStart"/>
      <w:r w:rsidR="004E4CAF">
        <w:rPr>
          <w:rFonts w:ascii="Arial" w:hAnsi="Arial" w:cs="Arial"/>
          <w:sz w:val="24"/>
          <w:szCs w:val="24"/>
          <w:lang w:val="en-US"/>
        </w:rPr>
        <w:t>recognis</w:t>
      </w:r>
      <w:r w:rsidR="006072EF" w:rsidRPr="00324454">
        <w:rPr>
          <w:rFonts w:ascii="Arial" w:hAnsi="Arial" w:cs="Arial"/>
          <w:sz w:val="24"/>
          <w:szCs w:val="24"/>
          <w:lang w:val="en-US"/>
        </w:rPr>
        <w:t>ed</w:t>
      </w:r>
      <w:proofErr w:type="spellEnd"/>
      <w:r w:rsidR="006072EF" w:rsidRPr="00324454">
        <w:rPr>
          <w:rFonts w:ascii="Arial" w:hAnsi="Arial" w:cs="Arial"/>
          <w:sz w:val="24"/>
          <w:szCs w:val="24"/>
          <w:lang w:val="en-US"/>
        </w:rPr>
        <w:t xml:space="preserve"> since </w:t>
      </w:r>
      <w:r w:rsidR="005661D5" w:rsidRPr="00324454">
        <w:rPr>
          <w:rFonts w:ascii="Arial" w:hAnsi="Arial" w:cs="Arial"/>
          <w:sz w:val="24"/>
          <w:szCs w:val="24"/>
          <w:lang w:val="en-US"/>
        </w:rPr>
        <w:t>Schumpeter (</w:t>
      </w:r>
      <w:r w:rsidR="006072EF" w:rsidRPr="00324454">
        <w:rPr>
          <w:rFonts w:ascii="Arial" w:hAnsi="Arial" w:cs="Arial"/>
          <w:sz w:val="24"/>
          <w:szCs w:val="24"/>
          <w:lang w:val="en-US"/>
        </w:rPr>
        <w:t>1912, 1942)</w:t>
      </w:r>
      <w:r w:rsidR="0048436F" w:rsidRPr="00324454">
        <w:rPr>
          <w:rFonts w:ascii="Arial" w:hAnsi="Arial" w:cs="Arial"/>
          <w:sz w:val="24"/>
          <w:szCs w:val="24"/>
          <w:lang w:val="en-US"/>
        </w:rPr>
        <w:t>;</w:t>
      </w:r>
      <w:r w:rsidR="006072EF" w:rsidRPr="00324454">
        <w:rPr>
          <w:rFonts w:ascii="Arial" w:hAnsi="Arial" w:cs="Arial"/>
          <w:sz w:val="24"/>
          <w:szCs w:val="24"/>
          <w:lang w:val="en-US"/>
        </w:rPr>
        <w:t xml:space="preserve"> </w:t>
      </w:r>
      <w:r w:rsidR="00324454" w:rsidRPr="00324454">
        <w:rPr>
          <w:rFonts w:ascii="Arial" w:hAnsi="Arial" w:cs="Arial"/>
          <w:sz w:val="24"/>
          <w:szCs w:val="24"/>
          <w:lang w:val="en-US"/>
        </w:rPr>
        <w:t>t</w:t>
      </w:r>
      <w:r w:rsidR="004E4CAF">
        <w:rPr>
          <w:rFonts w:ascii="Arial" w:hAnsi="Arial" w:cs="Arial"/>
          <w:sz w:val="24"/>
          <w:szCs w:val="24"/>
          <w:lang w:val="en-US"/>
        </w:rPr>
        <w:t>hat</w:t>
      </w:r>
      <w:r w:rsidR="006072EF" w:rsidRPr="00324454">
        <w:rPr>
          <w:rFonts w:ascii="Arial" w:hAnsi="Arial" w:cs="Arial"/>
          <w:sz w:val="24"/>
          <w:szCs w:val="24"/>
          <w:lang w:val="en-US"/>
        </w:rPr>
        <w:t xml:space="preserve"> </w:t>
      </w:r>
      <w:r w:rsidR="002D2879">
        <w:rPr>
          <w:rFonts w:ascii="Arial" w:hAnsi="Arial" w:cs="Arial"/>
          <w:sz w:val="24"/>
          <w:szCs w:val="24"/>
          <w:lang w:val="en-US"/>
        </w:rPr>
        <w:t>author</w:t>
      </w:r>
      <w:r w:rsidR="006072EF" w:rsidRPr="00324454">
        <w:rPr>
          <w:rFonts w:ascii="Arial" w:hAnsi="Arial" w:cs="Arial"/>
          <w:sz w:val="24"/>
          <w:szCs w:val="24"/>
          <w:lang w:val="en-US"/>
        </w:rPr>
        <w:t xml:space="preserve"> </w:t>
      </w:r>
      <w:r w:rsidR="004E4CAF">
        <w:rPr>
          <w:rFonts w:ascii="Arial" w:hAnsi="Arial" w:cs="Arial"/>
          <w:sz w:val="24"/>
          <w:szCs w:val="24"/>
          <w:lang w:val="en-US"/>
        </w:rPr>
        <w:t xml:space="preserve">who </w:t>
      </w:r>
      <w:r w:rsidR="006072EF" w:rsidRPr="00324454">
        <w:rPr>
          <w:rFonts w:ascii="Arial" w:hAnsi="Arial" w:cs="Arial"/>
          <w:sz w:val="24"/>
          <w:szCs w:val="24"/>
          <w:lang w:val="en-US"/>
        </w:rPr>
        <w:t xml:space="preserve">contended </w:t>
      </w:r>
      <w:r w:rsidR="005661D5" w:rsidRPr="00324454">
        <w:rPr>
          <w:rFonts w:ascii="Arial" w:hAnsi="Arial" w:cs="Arial"/>
          <w:sz w:val="24"/>
          <w:szCs w:val="24"/>
          <w:lang w:val="en-US"/>
        </w:rPr>
        <w:t xml:space="preserve">that innovation </w:t>
      </w:r>
      <w:r w:rsidR="004E4CAF">
        <w:rPr>
          <w:rFonts w:ascii="Arial" w:hAnsi="Arial" w:cs="Arial"/>
          <w:sz w:val="24"/>
          <w:szCs w:val="24"/>
          <w:lang w:val="en-US"/>
        </w:rPr>
        <w:t>is</w:t>
      </w:r>
      <w:r w:rsidR="005661D5" w:rsidRPr="00324454">
        <w:rPr>
          <w:rFonts w:ascii="Arial" w:hAnsi="Arial" w:cs="Arial"/>
          <w:sz w:val="24"/>
          <w:szCs w:val="24"/>
          <w:lang w:val="en-US"/>
        </w:rPr>
        <w:t xml:space="preserve"> responsible for incessant</w:t>
      </w:r>
      <w:r w:rsidR="006D577A">
        <w:rPr>
          <w:rFonts w:ascii="Arial" w:hAnsi="Arial" w:cs="Arial"/>
          <w:sz w:val="24"/>
          <w:szCs w:val="24"/>
          <w:lang w:val="en-US"/>
        </w:rPr>
        <w:t>ly destroying the old and creating</w:t>
      </w:r>
      <w:r w:rsidR="005661D5" w:rsidRPr="00324454">
        <w:rPr>
          <w:rFonts w:ascii="Arial" w:hAnsi="Arial" w:cs="Arial"/>
          <w:sz w:val="24"/>
          <w:szCs w:val="24"/>
          <w:lang w:val="en-US"/>
        </w:rPr>
        <w:t xml:space="preserve"> the new</w:t>
      </w:r>
      <w:r w:rsidR="004E4CAF">
        <w:rPr>
          <w:rFonts w:ascii="Arial" w:hAnsi="Arial" w:cs="Arial"/>
          <w:sz w:val="24"/>
          <w:szCs w:val="24"/>
          <w:lang w:val="en-US"/>
        </w:rPr>
        <w:t>. This</w:t>
      </w:r>
      <w:r w:rsidR="00B07BCA" w:rsidRPr="00324454">
        <w:rPr>
          <w:rFonts w:ascii="Arial" w:hAnsi="Arial" w:cs="Arial"/>
          <w:sz w:val="24"/>
          <w:szCs w:val="24"/>
          <w:lang w:val="en-US"/>
        </w:rPr>
        <w:t xml:space="preserve"> notion of </w:t>
      </w:r>
      <w:r w:rsidR="00B07BCA" w:rsidRPr="00324454">
        <w:rPr>
          <w:rFonts w:ascii="Arial" w:hAnsi="Arial" w:cs="Arial"/>
          <w:i/>
          <w:sz w:val="24"/>
          <w:szCs w:val="24"/>
          <w:lang w:val="en-US"/>
        </w:rPr>
        <w:t>creative destruction</w:t>
      </w:r>
      <w:r w:rsidR="00B07BCA" w:rsidRPr="00324454">
        <w:rPr>
          <w:rFonts w:ascii="Arial" w:hAnsi="Arial" w:cs="Arial"/>
          <w:sz w:val="24"/>
          <w:szCs w:val="24"/>
          <w:lang w:val="en-US"/>
        </w:rPr>
        <w:t xml:space="preserve"> innovation </w:t>
      </w:r>
      <w:r w:rsidR="00343215">
        <w:rPr>
          <w:rFonts w:ascii="Arial" w:hAnsi="Arial" w:cs="Arial"/>
          <w:sz w:val="24"/>
          <w:szCs w:val="24"/>
          <w:lang w:val="en-US"/>
        </w:rPr>
        <w:t xml:space="preserve">encompasses </w:t>
      </w:r>
      <w:r w:rsidR="00B07BCA" w:rsidRPr="00324454">
        <w:rPr>
          <w:rFonts w:ascii="Arial" w:hAnsi="Arial" w:cs="Arial"/>
          <w:sz w:val="24"/>
          <w:szCs w:val="24"/>
          <w:lang w:val="en-US"/>
        </w:rPr>
        <w:t xml:space="preserve">two major </w:t>
      </w:r>
      <w:r w:rsidR="00343215">
        <w:rPr>
          <w:rFonts w:ascii="Arial" w:hAnsi="Arial" w:cs="Arial"/>
          <w:sz w:val="24"/>
          <w:szCs w:val="24"/>
          <w:lang w:val="en-US"/>
        </w:rPr>
        <w:t>categories</w:t>
      </w:r>
      <w:r w:rsidR="00B07BCA" w:rsidRPr="00324454">
        <w:rPr>
          <w:rFonts w:ascii="Arial" w:hAnsi="Arial" w:cs="Arial"/>
          <w:sz w:val="24"/>
          <w:szCs w:val="24"/>
          <w:lang w:val="en-US"/>
        </w:rPr>
        <w:t xml:space="preserve">: the radical innovations that follow the precepts of creative destruction </w:t>
      </w:r>
      <w:r w:rsidR="004E4CAF">
        <w:rPr>
          <w:rFonts w:ascii="Arial" w:hAnsi="Arial" w:cs="Arial"/>
          <w:sz w:val="24"/>
          <w:szCs w:val="24"/>
          <w:lang w:val="en-US"/>
        </w:rPr>
        <w:t xml:space="preserve">and </w:t>
      </w:r>
      <w:r w:rsidR="00B07BCA" w:rsidRPr="00324454">
        <w:rPr>
          <w:rFonts w:ascii="Arial" w:hAnsi="Arial" w:cs="Arial"/>
          <w:sz w:val="24"/>
          <w:szCs w:val="24"/>
          <w:lang w:val="en-US"/>
        </w:rPr>
        <w:t xml:space="preserve">so </w:t>
      </w:r>
      <w:r w:rsidR="00343215">
        <w:rPr>
          <w:rFonts w:ascii="Arial" w:hAnsi="Arial" w:cs="Arial"/>
          <w:sz w:val="24"/>
          <w:szCs w:val="24"/>
          <w:lang w:val="en-US"/>
        </w:rPr>
        <w:t xml:space="preserve">as to </w:t>
      </w:r>
      <w:r w:rsidR="00B07BCA" w:rsidRPr="00324454">
        <w:rPr>
          <w:rFonts w:ascii="Arial" w:hAnsi="Arial" w:cs="Arial"/>
          <w:sz w:val="24"/>
          <w:szCs w:val="24"/>
          <w:lang w:val="en-US"/>
        </w:rPr>
        <w:t>dramatically alter existing structures, and incremental innovations that follow a</w:t>
      </w:r>
      <w:r w:rsidR="007D1140" w:rsidRPr="00324454">
        <w:rPr>
          <w:rFonts w:ascii="Arial" w:hAnsi="Arial" w:cs="Arial"/>
          <w:sz w:val="24"/>
          <w:szCs w:val="24"/>
          <w:lang w:val="en-US"/>
        </w:rPr>
        <w:t>n</w:t>
      </w:r>
      <w:r w:rsidR="00B07BCA" w:rsidRPr="00324454">
        <w:rPr>
          <w:rFonts w:ascii="Arial" w:hAnsi="Arial" w:cs="Arial"/>
          <w:sz w:val="24"/>
          <w:szCs w:val="24"/>
          <w:lang w:val="en-US"/>
        </w:rPr>
        <w:t xml:space="preserve"> </w:t>
      </w:r>
      <w:r w:rsidR="007D1140" w:rsidRPr="00324454">
        <w:rPr>
          <w:rFonts w:ascii="Arial" w:hAnsi="Arial" w:cs="Arial"/>
          <w:sz w:val="24"/>
          <w:szCs w:val="24"/>
          <w:lang w:val="en-US"/>
        </w:rPr>
        <w:t>incremental</w:t>
      </w:r>
      <w:r w:rsidR="00B07BCA" w:rsidRPr="00324454">
        <w:rPr>
          <w:rFonts w:ascii="Arial" w:hAnsi="Arial" w:cs="Arial"/>
          <w:sz w:val="24"/>
          <w:szCs w:val="24"/>
          <w:lang w:val="en-US"/>
        </w:rPr>
        <w:t xml:space="preserve"> process of </w:t>
      </w:r>
      <w:r w:rsidR="007D1140" w:rsidRPr="00324454">
        <w:rPr>
          <w:rFonts w:ascii="Arial" w:hAnsi="Arial" w:cs="Arial"/>
          <w:bCs/>
          <w:i/>
          <w:sz w:val="24"/>
          <w:szCs w:val="24"/>
          <w:lang w:val="en-US"/>
        </w:rPr>
        <w:t>creative accumulation</w:t>
      </w:r>
      <w:r w:rsidR="00343215">
        <w:rPr>
          <w:rFonts w:ascii="Arial" w:hAnsi="Arial" w:cs="Arial"/>
          <w:sz w:val="24"/>
          <w:szCs w:val="24"/>
          <w:lang w:val="en-US"/>
        </w:rPr>
        <w:t>.</w:t>
      </w:r>
    </w:p>
    <w:p w:rsidR="00AB0112" w:rsidRPr="00324454" w:rsidRDefault="00B07BCA" w:rsidP="00D93057">
      <w:pPr>
        <w:autoSpaceDE w:val="0"/>
        <w:autoSpaceDN w:val="0"/>
        <w:adjustRightInd w:val="0"/>
        <w:spacing w:line="480" w:lineRule="auto"/>
        <w:ind w:firstLine="709"/>
        <w:jc w:val="both"/>
        <w:rPr>
          <w:rFonts w:ascii="Arial" w:hAnsi="Arial" w:cs="Arial"/>
          <w:sz w:val="24"/>
          <w:szCs w:val="24"/>
          <w:lang w:val="en-US"/>
        </w:rPr>
      </w:pPr>
      <w:r w:rsidRPr="00324454">
        <w:rPr>
          <w:rFonts w:ascii="Arial" w:hAnsi="Arial" w:cs="Arial"/>
          <w:sz w:val="24"/>
          <w:szCs w:val="24"/>
          <w:lang w:val="en-US"/>
        </w:rPr>
        <w:t xml:space="preserve"> </w:t>
      </w:r>
      <w:r w:rsidR="00856B40" w:rsidRPr="00324454">
        <w:rPr>
          <w:rFonts w:ascii="Arial" w:hAnsi="Arial" w:cs="Arial"/>
          <w:sz w:val="24"/>
          <w:szCs w:val="24"/>
          <w:lang w:val="en-US"/>
        </w:rPr>
        <w:t>Following that lead, Nelson and Winter (1982) and Kamien and Schwartz (1982)</w:t>
      </w:r>
      <w:r w:rsidR="00E74867" w:rsidRPr="00324454">
        <w:rPr>
          <w:rFonts w:ascii="Arial" w:hAnsi="Arial" w:cs="Arial"/>
          <w:sz w:val="24"/>
          <w:szCs w:val="24"/>
          <w:lang w:val="en-US"/>
        </w:rPr>
        <w:t xml:space="preserve"> highlight</w:t>
      </w:r>
      <w:r w:rsidR="00856B40" w:rsidRPr="00324454">
        <w:rPr>
          <w:rFonts w:ascii="Arial" w:hAnsi="Arial" w:cs="Arial"/>
          <w:sz w:val="24"/>
          <w:szCs w:val="24"/>
          <w:lang w:val="en-US"/>
        </w:rPr>
        <w:t>ed two salie</w:t>
      </w:r>
      <w:r w:rsidR="00E74867" w:rsidRPr="00324454">
        <w:rPr>
          <w:rFonts w:ascii="Arial" w:hAnsi="Arial" w:cs="Arial"/>
          <w:sz w:val="24"/>
          <w:szCs w:val="24"/>
          <w:lang w:val="en-US"/>
        </w:rPr>
        <w:t>n</w:t>
      </w:r>
      <w:r w:rsidR="00856B40" w:rsidRPr="00324454">
        <w:rPr>
          <w:rFonts w:ascii="Arial" w:hAnsi="Arial" w:cs="Arial"/>
          <w:sz w:val="24"/>
          <w:szCs w:val="24"/>
          <w:lang w:val="en-US"/>
        </w:rPr>
        <w:t xml:space="preserve">t innovative patterns: </w:t>
      </w:r>
      <w:r w:rsidR="004E4CAF">
        <w:rPr>
          <w:rFonts w:ascii="Arial" w:hAnsi="Arial" w:cs="Arial"/>
          <w:sz w:val="24"/>
          <w:szCs w:val="24"/>
          <w:lang w:val="en-US"/>
        </w:rPr>
        <w:t xml:space="preserve">the first is </w:t>
      </w:r>
      <w:proofErr w:type="spellStart"/>
      <w:r w:rsidR="004E4CAF">
        <w:rPr>
          <w:rFonts w:ascii="Arial" w:hAnsi="Arial" w:cs="Arial"/>
          <w:sz w:val="24"/>
          <w:szCs w:val="24"/>
          <w:lang w:val="en-US"/>
        </w:rPr>
        <w:t>characteris</w:t>
      </w:r>
      <w:r w:rsidR="002F6F65" w:rsidRPr="00324454">
        <w:rPr>
          <w:rFonts w:ascii="Arial" w:hAnsi="Arial" w:cs="Arial"/>
          <w:sz w:val="24"/>
          <w:szCs w:val="24"/>
          <w:lang w:val="en-US"/>
        </w:rPr>
        <w:t>ed</w:t>
      </w:r>
      <w:proofErr w:type="spellEnd"/>
      <w:r w:rsidR="0053076A" w:rsidRPr="00324454">
        <w:rPr>
          <w:rFonts w:ascii="Arial" w:hAnsi="Arial" w:cs="Arial"/>
          <w:sz w:val="24"/>
          <w:szCs w:val="24"/>
          <w:lang w:val="en-US"/>
        </w:rPr>
        <w:t xml:space="preserve"> in term</w:t>
      </w:r>
      <w:r w:rsidR="004E4CAF">
        <w:rPr>
          <w:rFonts w:ascii="Arial" w:hAnsi="Arial" w:cs="Arial"/>
          <w:sz w:val="24"/>
          <w:szCs w:val="24"/>
          <w:lang w:val="en-US"/>
        </w:rPr>
        <w:t>s</w:t>
      </w:r>
      <w:r w:rsidR="0053076A" w:rsidRPr="00324454">
        <w:rPr>
          <w:rFonts w:ascii="Arial" w:hAnsi="Arial" w:cs="Arial"/>
          <w:sz w:val="24"/>
          <w:szCs w:val="24"/>
          <w:lang w:val="en-US"/>
        </w:rPr>
        <w:t xml:space="preserve"> of a </w:t>
      </w:r>
      <w:r w:rsidR="0053076A" w:rsidRPr="00324454">
        <w:rPr>
          <w:rFonts w:ascii="Arial" w:hAnsi="Arial" w:cs="Arial"/>
          <w:i/>
          <w:sz w:val="24"/>
          <w:szCs w:val="24"/>
          <w:lang w:val="en-US"/>
        </w:rPr>
        <w:t>creative destruction</w:t>
      </w:r>
      <w:r w:rsidR="0053076A" w:rsidRPr="00324454">
        <w:rPr>
          <w:rFonts w:ascii="Arial" w:hAnsi="Arial" w:cs="Arial"/>
          <w:sz w:val="24"/>
          <w:szCs w:val="24"/>
          <w:lang w:val="en-US"/>
        </w:rPr>
        <w:t>, with</w:t>
      </w:r>
      <w:r w:rsidR="002F6F65" w:rsidRPr="00324454">
        <w:rPr>
          <w:rFonts w:ascii="Arial" w:hAnsi="Arial" w:cs="Arial"/>
          <w:sz w:val="24"/>
          <w:szCs w:val="24"/>
          <w:lang w:val="en-US"/>
        </w:rPr>
        <w:t xml:space="preserve"> </w:t>
      </w:r>
      <w:r w:rsidR="0053076A" w:rsidRPr="00324454">
        <w:rPr>
          <w:rFonts w:ascii="Arial" w:hAnsi="Arial" w:cs="Arial"/>
          <w:sz w:val="24"/>
          <w:szCs w:val="24"/>
          <w:lang w:val="en-US"/>
        </w:rPr>
        <w:t xml:space="preserve">an </w:t>
      </w:r>
      <w:r w:rsidR="002F6F65" w:rsidRPr="00324454">
        <w:rPr>
          <w:rFonts w:ascii="Arial" w:hAnsi="Arial" w:cs="Arial"/>
          <w:sz w:val="24"/>
          <w:szCs w:val="24"/>
          <w:lang w:val="en-US"/>
        </w:rPr>
        <w:t xml:space="preserve">easy entry </w:t>
      </w:r>
      <w:r w:rsidR="004E4CAF">
        <w:rPr>
          <w:rFonts w:ascii="Arial" w:hAnsi="Arial" w:cs="Arial"/>
          <w:sz w:val="24"/>
          <w:szCs w:val="24"/>
          <w:lang w:val="en-US"/>
        </w:rPr>
        <w:t>for</w:t>
      </w:r>
      <w:r w:rsidR="002F6F65" w:rsidRPr="00324454">
        <w:rPr>
          <w:rFonts w:ascii="Arial" w:hAnsi="Arial" w:cs="Arial"/>
          <w:sz w:val="24"/>
          <w:szCs w:val="24"/>
          <w:lang w:val="en-US"/>
        </w:rPr>
        <w:t xml:space="preserve"> new innovator</w:t>
      </w:r>
      <w:r w:rsidR="004E4CAF">
        <w:rPr>
          <w:rFonts w:ascii="Arial" w:hAnsi="Arial" w:cs="Arial"/>
          <w:sz w:val="24"/>
          <w:szCs w:val="24"/>
          <w:lang w:val="en-US"/>
        </w:rPr>
        <w:t>s</w:t>
      </w:r>
      <w:r w:rsidR="002F6F65" w:rsidRPr="00324454">
        <w:rPr>
          <w:rFonts w:ascii="Arial" w:hAnsi="Arial" w:cs="Arial"/>
          <w:sz w:val="24"/>
          <w:szCs w:val="24"/>
          <w:lang w:val="en-US"/>
        </w:rPr>
        <w:t>, who</w:t>
      </w:r>
      <w:r w:rsidR="00603E50" w:rsidRPr="00324454">
        <w:rPr>
          <w:rFonts w:ascii="Arial" w:hAnsi="Arial" w:cs="Arial"/>
          <w:sz w:val="24"/>
          <w:szCs w:val="24"/>
          <w:lang w:val="en-US"/>
        </w:rPr>
        <w:t xml:space="preserve"> introduc</w:t>
      </w:r>
      <w:r w:rsidR="004F245A" w:rsidRPr="00324454">
        <w:rPr>
          <w:rFonts w:ascii="Arial" w:hAnsi="Arial" w:cs="Arial"/>
          <w:sz w:val="24"/>
          <w:szCs w:val="24"/>
          <w:lang w:val="en-US"/>
        </w:rPr>
        <w:t>e</w:t>
      </w:r>
      <w:r w:rsidR="00603E50" w:rsidRPr="00324454">
        <w:rPr>
          <w:rFonts w:ascii="Arial" w:hAnsi="Arial" w:cs="Arial"/>
          <w:sz w:val="24"/>
          <w:szCs w:val="24"/>
          <w:lang w:val="en-US"/>
        </w:rPr>
        <w:t xml:space="preserve"> </w:t>
      </w:r>
      <w:r w:rsidR="002F6F65" w:rsidRPr="00324454">
        <w:rPr>
          <w:rFonts w:ascii="Arial" w:hAnsi="Arial" w:cs="Arial"/>
          <w:sz w:val="24"/>
          <w:szCs w:val="24"/>
          <w:lang w:val="en-US"/>
        </w:rPr>
        <w:t>new ideas, processes and products</w:t>
      </w:r>
      <w:r w:rsidR="00603E50" w:rsidRPr="00324454">
        <w:rPr>
          <w:rFonts w:ascii="Arial" w:hAnsi="Arial" w:cs="Arial"/>
          <w:sz w:val="24"/>
          <w:szCs w:val="24"/>
          <w:lang w:val="en-US"/>
        </w:rPr>
        <w:t xml:space="preserve"> </w:t>
      </w:r>
      <w:r w:rsidR="004F245A" w:rsidRPr="00324454">
        <w:rPr>
          <w:rFonts w:ascii="Arial" w:hAnsi="Arial" w:cs="Arial"/>
          <w:sz w:val="24"/>
          <w:szCs w:val="24"/>
          <w:lang w:val="en-US"/>
        </w:rPr>
        <w:t xml:space="preserve">that </w:t>
      </w:r>
      <w:r w:rsidR="00B87179" w:rsidRPr="00324454">
        <w:rPr>
          <w:rFonts w:ascii="Arial" w:hAnsi="Arial" w:cs="Arial"/>
          <w:sz w:val="24"/>
          <w:szCs w:val="24"/>
          <w:lang w:val="en-US"/>
        </w:rPr>
        <w:t>ha</w:t>
      </w:r>
      <w:r w:rsidR="004F245A" w:rsidRPr="00324454">
        <w:rPr>
          <w:rFonts w:ascii="Arial" w:hAnsi="Arial" w:cs="Arial"/>
          <w:sz w:val="24"/>
          <w:szCs w:val="24"/>
          <w:lang w:val="en-US"/>
        </w:rPr>
        <w:t>ve</w:t>
      </w:r>
      <w:r w:rsidR="004E4CAF">
        <w:rPr>
          <w:rFonts w:ascii="Arial" w:hAnsi="Arial" w:cs="Arial"/>
          <w:sz w:val="24"/>
          <w:szCs w:val="24"/>
          <w:lang w:val="en-US"/>
        </w:rPr>
        <w:t xml:space="preserve"> disruptive effects o</w:t>
      </w:r>
      <w:r w:rsidR="00B87179" w:rsidRPr="00324454">
        <w:rPr>
          <w:rFonts w:ascii="Arial" w:hAnsi="Arial" w:cs="Arial"/>
          <w:sz w:val="24"/>
          <w:szCs w:val="24"/>
          <w:lang w:val="en-US"/>
        </w:rPr>
        <w:t xml:space="preserve">n the </w:t>
      </w:r>
      <w:r w:rsidR="002F6F65" w:rsidRPr="00324454">
        <w:rPr>
          <w:rFonts w:ascii="Arial" w:hAnsi="Arial" w:cs="Arial"/>
          <w:sz w:val="24"/>
          <w:szCs w:val="24"/>
          <w:lang w:val="en-US"/>
        </w:rPr>
        <w:t xml:space="preserve">competitive </w:t>
      </w:r>
      <w:r w:rsidR="00DE0E7C" w:rsidRPr="00324454">
        <w:rPr>
          <w:rFonts w:ascii="Arial" w:hAnsi="Arial" w:cs="Arial"/>
          <w:sz w:val="24"/>
          <w:szCs w:val="24"/>
          <w:lang w:val="en-US"/>
        </w:rPr>
        <w:t>environment. This patter</w:t>
      </w:r>
      <w:r w:rsidR="00B7163D" w:rsidRPr="00324454">
        <w:rPr>
          <w:rFonts w:ascii="Arial" w:hAnsi="Arial" w:cs="Arial"/>
          <w:sz w:val="24"/>
          <w:szCs w:val="24"/>
          <w:lang w:val="en-US"/>
        </w:rPr>
        <w:t>n</w:t>
      </w:r>
      <w:r w:rsidR="00DE0E7C" w:rsidRPr="00324454">
        <w:rPr>
          <w:rFonts w:ascii="Arial" w:hAnsi="Arial" w:cs="Arial"/>
          <w:sz w:val="24"/>
          <w:szCs w:val="24"/>
          <w:lang w:val="en-US"/>
        </w:rPr>
        <w:t xml:space="preserve"> </w:t>
      </w:r>
      <w:r w:rsidR="004E4CAF">
        <w:rPr>
          <w:rFonts w:ascii="Arial" w:hAnsi="Arial" w:cs="Arial"/>
          <w:sz w:val="24"/>
          <w:szCs w:val="24"/>
          <w:lang w:val="en-US"/>
        </w:rPr>
        <w:t>has been</w:t>
      </w:r>
      <w:r w:rsidR="00DE0E7C" w:rsidRPr="00324454">
        <w:rPr>
          <w:rFonts w:ascii="Arial" w:hAnsi="Arial" w:cs="Arial"/>
          <w:sz w:val="24"/>
          <w:szCs w:val="24"/>
          <w:lang w:val="en-US"/>
        </w:rPr>
        <w:t xml:space="preserve"> </w:t>
      </w:r>
      <w:proofErr w:type="spellStart"/>
      <w:r w:rsidR="00DE0E7C" w:rsidRPr="00324454">
        <w:rPr>
          <w:rFonts w:ascii="Arial" w:hAnsi="Arial" w:cs="Arial"/>
          <w:sz w:val="24"/>
          <w:szCs w:val="24"/>
          <w:lang w:val="en-US"/>
        </w:rPr>
        <w:t>label</w:t>
      </w:r>
      <w:r w:rsidR="004E4CAF">
        <w:rPr>
          <w:rFonts w:ascii="Arial" w:hAnsi="Arial" w:cs="Arial"/>
          <w:sz w:val="24"/>
          <w:szCs w:val="24"/>
          <w:lang w:val="en-US"/>
        </w:rPr>
        <w:t>l</w:t>
      </w:r>
      <w:r w:rsidR="00DE0E7C" w:rsidRPr="00324454">
        <w:rPr>
          <w:rFonts w:ascii="Arial" w:hAnsi="Arial" w:cs="Arial"/>
          <w:sz w:val="24"/>
          <w:szCs w:val="24"/>
          <w:lang w:val="en-US"/>
        </w:rPr>
        <w:t>ed</w:t>
      </w:r>
      <w:proofErr w:type="spellEnd"/>
      <w:r w:rsidR="00DE0E7C" w:rsidRPr="00324454">
        <w:rPr>
          <w:rFonts w:ascii="Arial" w:hAnsi="Arial" w:cs="Arial"/>
          <w:sz w:val="24"/>
          <w:szCs w:val="24"/>
          <w:lang w:val="en-US"/>
        </w:rPr>
        <w:t xml:space="preserve"> as Schumpeter Mark I (SM-I), </w:t>
      </w:r>
      <w:r w:rsidR="004E4CAF">
        <w:rPr>
          <w:rFonts w:ascii="Arial" w:hAnsi="Arial" w:cs="Arial"/>
          <w:sz w:val="24"/>
          <w:szCs w:val="24"/>
          <w:lang w:val="en-US"/>
        </w:rPr>
        <w:t>and</w:t>
      </w:r>
      <w:r w:rsidR="00DE0E7C" w:rsidRPr="00324454">
        <w:rPr>
          <w:rFonts w:ascii="Arial" w:hAnsi="Arial" w:cs="Arial"/>
          <w:sz w:val="24"/>
          <w:szCs w:val="24"/>
          <w:lang w:val="en-US"/>
        </w:rPr>
        <w:t xml:space="preserve"> </w:t>
      </w:r>
      <w:proofErr w:type="gramStart"/>
      <w:r w:rsidR="00EE060C">
        <w:rPr>
          <w:rFonts w:ascii="Arial" w:hAnsi="Arial" w:cs="Arial"/>
          <w:sz w:val="24"/>
          <w:szCs w:val="24"/>
          <w:lang w:val="en-US"/>
        </w:rPr>
        <w:t>is</w:t>
      </w:r>
      <w:r w:rsidR="00DE0E7C" w:rsidRPr="00324454">
        <w:rPr>
          <w:rFonts w:ascii="Arial" w:hAnsi="Arial" w:cs="Arial"/>
          <w:sz w:val="24"/>
          <w:szCs w:val="24"/>
          <w:lang w:val="en-US"/>
        </w:rPr>
        <w:t xml:space="preserve">  associated</w:t>
      </w:r>
      <w:proofErr w:type="gramEnd"/>
      <w:r w:rsidR="00DE0E7C" w:rsidRPr="00324454">
        <w:rPr>
          <w:rFonts w:ascii="Arial" w:hAnsi="Arial" w:cs="Arial"/>
          <w:sz w:val="24"/>
          <w:szCs w:val="24"/>
          <w:lang w:val="en-US"/>
        </w:rPr>
        <w:t xml:space="preserve"> </w:t>
      </w:r>
      <w:r w:rsidR="004E4CAF">
        <w:rPr>
          <w:rFonts w:ascii="Arial" w:hAnsi="Arial" w:cs="Arial"/>
          <w:sz w:val="24"/>
          <w:szCs w:val="24"/>
          <w:lang w:val="en-US"/>
        </w:rPr>
        <w:t>with</w:t>
      </w:r>
      <w:r w:rsidR="00DE0E7C" w:rsidRPr="00324454">
        <w:rPr>
          <w:rFonts w:ascii="Arial" w:hAnsi="Arial" w:cs="Arial"/>
          <w:sz w:val="24"/>
          <w:szCs w:val="24"/>
          <w:lang w:val="en-US"/>
        </w:rPr>
        <w:t xml:space="preserve"> a widening pattern, </w:t>
      </w:r>
      <w:r w:rsidR="004E4CAF">
        <w:rPr>
          <w:rFonts w:ascii="Arial" w:hAnsi="Arial" w:cs="Arial"/>
          <w:sz w:val="24"/>
          <w:szCs w:val="24"/>
          <w:lang w:val="en-US"/>
        </w:rPr>
        <w:t>that</w:t>
      </w:r>
      <w:r w:rsidR="00DE0E7C" w:rsidRPr="00324454">
        <w:rPr>
          <w:rFonts w:ascii="Arial" w:hAnsi="Arial" w:cs="Arial"/>
          <w:sz w:val="24"/>
          <w:szCs w:val="24"/>
          <w:lang w:val="en-US"/>
        </w:rPr>
        <w:t xml:space="preserve"> allows an expansion of the knowledge</w:t>
      </w:r>
      <w:r w:rsidR="00EE060C">
        <w:rPr>
          <w:rFonts w:ascii="Arial" w:hAnsi="Arial" w:cs="Arial"/>
          <w:sz w:val="24"/>
          <w:szCs w:val="24"/>
          <w:lang w:val="en-US"/>
        </w:rPr>
        <w:t>-</w:t>
      </w:r>
      <w:r w:rsidR="00DE0E7C" w:rsidRPr="00324454">
        <w:rPr>
          <w:rFonts w:ascii="Arial" w:hAnsi="Arial" w:cs="Arial"/>
          <w:sz w:val="24"/>
          <w:szCs w:val="24"/>
          <w:lang w:val="en-US"/>
        </w:rPr>
        <w:t>base.</w:t>
      </w:r>
    </w:p>
    <w:p w:rsidR="00CA1B75" w:rsidRPr="00324454" w:rsidRDefault="00CE5506" w:rsidP="00CE5506">
      <w:pPr>
        <w:autoSpaceDE w:val="0"/>
        <w:autoSpaceDN w:val="0"/>
        <w:adjustRightInd w:val="0"/>
        <w:spacing w:line="480" w:lineRule="auto"/>
        <w:jc w:val="both"/>
        <w:rPr>
          <w:rFonts w:ascii="Arial" w:hAnsi="Arial" w:cs="Arial"/>
          <w:sz w:val="24"/>
          <w:szCs w:val="24"/>
          <w:lang w:val="en-US"/>
        </w:rPr>
      </w:pPr>
      <w:r>
        <w:rPr>
          <w:rFonts w:ascii="Arial" w:hAnsi="Arial" w:cs="Arial"/>
          <w:sz w:val="24"/>
          <w:szCs w:val="24"/>
          <w:lang w:val="en-US"/>
        </w:rPr>
        <w:t>The</w:t>
      </w:r>
      <w:r w:rsidR="00FF6E21" w:rsidRPr="00324454">
        <w:rPr>
          <w:rFonts w:ascii="Arial" w:hAnsi="Arial" w:cs="Arial"/>
          <w:sz w:val="24"/>
          <w:szCs w:val="24"/>
          <w:lang w:val="en-US"/>
        </w:rPr>
        <w:t xml:space="preserve"> second pattern</w:t>
      </w:r>
      <w:r w:rsidR="004F245A" w:rsidRPr="00324454">
        <w:rPr>
          <w:rFonts w:ascii="Arial" w:hAnsi="Arial" w:cs="Arial"/>
          <w:sz w:val="24"/>
          <w:szCs w:val="24"/>
          <w:lang w:val="en-US"/>
        </w:rPr>
        <w:t xml:space="preserve"> is related to the notion</w:t>
      </w:r>
      <w:r w:rsidR="00CA1B75" w:rsidRPr="00324454">
        <w:rPr>
          <w:rFonts w:ascii="Arial" w:hAnsi="Arial" w:cs="Arial"/>
          <w:sz w:val="24"/>
          <w:szCs w:val="24"/>
          <w:lang w:val="en-US"/>
        </w:rPr>
        <w:t xml:space="preserve"> of </w:t>
      </w:r>
      <w:r w:rsidR="00CA1B75" w:rsidRPr="00324454">
        <w:rPr>
          <w:rFonts w:ascii="Arial" w:hAnsi="Arial" w:cs="Arial"/>
          <w:i/>
          <w:sz w:val="24"/>
          <w:szCs w:val="24"/>
          <w:lang w:val="en-US"/>
        </w:rPr>
        <w:t>creative accumulation</w:t>
      </w:r>
      <w:r w:rsidR="00C64F22" w:rsidRPr="00324454">
        <w:rPr>
          <w:rFonts w:ascii="Arial" w:hAnsi="Arial" w:cs="Arial"/>
          <w:sz w:val="24"/>
          <w:szCs w:val="24"/>
          <w:lang w:val="en-US"/>
        </w:rPr>
        <w:t>.</w:t>
      </w:r>
      <w:r w:rsidR="00C64F22" w:rsidRPr="00324454">
        <w:rPr>
          <w:rFonts w:ascii="Arial" w:hAnsi="Arial" w:cs="Arial"/>
          <w:i/>
          <w:sz w:val="24"/>
          <w:szCs w:val="24"/>
          <w:lang w:val="en-US"/>
        </w:rPr>
        <w:t xml:space="preserve"> </w:t>
      </w:r>
      <w:r w:rsidR="00C64F22" w:rsidRPr="00324454">
        <w:rPr>
          <w:rFonts w:ascii="Arial" w:hAnsi="Arial" w:cs="Arial"/>
          <w:sz w:val="24"/>
          <w:szCs w:val="24"/>
          <w:lang w:val="en-US"/>
        </w:rPr>
        <w:t>In this pattern</w:t>
      </w:r>
      <w:r>
        <w:rPr>
          <w:rFonts w:ascii="Arial" w:hAnsi="Arial" w:cs="Arial"/>
          <w:sz w:val="24"/>
          <w:szCs w:val="24"/>
          <w:lang w:val="en-US"/>
        </w:rPr>
        <w:t>,</w:t>
      </w:r>
      <w:r w:rsidR="00C64F22" w:rsidRPr="00324454">
        <w:rPr>
          <w:rFonts w:ascii="Arial" w:hAnsi="Arial" w:cs="Arial"/>
          <w:i/>
          <w:sz w:val="24"/>
          <w:szCs w:val="24"/>
          <w:lang w:val="en-US"/>
        </w:rPr>
        <w:t xml:space="preserve"> </w:t>
      </w:r>
      <w:r w:rsidR="00C64F22" w:rsidRPr="00324454">
        <w:rPr>
          <w:rFonts w:ascii="Arial" w:hAnsi="Arial" w:cs="Arial"/>
          <w:sz w:val="24"/>
          <w:szCs w:val="24"/>
          <w:lang w:val="en-US"/>
        </w:rPr>
        <w:t xml:space="preserve">the innovation process is </w:t>
      </w:r>
      <w:r w:rsidR="00857523" w:rsidRPr="00324454">
        <w:rPr>
          <w:rFonts w:ascii="Arial" w:hAnsi="Arial" w:cs="Arial"/>
          <w:sz w:val="24"/>
          <w:szCs w:val="24"/>
          <w:lang w:val="en-US"/>
        </w:rPr>
        <w:t xml:space="preserve">conducted by large established </w:t>
      </w:r>
      <w:proofErr w:type="gramStart"/>
      <w:r w:rsidR="00857523" w:rsidRPr="00324454">
        <w:rPr>
          <w:rFonts w:ascii="Arial" w:hAnsi="Arial" w:cs="Arial"/>
          <w:sz w:val="24"/>
          <w:szCs w:val="24"/>
          <w:lang w:val="en-US"/>
        </w:rPr>
        <w:t xml:space="preserve">firms, </w:t>
      </w:r>
      <w:r>
        <w:rPr>
          <w:rFonts w:ascii="Arial" w:hAnsi="Arial" w:cs="Arial"/>
          <w:sz w:val="24"/>
          <w:szCs w:val="24"/>
          <w:lang w:val="en-US"/>
        </w:rPr>
        <w:t>that</w:t>
      </w:r>
      <w:proofErr w:type="gramEnd"/>
      <w:r>
        <w:rPr>
          <w:rFonts w:ascii="Arial" w:hAnsi="Arial" w:cs="Arial"/>
          <w:sz w:val="24"/>
          <w:szCs w:val="24"/>
          <w:lang w:val="en-US"/>
        </w:rPr>
        <w:t xml:space="preserve"> have </w:t>
      </w:r>
      <w:proofErr w:type="spellStart"/>
      <w:r>
        <w:rPr>
          <w:rFonts w:ascii="Arial" w:hAnsi="Arial" w:cs="Arial"/>
          <w:sz w:val="24"/>
          <w:szCs w:val="24"/>
          <w:lang w:val="en-US"/>
        </w:rPr>
        <w:t>institutionalis</w:t>
      </w:r>
      <w:r w:rsidR="00857523" w:rsidRPr="00324454">
        <w:rPr>
          <w:rFonts w:ascii="Arial" w:hAnsi="Arial" w:cs="Arial"/>
          <w:sz w:val="24"/>
          <w:szCs w:val="24"/>
          <w:lang w:val="en-US"/>
        </w:rPr>
        <w:t>ed</w:t>
      </w:r>
      <w:proofErr w:type="spellEnd"/>
      <w:r w:rsidR="00857523" w:rsidRPr="00324454">
        <w:rPr>
          <w:rFonts w:ascii="Arial" w:hAnsi="Arial" w:cs="Arial"/>
          <w:sz w:val="24"/>
          <w:szCs w:val="24"/>
          <w:lang w:val="en-US"/>
        </w:rPr>
        <w:t xml:space="preserve"> the innovation process </w:t>
      </w:r>
      <w:r w:rsidR="004675BC">
        <w:rPr>
          <w:rFonts w:ascii="Arial" w:hAnsi="Arial" w:cs="Arial"/>
          <w:sz w:val="24"/>
          <w:szCs w:val="24"/>
          <w:lang w:val="en-US"/>
        </w:rPr>
        <w:t>and effectively</w:t>
      </w:r>
      <w:r w:rsidR="00C90C03" w:rsidRPr="00324454">
        <w:rPr>
          <w:rFonts w:ascii="Arial" w:hAnsi="Arial" w:cs="Arial"/>
          <w:sz w:val="24"/>
          <w:szCs w:val="24"/>
          <w:lang w:val="en-US"/>
        </w:rPr>
        <w:t xml:space="preserve"> creat</w:t>
      </w:r>
      <w:r w:rsidR="004675BC">
        <w:rPr>
          <w:rFonts w:ascii="Arial" w:hAnsi="Arial" w:cs="Arial"/>
          <w:sz w:val="24"/>
          <w:szCs w:val="24"/>
          <w:lang w:val="en-US"/>
        </w:rPr>
        <w:t>e</w:t>
      </w:r>
      <w:r w:rsidR="00C90C03" w:rsidRPr="00324454">
        <w:rPr>
          <w:rFonts w:ascii="Arial" w:hAnsi="Arial" w:cs="Arial"/>
          <w:sz w:val="24"/>
          <w:szCs w:val="24"/>
          <w:lang w:val="en-US"/>
        </w:rPr>
        <w:t xml:space="preserve"> </w:t>
      </w:r>
      <w:r w:rsidR="00857523" w:rsidRPr="00324454">
        <w:rPr>
          <w:rFonts w:ascii="Arial" w:hAnsi="Arial" w:cs="Arial"/>
          <w:sz w:val="24"/>
          <w:szCs w:val="24"/>
          <w:lang w:val="en-US"/>
        </w:rPr>
        <w:t xml:space="preserve">barriers to entry for new innovators. </w:t>
      </w:r>
      <w:r w:rsidR="00C90C03" w:rsidRPr="00324454">
        <w:rPr>
          <w:rFonts w:ascii="Arial" w:hAnsi="Arial" w:cs="Arial"/>
          <w:sz w:val="24"/>
          <w:szCs w:val="24"/>
          <w:lang w:val="en-US"/>
        </w:rPr>
        <w:t xml:space="preserve">This pattern </w:t>
      </w:r>
      <w:r w:rsidR="004675BC">
        <w:rPr>
          <w:rFonts w:ascii="Arial" w:hAnsi="Arial" w:cs="Arial"/>
          <w:sz w:val="24"/>
          <w:szCs w:val="24"/>
          <w:lang w:val="en-US"/>
        </w:rPr>
        <w:t>has been</w:t>
      </w:r>
      <w:r w:rsidR="00C90C03" w:rsidRPr="00324454">
        <w:rPr>
          <w:rFonts w:ascii="Arial" w:hAnsi="Arial" w:cs="Arial"/>
          <w:sz w:val="24"/>
          <w:szCs w:val="24"/>
          <w:lang w:val="en-US"/>
        </w:rPr>
        <w:t xml:space="preserve"> </w:t>
      </w:r>
      <w:r w:rsidR="00B7163D" w:rsidRPr="00324454">
        <w:rPr>
          <w:rFonts w:ascii="Arial" w:hAnsi="Arial" w:cs="Arial"/>
          <w:sz w:val="24"/>
          <w:szCs w:val="24"/>
          <w:lang w:val="en-US"/>
        </w:rPr>
        <w:t>named Schumpeter Mark II</w:t>
      </w:r>
      <w:r w:rsidR="00E73FFC" w:rsidRPr="00324454">
        <w:rPr>
          <w:rFonts w:ascii="Arial" w:hAnsi="Arial" w:cs="Arial"/>
          <w:sz w:val="24"/>
          <w:szCs w:val="24"/>
          <w:lang w:val="en-US"/>
        </w:rPr>
        <w:t xml:space="preserve"> (SM-II)</w:t>
      </w:r>
      <w:r w:rsidR="00B7163D" w:rsidRPr="00324454">
        <w:rPr>
          <w:rFonts w:ascii="Arial" w:hAnsi="Arial" w:cs="Arial"/>
          <w:sz w:val="24"/>
          <w:szCs w:val="24"/>
          <w:lang w:val="en-US"/>
        </w:rPr>
        <w:t xml:space="preserve">, </w:t>
      </w:r>
      <w:r w:rsidR="004675BC">
        <w:rPr>
          <w:rFonts w:ascii="Arial" w:hAnsi="Arial" w:cs="Arial"/>
          <w:sz w:val="24"/>
          <w:szCs w:val="24"/>
          <w:lang w:val="en-US"/>
        </w:rPr>
        <w:t>and it can be associated with a</w:t>
      </w:r>
      <w:r w:rsidR="00B7163D" w:rsidRPr="00324454">
        <w:rPr>
          <w:rFonts w:ascii="Arial" w:hAnsi="Arial" w:cs="Arial"/>
          <w:sz w:val="24"/>
          <w:szCs w:val="24"/>
          <w:lang w:val="en-US"/>
        </w:rPr>
        <w:t xml:space="preserve"> “deepening” pattern, </w:t>
      </w:r>
      <w:r w:rsidR="00EE060C">
        <w:rPr>
          <w:rFonts w:ascii="Arial" w:hAnsi="Arial" w:cs="Arial"/>
          <w:sz w:val="24"/>
          <w:szCs w:val="24"/>
          <w:lang w:val="en-US"/>
        </w:rPr>
        <w:t>i</w:t>
      </w:r>
      <w:r w:rsidR="004675BC">
        <w:rPr>
          <w:rFonts w:ascii="Arial" w:hAnsi="Arial" w:cs="Arial"/>
          <w:sz w:val="24"/>
          <w:szCs w:val="24"/>
          <w:lang w:val="en-US"/>
        </w:rPr>
        <w:t>n which</w:t>
      </w:r>
      <w:r w:rsidR="00B7163D" w:rsidRPr="00324454">
        <w:rPr>
          <w:rFonts w:ascii="Arial" w:hAnsi="Arial" w:cs="Arial"/>
          <w:sz w:val="24"/>
          <w:szCs w:val="24"/>
          <w:lang w:val="en-US"/>
        </w:rPr>
        <w:t xml:space="preserve"> the </w:t>
      </w:r>
      <w:r w:rsidR="0000661E" w:rsidRPr="00324454">
        <w:rPr>
          <w:rFonts w:ascii="Arial" w:hAnsi="Arial" w:cs="Arial"/>
          <w:sz w:val="24"/>
          <w:szCs w:val="24"/>
          <w:lang w:val="en-US"/>
        </w:rPr>
        <w:t>innovation is dominated by a</w:t>
      </w:r>
      <w:r w:rsidR="0000661E" w:rsidRPr="001321DB">
        <w:rPr>
          <w:rFonts w:ascii="Arial" w:hAnsi="Arial" w:cs="Arial"/>
          <w:sz w:val="24"/>
          <w:szCs w:val="24"/>
          <w:lang w:val="en-US"/>
        </w:rPr>
        <w:t xml:space="preserve"> </w:t>
      </w:r>
      <w:r w:rsidR="0000661E" w:rsidRPr="00324454">
        <w:rPr>
          <w:rFonts w:ascii="Arial" w:hAnsi="Arial" w:cs="Arial"/>
          <w:sz w:val="24"/>
          <w:szCs w:val="24"/>
          <w:lang w:val="en-US"/>
        </w:rPr>
        <w:t xml:space="preserve">few firms </w:t>
      </w:r>
      <w:r w:rsidR="004F245A" w:rsidRPr="00324454">
        <w:rPr>
          <w:rFonts w:ascii="Arial" w:hAnsi="Arial" w:cs="Arial"/>
          <w:sz w:val="24"/>
          <w:szCs w:val="24"/>
          <w:lang w:val="en-US"/>
        </w:rPr>
        <w:t>that</w:t>
      </w:r>
      <w:r w:rsidR="0000661E" w:rsidRPr="00324454">
        <w:rPr>
          <w:rFonts w:ascii="Arial" w:hAnsi="Arial" w:cs="Arial"/>
          <w:sz w:val="24"/>
          <w:szCs w:val="24"/>
          <w:lang w:val="en-US"/>
        </w:rPr>
        <w:t xml:space="preserve"> </w:t>
      </w:r>
      <w:r w:rsidR="00541E49" w:rsidRPr="00324454">
        <w:rPr>
          <w:rFonts w:ascii="Arial" w:hAnsi="Arial" w:cs="Arial"/>
          <w:sz w:val="24"/>
          <w:szCs w:val="24"/>
          <w:lang w:val="en-US"/>
        </w:rPr>
        <w:t xml:space="preserve">continuously </w:t>
      </w:r>
      <w:r w:rsidR="004675BC">
        <w:rPr>
          <w:rFonts w:ascii="Arial" w:hAnsi="Arial" w:cs="Arial"/>
          <w:sz w:val="24"/>
          <w:szCs w:val="24"/>
          <w:lang w:val="en-US"/>
        </w:rPr>
        <w:t>accumulate</w:t>
      </w:r>
      <w:r w:rsidR="00541E49" w:rsidRPr="00324454">
        <w:rPr>
          <w:rFonts w:ascii="Arial" w:hAnsi="Arial" w:cs="Arial"/>
          <w:sz w:val="24"/>
          <w:szCs w:val="24"/>
          <w:lang w:val="en-US"/>
        </w:rPr>
        <w:t xml:space="preserve"> technological and innovative capabilities</w:t>
      </w:r>
      <w:r w:rsidR="004675BC">
        <w:rPr>
          <w:rFonts w:ascii="Arial" w:hAnsi="Arial" w:cs="Arial"/>
          <w:sz w:val="24"/>
          <w:szCs w:val="24"/>
          <w:lang w:val="en-US"/>
        </w:rPr>
        <w:t xml:space="preserve"> over time.</w:t>
      </w:r>
    </w:p>
    <w:p w:rsidR="004E7BD1" w:rsidRPr="00324454" w:rsidRDefault="00942401" w:rsidP="00D93057">
      <w:pPr>
        <w:autoSpaceDE w:val="0"/>
        <w:autoSpaceDN w:val="0"/>
        <w:adjustRightInd w:val="0"/>
        <w:spacing w:line="480" w:lineRule="auto"/>
        <w:ind w:firstLine="709"/>
        <w:jc w:val="both"/>
        <w:rPr>
          <w:rFonts w:ascii="Arial" w:hAnsi="Arial" w:cs="Arial"/>
          <w:sz w:val="24"/>
          <w:szCs w:val="24"/>
          <w:lang w:val="en-US" w:eastAsia="pt-BR"/>
        </w:rPr>
      </w:pPr>
      <w:r w:rsidRPr="00324454">
        <w:rPr>
          <w:rFonts w:ascii="Arial" w:hAnsi="Arial" w:cs="Arial"/>
          <w:sz w:val="24"/>
          <w:szCs w:val="24"/>
          <w:lang w:val="en-US"/>
        </w:rPr>
        <w:lastRenderedPageBreak/>
        <w:t>The concept</w:t>
      </w:r>
      <w:r w:rsidR="00804FD7" w:rsidRPr="00324454">
        <w:rPr>
          <w:rFonts w:ascii="Arial" w:hAnsi="Arial" w:cs="Arial"/>
          <w:sz w:val="24"/>
          <w:szCs w:val="24"/>
          <w:lang w:val="en-US"/>
        </w:rPr>
        <w:t xml:space="preserve"> of techn</w:t>
      </w:r>
      <w:r w:rsidRPr="00324454">
        <w:rPr>
          <w:rFonts w:ascii="Arial" w:hAnsi="Arial" w:cs="Arial"/>
          <w:sz w:val="24"/>
          <w:szCs w:val="24"/>
          <w:lang w:val="en-US"/>
        </w:rPr>
        <w:t xml:space="preserve">ological regimes articulates </w:t>
      </w:r>
      <w:r w:rsidR="002F6BDC">
        <w:rPr>
          <w:rFonts w:ascii="Arial" w:hAnsi="Arial" w:cs="Arial"/>
          <w:sz w:val="24"/>
          <w:szCs w:val="24"/>
          <w:lang w:val="en-US"/>
        </w:rPr>
        <w:t xml:space="preserve">technological </w:t>
      </w:r>
      <w:r w:rsidR="00856B40" w:rsidRPr="00324454">
        <w:rPr>
          <w:rFonts w:ascii="Arial" w:hAnsi="Arial" w:cs="Arial"/>
          <w:sz w:val="24"/>
          <w:szCs w:val="24"/>
          <w:lang w:val="en-US"/>
        </w:rPr>
        <w:t xml:space="preserve">opportunity, </w:t>
      </w:r>
      <w:proofErr w:type="spellStart"/>
      <w:r w:rsidR="00856B40" w:rsidRPr="00324454">
        <w:rPr>
          <w:rFonts w:ascii="Arial" w:hAnsi="Arial" w:cs="Arial"/>
          <w:sz w:val="24"/>
          <w:szCs w:val="24"/>
          <w:lang w:val="en-US"/>
        </w:rPr>
        <w:t>appropriability</w:t>
      </w:r>
      <w:proofErr w:type="spellEnd"/>
      <w:r w:rsidR="00856B40" w:rsidRPr="00324454">
        <w:rPr>
          <w:rFonts w:ascii="Arial" w:hAnsi="Arial" w:cs="Arial"/>
          <w:sz w:val="24"/>
          <w:szCs w:val="24"/>
          <w:lang w:val="en-US"/>
        </w:rPr>
        <w:t>, cumulativeness and knowledge</w:t>
      </w:r>
      <w:r w:rsidR="000D4684">
        <w:rPr>
          <w:rFonts w:ascii="Arial" w:hAnsi="Arial" w:cs="Arial"/>
          <w:sz w:val="24"/>
          <w:szCs w:val="24"/>
          <w:lang w:val="en-US"/>
        </w:rPr>
        <w:t>-</w:t>
      </w:r>
      <w:proofErr w:type="spellStart"/>
      <w:r w:rsidR="00856B40" w:rsidRPr="00324454">
        <w:rPr>
          <w:rFonts w:ascii="Arial" w:hAnsi="Arial" w:cs="Arial"/>
          <w:sz w:val="24"/>
          <w:szCs w:val="24"/>
          <w:lang w:val="en-US"/>
        </w:rPr>
        <w:t>base</w:t>
      </w:r>
      <w:proofErr w:type="spellEnd"/>
      <w:r w:rsidR="00856B40" w:rsidRPr="00324454">
        <w:rPr>
          <w:rFonts w:ascii="Arial" w:hAnsi="Arial" w:cs="Arial"/>
          <w:sz w:val="24"/>
          <w:szCs w:val="24"/>
          <w:lang w:val="en-US"/>
        </w:rPr>
        <w:t xml:space="preserve"> conditions</w:t>
      </w:r>
      <w:r w:rsidR="00E73FFC" w:rsidRPr="00324454">
        <w:rPr>
          <w:rFonts w:ascii="Arial" w:hAnsi="Arial" w:cs="Arial"/>
          <w:sz w:val="24"/>
          <w:szCs w:val="24"/>
          <w:lang w:val="en-US"/>
        </w:rPr>
        <w:t xml:space="preserve"> to define de SM-I and SM-II</w:t>
      </w:r>
      <w:r w:rsidR="000F2378" w:rsidRPr="00324454">
        <w:rPr>
          <w:rStyle w:val="Refdenotaderodap"/>
          <w:rFonts w:ascii="Arial" w:hAnsi="Arial" w:cs="Arial"/>
          <w:sz w:val="24"/>
          <w:szCs w:val="24"/>
          <w:lang w:val="en-US"/>
        </w:rPr>
        <w:footnoteReference w:id="1"/>
      </w:r>
      <w:r w:rsidR="00E73FFC" w:rsidRPr="00324454">
        <w:rPr>
          <w:rFonts w:ascii="Arial" w:hAnsi="Arial" w:cs="Arial"/>
          <w:sz w:val="24"/>
          <w:szCs w:val="24"/>
          <w:lang w:val="en-US"/>
        </w:rPr>
        <w:t>.</w:t>
      </w:r>
      <w:r w:rsidR="004D3E4F" w:rsidRPr="00324454">
        <w:rPr>
          <w:rFonts w:ascii="Arial" w:hAnsi="Arial" w:cs="Arial"/>
          <w:sz w:val="24"/>
          <w:szCs w:val="24"/>
          <w:lang w:val="en-US"/>
        </w:rPr>
        <w:t xml:space="preserve"> </w:t>
      </w:r>
      <w:r w:rsidR="00CA20F9" w:rsidRPr="00324454">
        <w:rPr>
          <w:rFonts w:ascii="Arial" w:hAnsi="Arial" w:cs="Arial"/>
          <w:sz w:val="24"/>
          <w:szCs w:val="24"/>
          <w:lang w:val="en-US"/>
        </w:rPr>
        <w:t xml:space="preserve">Thus the use of this </w:t>
      </w:r>
      <w:r w:rsidR="004D3E4F" w:rsidRPr="00324454">
        <w:rPr>
          <w:rFonts w:ascii="Arial" w:hAnsi="Arial" w:cs="Arial"/>
          <w:sz w:val="24"/>
          <w:szCs w:val="24"/>
          <w:lang w:val="en-US"/>
        </w:rPr>
        <w:t xml:space="preserve">concepts </w:t>
      </w:r>
      <w:r w:rsidR="003A0234" w:rsidRPr="00324454">
        <w:rPr>
          <w:rFonts w:ascii="Arial" w:hAnsi="Arial" w:cs="Arial"/>
          <w:sz w:val="24"/>
          <w:szCs w:val="24"/>
          <w:lang w:val="en-US"/>
        </w:rPr>
        <w:t>allow</w:t>
      </w:r>
      <w:r w:rsidR="000D4684">
        <w:rPr>
          <w:rFonts w:ascii="Arial" w:hAnsi="Arial" w:cs="Arial"/>
          <w:sz w:val="24"/>
          <w:szCs w:val="24"/>
          <w:lang w:val="en-US"/>
        </w:rPr>
        <w:t>s</w:t>
      </w:r>
      <w:r w:rsidR="003A0234" w:rsidRPr="00324454">
        <w:rPr>
          <w:rFonts w:ascii="Arial" w:hAnsi="Arial" w:cs="Arial"/>
          <w:sz w:val="24"/>
          <w:szCs w:val="24"/>
          <w:lang w:val="en-US"/>
        </w:rPr>
        <w:t xml:space="preserve"> </w:t>
      </w:r>
      <w:r w:rsidR="00CF5391" w:rsidRPr="00324454">
        <w:rPr>
          <w:rFonts w:ascii="Arial" w:hAnsi="Arial" w:cs="Arial"/>
          <w:sz w:val="24"/>
          <w:szCs w:val="24"/>
          <w:lang w:val="en-US"/>
        </w:rPr>
        <w:t>advance</w:t>
      </w:r>
      <w:r w:rsidR="00CA20F9" w:rsidRPr="00324454">
        <w:rPr>
          <w:rFonts w:ascii="Arial" w:hAnsi="Arial" w:cs="Arial"/>
          <w:sz w:val="24"/>
          <w:szCs w:val="24"/>
          <w:lang w:val="en-US"/>
        </w:rPr>
        <w:t>s</w:t>
      </w:r>
      <w:r w:rsidR="00CF5391" w:rsidRPr="00324454">
        <w:rPr>
          <w:rFonts w:ascii="Arial" w:hAnsi="Arial" w:cs="Arial"/>
          <w:sz w:val="24"/>
          <w:szCs w:val="24"/>
          <w:lang w:val="en-US"/>
        </w:rPr>
        <w:t xml:space="preserve"> </w:t>
      </w:r>
      <w:r w:rsidR="00CA20F9" w:rsidRPr="00324454">
        <w:rPr>
          <w:rFonts w:ascii="Arial" w:hAnsi="Arial" w:cs="Arial"/>
          <w:sz w:val="24"/>
          <w:szCs w:val="24"/>
          <w:lang w:val="en-US"/>
        </w:rPr>
        <w:t xml:space="preserve">in </w:t>
      </w:r>
      <w:r w:rsidR="00CD6EE4" w:rsidRPr="00324454">
        <w:rPr>
          <w:rFonts w:ascii="Arial" w:hAnsi="Arial" w:cs="Arial"/>
          <w:sz w:val="24"/>
          <w:szCs w:val="24"/>
          <w:lang w:val="en-US"/>
        </w:rPr>
        <w:t>empirical</w:t>
      </w:r>
      <w:r w:rsidR="00CF5391" w:rsidRPr="00324454">
        <w:rPr>
          <w:rFonts w:ascii="Arial" w:hAnsi="Arial" w:cs="Arial"/>
          <w:sz w:val="24"/>
          <w:szCs w:val="24"/>
          <w:lang w:val="en-US"/>
        </w:rPr>
        <w:t xml:space="preserve"> fram</w:t>
      </w:r>
      <w:r w:rsidR="00F151F6" w:rsidRPr="00324454">
        <w:rPr>
          <w:rFonts w:ascii="Arial" w:hAnsi="Arial" w:cs="Arial"/>
          <w:sz w:val="24"/>
          <w:szCs w:val="24"/>
          <w:lang w:val="en-US"/>
        </w:rPr>
        <w:t>e</w:t>
      </w:r>
      <w:r w:rsidR="00CF5391" w:rsidRPr="00324454">
        <w:rPr>
          <w:rFonts w:ascii="Arial" w:hAnsi="Arial" w:cs="Arial"/>
          <w:sz w:val="24"/>
          <w:szCs w:val="24"/>
          <w:lang w:val="en-US"/>
        </w:rPr>
        <w:t>works</w:t>
      </w:r>
      <w:r w:rsidR="00CA20F9" w:rsidRPr="00324454">
        <w:rPr>
          <w:rFonts w:ascii="Arial" w:hAnsi="Arial" w:cs="Arial"/>
          <w:sz w:val="24"/>
          <w:szCs w:val="24"/>
          <w:lang w:val="en-US"/>
        </w:rPr>
        <w:t xml:space="preserve">, enabling a </w:t>
      </w:r>
      <w:r w:rsidR="007D1140" w:rsidRPr="00324454">
        <w:rPr>
          <w:rFonts w:ascii="Arial" w:hAnsi="Arial" w:cs="Arial"/>
          <w:sz w:val="24"/>
          <w:szCs w:val="24"/>
          <w:lang w:val="en-US"/>
        </w:rPr>
        <w:t>growing number</w:t>
      </w:r>
      <w:r w:rsidR="00CA20F9" w:rsidRPr="00324454">
        <w:rPr>
          <w:rFonts w:ascii="Arial" w:hAnsi="Arial" w:cs="Arial"/>
          <w:sz w:val="24"/>
          <w:szCs w:val="24"/>
          <w:lang w:val="en-US"/>
        </w:rPr>
        <w:t xml:space="preserve"> of studies</w:t>
      </w:r>
      <w:r w:rsidR="00CF5391" w:rsidRPr="00324454">
        <w:rPr>
          <w:rFonts w:ascii="Arial" w:hAnsi="Arial" w:cs="Arial"/>
          <w:sz w:val="24"/>
          <w:szCs w:val="24"/>
          <w:lang w:val="en-US"/>
        </w:rPr>
        <w:t xml:space="preserve"> in the literature</w:t>
      </w:r>
      <w:r w:rsidR="00CA20F9" w:rsidRPr="00324454">
        <w:rPr>
          <w:rFonts w:ascii="Arial" w:hAnsi="Arial" w:cs="Arial"/>
          <w:sz w:val="24"/>
          <w:szCs w:val="24"/>
          <w:lang w:val="en-US"/>
        </w:rPr>
        <w:t xml:space="preserve">, </w:t>
      </w:r>
      <w:r w:rsidR="000D4684">
        <w:rPr>
          <w:rFonts w:ascii="Arial" w:hAnsi="Arial" w:cs="Arial"/>
          <w:sz w:val="24"/>
          <w:szCs w:val="24"/>
          <w:lang w:val="en-US"/>
        </w:rPr>
        <w:t>such as those as</w:t>
      </w:r>
      <w:r w:rsidR="00CA20F9" w:rsidRPr="00324454">
        <w:rPr>
          <w:rFonts w:ascii="Arial" w:hAnsi="Arial" w:cs="Arial"/>
          <w:sz w:val="24"/>
          <w:szCs w:val="24"/>
          <w:lang w:val="en-US"/>
        </w:rPr>
        <w:t xml:space="preserve"> </w:t>
      </w:r>
      <w:proofErr w:type="spellStart"/>
      <w:r w:rsidR="003B03B8" w:rsidRPr="00324454">
        <w:rPr>
          <w:rFonts w:ascii="Arial" w:hAnsi="Arial" w:cs="Arial"/>
          <w:sz w:val="24"/>
          <w:szCs w:val="24"/>
          <w:lang w:val="en-US"/>
        </w:rPr>
        <w:t>M</w:t>
      </w:r>
      <w:r w:rsidR="0093753D" w:rsidRPr="00324454">
        <w:rPr>
          <w:rFonts w:ascii="Arial" w:hAnsi="Arial" w:cs="Arial"/>
          <w:sz w:val="24"/>
          <w:szCs w:val="24"/>
          <w:lang w:val="en-US" w:eastAsia="pt-BR"/>
        </w:rPr>
        <w:t>alerba</w:t>
      </w:r>
      <w:proofErr w:type="spellEnd"/>
      <w:r w:rsidR="0093753D" w:rsidRPr="00324454">
        <w:rPr>
          <w:rFonts w:ascii="Arial" w:hAnsi="Arial" w:cs="Arial"/>
          <w:sz w:val="24"/>
          <w:szCs w:val="24"/>
          <w:lang w:val="en-US" w:eastAsia="pt-BR"/>
        </w:rPr>
        <w:t xml:space="preserve"> and </w:t>
      </w:r>
      <w:proofErr w:type="spellStart"/>
      <w:r w:rsidR="0093753D" w:rsidRPr="00324454">
        <w:rPr>
          <w:rFonts w:ascii="Arial" w:hAnsi="Arial" w:cs="Arial"/>
          <w:sz w:val="24"/>
          <w:szCs w:val="24"/>
          <w:lang w:val="en-US" w:eastAsia="pt-BR"/>
        </w:rPr>
        <w:t>Orsenigo</w:t>
      </w:r>
      <w:proofErr w:type="spellEnd"/>
      <w:r w:rsidR="0093753D" w:rsidRPr="00324454">
        <w:rPr>
          <w:rFonts w:ascii="Arial" w:hAnsi="Arial" w:cs="Arial"/>
          <w:sz w:val="24"/>
          <w:szCs w:val="24"/>
          <w:lang w:val="en-US" w:eastAsia="pt-BR"/>
        </w:rPr>
        <w:t xml:space="preserve"> (</w:t>
      </w:r>
      <w:r w:rsidR="002716DB" w:rsidRPr="00324454">
        <w:rPr>
          <w:rFonts w:ascii="Arial" w:hAnsi="Arial" w:cs="Arial"/>
          <w:sz w:val="24"/>
          <w:szCs w:val="24"/>
          <w:lang w:val="en-US" w:eastAsia="pt-BR"/>
        </w:rPr>
        <w:t>1995</w:t>
      </w:r>
      <w:r w:rsidR="006D6EF0" w:rsidRPr="00324454">
        <w:rPr>
          <w:rFonts w:ascii="Arial" w:hAnsi="Arial" w:cs="Arial"/>
          <w:sz w:val="24"/>
          <w:szCs w:val="24"/>
          <w:lang w:val="en-US" w:eastAsia="pt-BR"/>
        </w:rPr>
        <w:t>, 1997)</w:t>
      </w:r>
      <w:r w:rsidR="00CF5391" w:rsidRPr="00324454">
        <w:rPr>
          <w:rFonts w:ascii="Arial" w:hAnsi="Arial" w:cs="Arial"/>
          <w:sz w:val="24"/>
          <w:szCs w:val="24"/>
          <w:lang w:val="en-US" w:eastAsia="pt-BR"/>
        </w:rPr>
        <w:t xml:space="preserve">, </w:t>
      </w:r>
      <w:r w:rsidR="00EF23B2" w:rsidRPr="00324454">
        <w:rPr>
          <w:rFonts w:ascii="Arial" w:hAnsi="Arial" w:cs="Arial"/>
          <w:sz w:val="24"/>
          <w:szCs w:val="24"/>
          <w:lang w:val="en-US" w:eastAsia="pt-BR"/>
        </w:rPr>
        <w:t xml:space="preserve">Mesa and Gayo (1999), </w:t>
      </w:r>
      <w:r w:rsidR="00CF5391" w:rsidRPr="00324454">
        <w:rPr>
          <w:rFonts w:ascii="Arial" w:hAnsi="Arial" w:cs="Arial"/>
          <w:sz w:val="24"/>
          <w:szCs w:val="24"/>
          <w:lang w:val="en-US" w:eastAsia="pt-BR"/>
        </w:rPr>
        <w:t>Breschi et al. (2000)</w:t>
      </w:r>
      <w:r w:rsidR="0053671F" w:rsidRPr="00324454">
        <w:rPr>
          <w:rFonts w:ascii="Arial" w:hAnsi="Arial" w:cs="Arial"/>
          <w:sz w:val="24"/>
          <w:szCs w:val="24"/>
          <w:lang w:val="en-US" w:eastAsia="pt-BR"/>
        </w:rPr>
        <w:t xml:space="preserve"> and Van Dijk (2000, 2002) </w:t>
      </w:r>
      <w:r w:rsidR="004627D1" w:rsidRPr="00324454">
        <w:rPr>
          <w:rFonts w:ascii="Arial" w:hAnsi="Arial" w:cs="Arial"/>
          <w:sz w:val="24"/>
          <w:szCs w:val="24"/>
          <w:lang w:val="en-US" w:eastAsia="pt-BR"/>
        </w:rPr>
        <w:t xml:space="preserve">for </w:t>
      </w:r>
      <w:r w:rsidR="006D6EF0" w:rsidRPr="00324454">
        <w:rPr>
          <w:rFonts w:ascii="Arial" w:hAnsi="Arial" w:cs="Arial"/>
          <w:sz w:val="24"/>
          <w:szCs w:val="24"/>
          <w:lang w:val="en-US" w:eastAsia="pt-BR"/>
        </w:rPr>
        <w:t>different European countries [France, Germany, Italy, Netherlands, Spain and United Kingdom]</w:t>
      </w:r>
      <w:r w:rsidR="004627D1" w:rsidRPr="00324454">
        <w:rPr>
          <w:rFonts w:ascii="Arial" w:hAnsi="Arial" w:cs="Arial"/>
          <w:sz w:val="24"/>
          <w:szCs w:val="24"/>
          <w:lang w:val="en-US" w:eastAsia="pt-BR"/>
        </w:rPr>
        <w:t xml:space="preserve">. </w:t>
      </w:r>
    </w:p>
    <w:p w:rsidR="004E7BD1" w:rsidRPr="00324454" w:rsidRDefault="00EF23B2" w:rsidP="00D93057">
      <w:pPr>
        <w:autoSpaceDE w:val="0"/>
        <w:autoSpaceDN w:val="0"/>
        <w:adjustRightInd w:val="0"/>
        <w:spacing w:line="480" w:lineRule="auto"/>
        <w:ind w:firstLine="709"/>
        <w:jc w:val="both"/>
        <w:rPr>
          <w:rFonts w:ascii="Arial" w:hAnsi="Arial" w:cs="Arial"/>
          <w:sz w:val="24"/>
          <w:szCs w:val="24"/>
          <w:lang w:val="en-US" w:eastAsia="pt-BR"/>
        </w:rPr>
      </w:pPr>
      <w:r w:rsidRPr="00324454">
        <w:rPr>
          <w:rFonts w:ascii="Arial" w:hAnsi="Arial" w:cs="Arial"/>
          <w:sz w:val="24"/>
          <w:szCs w:val="24"/>
          <w:lang w:val="en-US" w:eastAsia="pt-BR"/>
        </w:rPr>
        <w:t xml:space="preserve">The </w:t>
      </w:r>
      <w:r w:rsidR="00F7038C" w:rsidRPr="00324454">
        <w:rPr>
          <w:rFonts w:ascii="Arial" w:hAnsi="Arial" w:cs="Arial"/>
          <w:sz w:val="24"/>
          <w:szCs w:val="24"/>
          <w:lang w:val="en-US" w:eastAsia="pt-BR"/>
        </w:rPr>
        <w:t>m</w:t>
      </w:r>
      <w:r w:rsidRPr="00324454">
        <w:rPr>
          <w:rFonts w:ascii="Arial" w:hAnsi="Arial" w:cs="Arial"/>
          <w:sz w:val="24"/>
          <w:szCs w:val="24"/>
          <w:lang w:val="en-US" w:eastAsia="pt-BR"/>
        </w:rPr>
        <w:t>ajority of the</w:t>
      </w:r>
      <w:r w:rsidR="000D4684">
        <w:rPr>
          <w:rFonts w:ascii="Arial" w:hAnsi="Arial" w:cs="Arial"/>
          <w:sz w:val="24"/>
          <w:szCs w:val="24"/>
          <w:lang w:val="en-US" w:eastAsia="pt-BR"/>
        </w:rPr>
        <w:t>se</w:t>
      </w:r>
      <w:r w:rsidRPr="00324454">
        <w:rPr>
          <w:rFonts w:ascii="Arial" w:hAnsi="Arial" w:cs="Arial"/>
          <w:sz w:val="24"/>
          <w:szCs w:val="24"/>
          <w:lang w:val="en-US" w:eastAsia="pt-BR"/>
        </w:rPr>
        <w:t xml:space="preserve"> studies focused on advancing statistical approaches </w:t>
      </w:r>
      <w:r w:rsidR="000D4684">
        <w:rPr>
          <w:rFonts w:ascii="Arial" w:hAnsi="Arial" w:cs="Arial"/>
          <w:sz w:val="24"/>
          <w:szCs w:val="24"/>
          <w:lang w:val="en-US" w:eastAsia="pt-BR"/>
        </w:rPr>
        <w:t>to</w:t>
      </w:r>
      <w:r w:rsidRPr="00324454">
        <w:rPr>
          <w:rFonts w:ascii="Arial" w:hAnsi="Arial" w:cs="Arial"/>
          <w:sz w:val="24"/>
          <w:szCs w:val="24"/>
          <w:lang w:val="en-US" w:eastAsia="pt-BR"/>
        </w:rPr>
        <w:t xml:space="preserve"> classify the industries in terms of the two </w:t>
      </w:r>
      <w:r w:rsidR="000D4684">
        <w:rPr>
          <w:rFonts w:ascii="Arial" w:hAnsi="Arial" w:cs="Arial"/>
          <w:sz w:val="24"/>
          <w:szCs w:val="24"/>
          <w:lang w:val="en-US" w:eastAsia="pt-BR"/>
        </w:rPr>
        <w:t xml:space="preserve">previously mentioned </w:t>
      </w:r>
      <w:r w:rsidRPr="00324454">
        <w:rPr>
          <w:rFonts w:ascii="Arial" w:hAnsi="Arial" w:cs="Arial"/>
          <w:sz w:val="24"/>
          <w:szCs w:val="24"/>
          <w:lang w:val="en-US" w:eastAsia="pt-BR"/>
        </w:rPr>
        <w:t xml:space="preserve">patterns by considering </w:t>
      </w:r>
      <w:r w:rsidR="005B31D8" w:rsidRPr="00324454">
        <w:rPr>
          <w:rFonts w:ascii="Arial" w:hAnsi="Arial" w:cs="Arial"/>
          <w:sz w:val="24"/>
          <w:szCs w:val="24"/>
          <w:lang w:val="en-US" w:eastAsia="pt-BR"/>
        </w:rPr>
        <w:t>the</w:t>
      </w:r>
      <w:r w:rsidR="001C2D06">
        <w:rPr>
          <w:rFonts w:ascii="Arial" w:hAnsi="Arial" w:cs="Arial"/>
          <w:sz w:val="24"/>
          <w:szCs w:val="24"/>
          <w:lang w:val="en-US" w:eastAsia="pt-BR"/>
        </w:rPr>
        <w:t>ir</w:t>
      </w:r>
      <w:r w:rsidRPr="00324454">
        <w:rPr>
          <w:rFonts w:ascii="Arial" w:hAnsi="Arial" w:cs="Arial"/>
          <w:sz w:val="24"/>
          <w:szCs w:val="24"/>
          <w:lang w:val="en-US" w:eastAsia="pt-BR"/>
        </w:rPr>
        <w:t xml:space="preserve"> conditions as </w:t>
      </w:r>
      <w:r w:rsidR="001C2D06">
        <w:rPr>
          <w:rFonts w:ascii="Arial" w:hAnsi="Arial" w:cs="Arial"/>
          <w:sz w:val="24"/>
          <w:szCs w:val="24"/>
          <w:lang w:val="en-US" w:eastAsia="pt-BR"/>
        </w:rPr>
        <w:t xml:space="preserve">the </w:t>
      </w:r>
      <w:r w:rsidRPr="00324454">
        <w:rPr>
          <w:rFonts w:ascii="Arial" w:hAnsi="Arial" w:cs="Arial"/>
          <w:sz w:val="24"/>
          <w:szCs w:val="24"/>
          <w:lang w:val="en-US" w:eastAsia="pt-BR"/>
        </w:rPr>
        <w:t xml:space="preserve">relevant underlying </w:t>
      </w:r>
      <w:r w:rsidR="000536EF" w:rsidRPr="00324454">
        <w:rPr>
          <w:rFonts w:ascii="Arial" w:hAnsi="Arial" w:cs="Arial"/>
          <w:sz w:val="24"/>
          <w:szCs w:val="24"/>
          <w:lang w:val="en-US" w:eastAsia="pt-BR"/>
        </w:rPr>
        <w:t>factors</w:t>
      </w:r>
      <w:r w:rsidR="005B31D8" w:rsidRPr="00324454">
        <w:rPr>
          <w:rFonts w:ascii="Arial" w:hAnsi="Arial" w:cs="Arial"/>
          <w:sz w:val="24"/>
          <w:szCs w:val="24"/>
          <w:lang w:val="en-US" w:eastAsia="pt-BR"/>
        </w:rPr>
        <w:t xml:space="preserve">. </w:t>
      </w:r>
      <w:r w:rsidR="001C2D06">
        <w:rPr>
          <w:rFonts w:ascii="Arial" w:hAnsi="Arial" w:cs="Arial"/>
          <w:sz w:val="24"/>
          <w:szCs w:val="24"/>
          <w:lang w:val="en-US" w:eastAsia="pt-BR"/>
        </w:rPr>
        <w:t xml:space="preserve">Therefore, the emphasis has been placed </w:t>
      </w:r>
      <w:r w:rsidR="00F7038C" w:rsidRPr="00324454">
        <w:rPr>
          <w:rFonts w:ascii="Arial" w:hAnsi="Arial" w:cs="Arial"/>
          <w:sz w:val="24"/>
          <w:szCs w:val="24"/>
          <w:lang w:val="en-US" w:eastAsia="pt-BR"/>
        </w:rPr>
        <w:t>on inter-</w:t>
      </w:r>
      <w:proofErr w:type="spellStart"/>
      <w:r w:rsidR="0048436F" w:rsidRPr="00324454">
        <w:rPr>
          <w:rFonts w:ascii="Arial" w:hAnsi="Arial" w:cs="Arial"/>
          <w:sz w:val="24"/>
          <w:szCs w:val="24"/>
          <w:lang w:val="en-US" w:eastAsia="pt-BR"/>
        </w:rPr>
        <w:t>sectoral</w:t>
      </w:r>
      <w:proofErr w:type="spellEnd"/>
      <w:r w:rsidR="00F7038C" w:rsidRPr="00324454">
        <w:rPr>
          <w:rFonts w:ascii="Arial" w:hAnsi="Arial" w:cs="Arial"/>
          <w:sz w:val="24"/>
          <w:szCs w:val="24"/>
          <w:lang w:val="en-US" w:eastAsia="pt-BR"/>
        </w:rPr>
        <w:t xml:space="preserve"> heterogeneities</w:t>
      </w:r>
      <w:r w:rsidR="001C2D06">
        <w:rPr>
          <w:rFonts w:ascii="Arial" w:hAnsi="Arial" w:cs="Arial"/>
          <w:sz w:val="24"/>
          <w:szCs w:val="24"/>
          <w:lang w:val="en-US" w:eastAsia="pt-BR"/>
        </w:rPr>
        <w:t xml:space="preserve"> associated with the structural and dynamic </w:t>
      </w:r>
      <w:proofErr w:type="gramStart"/>
      <w:r w:rsidR="001C2D06">
        <w:rPr>
          <w:rFonts w:ascii="Arial" w:hAnsi="Arial" w:cs="Arial"/>
          <w:sz w:val="24"/>
          <w:szCs w:val="24"/>
          <w:lang w:val="en-US" w:eastAsia="pt-BR"/>
        </w:rPr>
        <w:t xml:space="preserve">features </w:t>
      </w:r>
      <w:r w:rsidR="00F7038C" w:rsidRPr="00324454">
        <w:rPr>
          <w:rFonts w:ascii="Arial" w:hAnsi="Arial" w:cs="Arial"/>
          <w:sz w:val="24"/>
          <w:szCs w:val="24"/>
          <w:lang w:val="en-US" w:eastAsia="pt-BR"/>
        </w:rPr>
        <w:t xml:space="preserve"> in</w:t>
      </w:r>
      <w:proofErr w:type="gramEnd"/>
      <w:r w:rsidR="00F7038C" w:rsidRPr="00324454">
        <w:rPr>
          <w:rFonts w:ascii="Arial" w:hAnsi="Arial" w:cs="Arial"/>
          <w:sz w:val="24"/>
          <w:szCs w:val="24"/>
          <w:lang w:val="en-US" w:eastAsia="pt-BR"/>
        </w:rPr>
        <w:t xml:space="preserve"> the populations of innovative firms.</w:t>
      </w:r>
      <w:r w:rsidR="004E7BD1" w:rsidRPr="00324454">
        <w:rPr>
          <w:rFonts w:ascii="Arial" w:hAnsi="Arial" w:cs="Arial"/>
          <w:sz w:val="24"/>
          <w:szCs w:val="24"/>
          <w:lang w:val="en-US" w:eastAsia="pt-BR"/>
        </w:rPr>
        <w:t xml:space="preserve"> </w:t>
      </w:r>
      <w:r w:rsidR="004F245A" w:rsidRPr="00324454">
        <w:rPr>
          <w:rFonts w:ascii="Arial" w:hAnsi="Arial" w:cs="Arial"/>
          <w:sz w:val="24"/>
          <w:szCs w:val="24"/>
          <w:lang w:val="en-US" w:eastAsia="pt-BR"/>
        </w:rPr>
        <w:t>It is i</w:t>
      </w:r>
      <w:r w:rsidR="004E7BD1" w:rsidRPr="00324454">
        <w:rPr>
          <w:rFonts w:ascii="Arial" w:hAnsi="Arial" w:cs="Arial"/>
          <w:sz w:val="24"/>
          <w:szCs w:val="24"/>
          <w:lang w:val="en-US" w:eastAsia="pt-BR"/>
        </w:rPr>
        <w:t>mportant to s</w:t>
      </w:r>
      <w:r w:rsidR="004F245A" w:rsidRPr="00324454">
        <w:rPr>
          <w:rFonts w:ascii="Arial" w:hAnsi="Arial" w:cs="Arial"/>
          <w:sz w:val="24"/>
          <w:szCs w:val="24"/>
          <w:lang w:val="en-US" w:eastAsia="pt-BR"/>
        </w:rPr>
        <w:t>tress</w:t>
      </w:r>
      <w:r w:rsidR="00D61663">
        <w:rPr>
          <w:rFonts w:ascii="Arial" w:hAnsi="Arial" w:cs="Arial"/>
          <w:sz w:val="24"/>
          <w:szCs w:val="24"/>
          <w:lang w:val="en-US" w:eastAsia="pt-BR"/>
        </w:rPr>
        <w:t xml:space="preserve">, however, </w:t>
      </w:r>
      <w:r w:rsidR="004E7BD1" w:rsidRPr="00324454">
        <w:rPr>
          <w:rFonts w:ascii="Arial" w:hAnsi="Arial" w:cs="Arial"/>
          <w:sz w:val="24"/>
          <w:szCs w:val="24"/>
          <w:lang w:val="en-US" w:eastAsia="pt-BR"/>
        </w:rPr>
        <w:t>that t</w:t>
      </w:r>
      <w:r w:rsidR="005B31D8" w:rsidRPr="00324454">
        <w:rPr>
          <w:rFonts w:ascii="Arial" w:hAnsi="Arial" w:cs="Arial"/>
          <w:sz w:val="24"/>
          <w:szCs w:val="24"/>
          <w:lang w:val="en-US" w:eastAsia="pt-BR"/>
        </w:rPr>
        <w:t xml:space="preserve">he studies </w:t>
      </w:r>
      <w:r w:rsidR="00F7038C" w:rsidRPr="00324454">
        <w:rPr>
          <w:rFonts w:ascii="Arial" w:hAnsi="Arial" w:cs="Arial"/>
          <w:sz w:val="24"/>
          <w:szCs w:val="24"/>
          <w:lang w:val="en-US" w:eastAsia="pt-BR"/>
        </w:rPr>
        <w:t xml:space="preserve">by Van Dijk </w:t>
      </w:r>
      <w:r w:rsidR="008B75A8">
        <w:rPr>
          <w:rFonts w:ascii="Arial" w:hAnsi="Arial" w:cs="Arial"/>
          <w:sz w:val="24"/>
          <w:szCs w:val="24"/>
          <w:lang w:val="en-US" w:eastAsia="pt-BR"/>
        </w:rPr>
        <w:t xml:space="preserve">(2000, 2002) </w:t>
      </w:r>
      <w:r w:rsidR="005B31D8" w:rsidRPr="00324454">
        <w:rPr>
          <w:rFonts w:ascii="Arial" w:hAnsi="Arial" w:cs="Arial"/>
          <w:sz w:val="24"/>
          <w:szCs w:val="24"/>
          <w:lang w:val="en-US" w:eastAsia="pt-BR"/>
        </w:rPr>
        <w:t>further explore</w:t>
      </w:r>
      <w:r w:rsidR="00D61663">
        <w:rPr>
          <w:rFonts w:ascii="Arial" w:hAnsi="Arial" w:cs="Arial"/>
          <w:sz w:val="24"/>
          <w:szCs w:val="24"/>
          <w:lang w:val="en-US" w:eastAsia="pt-BR"/>
        </w:rPr>
        <w:t>d</w:t>
      </w:r>
      <w:r w:rsidR="005B31D8" w:rsidRPr="00324454">
        <w:rPr>
          <w:rFonts w:ascii="Arial" w:hAnsi="Arial" w:cs="Arial"/>
          <w:sz w:val="24"/>
          <w:szCs w:val="24"/>
          <w:lang w:val="en-US" w:eastAsia="pt-BR"/>
        </w:rPr>
        <w:t xml:space="preserve"> contrasts between SM-I and SM-</w:t>
      </w:r>
      <w:r w:rsidR="003C1905" w:rsidRPr="00324454">
        <w:rPr>
          <w:rFonts w:ascii="Arial" w:hAnsi="Arial" w:cs="Arial"/>
          <w:sz w:val="24"/>
          <w:szCs w:val="24"/>
          <w:lang w:val="en-US" w:eastAsia="pt-BR"/>
        </w:rPr>
        <w:t>I</w:t>
      </w:r>
      <w:r w:rsidR="005B31D8" w:rsidRPr="00324454">
        <w:rPr>
          <w:rFonts w:ascii="Arial" w:hAnsi="Arial" w:cs="Arial"/>
          <w:sz w:val="24"/>
          <w:szCs w:val="24"/>
          <w:lang w:val="en-US" w:eastAsia="pt-BR"/>
        </w:rPr>
        <w:t>I industries in terms of statistica</w:t>
      </w:r>
      <w:r w:rsidR="00F7038C" w:rsidRPr="00324454">
        <w:rPr>
          <w:rFonts w:ascii="Arial" w:hAnsi="Arial" w:cs="Arial"/>
          <w:sz w:val="24"/>
          <w:szCs w:val="24"/>
          <w:lang w:val="en-US" w:eastAsia="pt-BR"/>
        </w:rPr>
        <w:t xml:space="preserve">l tests of specific hypotheses </w:t>
      </w:r>
      <w:r w:rsidR="00EE060C">
        <w:rPr>
          <w:rFonts w:ascii="Arial" w:hAnsi="Arial" w:cs="Arial"/>
          <w:sz w:val="24"/>
          <w:szCs w:val="24"/>
          <w:lang w:val="en-US" w:eastAsia="pt-BR"/>
        </w:rPr>
        <w:t>for firms in general</w:t>
      </w:r>
      <w:r w:rsidR="00F7038C" w:rsidRPr="00324454">
        <w:rPr>
          <w:rFonts w:ascii="Arial" w:hAnsi="Arial" w:cs="Arial"/>
          <w:sz w:val="24"/>
          <w:szCs w:val="24"/>
          <w:lang w:val="en-US" w:eastAsia="pt-BR"/>
        </w:rPr>
        <w:t>.</w:t>
      </w:r>
    </w:p>
    <w:p w:rsidR="005B31D8" w:rsidRPr="00324454" w:rsidRDefault="005B31D8" w:rsidP="00D93057">
      <w:pPr>
        <w:autoSpaceDE w:val="0"/>
        <w:autoSpaceDN w:val="0"/>
        <w:adjustRightInd w:val="0"/>
        <w:spacing w:line="480" w:lineRule="auto"/>
        <w:ind w:firstLine="709"/>
        <w:jc w:val="both"/>
        <w:rPr>
          <w:rFonts w:ascii="Arial" w:hAnsi="Arial" w:cs="Arial"/>
          <w:sz w:val="24"/>
          <w:szCs w:val="24"/>
          <w:lang w:val="en-US" w:eastAsia="pt-BR"/>
        </w:rPr>
      </w:pPr>
      <w:r w:rsidRPr="00324454">
        <w:rPr>
          <w:rFonts w:ascii="Arial" w:hAnsi="Arial" w:cs="Arial"/>
          <w:sz w:val="24"/>
          <w:szCs w:val="24"/>
          <w:lang w:val="en-US" w:eastAsia="pt-BR"/>
        </w:rPr>
        <w:t xml:space="preserve"> The present paper aims </w:t>
      </w:r>
      <w:r w:rsidR="00633EC3">
        <w:rPr>
          <w:rFonts w:ascii="Arial" w:hAnsi="Arial" w:cs="Arial"/>
          <w:sz w:val="24"/>
          <w:szCs w:val="24"/>
          <w:lang w:val="en-US" w:eastAsia="pt-BR"/>
        </w:rPr>
        <w:t>to</w:t>
      </w:r>
      <w:r w:rsidRPr="00324454">
        <w:rPr>
          <w:rFonts w:ascii="Arial" w:hAnsi="Arial" w:cs="Arial"/>
          <w:sz w:val="24"/>
          <w:szCs w:val="24"/>
          <w:lang w:val="en-US" w:eastAsia="pt-BR"/>
        </w:rPr>
        <w:t xml:space="preserve"> consider </w:t>
      </w:r>
      <w:r w:rsidR="003C1905" w:rsidRPr="00324454">
        <w:rPr>
          <w:rFonts w:ascii="Arial" w:hAnsi="Arial" w:cs="Arial"/>
          <w:sz w:val="24"/>
          <w:szCs w:val="24"/>
          <w:lang w:val="en-US" w:eastAsia="pt-BR"/>
        </w:rPr>
        <w:t xml:space="preserve">a </w:t>
      </w:r>
      <w:r w:rsidRPr="00324454">
        <w:rPr>
          <w:rFonts w:ascii="Arial" w:hAnsi="Arial" w:cs="Arial"/>
          <w:sz w:val="24"/>
          <w:szCs w:val="24"/>
          <w:lang w:val="en-US" w:eastAsia="pt-BR"/>
        </w:rPr>
        <w:t xml:space="preserve">similar analysis in the </w:t>
      </w:r>
      <w:r w:rsidR="00F7038C" w:rsidRPr="00324454">
        <w:rPr>
          <w:rFonts w:ascii="Arial" w:hAnsi="Arial" w:cs="Arial"/>
          <w:sz w:val="24"/>
          <w:szCs w:val="24"/>
          <w:lang w:val="en-US" w:eastAsia="pt-BR"/>
        </w:rPr>
        <w:t>case</w:t>
      </w:r>
      <w:r w:rsidRPr="00324454">
        <w:rPr>
          <w:rFonts w:ascii="Arial" w:hAnsi="Arial" w:cs="Arial"/>
          <w:sz w:val="24"/>
          <w:szCs w:val="24"/>
          <w:lang w:val="en-US" w:eastAsia="pt-BR"/>
        </w:rPr>
        <w:t xml:space="preserve"> of the Brazilian manufacturing industry</w:t>
      </w:r>
      <w:r w:rsidR="00DD7AFF" w:rsidRPr="00324454">
        <w:rPr>
          <w:rFonts w:ascii="Arial" w:hAnsi="Arial" w:cs="Arial"/>
          <w:sz w:val="24"/>
          <w:szCs w:val="24"/>
          <w:lang w:val="en-US" w:eastAsia="pt-BR"/>
        </w:rPr>
        <w:t xml:space="preserve"> </w:t>
      </w:r>
      <w:r w:rsidR="00633EC3">
        <w:rPr>
          <w:rFonts w:ascii="Arial" w:hAnsi="Arial" w:cs="Arial"/>
          <w:sz w:val="24"/>
          <w:szCs w:val="24"/>
          <w:lang w:val="en-US" w:eastAsia="pt-BR"/>
        </w:rPr>
        <w:t xml:space="preserve">using as a </w:t>
      </w:r>
      <w:proofErr w:type="gramStart"/>
      <w:r w:rsidR="00633EC3">
        <w:rPr>
          <w:rFonts w:ascii="Arial" w:hAnsi="Arial" w:cs="Arial"/>
          <w:sz w:val="24"/>
          <w:szCs w:val="24"/>
          <w:lang w:val="en-US" w:eastAsia="pt-BR"/>
        </w:rPr>
        <w:t>reference  a</w:t>
      </w:r>
      <w:proofErr w:type="gramEnd"/>
      <w:r w:rsidR="00DD7AFF" w:rsidRPr="00324454">
        <w:rPr>
          <w:rFonts w:ascii="Arial" w:hAnsi="Arial" w:cs="Arial"/>
          <w:sz w:val="24"/>
          <w:szCs w:val="24"/>
          <w:lang w:val="en-US" w:eastAsia="pt-BR"/>
        </w:rPr>
        <w:t xml:space="preserve"> rich survey data that </w:t>
      </w:r>
      <w:r w:rsidR="00633EC3">
        <w:rPr>
          <w:rFonts w:ascii="Arial" w:hAnsi="Arial" w:cs="Arial"/>
          <w:sz w:val="24"/>
          <w:szCs w:val="24"/>
          <w:lang w:val="en-US" w:eastAsia="pt-BR"/>
        </w:rPr>
        <w:t>gave become</w:t>
      </w:r>
      <w:r w:rsidR="00DD7AFF" w:rsidRPr="00324454">
        <w:rPr>
          <w:rFonts w:ascii="Arial" w:hAnsi="Arial" w:cs="Arial"/>
          <w:sz w:val="24"/>
          <w:szCs w:val="24"/>
          <w:lang w:val="en-US" w:eastAsia="pt-BR"/>
        </w:rPr>
        <w:t xml:space="preserve"> </w:t>
      </w:r>
      <w:r w:rsidR="000536EF" w:rsidRPr="00324454">
        <w:rPr>
          <w:rFonts w:ascii="Arial" w:hAnsi="Arial" w:cs="Arial"/>
          <w:sz w:val="24"/>
          <w:szCs w:val="24"/>
          <w:lang w:val="en-US" w:eastAsia="pt-BR"/>
        </w:rPr>
        <w:t>increasingly</w:t>
      </w:r>
      <w:r w:rsidR="00DD7AFF" w:rsidRPr="00324454">
        <w:rPr>
          <w:rFonts w:ascii="Arial" w:hAnsi="Arial" w:cs="Arial"/>
          <w:sz w:val="24"/>
          <w:szCs w:val="24"/>
          <w:lang w:val="en-US" w:eastAsia="pt-BR"/>
        </w:rPr>
        <w:t xml:space="preserve"> available.</w:t>
      </w:r>
      <w:r w:rsidRPr="00324454">
        <w:rPr>
          <w:rFonts w:ascii="Arial" w:hAnsi="Arial" w:cs="Arial"/>
          <w:sz w:val="24"/>
          <w:szCs w:val="24"/>
          <w:lang w:val="en-US" w:eastAsia="pt-BR"/>
        </w:rPr>
        <w:t xml:space="preserve"> The study </w:t>
      </w:r>
      <w:r w:rsidR="00633EC3">
        <w:rPr>
          <w:rFonts w:ascii="Arial" w:hAnsi="Arial" w:cs="Arial"/>
          <w:sz w:val="24"/>
          <w:szCs w:val="24"/>
          <w:lang w:val="en-US" w:eastAsia="pt-BR"/>
        </w:rPr>
        <w:t>is motivated o</w:t>
      </w:r>
      <w:r w:rsidRPr="00324454">
        <w:rPr>
          <w:rFonts w:ascii="Arial" w:hAnsi="Arial" w:cs="Arial"/>
          <w:sz w:val="24"/>
          <w:szCs w:val="24"/>
          <w:lang w:val="en-US" w:eastAsia="pt-BR"/>
        </w:rPr>
        <w:t>n different grounds:</w:t>
      </w:r>
    </w:p>
    <w:p w:rsidR="005B31D8" w:rsidRPr="00324454" w:rsidRDefault="005B31D8" w:rsidP="00D93057">
      <w:pPr>
        <w:pStyle w:val="PargrafodaLista"/>
        <w:numPr>
          <w:ilvl w:val="0"/>
          <w:numId w:val="3"/>
        </w:numPr>
        <w:autoSpaceDE w:val="0"/>
        <w:autoSpaceDN w:val="0"/>
        <w:adjustRightInd w:val="0"/>
        <w:spacing w:line="480" w:lineRule="auto"/>
        <w:ind w:left="0" w:firstLine="709"/>
        <w:contextualSpacing w:val="0"/>
        <w:jc w:val="both"/>
        <w:rPr>
          <w:rFonts w:ascii="Arial" w:hAnsi="Arial" w:cs="Arial"/>
          <w:sz w:val="24"/>
          <w:szCs w:val="24"/>
        </w:rPr>
      </w:pPr>
      <w:r w:rsidRPr="00324454">
        <w:rPr>
          <w:rFonts w:ascii="Arial" w:hAnsi="Arial" w:cs="Arial"/>
          <w:sz w:val="24"/>
          <w:szCs w:val="24"/>
          <w:lang w:val="en-US"/>
        </w:rPr>
        <w:t xml:space="preserve">The existing literature </w:t>
      </w:r>
      <w:r w:rsidR="00633EC3">
        <w:rPr>
          <w:rFonts w:ascii="Arial" w:hAnsi="Arial" w:cs="Arial"/>
          <w:sz w:val="24"/>
          <w:szCs w:val="24"/>
          <w:lang w:val="en-US"/>
        </w:rPr>
        <w:t xml:space="preserve">has </w:t>
      </w:r>
      <w:r w:rsidRPr="00324454">
        <w:rPr>
          <w:rFonts w:ascii="Arial" w:hAnsi="Arial" w:cs="Arial"/>
          <w:sz w:val="24"/>
          <w:szCs w:val="24"/>
          <w:lang w:val="en-US"/>
        </w:rPr>
        <w:t xml:space="preserve">concentrated on developed countries and it </w:t>
      </w:r>
      <w:r w:rsidR="00633EC3">
        <w:rPr>
          <w:rFonts w:ascii="Arial" w:hAnsi="Arial" w:cs="Arial"/>
          <w:sz w:val="24"/>
          <w:szCs w:val="24"/>
          <w:lang w:val="en-US"/>
        </w:rPr>
        <w:t>is</w:t>
      </w:r>
      <w:r w:rsidRPr="00324454">
        <w:rPr>
          <w:rFonts w:ascii="Arial" w:hAnsi="Arial" w:cs="Arial"/>
          <w:sz w:val="24"/>
          <w:szCs w:val="24"/>
          <w:lang w:val="en-US"/>
        </w:rPr>
        <w:t xml:space="preserve"> re</w:t>
      </w:r>
      <w:r w:rsidR="00DD7AFF" w:rsidRPr="00324454">
        <w:rPr>
          <w:rFonts w:ascii="Arial" w:hAnsi="Arial" w:cs="Arial"/>
          <w:sz w:val="24"/>
          <w:szCs w:val="24"/>
          <w:lang w:val="en-US"/>
        </w:rPr>
        <w:t>le</w:t>
      </w:r>
      <w:r w:rsidRPr="00324454">
        <w:rPr>
          <w:rFonts w:ascii="Arial" w:hAnsi="Arial" w:cs="Arial"/>
          <w:sz w:val="24"/>
          <w:szCs w:val="24"/>
          <w:lang w:val="en-US"/>
        </w:rPr>
        <w:t>vant to investigate a</w:t>
      </w:r>
      <w:r w:rsidR="00DD7AFF" w:rsidRPr="00324454">
        <w:rPr>
          <w:rFonts w:ascii="Arial" w:hAnsi="Arial" w:cs="Arial"/>
          <w:sz w:val="24"/>
          <w:szCs w:val="24"/>
          <w:lang w:val="en-US"/>
        </w:rPr>
        <w:t xml:space="preserve"> </w:t>
      </w:r>
      <w:r w:rsidRPr="00324454">
        <w:rPr>
          <w:rFonts w:ascii="Arial" w:hAnsi="Arial" w:cs="Arial"/>
          <w:sz w:val="24"/>
          <w:szCs w:val="24"/>
          <w:lang w:val="en-US"/>
        </w:rPr>
        <w:t>large emerging economy</w:t>
      </w:r>
      <w:r w:rsidR="00DD7AFF" w:rsidRPr="00324454">
        <w:rPr>
          <w:rFonts w:ascii="Arial" w:hAnsi="Arial" w:cs="Arial"/>
          <w:sz w:val="24"/>
          <w:szCs w:val="24"/>
          <w:lang w:val="en-US"/>
        </w:rPr>
        <w:t xml:space="preserve"> </w:t>
      </w:r>
      <w:r w:rsidR="00633EC3">
        <w:rPr>
          <w:rFonts w:ascii="Arial" w:hAnsi="Arial" w:cs="Arial"/>
          <w:sz w:val="24"/>
          <w:szCs w:val="24"/>
          <w:lang w:val="en-US"/>
        </w:rPr>
        <w:t>such as</w:t>
      </w:r>
      <w:r w:rsidR="00DD7AFF" w:rsidRPr="00324454">
        <w:rPr>
          <w:rFonts w:ascii="Arial" w:hAnsi="Arial" w:cs="Arial"/>
          <w:sz w:val="24"/>
          <w:szCs w:val="24"/>
          <w:lang w:val="en-US"/>
        </w:rPr>
        <w:t xml:space="preserve"> Brazil where the coexistence of traditional sectors and </w:t>
      </w:r>
      <w:r w:rsidR="004E6003" w:rsidRPr="00324454">
        <w:rPr>
          <w:rFonts w:ascii="Arial" w:hAnsi="Arial" w:cs="Arial"/>
          <w:sz w:val="24"/>
          <w:szCs w:val="24"/>
          <w:lang w:val="en-US"/>
        </w:rPr>
        <w:t xml:space="preserve">more dynamic and </w:t>
      </w:r>
      <w:r w:rsidR="00DD7AFF" w:rsidRPr="00324454">
        <w:rPr>
          <w:rFonts w:ascii="Arial" w:hAnsi="Arial" w:cs="Arial"/>
          <w:sz w:val="24"/>
          <w:szCs w:val="24"/>
          <w:lang w:val="en-US"/>
        </w:rPr>
        <w:t>innovative sectors</w:t>
      </w:r>
      <w:r w:rsidR="00633EC3">
        <w:rPr>
          <w:rFonts w:ascii="Arial" w:hAnsi="Arial" w:cs="Arial"/>
          <w:sz w:val="24"/>
          <w:szCs w:val="24"/>
          <w:lang w:val="en-US"/>
        </w:rPr>
        <w:t xml:space="preserve"> can be observed</w:t>
      </w:r>
      <w:r w:rsidR="00DD7AFF" w:rsidRPr="00324454">
        <w:rPr>
          <w:rFonts w:ascii="Arial" w:hAnsi="Arial" w:cs="Arial"/>
          <w:sz w:val="24"/>
          <w:szCs w:val="24"/>
          <w:lang w:val="en-US"/>
        </w:rPr>
        <w:t xml:space="preserve">. Nevertheless, it appears that the typical level of technological effort is </w:t>
      </w:r>
      <w:r w:rsidR="00FA2B15">
        <w:rPr>
          <w:rFonts w:ascii="Arial" w:hAnsi="Arial" w:cs="Arial"/>
          <w:sz w:val="24"/>
          <w:szCs w:val="24"/>
          <w:lang w:val="en-US"/>
        </w:rPr>
        <w:t>still</w:t>
      </w:r>
      <w:r w:rsidR="00DD7AFF" w:rsidRPr="00324454">
        <w:rPr>
          <w:rFonts w:ascii="Arial" w:hAnsi="Arial" w:cs="Arial"/>
          <w:sz w:val="24"/>
          <w:szCs w:val="24"/>
          <w:lang w:val="en-US"/>
        </w:rPr>
        <w:t xml:space="preserve"> </w:t>
      </w:r>
      <w:r w:rsidR="00DD7AFF" w:rsidRPr="00324454">
        <w:rPr>
          <w:rFonts w:ascii="Arial" w:hAnsi="Arial" w:cs="Arial"/>
          <w:sz w:val="24"/>
          <w:szCs w:val="24"/>
          <w:lang w:val="en-US"/>
        </w:rPr>
        <w:lastRenderedPageBreak/>
        <w:t xml:space="preserve">low as suggested by </w:t>
      </w:r>
      <w:proofErr w:type="spellStart"/>
      <w:r w:rsidR="00DD7AFF" w:rsidRPr="00324454">
        <w:rPr>
          <w:rFonts w:ascii="Arial" w:hAnsi="Arial" w:cs="Arial"/>
          <w:sz w:val="24"/>
          <w:szCs w:val="24"/>
          <w:lang w:val="en-US" w:eastAsia="pt-BR"/>
        </w:rPr>
        <w:t>Gonçalves</w:t>
      </w:r>
      <w:proofErr w:type="spellEnd"/>
      <w:r w:rsidR="00DD7AFF" w:rsidRPr="00324454">
        <w:rPr>
          <w:rFonts w:ascii="Arial" w:hAnsi="Arial" w:cs="Arial"/>
          <w:sz w:val="24"/>
          <w:szCs w:val="24"/>
          <w:lang w:val="en-US" w:eastAsia="pt-BR"/>
        </w:rPr>
        <w:t xml:space="preserve"> and </w:t>
      </w:r>
      <w:proofErr w:type="spellStart"/>
      <w:r w:rsidR="00DD7AFF" w:rsidRPr="00324454">
        <w:rPr>
          <w:rFonts w:ascii="Arial" w:hAnsi="Arial" w:cs="Arial"/>
          <w:sz w:val="24"/>
          <w:szCs w:val="24"/>
          <w:lang w:val="en-US" w:eastAsia="pt-BR"/>
        </w:rPr>
        <w:t>Simões</w:t>
      </w:r>
      <w:proofErr w:type="spellEnd"/>
      <w:r w:rsidR="00DD7AFF" w:rsidRPr="00324454">
        <w:rPr>
          <w:rFonts w:ascii="Arial" w:hAnsi="Arial" w:cs="Arial"/>
          <w:sz w:val="24"/>
          <w:szCs w:val="24"/>
          <w:lang w:val="en-US" w:eastAsia="pt-BR"/>
        </w:rPr>
        <w:t xml:space="preserve"> (2005)</w:t>
      </w:r>
      <w:r w:rsidR="00FA2B15">
        <w:rPr>
          <w:rFonts w:ascii="Arial" w:hAnsi="Arial" w:cs="Arial"/>
          <w:sz w:val="24"/>
          <w:szCs w:val="24"/>
          <w:lang w:val="en-US" w:eastAsia="pt-BR"/>
        </w:rPr>
        <w:t>,</w:t>
      </w:r>
      <w:r w:rsidR="00DD7AFF" w:rsidRPr="00324454">
        <w:rPr>
          <w:rFonts w:ascii="Arial" w:hAnsi="Arial" w:cs="Arial"/>
          <w:sz w:val="24"/>
          <w:szCs w:val="24"/>
          <w:lang w:val="en-US" w:eastAsia="pt-BR"/>
        </w:rPr>
        <w:t xml:space="preserve"> </w:t>
      </w:r>
      <w:proofErr w:type="spellStart"/>
      <w:r w:rsidR="00DD7AFF" w:rsidRPr="00324454">
        <w:rPr>
          <w:rFonts w:ascii="Arial" w:hAnsi="Arial" w:cs="Arial"/>
          <w:sz w:val="24"/>
          <w:szCs w:val="24"/>
          <w:lang w:val="en-US" w:eastAsia="pt-BR"/>
        </w:rPr>
        <w:t>Kannebley</w:t>
      </w:r>
      <w:proofErr w:type="spellEnd"/>
      <w:r w:rsidR="00DD7AFF" w:rsidRPr="00324454">
        <w:rPr>
          <w:rFonts w:ascii="Arial" w:hAnsi="Arial" w:cs="Arial"/>
          <w:sz w:val="24"/>
          <w:szCs w:val="24"/>
          <w:lang w:val="en-US" w:eastAsia="pt-BR"/>
        </w:rPr>
        <w:t xml:space="preserve"> </w:t>
      </w:r>
      <w:proofErr w:type="spellStart"/>
      <w:r w:rsidR="00DD7AFF" w:rsidRPr="00324454">
        <w:rPr>
          <w:rFonts w:ascii="Arial" w:hAnsi="Arial" w:cs="Arial"/>
          <w:sz w:val="24"/>
          <w:szCs w:val="24"/>
          <w:lang w:val="en-US" w:eastAsia="pt-BR"/>
        </w:rPr>
        <w:t>Jr</w:t>
      </w:r>
      <w:proofErr w:type="spellEnd"/>
      <w:r w:rsidR="00DD7AFF" w:rsidRPr="00324454">
        <w:rPr>
          <w:rFonts w:ascii="Arial" w:hAnsi="Arial" w:cs="Arial"/>
          <w:sz w:val="24"/>
          <w:szCs w:val="24"/>
          <w:lang w:val="en-US" w:eastAsia="pt-BR"/>
        </w:rPr>
        <w:t>, et al. (2005)</w:t>
      </w:r>
      <w:r w:rsidR="00622430" w:rsidRPr="00324454">
        <w:rPr>
          <w:rFonts w:ascii="Arial" w:hAnsi="Arial" w:cs="Arial"/>
          <w:sz w:val="24"/>
          <w:szCs w:val="24"/>
          <w:lang w:val="en-US" w:eastAsia="pt-BR"/>
        </w:rPr>
        <w:t xml:space="preserve"> and </w:t>
      </w:r>
      <w:r w:rsidR="00622430" w:rsidRPr="00324454">
        <w:rPr>
          <w:rFonts w:ascii="Arial" w:hAnsi="Arial" w:cs="Arial"/>
          <w:bCs/>
          <w:sz w:val="24"/>
          <w:szCs w:val="24"/>
        </w:rPr>
        <w:t xml:space="preserve">Zucoloto and </w:t>
      </w:r>
      <w:hyperlink r:id="rId9" w:tgtFrame="blank" w:history="1">
        <w:r w:rsidR="00622430" w:rsidRPr="00324454">
          <w:rPr>
            <w:rFonts w:ascii="Arial" w:hAnsi="Arial" w:cs="Arial"/>
            <w:bCs/>
            <w:sz w:val="24"/>
            <w:szCs w:val="24"/>
          </w:rPr>
          <w:t>Toneto Jr.</w:t>
        </w:r>
      </w:hyperlink>
      <w:r w:rsidR="00622430" w:rsidRPr="00324454">
        <w:rPr>
          <w:rFonts w:ascii="Arial" w:hAnsi="Arial" w:cs="Arial"/>
          <w:bCs/>
          <w:sz w:val="24"/>
          <w:szCs w:val="24"/>
        </w:rPr>
        <w:t xml:space="preserve"> (2005)</w:t>
      </w:r>
      <w:r w:rsidR="004E6003" w:rsidRPr="00324454">
        <w:rPr>
          <w:rFonts w:ascii="Arial" w:hAnsi="Arial" w:cs="Arial"/>
          <w:sz w:val="24"/>
          <w:szCs w:val="24"/>
          <w:lang w:val="en-US" w:eastAsia="pt-BR"/>
        </w:rPr>
        <w:t>;</w:t>
      </w:r>
    </w:p>
    <w:p w:rsidR="000B0400" w:rsidRPr="00324454" w:rsidRDefault="004E6003" w:rsidP="00D93057">
      <w:pPr>
        <w:pStyle w:val="PargrafodaLista"/>
        <w:numPr>
          <w:ilvl w:val="0"/>
          <w:numId w:val="3"/>
        </w:numPr>
        <w:autoSpaceDE w:val="0"/>
        <w:autoSpaceDN w:val="0"/>
        <w:adjustRightInd w:val="0"/>
        <w:spacing w:line="480" w:lineRule="auto"/>
        <w:ind w:left="0" w:firstLine="709"/>
        <w:contextualSpacing w:val="0"/>
        <w:jc w:val="both"/>
        <w:rPr>
          <w:rFonts w:ascii="Arial" w:hAnsi="Arial" w:cs="Arial"/>
          <w:sz w:val="24"/>
          <w:szCs w:val="24"/>
          <w:lang w:val="en-US"/>
        </w:rPr>
      </w:pPr>
      <w:r w:rsidRPr="00324454">
        <w:rPr>
          <w:rFonts w:ascii="Arial" w:hAnsi="Arial" w:cs="Arial"/>
          <w:sz w:val="24"/>
          <w:szCs w:val="24"/>
          <w:lang w:val="en-US" w:eastAsia="pt-BR"/>
        </w:rPr>
        <w:t>The underlying structural factors</w:t>
      </w:r>
      <w:r w:rsidR="000536EF" w:rsidRPr="00324454">
        <w:rPr>
          <w:rFonts w:ascii="Arial" w:hAnsi="Arial" w:cs="Arial"/>
          <w:sz w:val="24"/>
          <w:szCs w:val="24"/>
          <w:lang w:val="en-US" w:eastAsia="pt-BR"/>
        </w:rPr>
        <w:t xml:space="preserve"> that define the two regimes</w:t>
      </w:r>
      <w:r w:rsidRPr="00324454">
        <w:rPr>
          <w:rFonts w:ascii="Arial" w:hAnsi="Arial" w:cs="Arial"/>
          <w:sz w:val="24"/>
          <w:szCs w:val="24"/>
          <w:lang w:val="en-US" w:eastAsia="pt-BR"/>
        </w:rPr>
        <w:t xml:space="preserve"> warrant further investigation. In fact, </w:t>
      </w:r>
      <w:r w:rsidR="000536EF" w:rsidRPr="00324454">
        <w:rPr>
          <w:rFonts w:ascii="Arial" w:hAnsi="Arial" w:cs="Arial"/>
          <w:sz w:val="24"/>
          <w:szCs w:val="24"/>
          <w:lang w:val="en-US" w:eastAsia="pt-BR"/>
        </w:rPr>
        <w:t xml:space="preserve">previous studies by Van </w:t>
      </w:r>
      <w:proofErr w:type="spellStart"/>
      <w:r w:rsidR="000536EF" w:rsidRPr="00324454">
        <w:rPr>
          <w:rFonts w:ascii="Arial" w:hAnsi="Arial" w:cs="Arial"/>
          <w:sz w:val="24"/>
          <w:szCs w:val="24"/>
          <w:lang w:val="en-US" w:eastAsia="pt-BR"/>
        </w:rPr>
        <w:t>Dijk</w:t>
      </w:r>
      <w:proofErr w:type="spellEnd"/>
      <w:r w:rsidR="000536EF" w:rsidRPr="00324454">
        <w:rPr>
          <w:rFonts w:ascii="Arial" w:hAnsi="Arial" w:cs="Arial"/>
          <w:sz w:val="24"/>
          <w:szCs w:val="24"/>
          <w:lang w:val="en-US" w:eastAsia="pt-BR"/>
        </w:rPr>
        <w:t xml:space="preserve"> (2000, 2002</w:t>
      </w:r>
      <w:proofErr w:type="gramStart"/>
      <w:r w:rsidR="000536EF" w:rsidRPr="00324454">
        <w:rPr>
          <w:rFonts w:ascii="Arial" w:hAnsi="Arial" w:cs="Arial"/>
          <w:sz w:val="24"/>
          <w:szCs w:val="24"/>
          <w:lang w:val="en-US" w:eastAsia="pt-BR"/>
        </w:rPr>
        <w:t>)  relied</w:t>
      </w:r>
      <w:proofErr w:type="gramEnd"/>
      <w:r w:rsidR="000536EF" w:rsidRPr="00324454">
        <w:rPr>
          <w:rFonts w:ascii="Arial" w:hAnsi="Arial" w:cs="Arial"/>
          <w:sz w:val="24"/>
          <w:szCs w:val="24"/>
          <w:lang w:val="en-US" w:eastAsia="pt-BR"/>
        </w:rPr>
        <w:t xml:space="preserve"> on the prevailing classification used </w:t>
      </w:r>
      <w:r w:rsidR="00FA2B15">
        <w:rPr>
          <w:rFonts w:ascii="Arial" w:hAnsi="Arial" w:cs="Arial"/>
          <w:sz w:val="24"/>
          <w:szCs w:val="24"/>
          <w:lang w:val="en-US" w:eastAsia="pt-BR"/>
        </w:rPr>
        <w:t>by</w:t>
      </w:r>
      <w:r w:rsidR="000536EF" w:rsidRPr="00324454">
        <w:rPr>
          <w:rFonts w:ascii="Arial" w:hAnsi="Arial" w:cs="Arial"/>
          <w:sz w:val="24"/>
          <w:szCs w:val="24"/>
          <w:lang w:val="en-US" w:eastAsia="pt-BR"/>
        </w:rPr>
        <w:t xml:space="preserve"> </w:t>
      </w:r>
      <w:proofErr w:type="spellStart"/>
      <w:r w:rsidR="00F7038C" w:rsidRPr="00324454">
        <w:rPr>
          <w:rFonts w:ascii="Arial" w:hAnsi="Arial" w:cs="Arial"/>
          <w:sz w:val="24"/>
          <w:szCs w:val="24"/>
          <w:lang w:val="en-US"/>
        </w:rPr>
        <w:t>Malerba</w:t>
      </w:r>
      <w:proofErr w:type="spellEnd"/>
      <w:r w:rsidR="00F7038C" w:rsidRPr="00324454">
        <w:rPr>
          <w:rFonts w:ascii="Arial" w:hAnsi="Arial" w:cs="Arial"/>
          <w:sz w:val="24"/>
          <w:szCs w:val="24"/>
          <w:lang w:val="en-US"/>
        </w:rPr>
        <w:t xml:space="preserve"> and </w:t>
      </w:r>
      <w:proofErr w:type="spellStart"/>
      <w:r w:rsidR="00F7038C" w:rsidRPr="00324454">
        <w:rPr>
          <w:rFonts w:ascii="Arial" w:hAnsi="Arial" w:cs="Arial"/>
          <w:sz w:val="24"/>
          <w:szCs w:val="24"/>
          <w:lang w:val="en-US"/>
        </w:rPr>
        <w:t>Orsenigo</w:t>
      </w:r>
      <w:proofErr w:type="spellEnd"/>
      <w:r w:rsidR="00F7038C" w:rsidRPr="00324454">
        <w:rPr>
          <w:rFonts w:ascii="Arial" w:hAnsi="Arial" w:cs="Arial"/>
          <w:sz w:val="24"/>
          <w:szCs w:val="24"/>
          <w:lang w:val="en-US"/>
        </w:rPr>
        <w:t xml:space="preserve"> (1995)</w:t>
      </w:r>
      <w:r w:rsidR="002716DB" w:rsidRPr="00324454">
        <w:rPr>
          <w:rFonts w:ascii="Arial" w:hAnsi="Arial" w:cs="Arial"/>
          <w:sz w:val="24"/>
          <w:szCs w:val="24"/>
          <w:lang w:val="en-US"/>
        </w:rPr>
        <w:t xml:space="preserve"> that referred to</w:t>
      </w:r>
      <w:r w:rsidR="000536EF" w:rsidRPr="00324454">
        <w:rPr>
          <w:rFonts w:ascii="Arial" w:hAnsi="Arial" w:cs="Arial"/>
          <w:sz w:val="24"/>
          <w:szCs w:val="24"/>
          <w:lang w:val="en-US" w:eastAsia="pt-BR"/>
        </w:rPr>
        <w:t xml:space="preserve"> different countries. The consideration of tests comparing SM-I and SM-II industries</w:t>
      </w:r>
      <w:r w:rsidR="005C1D26" w:rsidRPr="00324454">
        <w:rPr>
          <w:rFonts w:ascii="Arial" w:hAnsi="Arial" w:cs="Arial"/>
          <w:sz w:val="24"/>
          <w:szCs w:val="24"/>
          <w:lang w:val="en-US" w:eastAsia="pt-BR"/>
        </w:rPr>
        <w:t xml:space="preserve"> that do not rely on classifications for other countries is warranted, and the consideration of an emerging economy can address a gap in the literature.</w:t>
      </w:r>
    </w:p>
    <w:p w:rsidR="004F245A" w:rsidRPr="0048436F" w:rsidRDefault="00942401" w:rsidP="00D93057">
      <w:pPr>
        <w:pStyle w:val="PargrafodaLista"/>
        <w:spacing w:line="480" w:lineRule="auto"/>
        <w:ind w:left="0" w:firstLine="709"/>
        <w:contextualSpacing w:val="0"/>
        <w:jc w:val="both"/>
        <w:rPr>
          <w:rFonts w:ascii="Arial" w:hAnsi="Arial" w:cs="Arial"/>
          <w:sz w:val="24"/>
          <w:szCs w:val="24"/>
          <w:lang w:val="en-US"/>
        </w:rPr>
      </w:pPr>
      <w:r w:rsidRPr="00324454">
        <w:rPr>
          <w:rFonts w:ascii="Arial" w:hAnsi="Arial" w:cs="Arial"/>
          <w:sz w:val="24"/>
          <w:szCs w:val="24"/>
          <w:lang w:val="en-US"/>
        </w:rPr>
        <w:t>The remainder of th</w:t>
      </w:r>
      <w:r w:rsidR="00FA2B15">
        <w:rPr>
          <w:rFonts w:ascii="Arial" w:hAnsi="Arial" w:cs="Arial"/>
          <w:sz w:val="24"/>
          <w:szCs w:val="24"/>
          <w:lang w:val="en-US"/>
        </w:rPr>
        <w:t xml:space="preserve">e paper is </w:t>
      </w:r>
      <w:proofErr w:type="spellStart"/>
      <w:r w:rsidR="00FA2B15">
        <w:rPr>
          <w:rFonts w:ascii="Arial" w:hAnsi="Arial" w:cs="Arial"/>
          <w:sz w:val="24"/>
          <w:szCs w:val="24"/>
          <w:lang w:val="en-US"/>
        </w:rPr>
        <w:t>organised</w:t>
      </w:r>
      <w:proofErr w:type="spellEnd"/>
      <w:r w:rsidR="00FA2B15">
        <w:rPr>
          <w:rFonts w:ascii="Arial" w:hAnsi="Arial" w:cs="Arial"/>
          <w:sz w:val="24"/>
          <w:szCs w:val="24"/>
          <w:lang w:val="en-US"/>
        </w:rPr>
        <w:t xml:space="preserve"> as follows: t</w:t>
      </w:r>
      <w:r w:rsidRPr="00324454">
        <w:rPr>
          <w:rFonts w:ascii="Arial" w:hAnsi="Arial" w:cs="Arial"/>
          <w:sz w:val="24"/>
          <w:szCs w:val="24"/>
          <w:lang w:val="en-US"/>
        </w:rPr>
        <w:t>he second section discu</w:t>
      </w:r>
      <w:r w:rsidR="005B31D8" w:rsidRPr="00324454">
        <w:rPr>
          <w:rFonts w:ascii="Arial" w:hAnsi="Arial" w:cs="Arial"/>
          <w:sz w:val="24"/>
          <w:szCs w:val="24"/>
          <w:lang w:val="en-US"/>
        </w:rPr>
        <w:t xml:space="preserve">sses </w:t>
      </w:r>
      <w:r w:rsidR="005C1D26" w:rsidRPr="00324454">
        <w:rPr>
          <w:rFonts w:ascii="Arial" w:hAnsi="Arial" w:cs="Arial"/>
          <w:sz w:val="24"/>
          <w:szCs w:val="24"/>
          <w:lang w:val="en-US"/>
        </w:rPr>
        <w:t xml:space="preserve">the empirical </w:t>
      </w:r>
      <w:proofErr w:type="spellStart"/>
      <w:r w:rsidR="005C1D26" w:rsidRPr="00324454">
        <w:rPr>
          <w:rFonts w:ascii="Arial" w:hAnsi="Arial" w:cs="Arial"/>
          <w:sz w:val="24"/>
          <w:szCs w:val="24"/>
          <w:lang w:val="en-US"/>
        </w:rPr>
        <w:t>c</w:t>
      </w:r>
      <w:r w:rsidR="00FA2B15">
        <w:rPr>
          <w:rFonts w:ascii="Arial" w:hAnsi="Arial" w:cs="Arial"/>
          <w:sz w:val="24"/>
          <w:szCs w:val="24"/>
          <w:lang w:val="en-US"/>
        </w:rPr>
        <w:t>haracteris</w:t>
      </w:r>
      <w:r w:rsidR="005C1D26" w:rsidRPr="00324454">
        <w:rPr>
          <w:rFonts w:ascii="Arial" w:hAnsi="Arial" w:cs="Arial"/>
          <w:sz w:val="24"/>
          <w:szCs w:val="24"/>
          <w:lang w:val="en-US"/>
        </w:rPr>
        <w:t>ation</w:t>
      </w:r>
      <w:proofErr w:type="spellEnd"/>
      <w:r w:rsidR="005C1D26" w:rsidRPr="00324454">
        <w:rPr>
          <w:rFonts w:ascii="Arial" w:hAnsi="Arial" w:cs="Arial"/>
          <w:sz w:val="24"/>
          <w:szCs w:val="24"/>
          <w:lang w:val="en-US"/>
        </w:rPr>
        <w:t xml:space="preserve"> of</w:t>
      </w:r>
      <w:r w:rsidRPr="00324454">
        <w:rPr>
          <w:rFonts w:ascii="Arial" w:hAnsi="Arial" w:cs="Arial"/>
          <w:sz w:val="24"/>
          <w:szCs w:val="24"/>
          <w:lang w:val="en-US"/>
        </w:rPr>
        <w:t xml:space="preserve"> technological </w:t>
      </w:r>
      <w:r w:rsidR="005C1D26" w:rsidRPr="00324454">
        <w:rPr>
          <w:rFonts w:ascii="Arial" w:hAnsi="Arial" w:cs="Arial"/>
          <w:sz w:val="24"/>
          <w:szCs w:val="24"/>
          <w:lang w:val="en-US"/>
        </w:rPr>
        <w:t>regimes. The third section discusses data source</w:t>
      </w:r>
      <w:r w:rsidR="00733C9F" w:rsidRPr="00324454">
        <w:rPr>
          <w:rFonts w:ascii="Arial" w:hAnsi="Arial" w:cs="Arial"/>
          <w:sz w:val="24"/>
          <w:szCs w:val="24"/>
          <w:lang w:val="en-US"/>
        </w:rPr>
        <w:t>s</w:t>
      </w:r>
      <w:r w:rsidR="005C1D26" w:rsidRPr="00324454">
        <w:rPr>
          <w:rFonts w:ascii="Arial" w:hAnsi="Arial" w:cs="Arial"/>
          <w:sz w:val="24"/>
          <w:szCs w:val="24"/>
          <w:lang w:val="en-US"/>
        </w:rPr>
        <w:t xml:space="preserve">, construction of </w:t>
      </w:r>
      <w:r w:rsidR="00FA2B15">
        <w:rPr>
          <w:rFonts w:ascii="Arial" w:hAnsi="Arial" w:cs="Arial"/>
          <w:sz w:val="24"/>
          <w:szCs w:val="24"/>
          <w:lang w:val="en-US"/>
        </w:rPr>
        <w:t xml:space="preserve">the </w:t>
      </w:r>
      <w:r w:rsidR="005C1D26" w:rsidRPr="00324454">
        <w:rPr>
          <w:rFonts w:ascii="Arial" w:hAnsi="Arial" w:cs="Arial"/>
          <w:sz w:val="24"/>
          <w:szCs w:val="24"/>
          <w:lang w:val="en-US"/>
        </w:rPr>
        <w:t>variables and the regimes´ classification</w:t>
      </w:r>
      <w:r w:rsidR="00FA2B15">
        <w:rPr>
          <w:rFonts w:ascii="Arial" w:hAnsi="Arial" w:cs="Arial"/>
          <w:sz w:val="24"/>
          <w:szCs w:val="24"/>
          <w:lang w:val="en-US"/>
        </w:rPr>
        <w:t>s</w:t>
      </w:r>
      <w:r w:rsidR="005C1D26" w:rsidRPr="00324454">
        <w:rPr>
          <w:rFonts w:ascii="Arial" w:hAnsi="Arial" w:cs="Arial"/>
          <w:sz w:val="24"/>
          <w:szCs w:val="24"/>
          <w:lang w:val="en-US"/>
        </w:rPr>
        <w:t xml:space="preserve">. The fourth section considers </w:t>
      </w:r>
      <w:r w:rsidR="00733C9F" w:rsidRPr="00324454">
        <w:rPr>
          <w:rFonts w:ascii="Arial" w:hAnsi="Arial" w:cs="Arial"/>
          <w:sz w:val="24"/>
          <w:szCs w:val="24"/>
          <w:lang w:val="en-US"/>
        </w:rPr>
        <w:t>contrasting</w:t>
      </w:r>
      <w:r w:rsidR="005C1D26" w:rsidRPr="00324454">
        <w:rPr>
          <w:rFonts w:ascii="Arial" w:hAnsi="Arial" w:cs="Arial"/>
          <w:sz w:val="24"/>
          <w:szCs w:val="24"/>
          <w:lang w:val="en-US"/>
        </w:rPr>
        <w:t xml:space="preserve"> patterns in the two types of regimes in terms of different statistical tests. </w:t>
      </w:r>
      <w:r w:rsidR="005C1D26" w:rsidRPr="00324454">
        <w:rPr>
          <w:rFonts w:ascii="Arial" w:hAnsi="Arial" w:cs="Arial"/>
          <w:sz w:val="24"/>
          <w:szCs w:val="24"/>
        </w:rPr>
        <w:t>The fifth</w:t>
      </w:r>
      <w:r w:rsidR="005C1D26" w:rsidRPr="0048436F">
        <w:rPr>
          <w:rFonts w:ascii="Arial" w:hAnsi="Arial" w:cs="Arial"/>
          <w:sz w:val="24"/>
          <w:szCs w:val="24"/>
          <w:lang w:val="en-US"/>
        </w:rPr>
        <w:t xml:space="preserve"> section </w:t>
      </w:r>
      <w:r w:rsidR="00FA2B15">
        <w:rPr>
          <w:rFonts w:ascii="Arial" w:hAnsi="Arial" w:cs="Arial"/>
          <w:sz w:val="24"/>
          <w:szCs w:val="24"/>
          <w:lang w:val="en-US"/>
        </w:rPr>
        <w:t>provides</w:t>
      </w:r>
      <w:r w:rsidR="005C1D26" w:rsidRPr="00324454">
        <w:rPr>
          <w:rFonts w:ascii="Arial" w:hAnsi="Arial" w:cs="Arial"/>
          <w:sz w:val="24"/>
          <w:szCs w:val="24"/>
        </w:rPr>
        <w:t xml:space="preserve"> some final</w:t>
      </w:r>
      <w:r w:rsidR="005C1D26" w:rsidRPr="0048436F">
        <w:rPr>
          <w:rFonts w:ascii="Arial" w:hAnsi="Arial" w:cs="Arial"/>
          <w:sz w:val="24"/>
          <w:szCs w:val="24"/>
          <w:lang w:val="en-US"/>
        </w:rPr>
        <w:t xml:space="preserve"> comments</w:t>
      </w:r>
      <w:r w:rsidR="005C1D26" w:rsidRPr="00324454">
        <w:rPr>
          <w:rFonts w:ascii="Arial" w:hAnsi="Arial" w:cs="Arial"/>
          <w:sz w:val="24"/>
          <w:szCs w:val="24"/>
        </w:rPr>
        <w:t>.</w:t>
      </w:r>
    </w:p>
    <w:p w:rsidR="000F2378" w:rsidRPr="00324454" w:rsidRDefault="003C1905" w:rsidP="004F245A">
      <w:pPr>
        <w:pStyle w:val="PargrafodaLista"/>
        <w:numPr>
          <w:ilvl w:val="0"/>
          <w:numId w:val="2"/>
        </w:numPr>
        <w:spacing w:line="480" w:lineRule="auto"/>
        <w:ind w:left="0" w:firstLine="0"/>
        <w:contextualSpacing w:val="0"/>
        <w:rPr>
          <w:rFonts w:ascii="Arial" w:hAnsi="Arial" w:cs="Arial"/>
          <w:b/>
          <w:sz w:val="24"/>
          <w:szCs w:val="24"/>
        </w:rPr>
      </w:pPr>
      <w:r w:rsidRPr="0048436F">
        <w:rPr>
          <w:rFonts w:ascii="Arial" w:hAnsi="Arial" w:cs="Arial"/>
          <w:b/>
          <w:sz w:val="24"/>
          <w:szCs w:val="24"/>
          <w:lang w:val="en-US"/>
        </w:rPr>
        <w:t>Techn</w:t>
      </w:r>
      <w:r w:rsidR="00945658" w:rsidRPr="0048436F">
        <w:rPr>
          <w:rFonts w:ascii="Arial" w:hAnsi="Arial" w:cs="Arial"/>
          <w:b/>
          <w:sz w:val="24"/>
          <w:szCs w:val="24"/>
          <w:lang w:val="en-US"/>
        </w:rPr>
        <w:t>o</w:t>
      </w:r>
      <w:r w:rsidRPr="0048436F">
        <w:rPr>
          <w:rFonts w:ascii="Arial" w:hAnsi="Arial" w:cs="Arial"/>
          <w:b/>
          <w:sz w:val="24"/>
          <w:szCs w:val="24"/>
          <w:lang w:val="en-US"/>
        </w:rPr>
        <w:t>logical</w:t>
      </w:r>
      <w:r w:rsidRPr="00324454">
        <w:rPr>
          <w:rFonts w:ascii="Arial" w:hAnsi="Arial" w:cs="Arial"/>
          <w:b/>
          <w:sz w:val="24"/>
          <w:szCs w:val="24"/>
        </w:rPr>
        <w:t xml:space="preserve"> Regimes:</w:t>
      </w:r>
      <w:r w:rsidR="00DB7F69">
        <w:rPr>
          <w:rFonts w:ascii="Arial" w:hAnsi="Arial" w:cs="Arial"/>
          <w:b/>
          <w:sz w:val="24"/>
          <w:szCs w:val="24"/>
          <w:lang w:val="en-US"/>
        </w:rPr>
        <w:t xml:space="preserve"> Empirical </w:t>
      </w:r>
      <w:proofErr w:type="spellStart"/>
      <w:r w:rsidR="00DB7F69">
        <w:rPr>
          <w:rFonts w:ascii="Arial" w:hAnsi="Arial" w:cs="Arial"/>
          <w:b/>
          <w:sz w:val="24"/>
          <w:szCs w:val="24"/>
          <w:lang w:val="en-US"/>
        </w:rPr>
        <w:t>Characteris</w:t>
      </w:r>
      <w:r w:rsidRPr="0048436F">
        <w:rPr>
          <w:rFonts w:ascii="Arial" w:hAnsi="Arial" w:cs="Arial"/>
          <w:b/>
          <w:sz w:val="24"/>
          <w:szCs w:val="24"/>
          <w:lang w:val="en-US"/>
        </w:rPr>
        <w:t>ation</w:t>
      </w:r>
      <w:proofErr w:type="spellEnd"/>
    </w:p>
    <w:p w:rsidR="00393C3C" w:rsidRPr="00324454" w:rsidRDefault="003B03B8" w:rsidP="00D93057">
      <w:pPr>
        <w:autoSpaceDE w:val="0"/>
        <w:autoSpaceDN w:val="0"/>
        <w:adjustRightInd w:val="0"/>
        <w:spacing w:line="480" w:lineRule="auto"/>
        <w:ind w:firstLine="709"/>
        <w:jc w:val="both"/>
        <w:rPr>
          <w:rFonts w:ascii="Arial" w:hAnsi="Arial" w:cs="Arial"/>
          <w:sz w:val="24"/>
          <w:szCs w:val="24"/>
          <w:lang w:val="en-US"/>
        </w:rPr>
      </w:pPr>
      <w:r w:rsidRPr="00324454">
        <w:rPr>
          <w:rFonts w:ascii="Arial" w:hAnsi="Arial" w:cs="Arial"/>
          <w:sz w:val="24"/>
          <w:szCs w:val="24"/>
          <w:lang w:val="en-US"/>
        </w:rPr>
        <w:t>A salient contrast can be made in terms of the SM-I (“widening”) and SM-II (“deepening”) regimes</w:t>
      </w:r>
      <w:r w:rsidR="00444CB6" w:rsidRPr="00324454">
        <w:rPr>
          <w:rFonts w:ascii="Arial" w:hAnsi="Arial" w:cs="Arial"/>
          <w:sz w:val="24"/>
          <w:szCs w:val="24"/>
          <w:lang w:val="en-US"/>
        </w:rPr>
        <w:t xml:space="preserve"> </w:t>
      </w:r>
      <w:r w:rsidR="00393C3C" w:rsidRPr="00324454">
        <w:rPr>
          <w:rFonts w:ascii="Arial" w:hAnsi="Arial" w:cs="Arial"/>
          <w:sz w:val="24"/>
          <w:szCs w:val="24"/>
          <w:lang w:val="en-US"/>
        </w:rPr>
        <w:t xml:space="preserve">that would respectively be related to </w:t>
      </w:r>
      <w:r w:rsidR="001F7BB3">
        <w:rPr>
          <w:rFonts w:ascii="Arial" w:hAnsi="Arial" w:cs="Arial"/>
          <w:sz w:val="24"/>
          <w:szCs w:val="24"/>
          <w:lang w:val="en-US"/>
        </w:rPr>
        <w:t xml:space="preserve">specific </w:t>
      </w:r>
      <w:r w:rsidR="00393C3C" w:rsidRPr="00324454">
        <w:rPr>
          <w:rFonts w:ascii="Arial" w:hAnsi="Arial" w:cs="Arial"/>
          <w:sz w:val="24"/>
          <w:szCs w:val="24"/>
          <w:lang w:val="en-US"/>
        </w:rPr>
        <w:t>industrial dynamics</w:t>
      </w:r>
      <w:r w:rsidR="001F7BB3">
        <w:rPr>
          <w:rFonts w:ascii="Arial" w:hAnsi="Arial" w:cs="Arial"/>
          <w:sz w:val="24"/>
          <w:szCs w:val="24"/>
          <w:lang w:val="en-US"/>
        </w:rPr>
        <w:t xml:space="preserve"> features</w:t>
      </w:r>
      <w:r w:rsidR="00393C3C" w:rsidRPr="00324454">
        <w:rPr>
          <w:rFonts w:ascii="Arial" w:hAnsi="Arial" w:cs="Arial"/>
          <w:sz w:val="24"/>
          <w:szCs w:val="24"/>
          <w:lang w:val="en-US"/>
        </w:rPr>
        <w:t xml:space="preserve">.  Breschi et al (2000) </w:t>
      </w:r>
      <w:proofErr w:type="spellStart"/>
      <w:r w:rsidR="00393C3C" w:rsidRPr="00324454">
        <w:rPr>
          <w:rFonts w:ascii="Arial" w:hAnsi="Arial" w:cs="Arial"/>
          <w:sz w:val="24"/>
          <w:szCs w:val="24"/>
          <w:lang w:val="en-US"/>
        </w:rPr>
        <w:t>charac</w:t>
      </w:r>
      <w:r w:rsidR="001F7BB3">
        <w:rPr>
          <w:rFonts w:ascii="Arial" w:hAnsi="Arial" w:cs="Arial"/>
          <w:sz w:val="24"/>
          <w:szCs w:val="24"/>
          <w:lang w:val="en-US"/>
        </w:rPr>
        <w:t>teris</w:t>
      </w:r>
      <w:r w:rsidR="00CA5777" w:rsidRPr="00324454">
        <w:rPr>
          <w:rFonts w:ascii="Arial" w:hAnsi="Arial" w:cs="Arial"/>
          <w:sz w:val="24"/>
          <w:szCs w:val="24"/>
          <w:lang w:val="en-US"/>
        </w:rPr>
        <w:t>e</w:t>
      </w:r>
      <w:r w:rsidR="001F7BB3">
        <w:rPr>
          <w:rFonts w:ascii="Arial" w:hAnsi="Arial" w:cs="Arial"/>
          <w:sz w:val="24"/>
          <w:szCs w:val="24"/>
          <w:lang w:val="en-US"/>
        </w:rPr>
        <w:t>d</w:t>
      </w:r>
      <w:proofErr w:type="spellEnd"/>
      <w:r w:rsidR="00393C3C" w:rsidRPr="00324454">
        <w:rPr>
          <w:rFonts w:ascii="Arial" w:hAnsi="Arial" w:cs="Arial"/>
          <w:sz w:val="24"/>
          <w:szCs w:val="24"/>
          <w:lang w:val="en-US"/>
        </w:rPr>
        <w:t xml:space="preserve"> the SM-I as a sector with</w:t>
      </w:r>
      <w:r w:rsidR="00CA5777" w:rsidRPr="00324454">
        <w:rPr>
          <w:rFonts w:ascii="Arial" w:hAnsi="Arial" w:cs="Arial"/>
          <w:sz w:val="24"/>
          <w:szCs w:val="24"/>
          <w:lang w:val="en-US"/>
        </w:rPr>
        <w:t xml:space="preserve"> high technological opportunity associated with low </w:t>
      </w:r>
      <w:proofErr w:type="spellStart"/>
      <w:r w:rsidR="00CA5777" w:rsidRPr="00324454">
        <w:rPr>
          <w:rFonts w:ascii="Arial" w:hAnsi="Arial" w:cs="Arial"/>
          <w:sz w:val="24"/>
          <w:szCs w:val="24"/>
          <w:lang w:val="en-US"/>
        </w:rPr>
        <w:t>appropriability</w:t>
      </w:r>
      <w:proofErr w:type="spellEnd"/>
      <w:r w:rsidR="001F7BB3">
        <w:rPr>
          <w:rFonts w:ascii="Arial" w:hAnsi="Arial" w:cs="Arial"/>
          <w:sz w:val="24"/>
          <w:szCs w:val="24"/>
          <w:lang w:val="en-US"/>
        </w:rPr>
        <w:t>,</w:t>
      </w:r>
      <w:r w:rsidR="00CA5777" w:rsidRPr="00324454">
        <w:rPr>
          <w:rFonts w:ascii="Arial" w:hAnsi="Arial" w:cs="Arial"/>
          <w:sz w:val="24"/>
          <w:szCs w:val="24"/>
          <w:lang w:val="en-US"/>
        </w:rPr>
        <w:t xml:space="preserve"> cumulativeness conditions and </w:t>
      </w:r>
      <w:r w:rsidR="0048436F" w:rsidRPr="00324454">
        <w:rPr>
          <w:rFonts w:ascii="Arial" w:hAnsi="Arial" w:cs="Arial"/>
          <w:sz w:val="24"/>
          <w:szCs w:val="24"/>
          <w:lang w:val="en-US"/>
        </w:rPr>
        <w:t>an</w:t>
      </w:r>
      <w:r w:rsidR="00CA5777" w:rsidRPr="00324454">
        <w:rPr>
          <w:rFonts w:ascii="Arial" w:hAnsi="Arial" w:cs="Arial"/>
          <w:sz w:val="24"/>
          <w:szCs w:val="24"/>
          <w:lang w:val="en-US"/>
        </w:rPr>
        <w:t xml:space="preserve"> applied knowledge</w:t>
      </w:r>
      <w:r w:rsidR="001F7BB3">
        <w:rPr>
          <w:rFonts w:ascii="Arial" w:hAnsi="Arial" w:cs="Arial"/>
          <w:sz w:val="24"/>
          <w:szCs w:val="24"/>
          <w:lang w:val="en-US"/>
        </w:rPr>
        <w:t>-</w:t>
      </w:r>
      <w:proofErr w:type="spellStart"/>
      <w:r w:rsidR="00CA5777" w:rsidRPr="00324454">
        <w:rPr>
          <w:rFonts w:ascii="Arial" w:hAnsi="Arial" w:cs="Arial"/>
          <w:sz w:val="24"/>
          <w:szCs w:val="24"/>
          <w:lang w:val="en-US"/>
        </w:rPr>
        <w:t>base</w:t>
      </w:r>
      <w:proofErr w:type="spellEnd"/>
      <w:r w:rsidR="00CA5777" w:rsidRPr="00324454">
        <w:rPr>
          <w:rFonts w:ascii="Arial" w:hAnsi="Arial" w:cs="Arial"/>
          <w:sz w:val="24"/>
          <w:szCs w:val="24"/>
          <w:lang w:val="en-US"/>
        </w:rPr>
        <w:t xml:space="preserve"> conditions. The </w:t>
      </w:r>
      <w:r w:rsidR="000C39AD" w:rsidRPr="00324454">
        <w:rPr>
          <w:rFonts w:ascii="Arial" w:hAnsi="Arial" w:cs="Arial"/>
          <w:sz w:val="24"/>
          <w:szCs w:val="24"/>
          <w:lang w:val="en-US"/>
        </w:rPr>
        <w:t>articulation of these conditions reflects</w:t>
      </w:r>
      <w:r w:rsidR="001F7BB3">
        <w:rPr>
          <w:rFonts w:ascii="Arial" w:hAnsi="Arial" w:cs="Arial"/>
          <w:sz w:val="24"/>
          <w:szCs w:val="24"/>
          <w:lang w:val="en-US"/>
        </w:rPr>
        <w:t xml:space="preserve"> is</w:t>
      </w:r>
      <w:r w:rsidR="00D842FF" w:rsidRPr="00324454">
        <w:rPr>
          <w:rFonts w:ascii="Arial" w:hAnsi="Arial" w:cs="Arial"/>
          <w:sz w:val="24"/>
          <w:szCs w:val="24"/>
          <w:lang w:val="en-US"/>
        </w:rPr>
        <w:t xml:space="preserve"> </w:t>
      </w:r>
      <w:r w:rsidR="001F7BB3">
        <w:rPr>
          <w:rFonts w:ascii="Arial" w:hAnsi="Arial" w:cs="Arial"/>
          <w:sz w:val="24"/>
          <w:szCs w:val="24"/>
          <w:lang w:val="en-US"/>
        </w:rPr>
        <w:t xml:space="preserve">reflected in </w:t>
      </w:r>
      <w:r w:rsidR="00D842FF" w:rsidRPr="00324454">
        <w:rPr>
          <w:rFonts w:ascii="Arial" w:hAnsi="Arial" w:cs="Arial"/>
          <w:sz w:val="24"/>
          <w:szCs w:val="24"/>
          <w:lang w:val="en-US"/>
        </w:rPr>
        <w:t>intense industry dynamics</w:t>
      </w:r>
      <w:r w:rsidR="00F15EFD" w:rsidRPr="00324454">
        <w:rPr>
          <w:rFonts w:ascii="Arial" w:hAnsi="Arial" w:cs="Arial"/>
          <w:sz w:val="24"/>
          <w:szCs w:val="24"/>
          <w:lang w:val="en-US"/>
        </w:rPr>
        <w:t>,</w:t>
      </w:r>
      <w:r w:rsidR="001F7BB3">
        <w:rPr>
          <w:rFonts w:ascii="Arial" w:hAnsi="Arial" w:cs="Arial"/>
          <w:sz w:val="24"/>
          <w:szCs w:val="24"/>
          <w:lang w:val="en-US"/>
        </w:rPr>
        <w:t xml:space="preserve"> a</w:t>
      </w:r>
      <w:r w:rsidR="00F15EFD" w:rsidRPr="00324454">
        <w:rPr>
          <w:rFonts w:ascii="Arial" w:hAnsi="Arial" w:cs="Arial"/>
          <w:sz w:val="24"/>
          <w:szCs w:val="24"/>
          <w:lang w:val="en-US"/>
        </w:rPr>
        <w:t xml:space="preserve"> high entry of new innovator</w:t>
      </w:r>
      <w:r w:rsidR="00553E1F" w:rsidRPr="00324454">
        <w:rPr>
          <w:rFonts w:ascii="Arial" w:hAnsi="Arial" w:cs="Arial"/>
          <w:sz w:val="24"/>
          <w:szCs w:val="24"/>
          <w:lang w:val="en-US"/>
        </w:rPr>
        <w:t>s</w:t>
      </w:r>
      <w:r w:rsidR="00F15EFD" w:rsidRPr="00324454">
        <w:rPr>
          <w:rFonts w:ascii="Arial" w:hAnsi="Arial" w:cs="Arial"/>
          <w:sz w:val="24"/>
          <w:szCs w:val="24"/>
          <w:lang w:val="en-US"/>
        </w:rPr>
        <w:t xml:space="preserve">, low concentration and </w:t>
      </w:r>
      <w:r w:rsidR="00A93E1E" w:rsidRPr="00324454">
        <w:rPr>
          <w:rFonts w:ascii="Arial" w:hAnsi="Arial" w:cs="Arial"/>
          <w:sz w:val="24"/>
          <w:szCs w:val="24"/>
          <w:lang w:val="en-US"/>
        </w:rPr>
        <w:t xml:space="preserve">great instability in the </w:t>
      </w:r>
      <w:r w:rsidR="000C39AD" w:rsidRPr="00324454">
        <w:rPr>
          <w:rFonts w:ascii="Arial" w:hAnsi="Arial" w:cs="Arial"/>
          <w:sz w:val="24"/>
          <w:szCs w:val="24"/>
          <w:lang w:val="en-US"/>
        </w:rPr>
        <w:t>innovators hierarchy. SM-II, o</w:t>
      </w:r>
      <w:r w:rsidR="001F7BB3">
        <w:rPr>
          <w:rFonts w:ascii="Arial" w:hAnsi="Arial" w:cs="Arial"/>
          <w:sz w:val="24"/>
          <w:szCs w:val="24"/>
          <w:lang w:val="en-US"/>
        </w:rPr>
        <w:t xml:space="preserve">n the other hand, is </w:t>
      </w:r>
      <w:proofErr w:type="spellStart"/>
      <w:r w:rsidR="001F7BB3">
        <w:rPr>
          <w:rFonts w:ascii="Arial" w:hAnsi="Arial" w:cs="Arial"/>
          <w:sz w:val="24"/>
          <w:szCs w:val="24"/>
          <w:lang w:val="en-US"/>
        </w:rPr>
        <w:t>characteris</w:t>
      </w:r>
      <w:r w:rsidR="000C39AD" w:rsidRPr="00324454">
        <w:rPr>
          <w:rFonts w:ascii="Arial" w:hAnsi="Arial" w:cs="Arial"/>
          <w:sz w:val="24"/>
          <w:szCs w:val="24"/>
          <w:lang w:val="en-US"/>
        </w:rPr>
        <w:t>ed</w:t>
      </w:r>
      <w:proofErr w:type="spellEnd"/>
      <w:r w:rsidR="000C39AD" w:rsidRPr="00324454">
        <w:rPr>
          <w:rFonts w:ascii="Arial" w:hAnsi="Arial" w:cs="Arial"/>
          <w:sz w:val="24"/>
          <w:szCs w:val="24"/>
          <w:lang w:val="en-US"/>
        </w:rPr>
        <w:t xml:space="preserve"> as a sector wit</w:t>
      </w:r>
      <w:r w:rsidR="00553E1F" w:rsidRPr="00324454">
        <w:rPr>
          <w:rFonts w:ascii="Arial" w:hAnsi="Arial" w:cs="Arial"/>
          <w:sz w:val="24"/>
          <w:szCs w:val="24"/>
          <w:lang w:val="en-US"/>
        </w:rPr>
        <w:t>h</w:t>
      </w:r>
      <w:r w:rsidR="000C39AD" w:rsidRPr="00324454">
        <w:rPr>
          <w:rFonts w:ascii="Arial" w:hAnsi="Arial" w:cs="Arial"/>
          <w:sz w:val="24"/>
          <w:szCs w:val="24"/>
          <w:lang w:val="en-US"/>
        </w:rPr>
        <w:t xml:space="preserve"> </w:t>
      </w:r>
      <w:r w:rsidR="00A11D33" w:rsidRPr="00324454">
        <w:rPr>
          <w:rFonts w:ascii="Arial" w:hAnsi="Arial" w:cs="Arial"/>
          <w:sz w:val="24"/>
          <w:szCs w:val="24"/>
          <w:lang w:val="en-US"/>
        </w:rPr>
        <w:t>high</w:t>
      </w:r>
      <w:r w:rsidR="000C39AD" w:rsidRPr="00324454">
        <w:rPr>
          <w:rFonts w:ascii="Arial" w:hAnsi="Arial" w:cs="Arial"/>
          <w:sz w:val="24"/>
          <w:szCs w:val="24"/>
          <w:lang w:val="en-US"/>
        </w:rPr>
        <w:t xml:space="preserve"> technological opportunity, </w:t>
      </w:r>
      <w:r w:rsidR="000C39AD" w:rsidRPr="00324454">
        <w:rPr>
          <w:rFonts w:ascii="Arial" w:hAnsi="Arial" w:cs="Arial"/>
          <w:sz w:val="24"/>
          <w:szCs w:val="24"/>
          <w:lang w:val="en-US"/>
        </w:rPr>
        <w:lastRenderedPageBreak/>
        <w:t xml:space="preserve">high </w:t>
      </w:r>
      <w:proofErr w:type="spellStart"/>
      <w:r w:rsidR="000C39AD" w:rsidRPr="00324454">
        <w:rPr>
          <w:rFonts w:ascii="Arial" w:hAnsi="Arial" w:cs="Arial"/>
          <w:sz w:val="24"/>
          <w:szCs w:val="24"/>
          <w:lang w:val="en-US"/>
        </w:rPr>
        <w:t>appropriability</w:t>
      </w:r>
      <w:proofErr w:type="spellEnd"/>
      <w:r w:rsidR="000C39AD" w:rsidRPr="00324454">
        <w:rPr>
          <w:rFonts w:ascii="Arial" w:hAnsi="Arial" w:cs="Arial"/>
          <w:sz w:val="24"/>
          <w:szCs w:val="24"/>
          <w:lang w:val="en-US"/>
        </w:rPr>
        <w:t xml:space="preserve"> and cumulati</w:t>
      </w:r>
      <w:r w:rsidR="00E36FEB" w:rsidRPr="00324454">
        <w:rPr>
          <w:rFonts w:ascii="Arial" w:hAnsi="Arial" w:cs="Arial"/>
          <w:sz w:val="24"/>
          <w:szCs w:val="24"/>
          <w:lang w:val="en-US"/>
        </w:rPr>
        <w:t>veness condition</w:t>
      </w:r>
      <w:r w:rsidR="001F7BB3">
        <w:rPr>
          <w:rFonts w:ascii="Arial" w:hAnsi="Arial" w:cs="Arial"/>
          <w:sz w:val="24"/>
          <w:szCs w:val="24"/>
          <w:lang w:val="en-US"/>
        </w:rPr>
        <w:t>s</w:t>
      </w:r>
      <w:r w:rsidR="00E36FEB" w:rsidRPr="00324454">
        <w:rPr>
          <w:rFonts w:ascii="Arial" w:hAnsi="Arial" w:cs="Arial"/>
          <w:sz w:val="24"/>
          <w:szCs w:val="24"/>
          <w:lang w:val="en-US"/>
        </w:rPr>
        <w:t xml:space="preserve"> and a knowledge</w:t>
      </w:r>
      <w:r w:rsidR="001F7BB3">
        <w:rPr>
          <w:rFonts w:ascii="Arial" w:hAnsi="Arial" w:cs="Arial"/>
          <w:sz w:val="24"/>
          <w:szCs w:val="24"/>
          <w:lang w:val="en-US"/>
        </w:rPr>
        <w:t>-</w:t>
      </w:r>
      <w:proofErr w:type="spellStart"/>
      <w:r w:rsidR="00E36FEB" w:rsidRPr="00324454">
        <w:rPr>
          <w:rFonts w:ascii="Arial" w:hAnsi="Arial" w:cs="Arial"/>
          <w:sz w:val="24"/>
          <w:szCs w:val="24"/>
          <w:lang w:val="en-US"/>
        </w:rPr>
        <w:t>base</w:t>
      </w:r>
      <w:proofErr w:type="spellEnd"/>
      <w:r w:rsidR="00E36FEB" w:rsidRPr="00324454">
        <w:rPr>
          <w:rFonts w:ascii="Arial" w:hAnsi="Arial" w:cs="Arial"/>
          <w:sz w:val="24"/>
          <w:szCs w:val="24"/>
          <w:lang w:val="en-US"/>
        </w:rPr>
        <w:t xml:space="preserve"> closer to basic science</w:t>
      </w:r>
      <w:r w:rsidR="00A11D33" w:rsidRPr="00324454">
        <w:rPr>
          <w:rFonts w:ascii="Arial" w:hAnsi="Arial" w:cs="Arial"/>
          <w:sz w:val="24"/>
          <w:szCs w:val="24"/>
          <w:lang w:val="en-US"/>
        </w:rPr>
        <w:t xml:space="preserve">. </w:t>
      </w:r>
      <w:r w:rsidR="00E36FEB" w:rsidRPr="00324454">
        <w:rPr>
          <w:rFonts w:ascii="Arial" w:hAnsi="Arial" w:cs="Arial"/>
          <w:sz w:val="24"/>
          <w:szCs w:val="24"/>
          <w:lang w:val="en-US"/>
        </w:rPr>
        <w:t xml:space="preserve"> </w:t>
      </w:r>
      <w:r w:rsidR="00A11D33" w:rsidRPr="00324454">
        <w:rPr>
          <w:rFonts w:ascii="Arial" w:hAnsi="Arial" w:cs="Arial"/>
          <w:sz w:val="24"/>
          <w:szCs w:val="24"/>
          <w:lang w:val="en-US"/>
        </w:rPr>
        <w:t xml:space="preserve">The combination of these conditions </w:t>
      </w:r>
      <w:r w:rsidR="001F7BB3">
        <w:rPr>
          <w:rFonts w:ascii="Arial" w:hAnsi="Arial" w:cs="Arial"/>
          <w:sz w:val="24"/>
          <w:szCs w:val="24"/>
          <w:lang w:val="en-US"/>
        </w:rPr>
        <w:t>is reflected by</w:t>
      </w:r>
      <w:r w:rsidR="00A11D33" w:rsidRPr="00324454">
        <w:rPr>
          <w:rFonts w:ascii="Arial" w:hAnsi="Arial" w:cs="Arial"/>
          <w:sz w:val="24"/>
          <w:szCs w:val="24"/>
          <w:lang w:val="en-US"/>
        </w:rPr>
        <w:t xml:space="preserve"> </w:t>
      </w:r>
      <w:r w:rsidR="00553E1F" w:rsidRPr="00324454">
        <w:rPr>
          <w:rFonts w:ascii="Arial" w:hAnsi="Arial" w:cs="Arial"/>
          <w:sz w:val="24"/>
          <w:szCs w:val="24"/>
          <w:lang w:val="en-US"/>
        </w:rPr>
        <w:t>sectors</w:t>
      </w:r>
      <w:r w:rsidR="00A11D33" w:rsidRPr="00324454">
        <w:rPr>
          <w:rFonts w:ascii="Arial" w:hAnsi="Arial" w:cs="Arial"/>
          <w:sz w:val="24"/>
          <w:szCs w:val="24"/>
          <w:lang w:val="en-US"/>
        </w:rPr>
        <w:t xml:space="preserve"> with reduced entry of new innovators, high concentration in innovative activities and </w:t>
      </w:r>
      <w:r w:rsidR="00F85555" w:rsidRPr="00324454">
        <w:rPr>
          <w:rFonts w:ascii="Arial" w:hAnsi="Arial" w:cs="Arial"/>
          <w:sz w:val="24"/>
          <w:szCs w:val="24"/>
          <w:lang w:val="en-US"/>
        </w:rPr>
        <w:t>a</w:t>
      </w:r>
      <w:r w:rsidR="007D1140" w:rsidRPr="00324454">
        <w:rPr>
          <w:rFonts w:ascii="Arial" w:hAnsi="Arial" w:cs="Arial"/>
          <w:sz w:val="24"/>
          <w:szCs w:val="24"/>
          <w:lang w:val="en-US"/>
        </w:rPr>
        <w:t>n</w:t>
      </w:r>
      <w:r w:rsidR="00F85555" w:rsidRPr="00324454">
        <w:rPr>
          <w:rFonts w:ascii="Arial" w:hAnsi="Arial" w:cs="Arial"/>
          <w:sz w:val="24"/>
          <w:szCs w:val="24"/>
          <w:lang w:val="en-US"/>
        </w:rPr>
        <w:t xml:space="preserve"> established hierarchy </w:t>
      </w:r>
      <w:r w:rsidR="001F7BB3">
        <w:rPr>
          <w:rFonts w:ascii="Arial" w:hAnsi="Arial" w:cs="Arial"/>
          <w:sz w:val="24"/>
          <w:szCs w:val="24"/>
          <w:lang w:val="en-US"/>
        </w:rPr>
        <w:t>for</w:t>
      </w:r>
      <w:r w:rsidR="00F85555" w:rsidRPr="00324454">
        <w:rPr>
          <w:rFonts w:ascii="Arial" w:hAnsi="Arial" w:cs="Arial"/>
          <w:sz w:val="24"/>
          <w:szCs w:val="24"/>
          <w:lang w:val="en-US"/>
        </w:rPr>
        <w:t xml:space="preserve"> the group of innovators. </w:t>
      </w:r>
    </w:p>
    <w:p w:rsidR="000B0400" w:rsidRPr="00324454" w:rsidRDefault="003B03B8" w:rsidP="00D93057">
      <w:pPr>
        <w:autoSpaceDE w:val="0"/>
        <w:autoSpaceDN w:val="0"/>
        <w:adjustRightInd w:val="0"/>
        <w:spacing w:line="480" w:lineRule="auto"/>
        <w:ind w:firstLine="709"/>
        <w:jc w:val="both"/>
        <w:rPr>
          <w:rFonts w:ascii="Arial" w:hAnsi="Arial" w:cs="Arial"/>
          <w:sz w:val="24"/>
          <w:szCs w:val="24"/>
          <w:lang w:val="en-US"/>
        </w:rPr>
      </w:pPr>
      <w:r w:rsidRPr="00324454">
        <w:rPr>
          <w:rFonts w:ascii="Arial" w:hAnsi="Arial" w:cs="Arial"/>
          <w:sz w:val="24"/>
          <w:szCs w:val="24"/>
          <w:lang w:val="en-US"/>
        </w:rPr>
        <w:t xml:space="preserve">The related empirical literature can be schematically </w:t>
      </w:r>
      <w:proofErr w:type="spellStart"/>
      <w:r w:rsidR="00BF5079">
        <w:rPr>
          <w:rFonts w:ascii="Arial" w:hAnsi="Arial" w:cs="Arial"/>
          <w:sz w:val="24"/>
          <w:szCs w:val="24"/>
          <w:lang w:val="en-US"/>
        </w:rPr>
        <w:t>summaris</w:t>
      </w:r>
      <w:r w:rsidR="00FC502D" w:rsidRPr="00324454">
        <w:rPr>
          <w:rFonts w:ascii="Arial" w:hAnsi="Arial" w:cs="Arial"/>
          <w:sz w:val="24"/>
          <w:szCs w:val="24"/>
          <w:lang w:val="en-US"/>
        </w:rPr>
        <w:t>ed</w:t>
      </w:r>
      <w:proofErr w:type="spellEnd"/>
      <w:r w:rsidR="00FC502D" w:rsidRPr="00324454">
        <w:rPr>
          <w:rFonts w:ascii="Arial" w:hAnsi="Arial" w:cs="Arial"/>
          <w:sz w:val="24"/>
          <w:szCs w:val="24"/>
          <w:lang w:val="en-US"/>
        </w:rPr>
        <w:t xml:space="preserve"> </w:t>
      </w:r>
      <w:r w:rsidR="00EE56C4" w:rsidRPr="00324454">
        <w:rPr>
          <w:rFonts w:ascii="Arial" w:hAnsi="Arial" w:cs="Arial"/>
          <w:sz w:val="24"/>
          <w:szCs w:val="24"/>
          <w:lang w:val="en-US"/>
        </w:rPr>
        <w:t xml:space="preserve">in two </w:t>
      </w:r>
      <w:r w:rsidR="00BF5079">
        <w:rPr>
          <w:rFonts w:ascii="Arial" w:hAnsi="Arial" w:cs="Arial"/>
          <w:sz w:val="24"/>
          <w:szCs w:val="24"/>
          <w:lang w:val="en-US"/>
        </w:rPr>
        <w:t>threads</w:t>
      </w:r>
      <w:r w:rsidR="00EE56C4" w:rsidRPr="00324454">
        <w:rPr>
          <w:rFonts w:ascii="Arial" w:hAnsi="Arial" w:cs="Arial"/>
          <w:sz w:val="24"/>
          <w:szCs w:val="24"/>
          <w:lang w:val="en-US"/>
        </w:rPr>
        <w:t>:</w:t>
      </w:r>
    </w:p>
    <w:p w:rsidR="00BB323E" w:rsidRPr="00324454" w:rsidRDefault="00EE56C4" w:rsidP="00D93057">
      <w:pPr>
        <w:pStyle w:val="PargrafodaLista"/>
        <w:numPr>
          <w:ilvl w:val="0"/>
          <w:numId w:val="4"/>
        </w:numPr>
        <w:autoSpaceDE w:val="0"/>
        <w:autoSpaceDN w:val="0"/>
        <w:adjustRightInd w:val="0"/>
        <w:spacing w:line="480" w:lineRule="auto"/>
        <w:ind w:left="0" w:firstLine="709"/>
        <w:contextualSpacing w:val="0"/>
        <w:rPr>
          <w:rFonts w:ascii="Arial" w:hAnsi="Arial" w:cs="Arial"/>
          <w:sz w:val="24"/>
          <w:szCs w:val="24"/>
          <w:lang w:val="en-US"/>
        </w:rPr>
      </w:pPr>
      <w:r w:rsidRPr="00324454">
        <w:rPr>
          <w:rFonts w:ascii="Arial" w:hAnsi="Arial" w:cs="Arial"/>
          <w:sz w:val="24"/>
          <w:szCs w:val="24"/>
          <w:u w:val="single"/>
          <w:lang w:val="en-US"/>
        </w:rPr>
        <w:t>Em</w:t>
      </w:r>
      <w:r w:rsidR="0083610F" w:rsidRPr="00324454">
        <w:rPr>
          <w:rFonts w:ascii="Arial" w:hAnsi="Arial" w:cs="Arial"/>
          <w:sz w:val="24"/>
          <w:szCs w:val="24"/>
          <w:u w:val="single"/>
          <w:lang w:val="en-US"/>
        </w:rPr>
        <w:t>pirical classification of indus</w:t>
      </w:r>
      <w:r w:rsidRPr="00324454">
        <w:rPr>
          <w:rFonts w:ascii="Arial" w:hAnsi="Arial" w:cs="Arial"/>
          <w:sz w:val="24"/>
          <w:szCs w:val="24"/>
          <w:u w:val="single"/>
          <w:lang w:val="en-US"/>
        </w:rPr>
        <w:t>t</w:t>
      </w:r>
      <w:r w:rsidR="0083610F" w:rsidRPr="00324454">
        <w:rPr>
          <w:rFonts w:ascii="Arial" w:hAnsi="Arial" w:cs="Arial"/>
          <w:sz w:val="24"/>
          <w:szCs w:val="24"/>
          <w:u w:val="single"/>
          <w:lang w:val="en-US"/>
        </w:rPr>
        <w:t>ries in</w:t>
      </w:r>
      <w:r w:rsidR="00BF5079">
        <w:rPr>
          <w:rFonts w:ascii="Arial" w:hAnsi="Arial" w:cs="Arial"/>
          <w:sz w:val="24"/>
          <w:szCs w:val="24"/>
          <w:u w:val="single"/>
          <w:lang w:val="en-US"/>
        </w:rPr>
        <w:t>to</w:t>
      </w:r>
      <w:r w:rsidR="0083610F" w:rsidRPr="00324454">
        <w:rPr>
          <w:rFonts w:ascii="Arial" w:hAnsi="Arial" w:cs="Arial"/>
          <w:sz w:val="24"/>
          <w:szCs w:val="24"/>
          <w:u w:val="single"/>
          <w:lang w:val="en-US"/>
        </w:rPr>
        <w:t xml:space="preserve"> SM-I and SM-II types</w:t>
      </w:r>
      <w:r w:rsidR="0083610F" w:rsidRPr="00324454">
        <w:rPr>
          <w:rFonts w:ascii="Arial" w:hAnsi="Arial" w:cs="Arial"/>
          <w:sz w:val="24"/>
          <w:szCs w:val="24"/>
          <w:lang w:val="en-US"/>
        </w:rPr>
        <w:t xml:space="preserve"> </w:t>
      </w:r>
      <w:r w:rsidR="00BB323E" w:rsidRPr="00324454">
        <w:rPr>
          <w:rFonts w:ascii="Arial" w:hAnsi="Arial" w:cs="Arial"/>
          <w:sz w:val="24"/>
          <w:szCs w:val="24"/>
          <w:lang w:val="en-US"/>
        </w:rPr>
        <w:t xml:space="preserve"> </w:t>
      </w:r>
    </w:p>
    <w:p w:rsidR="00B42042" w:rsidRPr="00324454" w:rsidRDefault="00BB323E" w:rsidP="00D93057">
      <w:pPr>
        <w:pStyle w:val="PargrafodaLista"/>
        <w:autoSpaceDE w:val="0"/>
        <w:autoSpaceDN w:val="0"/>
        <w:adjustRightInd w:val="0"/>
        <w:spacing w:line="480" w:lineRule="auto"/>
        <w:ind w:left="0" w:firstLine="709"/>
        <w:contextualSpacing w:val="0"/>
        <w:jc w:val="both"/>
        <w:rPr>
          <w:rFonts w:ascii="Arial" w:hAnsi="Arial" w:cs="Arial"/>
          <w:sz w:val="24"/>
          <w:szCs w:val="24"/>
          <w:lang w:val="en-US" w:eastAsia="pt-BR"/>
        </w:rPr>
      </w:pPr>
      <w:r w:rsidRPr="00324454">
        <w:rPr>
          <w:rFonts w:ascii="Arial" w:hAnsi="Arial" w:cs="Arial"/>
          <w:sz w:val="24"/>
          <w:szCs w:val="24"/>
          <w:lang w:val="en-US"/>
        </w:rPr>
        <w:t xml:space="preserve">    </w:t>
      </w:r>
      <w:r w:rsidR="00BF5079">
        <w:rPr>
          <w:rFonts w:ascii="Arial" w:hAnsi="Arial" w:cs="Arial"/>
          <w:sz w:val="24"/>
          <w:szCs w:val="24"/>
          <w:lang w:val="en-US"/>
        </w:rPr>
        <w:t>Using the</w:t>
      </w:r>
      <w:r w:rsidR="00EE56C4" w:rsidRPr="00324454">
        <w:rPr>
          <w:rFonts w:ascii="Arial" w:hAnsi="Arial" w:cs="Arial"/>
          <w:sz w:val="24"/>
          <w:szCs w:val="24"/>
          <w:lang w:val="en-US"/>
        </w:rPr>
        <w:t xml:space="preserve"> struct</w:t>
      </w:r>
      <w:r w:rsidR="0083610F" w:rsidRPr="00324454">
        <w:rPr>
          <w:rFonts w:ascii="Arial" w:hAnsi="Arial" w:cs="Arial"/>
          <w:sz w:val="24"/>
          <w:szCs w:val="24"/>
          <w:lang w:val="en-US"/>
        </w:rPr>
        <w:t>ura</w:t>
      </w:r>
      <w:r w:rsidR="00EE56C4" w:rsidRPr="00324454">
        <w:rPr>
          <w:rFonts w:ascii="Arial" w:hAnsi="Arial" w:cs="Arial"/>
          <w:sz w:val="24"/>
          <w:szCs w:val="24"/>
          <w:lang w:val="en-US"/>
        </w:rPr>
        <w:t xml:space="preserve">l and </w:t>
      </w:r>
      <w:r w:rsidR="0083610F" w:rsidRPr="00324454">
        <w:rPr>
          <w:rFonts w:ascii="Arial" w:hAnsi="Arial" w:cs="Arial"/>
          <w:sz w:val="24"/>
          <w:szCs w:val="24"/>
          <w:lang w:val="en-US"/>
        </w:rPr>
        <w:t>dynamic factor</w:t>
      </w:r>
      <w:r w:rsidR="00BF5079">
        <w:rPr>
          <w:rFonts w:ascii="Arial" w:hAnsi="Arial" w:cs="Arial"/>
          <w:sz w:val="24"/>
          <w:szCs w:val="24"/>
          <w:lang w:val="en-US"/>
        </w:rPr>
        <w:t xml:space="preserve">s that </w:t>
      </w:r>
      <w:proofErr w:type="spellStart"/>
      <w:r w:rsidR="00BF5079">
        <w:rPr>
          <w:rFonts w:ascii="Arial" w:hAnsi="Arial" w:cs="Arial"/>
          <w:sz w:val="24"/>
          <w:szCs w:val="24"/>
          <w:lang w:val="en-US"/>
        </w:rPr>
        <w:t>characterise</w:t>
      </w:r>
      <w:proofErr w:type="spellEnd"/>
      <w:r w:rsidR="00FC502D" w:rsidRPr="00324454">
        <w:rPr>
          <w:rFonts w:ascii="Arial" w:hAnsi="Arial" w:cs="Arial"/>
          <w:sz w:val="24"/>
          <w:szCs w:val="24"/>
          <w:lang w:val="en-US"/>
        </w:rPr>
        <w:t xml:space="preserve"> the industries,</w:t>
      </w:r>
      <w:r w:rsidR="0083610F" w:rsidRPr="00324454">
        <w:rPr>
          <w:rFonts w:ascii="Arial" w:hAnsi="Arial" w:cs="Arial"/>
          <w:sz w:val="24"/>
          <w:szCs w:val="24"/>
          <w:lang w:val="en-US"/>
        </w:rPr>
        <w:t xml:space="preserve"> </w:t>
      </w:r>
      <w:proofErr w:type="spellStart"/>
      <w:r w:rsidR="00BF710E" w:rsidRPr="00324454">
        <w:rPr>
          <w:rFonts w:ascii="Arial" w:hAnsi="Arial" w:cs="Arial"/>
          <w:sz w:val="24"/>
          <w:szCs w:val="24"/>
          <w:lang w:val="en-US" w:eastAsia="pt-BR"/>
        </w:rPr>
        <w:t>Breschi</w:t>
      </w:r>
      <w:proofErr w:type="spellEnd"/>
      <w:r w:rsidR="00BF710E" w:rsidRPr="00324454">
        <w:rPr>
          <w:rFonts w:ascii="Arial" w:hAnsi="Arial" w:cs="Arial"/>
          <w:sz w:val="24"/>
          <w:szCs w:val="24"/>
          <w:lang w:val="en-US" w:eastAsia="pt-BR"/>
        </w:rPr>
        <w:t xml:space="preserve"> et al. (2000) propose</w:t>
      </w:r>
      <w:r w:rsidR="00BF5079">
        <w:rPr>
          <w:rFonts w:ascii="Arial" w:hAnsi="Arial" w:cs="Arial"/>
          <w:sz w:val="24"/>
          <w:szCs w:val="24"/>
          <w:lang w:val="en-US" w:eastAsia="pt-BR"/>
        </w:rPr>
        <w:t>d</w:t>
      </w:r>
      <w:r w:rsidR="00FC502D" w:rsidRPr="00324454">
        <w:rPr>
          <w:rFonts w:ascii="Arial" w:hAnsi="Arial" w:cs="Arial"/>
          <w:sz w:val="24"/>
          <w:szCs w:val="24"/>
          <w:lang w:val="en-US" w:eastAsia="pt-BR"/>
        </w:rPr>
        <w:t xml:space="preserve"> a synthetic</w:t>
      </w:r>
      <w:r w:rsidR="00BF710E" w:rsidRPr="00324454">
        <w:rPr>
          <w:rFonts w:ascii="Arial" w:hAnsi="Arial" w:cs="Arial"/>
          <w:sz w:val="24"/>
          <w:szCs w:val="24"/>
          <w:lang w:val="en-US" w:eastAsia="pt-BR"/>
        </w:rPr>
        <w:t xml:space="preserve"> </w:t>
      </w:r>
      <w:proofErr w:type="spellStart"/>
      <w:r w:rsidR="00BF710E" w:rsidRPr="00324454">
        <w:rPr>
          <w:rFonts w:ascii="Arial" w:hAnsi="Arial" w:cs="Arial"/>
          <w:sz w:val="24"/>
          <w:szCs w:val="24"/>
          <w:lang w:val="en-US" w:eastAsia="pt-BR"/>
        </w:rPr>
        <w:t>characteri</w:t>
      </w:r>
      <w:r w:rsidR="00BF5079">
        <w:rPr>
          <w:rFonts w:ascii="Arial" w:hAnsi="Arial" w:cs="Arial"/>
          <w:sz w:val="24"/>
          <w:szCs w:val="24"/>
          <w:lang w:val="en-US" w:eastAsia="pt-BR"/>
        </w:rPr>
        <w:t>s</w:t>
      </w:r>
      <w:r w:rsidR="00FC502D" w:rsidRPr="00324454">
        <w:rPr>
          <w:rFonts w:ascii="Arial" w:hAnsi="Arial" w:cs="Arial"/>
          <w:sz w:val="24"/>
          <w:szCs w:val="24"/>
          <w:lang w:val="en-US" w:eastAsia="pt-BR"/>
        </w:rPr>
        <w:t>ation</w:t>
      </w:r>
      <w:proofErr w:type="spellEnd"/>
      <w:r w:rsidR="00BF710E" w:rsidRPr="00324454">
        <w:rPr>
          <w:rFonts w:ascii="Arial" w:hAnsi="Arial" w:cs="Arial"/>
          <w:sz w:val="24"/>
          <w:szCs w:val="24"/>
          <w:lang w:val="en-US" w:eastAsia="pt-BR"/>
        </w:rPr>
        <w:t xml:space="preserve"> of the different industries by means of </w:t>
      </w:r>
      <w:r w:rsidR="00BF5079">
        <w:rPr>
          <w:rFonts w:ascii="Arial" w:hAnsi="Arial" w:cs="Arial"/>
          <w:sz w:val="24"/>
          <w:szCs w:val="24"/>
          <w:lang w:val="en-US" w:eastAsia="pt-BR"/>
        </w:rPr>
        <w:t>a</w:t>
      </w:r>
      <w:r w:rsidR="00BF710E" w:rsidRPr="00324454">
        <w:rPr>
          <w:rFonts w:ascii="Arial" w:hAnsi="Arial" w:cs="Arial"/>
          <w:sz w:val="24"/>
          <w:szCs w:val="24"/>
          <w:lang w:val="en-US" w:eastAsia="pt-BR"/>
        </w:rPr>
        <w:t xml:space="preserve"> multivariate statistical method </w:t>
      </w:r>
      <w:r w:rsidR="00BF5079">
        <w:rPr>
          <w:rFonts w:ascii="Arial" w:hAnsi="Arial" w:cs="Arial"/>
          <w:sz w:val="24"/>
          <w:szCs w:val="24"/>
          <w:lang w:val="en-US" w:eastAsia="pt-BR"/>
        </w:rPr>
        <w:t>for their</w:t>
      </w:r>
      <w:r w:rsidR="00BF710E" w:rsidRPr="00324454">
        <w:rPr>
          <w:rFonts w:ascii="Arial" w:hAnsi="Arial" w:cs="Arial"/>
          <w:sz w:val="24"/>
          <w:szCs w:val="24"/>
          <w:lang w:val="en-US" w:eastAsia="pt-BR"/>
        </w:rPr>
        <w:t xml:space="preserve"> principal components (PC). The method attempts to describe variation</w:t>
      </w:r>
      <w:r w:rsidR="00BF5079">
        <w:rPr>
          <w:rFonts w:ascii="Arial" w:hAnsi="Arial" w:cs="Arial"/>
          <w:sz w:val="24"/>
          <w:szCs w:val="24"/>
          <w:lang w:val="en-US" w:eastAsia="pt-BR"/>
        </w:rPr>
        <w:t>s</w:t>
      </w:r>
      <w:r w:rsidR="00BF710E" w:rsidRPr="00324454">
        <w:rPr>
          <w:rFonts w:ascii="Arial" w:hAnsi="Arial" w:cs="Arial"/>
          <w:sz w:val="24"/>
          <w:szCs w:val="24"/>
          <w:lang w:val="en-US" w:eastAsia="pt-BR"/>
        </w:rPr>
        <w:t xml:space="preserve"> in observed data by considering linear combinations (the PCs) of the representative variables such that successively orthogonal PCs explain a decreasing </w:t>
      </w:r>
      <w:r w:rsidR="00BF5079">
        <w:rPr>
          <w:rFonts w:ascii="Arial" w:hAnsi="Arial" w:cs="Arial"/>
          <w:sz w:val="24"/>
          <w:szCs w:val="24"/>
          <w:lang w:val="en-US" w:eastAsia="pt-BR"/>
        </w:rPr>
        <w:t>pro</w:t>
      </w:r>
      <w:r w:rsidR="00BF710E" w:rsidRPr="00324454">
        <w:rPr>
          <w:rFonts w:ascii="Arial" w:hAnsi="Arial" w:cs="Arial"/>
          <w:sz w:val="24"/>
          <w:szCs w:val="24"/>
          <w:lang w:val="en-US" w:eastAsia="pt-BR"/>
        </w:rPr>
        <w:t>portion of the data varia</w:t>
      </w:r>
      <w:r w:rsidR="00E05044" w:rsidRPr="00324454">
        <w:rPr>
          <w:rFonts w:ascii="Arial" w:hAnsi="Arial" w:cs="Arial"/>
          <w:sz w:val="24"/>
          <w:szCs w:val="24"/>
          <w:lang w:val="en-US" w:eastAsia="pt-BR"/>
        </w:rPr>
        <w:t>nce</w:t>
      </w:r>
      <w:r w:rsidRPr="00324454">
        <w:rPr>
          <w:rStyle w:val="Refdenotaderodap"/>
          <w:rFonts w:ascii="Arial" w:hAnsi="Arial" w:cs="Arial"/>
          <w:sz w:val="24"/>
          <w:szCs w:val="24"/>
          <w:lang w:val="en-US" w:eastAsia="pt-BR"/>
        </w:rPr>
        <w:footnoteReference w:id="2"/>
      </w:r>
      <w:r w:rsidR="00216026">
        <w:rPr>
          <w:rFonts w:ascii="Arial" w:hAnsi="Arial" w:cs="Arial"/>
          <w:sz w:val="24"/>
          <w:szCs w:val="24"/>
          <w:lang w:val="en-US" w:eastAsia="pt-BR"/>
        </w:rPr>
        <w:t>.</w:t>
      </w:r>
      <w:r w:rsidRPr="00324454">
        <w:rPr>
          <w:rFonts w:ascii="Arial" w:hAnsi="Arial" w:cs="Arial"/>
          <w:sz w:val="24"/>
          <w:szCs w:val="24"/>
          <w:lang w:val="en-US" w:eastAsia="pt-BR"/>
        </w:rPr>
        <w:t xml:space="preserve"> Thus, once </w:t>
      </w:r>
      <w:r w:rsidR="00BF5079">
        <w:rPr>
          <w:rFonts w:ascii="Arial" w:hAnsi="Arial" w:cs="Arial"/>
          <w:sz w:val="24"/>
          <w:szCs w:val="24"/>
          <w:lang w:val="en-US" w:eastAsia="pt-BR"/>
        </w:rPr>
        <w:t>a number of PCs that accounted</w:t>
      </w:r>
      <w:r w:rsidRPr="00324454">
        <w:rPr>
          <w:rFonts w:ascii="Arial" w:hAnsi="Arial" w:cs="Arial"/>
          <w:sz w:val="24"/>
          <w:szCs w:val="24"/>
          <w:lang w:val="en-US" w:eastAsia="pt-BR"/>
        </w:rPr>
        <w:t xml:space="preserve"> for  a significant </w:t>
      </w:r>
      <w:r w:rsidR="00BF5079">
        <w:rPr>
          <w:rFonts w:ascii="Arial" w:hAnsi="Arial" w:cs="Arial"/>
          <w:sz w:val="24"/>
          <w:szCs w:val="24"/>
          <w:lang w:val="en-US" w:eastAsia="pt-BR"/>
        </w:rPr>
        <w:t>pro</w:t>
      </w:r>
      <w:r w:rsidRPr="00324454">
        <w:rPr>
          <w:rFonts w:ascii="Arial" w:hAnsi="Arial" w:cs="Arial"/>
          <w:sz w:val="24"/>
          <w:szCs w:val="24"/>
          <w:lang w:val="en-US" w:eastAsia="pt-BR"/>
        </w:rPr>
        <w:t>portion of the data variation</w:t>
      </w:r>
      <w:r w:rsidR="00BF5079">
        <w:rPr>
          <w:rFonts w:ascii="Arial" w:hAnsi="Arial" w:cs="Arial"/>
          <w:sz w:val="24"/>
          <w:szCs w:val="24"/>
          <w:lang w:val="en-US" w:eastAsia="pt-BR"/>
        </w:rPr>
        <w:t xml:space="preserve"> were selected</w:t>
      </w:r>
      <w:r w:rsidRPr="00324454">
        <w:rPr>
          <w:rFonts w:ascii="Arial" w:hAnsi="Arial" w:cs="Arial"/>
          <w:sz w:val="24"/>
          <w:szCs w:val="24"/>
          <w:lang w:val="en-US" w:eastAsia="pt-BR"/>
        </w:rPr>
        <w:t xml:space="preserve">, </w:t>
      </w:r>
      <w:r w:rsidR="00BF5079">
        <w:rPr>
          <w:rFonts w:ascii="Arial" w:hAnsi="Arial" w:cs="Arial"/>
          <w:sz w:val="24"/>
          <w:szCs w:val="24"/>
          <w:lang w:val="en-US" w:eastAsia="pt-BR"/>
        </w:rPr>
        <w:t>the idea wa</w:t>
      </w:r>
      <w:r w:rsidR="00FC502D" w:rsidRPr="00324454">
        <w:rPr>
          <w:rFonts w:ascii="Arial" w:hAnsi="Arial" w:cs="Arial"/>
          <w:sz w:val="24"/>
          <w:szCs w:val="24"/>
          <w:lang w:val="en-US" w:eastAsia="pt-BR"/>
        </w:rPr>
        <w:t>s to interpret the signs of the coefficient</w:t>
      </w:r>
      <w:r w:rsidR="000B3080" w:rsidRPr="00324454">
        <w:rPr>
          <w:rFonts w:ascii="Arial" w:hAnsi="Arial" w:cs="Arial"/>
          <w:sz w:val="24"/>
          <w:szCs w:val="24"/>
          <w:lang w:val="en-US" w:eastAsia="pt-BR"/>
        </w:rPr>
        <w:t>s of that</w:t>
      </w:r>
      <w:r w:rsidRPr="00324454">
        <w:rPr>
          <w:rFonts w:ascii="Arial" w:hAnsi="Arial" w:cs="Arial"/>
          <w:sz w:val="24"/>
          <w:szCs w:val="24"/>
          <w:lang w:val="en-US" w:eastAsia="pt-BR"/>
        </w:rPr>
        <w:t xml:space="preserve"> </w:t>
      </w:r>
      <w:r w:rsidR="000B3080" w:rsidRPr="00324454">
        <w:rPr>
          <w:rFonts w:ascii="Arial" w:hAnsi="Arial" w:cs="Arial"/>
          <w:sz w:val="24"/>
          <w:szCs w:val="24"/>
          <w:lang w:val="en-US" w:eastAsia="pt-BR"/>
        </w:rPr>
        <w:t>synthetic indicator with respect to different variables</w:t>
      </w:r>
      <w:r w:rsidR="00FC502D" w:rsidRPr="00324454">
        <w:rPr>
          <w:rFonts w:ascii="Arial" w:hAnsi="Arial" w:cs="Arial"/>
          <w:sz w:val="24"/>
          <w:szCs w:val="24"/>
          <w:lang w:val="en-US" w:eastAsia="pt-BR"/>
        </w:rPr>
        <w:t xml:space="preserve"> (</w:t>
      </w:r>
      <w:r w:rsidR="000B3080" w:rsidRPr="00324454">
        <w:rPr>
          <w:rFonts w:ascii="Arial" w:hAnsi="Arial" w:cs="Arial"/>
          <w:sz w:val="24"/>
          <w:szCs w:val="24"/>
          <w:lang w:val="en-US" w:eastAsia="pt-BR"/>
        </w:rPr>
        <w:t xml:space="preserve">by inspecting the </w:t>
      </w:r>
      <w:r w:rsidR="000B3080" w:rsidRPr="00324454">
        <w:rPr>
          <w:rFonts w:ascii="Arial" w:hAnsi="Arial" w:cs="Arial"/>
          <w:i/>
          <w:sz w:val="24"/>
          <w:szCs w:val="24"/>
          <w:lang w:val="en-US" w:eastAsia="pt-BR"/>
        </w:rPr>
        <w:t>factor</w:t>
      </w:r>
      <w:r w:rsidR="00FC502D" w:rsidRPr="00324454">
        <w:rPr>
          <w:rFonts w:ascii="Arial" w:hAnsi="Arial" w:cs="Arial"/>
          <w:sz w:val="24"/>
          <w:szCs w:val="24"/>
          <w:lang w:val="en-US" w:eastAsia="pt-BR"/>
        </w:rPr>
        <w:t xml:space="preserve"> </w:t>
      </w:r>
      <w:r w:rsidR="00FC502D" w:rsidRPr="00324454">
        <w:rPr>
          <w:rFonts w:ascii="Arial" w:hAnsi="Arial" w:cs="Arial"/>
          <w:i/>
          <w:sz w:val="24"/>
          <w:szCs w:val="24"/>
          <w:lang w:val="en-US" w:eastAsia="pt-BR"/>
        </w:rPr>
        <w:t>loadings</w:t>
      </w:r>
      <w:r w:rsidR="00FC502D" w:rsidRPr="00324454">
        <w:rPr>
          <w:rFonts w:ascii="Arial" w:hAnsi="Arial" w:cs="Arial"/>
          <w:sz w:val="24"/>
          <w:szCs w:val="24"/>
          <w:lang w:val="en-US" w:eastAsia="pt-BR"/>
        </w:rPr>
        <w:t xml:space="preserve">) </w:t>
      </w:r>
      <w:r w:rsidR="00120813">
        <w:rPr>
          <w:rFonts w:ascii="Arial" w:hAnsi="Arial" w:cs="Arial"/>
          <w:sz w:val="24"/>
          <w:szCs w:val="24"/>
          <w:lang w:val="en-US" w:eastAsia="pt-BR"/>
        </w:rPr>
        <w:t>and</w:t>
      </w:r>
      <w:r w:rsidR="00FC502D" w:rsidRPr="00324454">
        <w:rPr>
          <w:rFonts w:ascii="Arial" w:hAnsi="Arial" w:cs="Arial"/>
          <w:sz w:val="24"/>
          <w:szCs w:val="24"/>
          <w:lang w:val="en-US" w:eastAsia="pt-BR"/>
        </w:rPr>
        <w:t xml:space="preserve"> to classify each industry in</w:t>
      </w:r>
      <w:r w:rsidR="00683755">
        <w:rPr>
          <w:rFonts w:ascii="Arial" w:hAnsi="Arial" w:cs="Arial"/>
          <w:sz w:val="24"/>
          <w:szCs w:val="24"/>
          <w:lang w:val="en-US" w:eastAsia="pt-BR"/>
        </w:rPr>
        <w:t>to</w:t>
      </w:r>
      <w:r w:rsidR="00FC502D" w:rsidRPr="00324454">
        <w:rPr>
          <w:rFonts w:ascii="Arial" w:hAnsi="Arial" w:cs="Arial"/>
          <w:sz w:val="24"/>
          <w:szCs w:val="24"/>
          <w:lang w:val="en-US" w:eastAsia="pt-BR"/>
        </w:rPr>
        <w:t xml:space="preserve"> one of the two categories of technological regimes. In previous applications, one </w:t>
      </w:r>
      <w:r w:rsidR="00683755">
        <w:rPr>
          <w:rFonts w:ascii="Arial" w:hAnsi="Arial" w:cs="Arial"/>
          <w:sz w:val="24"/>
          <w:szCs w:val="24"/>
          <w:lang w:val="en-US" w:eastAsia="pt-BR"/>
        </w:rPr>
        <w:t>could</w:t>
      </w:r>
      <w:r w:rsidR="00FC502D" w:rsidRPr="00324454">
        <w:rPr>
          <w:rFonts w:ascii="Arial" w:hAnsi="Arial" w:cs="Arial"/>
          <w:sz w:val="24"/>
          <w:szCs w:val="24"/>
          <w:lang w:val="en-US" w:eastAsia="pt-BR"/>
        </w:rPr>
        <w:t xml:space="preserve"> focus on the first (dominant) PC </w:t>
      </w:r>
      <w:r w:rsidR="00683755">
        <w:rPr>
          <w:rFonts w:ascii="Arial" w:hAnsi="Arial" w:cs="Arial"/>
          <w:sz w:val="24"/>
          <w:szCs w:val="24"/>
          <w:lang w:val="en-US" w:eastAsia="pt-BR"/>
        </w:rPr>
        <w:t>because</w:t>
      </w:r>
      <w:r w:rsidR="00FC502D" w:rsidRPr="00324454">
        <w:rPr>
          <w:rFonts w:ascii="Arial" w:hAnsi="Arial" w:cs="Arial"/>
          <w:sz w:val="24"/>
          <w:szCs w:val="24"/>
          <w:lang w:val="en-US" w:eastAsia="pt-BR"/>
        </w:rPr>
        <w:t xml:space="preserve"> it accounted</w:t>
      </w:r>
      <w:r w:rsidR="00B42042" w:rsidRPr="00324454">
        <w:rPr>
          <w:rFonts w:ascii="Arial" w:hAnsi="Arial" w:cs="Arial"/>
          <w:sz w:val="24"/>
          <w:szCs w:val="24"/>
          <w:lang w:val="en-US" w:eastAsia="pt-BR"/>
        </w:rPr>
        <w:t xml:space="preserve"> for </w:t>
      </w:r>
      <w:r w:rsidR="00683755">
        <w:rPr>
          <w:rFonts w:ascii="Arial" w:hAnsi="Arial" w:cs="Arial"/>
          <w:sz w:val="24"/>
          <w:szCs w:val="24"/>
          <w:lang w:val="en-US" w:eastAsia="pt-BR"/>
        </w:rPr>
        <w:t xml:space="preserve">a </w:t>
      </w:r>
      <w:r w:rsidR="00B42042" w:rsidRPr="00324454">
        <w:rPr>
          <w:rFonts w:ascii="Arial" w:hAnsi="Arial" w:cs="Arial"/>
          <w:sz w:val="24"/>
          <w:szCs w:val="24"/>
          <w:lang w:val="en-US" w:eastAsia="pt-BR"/>
        </w:rPr>
        <w:t xml:space="preserve">significant </w:t>
      </w:r>
      <w:r w:rsidR="00683755">
        <w:rPr>
          <w:rFonts w:ascii="Arial" w:hAnsi="Arial" w:cs="Arial"/>
          <w:sz w:val="24"/>
          <w:szCs w:val="24"/>
          <w:lang w:val="en-US" w:eastAsia="pt-BR"/>
        </w:rPr>
        <w:t>pro</w:t>
      </w:r>
      <w:r w:rsidR="00B42042" w:rsidRPr="00324454">
        <w:rPr>
          <w:rFonts w:ascii="Arial" w:hAnsi="Arial" w:cs="Arial"/>
          <w:sz w:val="24"/>
          <w:szCs w:val="24"/>
          <w:lang w:val="en-US" w:eastAsia="pt-BR"/>
        </w:rPr>
        <w:t xml:space="preserve">portion of the data variance ranging from 49% to 81% in the cases addressed by the </w:t>
      </w:r>
      <w:r w:rsidR="003C5A78">
        <w:rPr>
          <w:rFonts w:ascii="Arial" w:hAnsi="Arial" w:cs="Arial"/>
          <w:sz w:val="24"/>
          <w:szCs w:val="24"/>
          <w:lang w:val="en-US" w:eastAsia="pt-BR"/>
        </w:rPr>
        <w:t xml:space="preserve">authors. The empirical </w:t>
      </w:r>
      <w:r w:rsidR="00D9611F">
        <w:rPr>
          <w:rFonts w:ascii="Arial" w:hAnsi="Arial" w:cs="Arial"/>
          <w:sz w:val="24"/>
          <w:szCs w:val="24"/>
          <w:lang w:val="en-US" w:eastAsia="pt-BR"/>
        </w:rPr>
        <w:t>strategy advanced by that research</w:t>
      </w:r>
      <w:r w:rsidR="00B42042" w:rsidRPr="00324454">
        <w:rPr>
          <w:rFonts w:ascii="Arial" w:hAnsi="Arial" w:cs="Arial"/>
          <w:sz w:val="24"/>
          <w:szCs w:val="24"/>
          <w:lang w:val="en-US" w:eastAsia="pt-BR"/>
        </w:rPr>
        <w:t xml:space="preserve"> </w:t>
      </w:r>
      <w:r w:rsidR="00E05044" w:rsidRPr="00324454">
        <w:rPr>
          <w:rFonts w:ascii="Arial" w:hAnsi="Arial" w:cs="Arial"/>
          <w:sz w:val="24"/>
          <w:szCs w:val="24"/>
          <w:lang w:val="en-US" w:eastAsia="pt-BR"/>
        </w:rPr>
        <w:t>e</w:t>
      </w:r>
      <w:r w:rsidR="00B42042" w:rsidRPr="00324454">
        <w:rPr>
          <w:rFonts w:ascii="Arial" w:hAnsi="Arial" w:cs="Arial"/>
          <w:sz w:val="24"/>
          <w:szCs w:val="24"/>
          <w:lang w:val="en-US" w:eastAsia="pt-BR"/>
        </w:rPr>
        <w:t>ssentially focused on the interpretation of the first PC (called SCHUMP) that was obtained upon the consideration of 3 variables:</w:t>
      </w:r>
    </w:p>
    <w:p w:rsidR="00B42042" w:rsidRPr="00324454" w:rsidRDefault="00B42042" w:rsidP="00D93057">
      <w:pPr>
        <w:pStyle w:val="PargrafodaLista"/>
        <w:numPr>
          <w:ilvl w:val="0"/>
          <w:numId w:val="5"/>
        </w:numPr>
        <w:autoSpaceDE w:val="0"/>
        <w:autoSpaceDN w:val="0"/>
        <w:adjustRightInd w:val="0"/>
        <w:spacing w:line="480" w:lineRule="auto"/>
        <w:ind w:left="0" w:firstLine="709"/>
        <w:contextualSpacing w:val="0"/>
        <w:jc w:val="both"/>
        <w:rPr>
          <w:rFonts w:ascii="Arial" w:hAnsi="Arial" w:cs="Arial"/>
          <w:sz w:val="24"/>
          <w:szCs w:val="24"/>
          <w:lang w:val="en-US"/>
        </w:rPr>
      </w:pPr>
      <w:r w:rsidRPr="00324454">
        <w:rPr>
          <w:rFonts w:ascii="Arial" w:hAnsi="Arial" w:cs="Arial"/>
          <w:bCs/>
          <w:sz w:val="24"/>
          <w:szCs w:val="24"/>
          <w:lang w:val="en-US"/>
        </w:rPr>
        <w:lastRenderedPageBreak/>
        <w:t>ENTRY: percentage share of patent applications by firms applying in a given technological class</w:t>
      </w:r>
      <w:r w:rsidR="00D9611F">
        <w:rPr>
          <w:rFonts w:ascii="Arial" w:hAnsi="Arial" w:cs="Arial"/>
          <w:bCs/>
          <w:sz w:val="24"/>
          <w:szCs w:val="24"/>
          <w:lang w:val="en-US"/>
        </w:rPr>
        <w:t xml:space="preserve"> </w:t>
      </w:r>
      <w:r w:rsidR="00D9611F" w:rsidRPr="00324454">
        <w:rPr>
          <w:rFonts w:ascii="Arial" w:hAnsi="Arial" w:cs="Arial"/>
          <w:bCs/>
          <w:sz w:val="24"/>
          <w:szCs w:val="24"/>
          <w:lang w:val="en-US"/>
        </w:rPr>
        <w:t>for the first time</w:t>
      </w:r>
      <w:r w:rsidRPr="00324454">
        <w:rPr>
          <w:rFonts w:ascii="Arial" w:hAnsi="Arial" w:cs="Arial"/>
          <w:bCs/>
          <w:sz w:val="24"/>
          <w:szCs w:val="24"/>
          <w:lang w:val="en-US"/>
        </w:rPr>
        <w:t>;</w:t>
      </w:r>
    </w:p>
    <w:p w:rsidR="00EE56C4" w:rsidRPr="00324454" w:rsidRDefault="006A288F" w:rsidP="00D93057">
      <w:pPr>
        <w:pStyle w:val="PargrafodaLista"/>
        <w:numPr>
          <w:ilvl w:val="0"/>
          <w:numId w:val="5"/>
        </w:numPr>
        <w:autoSpaceDE w:val="0"/>
        <w:autoSpaceDN w:val="0"/>
        <w:adjustRightInd w:val="0"/>
        <w:spacing w:line="480" w:lineRule="auto"/>
        <w:ind w:left="0" w:firstLine="709"/>
        <w:contextualSpacing w:val="0"/>
        <w:jc w:val="both"/>
        <w:rPr>
          <w:rFonts w:ascii="Arial" w:hAnsi="Arial" w:cs="Arial"/>
          <w:sz w:val="24"/>
          <w:szCs w:val="24"/>
          <w:lang w:val="en-US"/>
        </w:rPr>
      </w:pPr>
      <w:r w:rsidRPr="00324454">
        <w:rPr>
          <w:rFonts w:ascii="Arial" w:hAnsi="Arial" w:cs="Arial"/>
          <w:bCs/>
          <w:sz w:val="24"/>
          <w:szCs w:val="24"/>
          <w:lang w:val="en-US"/>
        </w:rPr>
        <w:t xml:space="preserve">STABILITY: the Spearman rank correlation coefficient between the hierarchies of firms patenting </w:t>
      </w:r>
      <w:r w:rsidR="00B42042" w:rsidRPr="00324454">
        <w:rPr>
          <w:rFonts w:ascii="Arial" w:hAnsi="Arial" w:cs="Arial"/>
          <w:bCs/>
          <w:sz w:val="24"/>
          <w:szCs w:val="24"/>
          <w:lang w:val="en-US"/>
        </w:rPr>
        <w:t xml:space="preserve"> </w:t>
      </w:r>
      <w:r w:rsidRPr="00324454">
        <w:rPr>
          <w:rFonts w:ascii="Arial" w:hAnsi="Arial" w:cs="Arial"/>
          <w:sz w:val="24"/>
          <w:szCs w:val="24"/>
          <w:lang w:val="en-US" w:eastAsia="pt-BR"/>
        </w:rPr>
        <w:t>in two different periods;</w:t>
      </w:r>
    </w:p>
    <w:p w:rsidR="006A288F" w:rsidRPr="00324454" w:rsidRDefault="006A288F" w:rsidP="00D93057">
      <w:pPr>
        <w:pStyle w:val="PargrafodaLista"/>
        <w:numPr>
          <w:ilvl w:val="0"/>
          <w:numId w:val="5"/>
        </w:numPr>
        <w:autoSpaceDE w:val="0"/>
        <w:autoSpaceDN w:val="0"/>
        <w:adjustRightInd w:val="0"/>
        <w:spacing w:line="480" w:lineRule="auto"/>
        <w:ind w:left="0" w:firstLine="709"/>
        <w:contextualSpacing w:val="0"/>
        <w:jc w:val="both"/>
        <w:rPr>
          <w:rFonts w:ascii="Arial" w:hAnsi="Arial" w:cs="Arial"/>
          <w:sz w:val="24"/>
          <w:szCs w:val="24"/>
          <w:lang w:val="en-US"/>
        </w:rPr>
      </w:pPr>
      <w:r w:rsidRPr="00324454">
        <w:rPr>
          <w:rFonts w:ascii="Arial" w:hAnsi="Arial" w:cs="Arial"/>
          <w:bCs/>
          <w:sz w:val="24"/>
          <w:szCs w:val="24"/>
          <w:lang w:val="en-US"/>
        </w:rPr>
        <w:t>C4: the concentration ratio of the top four patenting firms in a given technological class</w:t>
      </w:r>
    </w:p>
    <w:p w:rsidR="002F6BDC" w:rsidRDefault="00871453" w:rsidP="002F6BDC">
      <w:pPr>
        <w:autoSpaceDE w:val="0"/>
        <w:autoSpaceDN w:val="0"/>
        <w:adjustRightInd w:val="0"/>
        <w:spacing w:line="480" w:lineRule="auto"/>
        <w:ind w:firstLine="709"/>
        <w:jc w:val="both"/>
        <w:rPr>
          <w:rFonts w:ascii="Arial" w:hAnsi="Arial" w:cs="Arial"/>
          <w:bCs/>
          <w:sz w:val="24"/>
          <w:szCs w:val="24"/>
          <w:lang w:val="en-US"/>
        </w:rPr>
      </w:pPr>
      <w:r w:rsidRPr="00324454">
        <w:rPr>
          <w:rFonts w:ascii="Arial" w:hAnsi="Arial" w:cs="Arial"/>
          <w:sz w:val="24"/>
          <w:szCs w:val="24"/>
          <w:lang w:val="en-US"/>
        </w:rPr>
        <w:t>The analy</w:t>
      </w:r>
      <w:r w:rsidR="006A288F" w:rsidRPr="00324454">
        <w:rPr>
          <w:rFonts w:ascii="Arial" w:hAnsi="Arial" w:cs="Arial"/>
          <w:sz w:val="24"/>
          <w:szCs w:val="24"/>
          <w:lang w:val="en-US"/>
        </w:rPr>
        <w:t>s</w:t>
      </w:r>
      <w:r w:rsidRPr="00324454">
        <w:rPr>
          <w:rFonts w:ascii="Arial" w:hAnsi="Arial" w:cs="Arial"/>
          <w:sz w:val="24"/>
          <w:szCs w:val="24"/>
          <w:lang w:val="en-US"/>
        </w:rPr>
        <w:t>i</w:t>
      </w:r>
      <w:r w:rsidR="006A288F" w:rsidRPr="00324454">
        <w:rPr>
          <w:rFonts w:ascii="Arial" w:hAnsi="Arial" w:cs="Arial"/>
          <w:sz w:val="24"/>
          <w:szCs w:val="24"/>
          <w:lang w:val="en-US"/>
        </w:rPr>
        <w:t xml:space="preserve">s relied </w:t>
      </w:r>
      <w:r w:rsidR="006B7555" w:rsidRPr="00324454">
        <w:rPr>
          <w:rFonts w:ascii="Arial" w:hAnsi="Arial" w:cs="Arial"/>
          <w:sz w:val="24"/>
          <w:szCs w:val="24"/>
          <w:lang w:val="en-US"/>
        </w:rPr>
        <w:t>o</w:t>
      </w:r>
      <w:r w:rsidR="006A288F" w:rsidRPr="00324454">
        <w:rPr>
          <w:rFonts w:ascii="Arial" w:hAnsi="Arial" w:cs="Arial"/>
          <w:sz w:val="24"/>
          <w:szCs w:val="24"/>
          <w:lang w:val="en-US"/>
        </w:rPr>
        <w:t xml:space="preserve">n </w:t>
      </w:r>
      <w:r w:rsidRPr="00324454">
        <w:rPr>
          <w:rFonts w:ascii="Arial" w:hAnsi="Arial" w:cs="Arial"/>
          <w:sz w:val="24"/>
          <w:szCs w:val="24"/>
          <w:lang w:val="en-US"/>
        </w:rPr>
        <w:t>patent</w:t>
      </w:r>
      <w:r w:rsidR="006A288F" w:rsidRPr="00324454">
        <w:rPr>
          <w:rFonts w:ascii="Arial" w:hAnsi="Arial" w:cs="Arial"/>
          <w:sz w:val="24"/>
          <w:szCs w:val="24"/>
          <w:lang w:val="en-US"/>
        </w:rPr>
        <w:t xml:space="preserve"> data from the </w:t>
      </w:r>
      <w:r w:rsidR="006A288F" w:rsidRPr="001321DB">
        <w:rPr>
          <w:rFonts w:ascii="Arial" w:hAnsi="Arial" w:cs="Arial"/>
          <w:bCs/>
          <w:sz w:val="24"/>
          <w:szCs w:val="24"/>
          <w:lang w:val="en-US"/>
        </w:rPr>
        <w:t>EPO-CESPRI database</w:t>
      </w:r>
      <w:r w:rsidRPr="001321DB">
        <w:rPr>
          <w:rFonts w:ascii="Arial" w:hAnsi="Arial" w:cs="Arial"/>
          <w:bCs/>
          <w:sz w:val="24"/>
          <w:szCs w:val="24"/>
          <w:lang w:val="en-US"/>
        </w:rPr>
        <w:t xml:space="preserve"> and an industry was classified as SM-I in the case of a negative and lower value </w:t>
      </w:r>
      <w:r w:rsidR="00D9611F">
        <w:rPr>
          <w:rFonts w:ascii="Arial" w:hAnsi="Arial" w:cs="Arial"/>
          <w:bCs/>
          <w:sz w:val="24"/>
          <w:szCs w:val="24"/>
          <w:lang w:val="en-US"/>
        </w:rPr>
        <w:t>for</w:t>
      </w:r>
      <w:r w:rsidRPr="001321DB">
        <w:rPr>
          <w:rFonts w:ascii="Arial" w:hAnsi="Arial" w:cs="Arial"/>
          <w:bCs/>
          <w:sz w:val="24"/>
          <w:szCs w:val="24"/>
          <w:lang w:val="en-US"/>
        </w:rPr>
        <w:t xml:space="preserve"> SCHUMP</w:t>
      </w:r>
      <w:r w:rsidRPr="001321DB">
        <w:rPr>
          <w:rFonts w:ascii="Arial" w:hAnsi="Arial" w:cs="Arial"/>
          <w:b/>
          <w:bCs/>
          <w:sz w:val="24"/>
          <w:szCs w:val="24"/>
          <w:lang w:val="en-US"/>
        </w:rPr>
        <w:t xml:space="preserve">, </w:t>
      </w:r>
      <w:r w:rsidRPr="001321DB">
        <w:rPr>
          <w:rFonts w:ascii="Arial" w:hAnsi="Arial" w:cs="Arial"/>
          <w:bCs/>
          <w:sz w:val="24"/>
          <w:szCs w:val="24"/>
          <w:lang w:val="en-US"/>
        </w:rPr>
        <w:t xml:space="preserve">whereas </w:t>
      </w:r>
      <w:r w:rsidR="00D9611F">
        <w:rPr>
          <w:rFonts w:ascii="Arial" w:hAnsi="Arial" w:cs="Arial"/>
          <w:bCs/>
          <w:sz w:val="24"/>
          <w:szCs w:val="24"/>
          <w:lang w:val="en-US"/>
        </w:rPr>
        <w:t xml:space="preserve">a </w:t>
      </w:r>
      <w:r w:rsidRPr="001321DB">
        <w:rPr>
          <w:rFonts w:ascii="Arial" w:hAnsi="Arial" w:cs="Arial"/>
          <w:bCs/>
          <w:sz w:val="24"/>
          <w:szCs w:val="24"/>
          <w:lang w:val="en-US"/>
        </w:rPr>
        <w:t xml:space="preserve">positive and higher value would </w:t>
      </w:r>
      <w:proofErr w:type="spellStart"/>
      <w:proofErr w:type="gramStart"/>
      <w:r w:rsidRPr="001321DB">
        <w:rPr>
          <w:rFonts w:ascii="Arial" w:hAnsi="Arial" w:cs="Arial"/>
          <w:bCs/>
          <w:sz w:val="24"/>
          <w:szCs w:val="24"/>
          <w:lang w:val="en-US"/>
        </w:rPr>
        <w:t>favo</w:t>
      </w:r>
      <w:r w:rsidR="00D9611F">
        <w:rPr>
          <w:rFonts w:ascii="Arial" w:hAnsi="Arial" w:cs="Arial"/>
          <w:bCs/>
          <w:sz w:val="24"/>
          <w:szCs w:val="24"/>
          <w:lang w:val="en-US"/>
        </w:rPr>
        <w:t>u</w:t>
      </w:r>
      <w:r w:rsidRPr="001321DB">
        <w:rPr>
          <w:rFonts w:ascii="Arial" w:hAnsi="Arial" w:cs="Arial"/>
          <w:bCs/>
          <w:sz w:val="24"/>
          <w:szCs w:val="24"/>
          <w:lang w:val="en-US"/>
        </w:rPr>
        <w:t>r</w:t>
      </w:r>
      <w:r w:rsidR="00D9611F">
        <w:rPr>
          <w:rFonts w:ascii="Arial" w:hAnsi="Arial" w:cs="Arial"/>
          <w:bCs/>
          <w:sz w:val="24"/>
          <w:szCs w:val="24"/>
          <w:lang w:val="en-US"/>
        </w:rPr>
        <w:t>ed</w:t>
      </w:r>
      <w:proofErr w:type="spellEnd"/>
      <w:proofErr w:type="gramEnd"/>
      <w:r w:rsidRPr="001321DB">
        <w:rPr>
          <w:rFonts w:ascii="Arial" w:hAnsi="Arial" w:cs="Arial"/>
          <w:bCs/>
          <w:sz w:val="24"/>
          <w:szCs w:val="24"/>
          <w:lang w:val="en-US"/>
        </w:rPr>
        <w:t xml:space="preserve"> the </w:t>
      </w:r>
      <w:r w:rsidR="00D9611F">
        <w:rPr>
          <w:rFonts w:ascii="Arial" w:hAnsi="Arial" w:cs="Arial"/>
          <w:bCs/>
          <w:sz w:val="24"/>
          <w:szCs w:val="24"/>
          <w:lang w:val="en-US"/>
        </w:rPr>
        <w:t>SM-II classification. T</w:t>
      </w:r>
      <w:r w:rsidRPr="001321DB">
        <w:rPr>
          <w:rFonts w:ascii="Arial" w:hAnsi="Arial" w:cs="Arial"/>
          <w:bCs/>
          <w:sz w:val="24"/>
          <w:szCs w:val="24"/>
          <w:lang w:val="en-US"/>
        </w:rPr>
        <w:t xml:space="preserve">o gain further confidence on the classification, </w:t>
      </w:r>
      <w:r w:rsidRPr="001321DB">
        <w:rPr>
          <w:rFonts w:ascii="Arial" w:hAnsi="Arial" w:cs="Arial"/>
          <w:sz w:val="24"/>
          <w:szCs w:val="24"/>
          <w:lang w:val="en-US" w:eastAsia="pt-BR"/>
        </w:rPr>
        <w:t xml:space="preserve">Breschi et al. (2000) </w:t>
      </w:r>
      <w:r w:rsidRPr="001321DB">
        <w:rPr>
          <w:rFonts w:ascii="Arial" w:hAnsi="Arial" w:cs="Arial"/>
          <w:bCs/>
          <w:sz w:val="24"/>
          <w:szCs w:val="24"/>
          <w:lang w:val="en-US"/>
        </w:rPr>
        <w:t xml:space="preserve">conducted </w:t>
      </w:r>
      <w:r w:rsidR="00D9611F">
        <w:rPr>
          <w:rFonts w:ascii="Arial" w:hAnsi="Arial" w:cs="Arial"/>
          <w:bCs/>
          <w:sz w:val="24"/>
          <w:szCs w:val="24"/>
          <w:lang w:val="en-US"/>
        </w:rPr>
        <w:t xml:space="preserve">an </w:t>
      </w:r>
      <w:r w:rsidRPr="001321DB">
        <w:rPr>
          <w:rFonts w:ascii="Arial" w:hAnsi="Arial" w:cs="Arial"/>
          <w:bCs/>
          <w:sz w:val="24"/>
          <w:szCs w:val="24"/>
          <w:lang w:val="en-US"/>
        </w:rPr>
        <w:t xml:space="preserve">econometric analysis to </w:t>
      </w:r>
      <w:r w:rsidR="00D9611F">
        <w:rPr>
          <w:rFonts w:ascii="Arial" w:hAnsi="Arial" w:cs="Arial"/>
          <w:bCs/>
          <w:sz w:val="24"/>
          <w:szCs w:val="24"/>
          <w:lang w:val="en-US"/>
        </w:rPr>
        <w:t>investigate the relationship</w:t>
      </w:r>
      <w:r w:rsidRPr="001321DB">
        <w:rPr>
          <w:rFonts w:ascii="Arial" w:hAnsi="Arial" w:cs="Arial"/>
          <w:bCs/>
          <w:sz w:val="24"/>
          <w:szCs w:val="24"/>
          <w:lang w:val="en-US"/>
        </w:rPr>
        <w:t xml:space="preserve"> </w:t>
      </w:r>
      <w:r w:rsidR="00D9611F">
        <w:rPr>
          <w:rFonts w:ascii="Arial" w:hAnsi="Arial" w:cs="Arial"/>
          <w:bCs/>
          <w:sz w:val="24"/>
          <w:szCs w:val="24"/>
          <w:lang w:val="en-US"/>
        </w:rPr>
        <w:t xml:space="preserve">between </w:t>
      </w:r>
      <w:r w:rsidRPr="001321DB">
        <w:rPr>
          <w:rFonts w:ascii="Arial" w:hAnsi="Arial" w:cs="Arial"/>
          <w:bCs/>
          <w:sz w:val="24"/>
          <w:szCs w:val="24"/>
          <w:lang w:val="en-US"/>
        </w:rPr>
        <w:t>the synthetic indicator SCHUMP</w:t>
      </w:r>
      <w:r w:rsidR="006B7555" w:rsidRPr="001321DB">
        <w:rPr>
          <w:rFonts w:ascii="Arial" w:hAnsi="Arial" w:cs="Arial"/>
          <w:bCs/>
          <w:sz w:val="24"/>
          <w:szCs w:val="24"/>
          <w:lang w:val="en-US"/>
        </w:rPr>
        <w:t xml:space="preserve"> </w:t>
      </w:r>
      <w:r w:rsidR="00D9611F">
        <w:rPr>
          <w:rFonts w:ascii="Arial" w:hAnsi="Arial" w:cs="Arial"/>
          <w:bCs/>
          <w:sz w:val="24"/>
          <w:szCs w:val="24"/>
          <w:lang w:val="en-US"/>
        </w:rPr>
        <w:t>and</w:t>
      </w:r>
      <w:r w:rsidR="006B7555" w:rsidRPr="001321DB">
        <w:rPr>
          <w:rFonts w:ascii="Arial" w:hAnsi="Arial" w:cs="Arial"/>
          <w:bCs/>
          <w:sz w:val="24"/>
          <w:szCs w:val="24"/>
          <w:lang w:val="en-US"/>
        </w:rPr>
        <w:t xml:space="preserve"> variables that </w:t>
      </w:r>
      <w:proofErr w:type="spellStart"/>
      <w:r w:rsidR="006B7555" w:rsidRPr="001321DB">
        <w:rPr>
          <w:rFonts w:ascii="Arial" w:hAnsi="Arial" w:cs="Arial"/>
          <w:bCs/>
          <w:sz w:val="24"/>
          <w:szCs w:val="24"/>
          <w:lang w:val="en-US"/>
        </w:rPr>
        <w:t>prox</w:t>
      </w:r>
      <w:r w:rsidR="00D9611F">
        <w:rPr>
          <w:rFonts w:ascii="Arial" w:hAnsi="Arial" w:cs="Arial"/>
          <w:bCs/>
          <w:sz w:val="24"/>
          <w:szCs w:val="24"/>
          <w:lang w:val="en-US"/>
        </w:rPr>
        <w:t>ied</w:t>
      </w:r>
      <w:proofErr w:type="spellEnd"/>
      <w:r w:rsidR="006B7555" w:rsidRPr="001321DB">
        <w:rPr>
          <w:rFonts w:ascii="Arial" w:hAnsi="Arial" w:cs="Arial"/>
          <w:bCs/>
          <w:sz w:val="24"/>
          <w:szCs w:val="24"/>
          <w:lang w:val="en-US"/>
        </w:rPr>
        <w:t xml:space="preserve"> technological opportunity, </w:t>
      </w:r>
      <w:proofErr w:type="spellStart"/>
      <w:r w:rsidR="006B7555" w:rsidRPr="001321DB">
        <w:rPr>
          <w:rFonts w:ascii="Arial" w:hAnsi="Arial" w:cs="Arial"/>
          <w:bCs/>
          <w:sz w:val="24"/>
          <w:szCs w:val="24"/>
          <w:lang w:val="en-US"/>
        </w:rPr>
        <w:t>appropriability</w:t>
      </w:r>
      <w:proofErr w:type="spellEnd"/>
      <w:r w:rsidR="006B7555" w:rsidRPr="001321DB">
        <w:rPr>
          <w:rFonts w:ascii="Arial" w:hAnsi="Arial" w:cs="Arial"/>
          <w:bCs/>
          <w:sz w:val="24"/>
          <w:szCs w:val="24"/>
          <w:lang w:val="en-US"/>
        </w:rPr>
        <w:t xml:space="preserve"> and cumulativeness and the knowledge</w:t>
      </w:r>
      <w:r w:rsidR="00D9611F">
        <w:rPr>
          <w:rFonts w:ascii="Arial" w:hAnsi="Arial" w:cs="Arial"/>
          <w:bCs/>
          <w:sz w:val="24"/>
          <w:szCs w:val="24"/>
          <w:lang w:val="en-US"/>
        </w:rPr>
        <w:t>-</w:t>
      </w:r>
      <w:r w:rsidR="006B7555" w:rsidRPr="001321DB">
        <w:rPr>
          <w:rFonts w:ascii="Arial" w:hAnsi="Arial" w:cs="Arial"/>
          <w:bCs/>
          <w:sz w:val="24"/>
          <w:szCs w:val="24"/>
          <w:lang w:val="en-US"/>
        </w:rPr>
        <w:t>base.</w:t>
      </w:r>
      <w:r w:rsidR="003661D6" w:rsidRPr="001321DB">
        <w:rPr>
          <w:rFonts w:ascii="Arial" w:hAnsi="Arial" w:cs="Arial"/>
          <w:bCs/>
          <w:sz w:val="24"/>
          <w:szCs w:val="24"/>
          <w:lang w:val="en-US"/>
        </w:rPr>
        <w:t xml:space="preserve"> The </w:t>
      </w:r>
      <w:r w:rsidR="00001954">
        <w:rPr>
          <w:rFonts w:ascii="Arial" w:hAnsi="Arial" w:cs="Arial"/>
          <w:bCs/>
          <w:sz w:val="24"/>
          <w:szCs w:val="24"/>
          <w:lang w:val="en-US"/>
        </w:rPr>
        <w:t>results</w:t>
      </w:r>
      <w:r w:rsidR="003661D6" w:rsidRPr="001321DB">
        <w:rPr>
          <w:rFonts w:ascii="Arial" w:hAnsi="Arial" w:cs="Arial"/>
          <w:bCs/>
          <w:sz w:val="24"/>
          <w:szCs w:val="24"/>
          <w:lang w:val="en-US"/>
        </w:rPr>
        <w:t xml:space="preserve"> prov</w:t>
      </w:r>
      <w:r w:rsidR="006B7555" w:rsidRPr="001321DB">
        <w:rPr>
          <w:rFonts w:ascii="Arial" w:hAnsi="Arial" w:cs="Arial"/>
          <w:bCs/>
          <w:sz w:val="24"/>
          <w:szCs w:val="24"/>
          <w:lang w:val="en-US"/>
        </w:rPr>
        <w:t>ided ad</w:t>
      </w:r>
      <w:r w:rsidR="00B15A39" w:rsidRPr="001321DB">
        <w:rPr>
          <w:rFonts w:ascii="Arial" w:hAnsi="Arial" w:cs="Arial"/>
          <w:bCs/>
          <w:sz w:val="24"/>
          <w:szCs w:val="24"/>
          <w:lang w:val="en-US"/>
        </w:rPr>
        <w:t>d</w:t>
      </w:r>
      <w:r w:rsidR="006B7555" w:rsidRPr="001321DB">
        <w:rPr>
          <w:rFonts w:ascii="Arial" w:hAnsi="Arial" w:cs="Arial"/>
          <w:bCs/>
          <w:sz w:val="24"/>
          <w:szCs w:val="24"/>
          <w:lang w:val="en-US"/>
        </w:rPr>
        <w:t>itional motivation for the adopted classification</w:t>
      </w:r>
      <w:r w:rsidR="003661D6" w:rsidRPr="001321DB">
        <w:rPr>
          <w:rFonts w:ascii="Arial" w:hAnsi="Arial" w:cs="Arial"/>
          <w:bCs/>
          <w:sz w:val="24"/>
          <w:szCs w:val="24"/>
          <w:lang w:val="en-US"/>
        </w:rPr>
        <w:t xml:space="preserve"> </w:t>
      </w:r>
      <w:r w:rsidR="00B15A39" w:rsidRPr="001321DB">
        <w:rPr>
          <w:rFonts w:ascii="Arial" w:hAnsi="Arial" w:cs="Arial"/>
          <w:bCs/>
          <w:sz w:val="24"/>
          <w:szCs w:val="24"/>
          <w:lang w:val="en-US"/>
        </w:rPr>
        <w:t>approach</w:t>
      </w:r>
      <w:r w:rsidR="006B7555" w:rsidRPr="001321DB">
        <w:rPr>
          <w:rFonts w:ascii="Arial" w:hAnsi="Arial" w:cs="Arial"/>
          <w:bCs/>
          <w:sz w:val="24"/>
          <w:szCs w:val="24"/>
          <w:lang w:val="en-US"/>
        </w:rPr>
        <w:t xml:space="preserve">. Nevertheless, it is important to stress </w:t>
      </w:r>
      <w:r w:rsidR="003661D6" w:rsidRPr="001321DB">
        <w:rPr>
          <w:rFonts w:ascii="Arial" w:hAnsi="Arial" w:cs="Arial"/>
          <w:bCs/>
          <w:sz w:val="24"/>
          <w:szCs w:val="24"/>
          <w:lang w:val="en-US"/>
        </w:rPr>
        <w:t xml:space="preserve">that </w:t>
      </w:r>
      <w:r w:rsidR="00001954">
        <w:rPr>
          <w:rFonts w:ascii="Arial" w:hAnsi="Arial" w:cs="Arial"/>
          <w:bCs/>
          <w:sz w:val="24"/>
          <w:szCs w:val="24"/>
          <w:lang w:val="en-US"/>
        </w:rPr>
        <w:t xml:space="preserve">the use of </w:t>
      </w:r>
      <w:r w:rsidR="003661D6" w:rsidRPr="001321DB">
        <w:rPr>
          <w:rFonts w:ascii="Arial" w:hAnsi="Arial" w:cs="Arial"/>
          <w:bCs/>
          <w:sz w:val="24"/>
          <w:szCs w:val="24"/>
          <w:lang w:val="en-US"/>
        </w:rPr>
        <w:t>innovation c</w:t>
      </w:r>
      <w:r w:rsidR="00001954">
        <w:rPr>
          <w:rFonts w:ascii="Arial" w:hAnsi="Arial" w:cs="Arial"/>
          <w:bCs/>
          <w:sz w:val="24"/>
          <w:szCs w:val="24"/>
          <w:lang w:val="en-US"/>
        </w:rPr>
        <w:t>riteria</w:t>
      </w:r>
      <w:r w:rsidR="000438E6" w:rsidRPr="001321DB">
        <w:rPr>
          <w:rFonts w:ascii="Arial" w:hAnsi="Arial" w:cs="Arial"/>
          <w:bCs/>
          <w:sz w:val="24"/>
          <w:szCs w:val="24"/>
          <w:lang w:val="en-US"/>
        </w:rPr>
        <w:t xml:space="preserve"> based on patent</w:t>
      </w:r>
      <w:r w:rsidR="00B15A39" w:rsidRPr="001321DB">
        <w:rPr>
          <w:rFonts w:ascii="Arial" w:hAnsi="Arial" w:cs="Arial"/>
          <w:bCs/>
          <w:sz w:val="24"/>
          <w:szCs w:val="24"/>
          <w:lang w:val="en-US"/>
        </w:rPr>
        <w:t>s</w:t>
      </w:r>
      <w:r w:rsidR="000438E6" w:rsidRPr="001321DB">
        <w:rPr>
          <w:rFonts w:ascii="Arial" w:hAnsi="Arial" w:cs="Arial"/>
          <w:bCs/>
          <w:sz w:val="24"/>
          <w:szCs w:val="24"/>
          <w:lang w:val="en-US"/>
        </w:rPr>
        <w:t xml:space="preserve"> </w:t>
      </w:r>
      <w:r w:rsidR="00001954">
        <w:rPr>
          <w:rFonts w:ascii="Arial" w:hAnsi="Arial" w:cs="Arial"/>
          <w:bCs/>
          <w:sz w:val="24"/>
          <w:szCs w:val="24"/>
          <w:lang w:val="en-US"/>
        </w:rPr>
        <w:t>require</w:t>
      </w:r>
      <w:r w:rsidR="000438E6" w:rsidRPr="001321DB">
        <w:rPr>
          <w:rFonts w:ascii="Arial" w:hAnsi="Arial" w:cs="Arial"/>
          <w:bCs/>
          <w:sz w:val="24"/>
          <w:szCs w:val="24"/>
          <w:lang w:val="en-US"/>
        </w:rPr>
        <w:t xml:space="preserve"> some caution </w:t>
      </w:r>
      <w:r w:rsidR="00001954">
        <w:rPr>
          <w:rFonts w:ascii="Arial" w:hAnsi="Arial" w:cs="Arial"/>
          <w:bCs/>
          <w:sz w:val="24"/>
          <w:szCs w:val="24"/>
          <w:lang w:val="en-US"/>
        </w:rPr>
        <w:t>because</w:t>
      </w:r>
      <w:r w:rsidR="000438E6" w:rsidRPr="001321DB">
        <w:rPr>
          <w:rFonts w:ascii="Arial" w:hAnsi="Arial" w:cs="Arial"/>
          <w:bCs/>
          <w:sz w:val="24"/>
          <w:szCs w:val="24"/>
          <w:lang w:val="en-US"/>
        </w:rPr>
        <w:t xml:space="preserve"> often </w:t>
      </w:r>
      <w:r w:rsidR="00001954">
        <w:rPr>
          <w:rFonts w:ascii="Arial" w:hAnsi="Arial" w:cs="Arial"/>
          <w:bCs/>
          <w:sz w:val="24"/>
          <w:szCs w:val="24"/>
          <w:lang w:val="en-US"/>
        </w:rPr>
        <w:t>play</w:t>
      </w:r>
      <w:r w:rsidR="000438E6" w:rsidRPr="001321DB">
        <w:rPr>
          <w:rFonts w:ascii="Arial" w:hAnsi="Arial" w:cs="Arial"/>
          <w:bCs/>
          <w:sz w:val="24"/>
          <w:szCs w:val="24"/>
          <w:lang w:val="en-US"/>
        </w:rPr>
        <w:t xml:space="preserve"> </w:t>
      </w:r>
      <w:r w:rsidR="00B15A39" w:rsidRPr="001321DB">
        <w:rPr>
          <w:rFonts w:ascii="Arial" w:hAnsi="Arial" w:cs="Arial"/>
          <w:bCs/>
          <w:sz w:val="24"/>
          <w:szCs w:val="24"/>
          <w:lang w:val="en-US"/>
        </w:rPr>
        <w:t xml:space="preserve">a strategic role </w:t>
      </w:r>
      <w:r w:rsidR="00001954">
        <w:rPr>
          <w:rFonts w:ascii="Arial" w:hAnsi="Arial" w:cs="Arial"/>
          <w:bCs/>
          <w:sz w:val="24"/>
          <w:szCs w:val="24"/>
          <w:lang w:val="en-US"/>
        </w:rPr>
        <w:t>that</w:t>
      </w:r>
      <w:r w:rsidR="000438E6" w:rsidRPr="001321DB">
        <w:rPr>
          <w:rFonts w:ascii="Arial" w:hAnsi="Arial" w:cs="Arial"/>
          <w:bCs/>
          <w:sz w:val="24"/>
          <w:szCs w:val="24"/>
          <w:lang w:val="en-US"/>
        </w:rPr>
        <w:t xml:space="preserve"> no</w:t>
      </w:r>
      <w:r w:rsidR="00B15A39" w:rsidRPr="001321DB">
        <w:rPr>
          <w:rFonts w:ascii="Arial" w:hAnsi="Arial" w:cs="Arial"/>
          <w:bCs/>
          <w:sz w:val="24"/>
          <w:szCs w:val="24"/>
          <w:lang w:val="en-US"/>
        </w:rPr>
        <w:t>t</w:t>
      </w:r>
      <w:r w:rsidR="000438E6" w:rsidRPr="001321DB">
        <w:rPr>
          <w:rFonts w:ascii="Arial" w:hAnsi="Arial" w:cs="Arial"/>
          <w:bCs/>
          <w:sz w:val="24"/>
          <w:szCs w:val="24"/>
          <w:lang w:val="en-US"/>
        </w:rPr>
        <w:t xml:space="preserve"> neces</w:t>
      </w:r>
      <w:r w:rsidR="00001954">
        <w:rPr>
          <w:rFonts w:ascii="Arial" w:hAnsi="Arial" w:cs="Arial"/>
          <w:bCs/>
          <w:sz w:val="24"/>
          <w:szCs w:val="24"/>
          <w:lang w:val="en-US"/>
        </w:rPr>
        <w:t>sar</w:t>
      </w:r>
      <w:r w:rsidR="00B15A39" w:rsidRPr="001321DB">
        <w:rPr>
          <w:rFonts w:ascii="Arial" w:hAnsi="Arial" w:cs="Arial"/>
          <w:bCs/>
          <w:sz w:val="24"/>
          <w:szCs w:val="24"/>
          <w:lang w:val="en-US"/>
        </w:rPr>
        <w:t xml:space="preserve">ily </w:t>
      </w:r>
      <w:r w:rsidR="00001954">
        <w:rPr>
          <w:rFonts w:ascii="Arial" w:hAnsi="Arial" w:cs="Arial"/>
          <w:bCs/>
          <w:sz w:val="24"/>
          <w:szCs w:val="24"/>
          <w:lang w:val="en-US"/>
        </w:rPr>
        <w:t xml:space="preserve">an accurate </w:t>
      </w:r>
      <w:r w:rsidR="00B15A39" w:rsidRPr="001321DB">
        <w:rPr>
          <w:rFonts w:ascii="Arial" w:hAnsi="Arial" w:cs="Arial"/>
          <w:bCs/>
          <w:sz w:val="24"/>
          <w:szCs w:val="24"/>
          <w:lang w:val="en-US"/>
        </w:rPr>
        <w:t>reflect</w:t>
      </w:r>
      <w:r w:rsidR="00001954">
        <w:rPr>
          <w:rFonts w:ascii="Arial" w:hAnsi="Arial" w:cs="Arial"/>
          <w:bCs/>
          <w:sz w:val="24"/>
          <w:szCs w:val="24"/>
          <w:lang w:val="en-US"/>
        </w:rPr>
        <w:t>ion</w:t>
      </w:r>
      <w:r w:rsidR="00B15A39" w:rsidRPr="001321DB">
        <w:rPr>
          <w:rFonts w:ascii="Arial" w:hAnsi="Arial" w:cs="Arial"/>
          <w:bCs/>
          <w:sz w:val="24"/>
          <w:szCs w:val="24"/>
          <w:lang w:val="en-US"/>
        </w:rPr>
        <w:t xml:space="preserve"> </w:t>
      </w:r>
      <w:r w:rsidR="00001954">
        <w:rPr>
          <w:rFonts w:ascii="Arial" w:hAnsi="Arial" w:cs="Arial"/>
          <w:bCs/>
          <w:sz w:val="24"/>
          <w:szCs w:val="24"/>
          <w:lang w:val="en-US"/>
        </w:rPr>
        <w:t>of the</w:t>
      </w:r>
      <w:r w:rsidR="00B15A39" w:rsidRPr="001321DB">
        <w:rPr>
          <w:rFonts w:ascii="Arial" w:hAnsi="Arial" w:cs="Arial"/>
          <w:bCs/>
          <w:sz w:val="24"/>
          <w:szCs w:val="24"/>
          <w:lang w:val="en-US"/>
        </w:rPr>
        <w:t xml:space="preserve"> relevant innovative results</w:t>
      </w:r>
      <w:r w:rsidR="00001954">
        <w:rPr>
          <w:rFonts w:ascii="Arial" w:hAnsi="Arial" w:cs="Arial"/>
          <w:bCs/>
          <w:sz w:val="24"/>
          <w:szCs w:val="24"/>
          <w:lang w:val="en-US"/>
        </w:rPr>
        <w:t>.</w:t>
      </w:r>
      <w:r w:rsidR="00B15A39" w:rsidRPr="001321DB">
        <w:rPr>
          <w:rFonts w:ascii="Arial" w:hAnsi="Arial" w:cs="Arial"/>
          <w:bCs/>
          <w:sz w:val="24"/>
          <w:szCs w:val="24"/>
          <w:lang w:val="en-US"/>
        </w:rPr>
        <w:t xml:space="preserve"> </w:t>
      </w:r>
    </w:p>
    <w:p w:rsidR="00B15A39" w:rsidRPr="001321DB" w:rsidRDefault="00B15A39" w:rsidP="002F6BDC">
      <w:pPr>
        <w:autoSpaceDE w:val="0"/>
        <w:autoSpaceDN w:val="0"/>
        <w:adjustRightInd w:val="0"/>
        <w:spacing w:line="480" w:lineRule="auto"/>
        <w:jc w:val="both"/>
        <w:rPr>
          <w:rFonts w:ascii="Arial" w:hAnsi="Arial" w:cs="Arial"/>
          <w:bCs/>
          <w:sz w:val="24"/>
          <w:szCs w:val="24"/>
          <w:u w:val="single"/>
          <w:lang w:val="en-US"/>
        </w:rPr>
      </w:pPr>
      <w:r w:rsidRPr="001321DB">
        <w:rPr>
          <w:rFonts w:ascii="Arial" w:hAnsi="Arial" w:cs="Arial"/>
          <w:bCs/>
          <w:sz w:val="24"/>
          <w:szCs w:val="24"/>
          <w:u w:val="single"/>
          <w:lang w:val="en-US"/>
        </w:rPr>
        <w:t xml:space="preserve">Contrasts </w:t>
      </w:r>
      <w:r w:rsidR="0048436F" w:rsidRPr="001321DB">
        <w:rPr>
          <w:rFonts w:ascii="Arial" w:hAnsi="Arial" w:cs="Arial"/>
          <w:bCs/>
          <w:sz w:val="24"/>
          <w:szCs w:val="24"/>
          <w:u w:val="single"/>
          <w:lang w:val="en-US"/>
        </w:rPr>
        <w:t>between</w:t>
      </w:r>
      <w:r w:rsidRPr="001321DB">
        <w:rPr>
          <w:rFonts w:ascii="Arial" w:hAnsi="Arial" w:cs="Arial"/>
          <w:bCs/>
          <w:sz w:val="24"/>
          <w:szCs w:val="24"/>
          <w:u w:val="single"/>
          <w:lang w:val="en-US"/>
        </w:rPr>
        <w:t xml:space="preserve"> regimes for the full population of firms</w:t>
      </w:r>
    </w:p>
    <w:p w:rsidR="003B03B8" w:rsidRDefault="00B15A39" w:rsidP="00D93057">
      <w:pPr>
        <w:autoSpaceDE w:val="0"/>
        <w:autoSpaceDN w:val="0"/>
        <w:adjustRightInd w:val="0"/>
        <w:spacing w:line="480" w:lineRule="auto"/>
        <w:ind w:firstLine="709"/>
        <w:jc w:val="both"/>
        <w:rPr>
          <w:rFonts w:ascii="Arial" w:hAnsi="Arial" w:cs="Arial"/>
          <w:sz w:val="24"/>
          <w:szCs w:val="24"/>
          <w:lang w:val="en-US"/>
        </w:rPr>
      </w:pPr>
      <w:r w:rsidRPr="001321DB">
        <w:rPr>
          <w:rFonts w:ascii="Arial" w:hAnsi="Arial" w:cs="Arial"/>
          <w:sz w:val="24"/>
          <w:szCs w:val="24"/>
          <w:lang w:val="en-US"/>
        </w:rPr>
        <w:t xml:space="preserve"> The research line mentioned </w:t>
      </w:r>
      <w:r w:rsidR="00082C8B">
        <w:rPr>
          <w:rFonts w:ascii="Arial" w:hAnsi="Arial" w:cs="Arial"/>
          <w:sz w:val="24"/>
          <w:szCs w:val="24"/>
          <w:lang w:val="en-US"/>
        </w:rPr>
        <w:t>above i</w:t>
      </w:r>
      <w:r w:rsidRPr="001321DB">
        <w:rPr>
          <w:rFonts w:ascii="Arial" w:hAnsi="Arial" w:cs="Arial"/>
          <w:sz w:val="24"/>
          <w:szCs w:val="24"/>
          <w:lang w:val="en-US"/>
        </w:rPr>
        <w:t xml:space="preserve">n (a) relates to the population of innovating firms. Van </w:t>
      </w:r>
      <w:proofErr w:type="spellStart"/>
      <w:r w:rsidRPr="001321DB">
        <w:rPr>
          <w:rFonts w:ascii="Arial" w:hAnsi="Arial" w:cs="Arial"/>
          <w:sz w:val="24"/>
          <w:szCs w:val="24"/>
          <w:lang w:val="en-US"/>
        </w:rPr>
        <w:t>Dijk</w:t>
      </w:r>
      <w:proofErr w:type="spellEnd"/>
      <w:r w:rsidRPr="001321DB">
        <w:rPr>
          <w:rFonts w:ascii="Arial" w:hAnsi="Arial" w:cs="Arial"/>
          <w:sz w:val="24"/>
          <w:szCs w:val="24"/>
          <w:lang w:val="en-US"/>
        </w:rPr>
        <w:t xml:space="preserve"> (2000, 2002) suggest</w:t>
      </w:r>
      <w:r w:rsidR="00082C8B">
        <w:rPr>
          <w:rFonts w:ascii="Arial" w:hAnsi="Arial" w:cs="Arial"/>
          <w:sz w:val="24"/>
          <w:szCs w:val="24"/>
          <w:lang w:val="en-US"/>
        </w:rPr>
        <w:t>ed</w:t>
      </w:r>
      <w:r w:rsidRPr="001321DB">
        <w:rPr>
          <w:rFonts w:ascii="Arial" w:hAnsi="Arial" w:cs="Arial"/>
          <w:sz w:val="24"/>
          <w:szCs w:val="24"/>
          <w:lang w:val="en-US"/>
        </w:rPr>
        <w:t xml:space="preserve"> </w:t>
      </w:r>
      <w:r w:rsidR="00082C8B">
        <w:rPr>
          <w:rFonts w:ascii="Arial" w:hAnsi="Arial" w:cs="Arial"/>
          <w:sz w:val="24"/>
          <w:szCs w:val="24"/>
          <w:lang w:val="en-US"/>
        </w:rPr>
        <w:t>exploring</w:t>
      </w:r>
      <w:r w:rsidRPr="001321DB">
        <w:rPr>
          <w:rFonts w:ascii="Arial" w:hAnsi="Arial" w:cs="Arial"/>
          <w:sz w:val="24"/>
          <w:szCs w:val="24"/>
          <w:lang w:val="en-US"/>
        </w:rPr>
        <w:t xml:space="preserve"> contr</w:t>
      </w:r>
      <w:r w:rsidR="00B67E25" w:rsidRPr="001321DB">
        <w:rPr>
          <w:rFonts w:ascii="Arial" w:hAnsi="Arial" w:cs="Arial"/>
          <w:sz w:val="24"/>
          <w:szCs w:val="24"/>
          <w:lang w:val="en-US"/>
        </w:rPr>
        <w:t>a</w:t>
      </w:r>
      <w:r w:rsidRPr="001321DB">
        <w:rPr>
          <w:rFonts w:ascii="Arial" w:hAnsi="Arial" w:cs="Arial"/>
          <w:sz w:val="24"/>
          <w:szCs w:val="24"/>
          <w:lang w:val="en-US"/>
        </w:rPr>
        <w:t>s</w:t>
      </w:r>
      <w:r w:rsidR="00B67E25" w:rsidRPr="001321DB">
        <w:rPr>
          <w:rFonts w:ascii="Arial" w:hAnsi="Arial" w:cs="Arial"/>
          <w:sz w:val="24"/>
          <w:szCs w:val="24"/>
          <w:lang w:val="en-US"/>
        </w:rPr>
        <w:t>ts</w:t>
      </w:r>
      <w:r w:rsidRPr="001321DB">
        <w:rPr>
          <w:rFonts w:ascii="Arial" w:hAnsi="Arial" w:cs="Arial"/>
          <w:sz w:val="24"/>
          <w:szCs w:val="24"/>
          <w:lang w:val="en-US"/>
        </w:rPr>
        <w:t xml:space="preserve"> b</w:t>
      </w:r>
      <w:r w:rsidR="00B67E25" w:rsidRPr="001321DB">
        <w:rPr>
          <w:rFonts w:ascii="Arial" w:hAnsi="Arial" w:cs="Arial"/>
          <w:sz w:val="24"/>
          <w:szCs w:val="24"/>
          <w:lang w:val="en-US"/>
        </w:rPr>
        <w:t xml:space="preserve">etween </w:t>
      </w:r>
      <w:r w:rsidR="00082C8B">
        <w:rPr>
          <w:rFonts w:ascii="Arial" w:hAnsi="Arial" w:cs="Arial"/>
          <w:sz w:val="24"/>
          <w:szCs w:val="24"/>
          <w:lang w:val="en-US"/>
        </w:rPr>
        <w:t xml:space="preserve">the </w:t>
      </w:r>
      <w:r w:rsidR="00B67E25" w:rsidRPr="001321DB">
        <w:rPr>
          <w:rFonts w:ascii="Arial" w:hAnsi="Arial" w:cs="Arial"/>
          <w:sz w:val="24"/>
          <w:szCs w:val="24"/>
          <w:lang w:val="en-US"/>
        </w:rPr>
        <w:t>SM-I and SM-II reg</w:t>
      </w:r>
      <w:r w:rsidRPr="001321DB">
        <w:rPr>
          <w:rFonts w:ascii="Arial" w:hAnsi="Arial" w:cs="Arial"/>
          <w:sz w:val="24"/>
          <w:szCs w:val="24"/>
          <w:lang w:val="en-US"/>
        </w:rPr>
        <w:t xml:space="preserve">imes </w:t>
      </w:r>
      <w:r w:rsidR="00082C8B">
        <w:rPr>
          <w:rFonts w:ascii="Arial" w:hAnsi="Arial" w:cs="Arial"/>
          <w:sz w:val="24"/>
          <w:szCs w:val="24"/>
          <w:lang w:val="en-US"/>
        </w:rPr>
        <w:t>using</w:t>
      </w:r>
      <w:r w:rsidRPr="001321DB">
        <w:rPr>
          <w:rFonts w:ascii="Arial" w:hAnsi="Arial" w:cs="Arial"/>
          <w:sz w:val="24"/>
          <w:szCs w:val="24"/>
          <w:lang w:val="en-US"/>
        </w:rPr>
        <w:t xml:space="preserve"> structural and dynamic aspects in the </w:t>
      </w:r>
      <w:r w:rsidR="00B67E25" w:rsidRPr="001321DB">
        <w:rPr>
          <w:rFonts w:ascii="Arial" w:hAnsi="Arial" w:cs="Arial"/>
          <w:sz w:val="24"/>
          <w:szCs w:val="24"/>
          <w:lang w:val="en-US"/>
        </w:rPr>
        <w:t>context</w:t>
      </w:r>
      <w:r w:rsidRPr="001321DB">
        <w:rPr>
          <w:rFonts w:ascii="Arial" w:hAnsi="Arial" w:cs="Arial"/>
          <w:sz w:val="24"/>
          <w:szCs w:val="24"/>
          <w:lang w:val="en-US"/>
        </w:rPr>
        <w:t xml:space="preserve"> of the full population of firms </w:t>
      </w:r>
      <w:r w:rsidR="0048436F" w:rsidRPr="001321DB">
        <w:rPr>
          <w:rFonts w:ascii="Arial" w:hAnsi="Arial" w:cs="Arial"/>
          <w:sz w:val="24"/>
          <w:szCs w:val="24"/>
          <w:lang w:val="en-US"/>
        </w:rPr>
        <w:t>as the</w:t>
      </w:r>
      <w:r w:rsidRPr="001321DB">
        <w:rPr>
          <w:rFonts w:ascii="Arial" w:hAnsi="Arial" w:cs="Arial"/>
          <w:sz w:val="24"/>
          <w:szCs w:val="24"/>
          <w:lang w:val="en-US"/>
        </w:rPr>
        <w:t xml:space="preserve"> next natural step in the research of tec</w:t>
      </w:r>
      <w:r w:rsidR="00B67E25" w:rsidRPr="001321DB">
        <w:rPr>
          <w:rFonts w:ascii="Arial" w:hAnsi="Arial" w:cs="Arial"/>
          <w:sz w:val="24"/>
          <w:szCs w:val="24"/>
          <w:lang w:val="en-US"/>
        </w:rPr>
        <w:t>h</w:t>
      </w:r>
      <w:r w:rsidRPr="001321DB">
        <w:rPr>
          <w:rFonts w:ascii="Arial" w:hAnsi="Arial" w:cs="Arial"/>
          <w:sz w:val="24"/>
          <w:szCs w:val="24"/>
          <w:lang w:val="en-US"/>
        </w:rPr>
        <w:t xml:space="preserve">nological </w:t>
      </w:r>
      <w:r w:rsidRPr="001321DB">
        <w:rPr>
          <w:rFonts w:ascii="Arial" w:hAnsi="Arial" w:cs="Arial"/>
          <w:sz w:val="24"/>
          <w:szCs w:val="24"/>
          <w:lang w:val="en-US"/>
        </w:rPr>
        <w:lastRenderedPageBreak/>
        <w:t xml:space="preserve">regimes, For that purpose, he considered tests for </w:t>
      </w:r>
      <w:r w:rsidR="00082C8B">
        <w:rPr>
          <w:rFonts w:ascii="Arial" w:hAnsi="Arial" w:cs="Arial"/>
          <w:sz w:val="24"/>
          <w:szCs w:val="24"/>
          <w:lang w:val="en-US"/>
        </w:rPr>
        <w:t xml:space="preserve">the </w:t>
      </w:r>
      <w:r w:rsidRPr="001321DB">
        <w:rPr>
          <w:rFonts w:ascii="Arial" w:hAnsi="Arial" w:cs="Arial"/>
          <w:sz w:val="24"/>
          <w:szCs w:val="24"/>
          <w:lang w:val="en-US"/>
        </w:rPr>
        <w:t>dif</w:t>
      </w:r>
      <w:r w:rsidR="00082C8B">
        <w:rPr>
          <w:rFonts w:ascii="Arial" w:hAnsi="Arial" w:cs="Arial"/>
          <w:sz w:val="24"/>
          <w:szCs w:val="24"/>
          <w:lang w:val="en-US"/>
        </w:rPr>
        <w:t>f</w:t>
      </w:r>
      <w:r w:rsidRPr="001321DB">
        <w:rPr>
          <w:rFonts w:ascii="Arial" w:hAnsi="Arial" w:cs="Arial"/>
          <w:sz w:val="24"/>
          <w:szCs w:val="24"/>
          <w:lang w:val="en-US"/>
        </w:rPr>
        <w:t>erence</w:t>
      </w:r>
      <w:r w:rsidR="00082C8B">
        <w:rPr>
          <w:rFonts w:ascii="Arial" w:hAnsi="Arial" w:cs="Arial"/>
          <w:sz w:val="24"/>
          <w:szCs w:val="24"/>
          <w:lang w:val="en-US"/>
        </w:rPr>
        <w:t>s</w:t>
      </w:r>
      <w:r w:rsidRPr="001321DB">
        <w:rPr>
          <w:rFonts w:ascii="Arial" w:hAnsi="Arial" w:cs="Arial"/>
          <w:sz w:val="24"/>
          <w:szCs w:val="24"/>
          <w:lang w:val="en-US"/>
        </w:rPr>
        <w:t xml:space="preserve"> in means for a set of hypotheses </w:t>
      </w:r>
      <w:proofErr w:type="spellStart"/>
      <w:r w:rsidR="00082C8B">
        <w:rPr>
          <w:rFonts w:ascii="Arial" w:hAnsi="Arial" w:cs="Arial"/>
          <w:sz w:val="24"/>
          <w:szCs w:val="24"/>
          <w:lang w:val="en-US"/>
        </w:rPr>
        <w:t>summarised</w:t>
      </w:r>
      <w:proofErr w:type="spellEnd"/>
      <w:r w:rsidR="00082C8B">
        <w:rPr>
          <w:rFonts w:ascii="Arial" w:hAnsi="Arial" w:cs="Arial"/>
          <w:sz w:val="24"/>
          <w:szCs w:val="24"/>
          <w:lang w:val="en-US"/>
        </w:rPr>
        <w:t xml:space="preserve"> in T</w:t>
      </w:r>
      <w:r w:rsidRPr="001321DB">
        <w:rPr>
          <w:rFonts w:ascii="Arial" w:hAnsi="Arial" w:cs="Arial"/>
          <w:sz w:val="24"/>
          <w:szCs w:val="24"/>
          <w:lang w:val="en-US"/>
        </w:rPr>
        <w:t>able 1</w:t>
      </w:r>
      <w:r w:rsidR="00B67E25" w:rsidRPr="001321DB">
        <w:rPr>
          <w:rFonts w:ascii="Arial" w:hAnsi="Arial" w:cs="Arial"/>
          <w:sz w:val="24"/>
          <w:szCs w:val="24"/>
          <w:lang w:val="en-US"/>
        </w:rPr>
        <w:t xml:space="preserve"> for the industr</w:t>
      </w:r>
      <w:r w:rsidR="00082C8B">
        <w:rPr>
          <w:rFonts w:ascii="Arial" w:hAnsi="Arial" w:cs="Arial"/>
          <w:sz w:val="24"/>
          <w:szCs w:val="24"/>
          <w:lang w:val="en-US"/>
        </w:rPr>
        <w:t>ies</w:t>
      </w:r>
      <w:r w:rsidR="00B67E25" w:rsidRPr="001321DB">
        <w:rPr>
          <w:rFonts w:ascii="Arial" w:hAnsi="Arial" w:cs="Arial"/>
          <w:sz w:val="24"/>
          <w:szCs w:val="24"/>
          <w:lang w:val="en-US"/>
        </w:rPr>
        <w:t xml:space="preserve"> in Netherlands</w:t>
      </w:r>
      <w:r w:rsidR="00276C1E">
        <w:rPr>
          <w:rFonts w:ascii="Arial" w:hAnsi="Arial" w:cs="Arial"/>
          <w:sz w:val="24"/>
          <w:szCs w:val="24"/>
          <w:lang w:val="en-US"/>
        </w:rPr>
        <w:t>, keeping in mind</w:t>
      </w:r>
      <w:r w:rsidR="00B67E25" w:rsidRPr="001321DB">
        <w:rPr>
          <w:rFonts w:ascii="Arial" w:hAnsi="Arial" w:cs="Arial"/>
          <w:sz w:val="24"/>
          <w:szCs w:val="24"/>
          <w:lang w:val="en-US"/>
        </w:rPr>
        <w:t xml:space="preserve"> </w:t>
      </w:r>
      <w:r w:rsidR="00276C1E">
        <w:rPr>
          <w:rFonts w:ascii="Arial" w:hAnsi="Arial" w:cs="Arial"/>
          <w:sz w:val="24"/>
          <w:szCs w:val="24"/>
          <w:lang w:val="en-US"/>
        </w:rPr>
        <w:t>previously</w:t>
      </w:r>
      <w:r w:rsidR="00B67E25" w:rsidRPr="001321DB">
        <w:rPr>
          <w:rFonts w:ascii="Arial" w:hAnsi="Arial" w:cs="Arial"/>
          <w:sz w:val="24"/>
          <w:szCs w:val="24"/>
          <w:lang w:val="en-US"/>
        </w:rPr>
        <w:t xml:space="preserve"> mentioned caveat </w:t>
      </w:r>
      <w:r w:rsidR="00276C1E">
        <w:rPr>
          <w:rFonts w:ascii="Arial" w:hAnsi="Arial" w:cs="Arial"/>
          <w:sz w:val="24"/>
          <w:szCs w:val="24"/>
          <w:lang w:val="en-US"/>
        </w:rPr>
        <w:t>regarding reliance on</w:t>
      </w:r>
      <w:r w:rsidR="00B67E25" w:rsidRPr="001321DB">
        <w:rPr>
          <w:rFonts w:ascii="Arial" w:hAnsi="Arial" w:cs="Arial"/>
          <w:sz w:val="24"/>
          <w:szCs w:val="24"/>
          <w:lang w:val="en-US"/>
        </w:rPr>
        <w:t xml:space="preserve"> the classification of industries for </w:t>
      </w:r>
      <w:r w:rsidR="00276C1E">
        <w:rPr>
          <w:rFonts w:ascii="Arial" w:hAnsi="Arial" w:cs="Arial"/>
          <w:sz w:val="24"/>
          <w:szCs w:val="24"/>
          <w:lang w:val="en-US"/>
        </w:rPr>
        <w:t>an</w:t>
      </w:r>
      <w:r w:rsidR="00B67E25" w:rsidRPr="001321DB">
        <w:rPr>
          <w:rFonts w:ascii="Arial" w:hAnsi="Arial" w:cs="Arial"/>
          <w:sz w:val="24"/>
          <w:szCs w:val="24"/>
          <w:lang w:val="en-US"/>
        </w:rPr>
        <w:t>other country.</w:t>
      </w:r>
    </w:p>
    <w:tbl>
      <w:tblPr>
        <w:tblW w:w="9087" w:type="dxa"/>
        <w:tblInd w:w="55" w:type="dxa"/>
        <w:tblCellMar>
          <w:left w:w="70" w:type="dxa"/>
          <w:right w:w="70" w:type="dxa"/>
        </w:tblCellMar>
        <w:tblLook w:val="04A0" w:firstRow="1" w:lastRow="0" w:firstColumn="1" w:lastColumn="0" w:noHBand="0" w:noVBand="1"/>
      </w:tblPr>
      <w:tblGrid>
        <w:gridCol w:w="552"/>
        <w:gridCol w:w="692"/>
        <w:gridCol w:w="7843"/>
      </w:tblGrid>
      <w:tr w:rsidR="00437E26" w:rsidRPr="00A70B07" w:rsidTr="00445C74">
        <w:trPr>
          <w:trHeight w:val="360"/>
        </w:trPr>
        <w:tc>
          <w:tcPr>
            <w:tcW w:w="9087" w:type="dxa"/>
            <w:gridSpan w:val="3"/>
            <w:tcBorders>
              <w:top w:val="nil"/>
              <w:left w:val="nil"/>
              <w:bottom w:val="nil"/>
              <w:right w:val="nil"/>
            </w:tcBorders>
            <w:shd w:val="clear" w:color="auto" w:fill="auto"/>
            <w:noWrap/>
            <w:vAlign w:val="bottom"/>
            <w:hideMark/>
          </w:tcPr>
          <w:p w:rsidR="00437E26" w:rsidRPr="00EF29FE" w:rsidRDefault="00474366" w:rsidP="00207DC8">
            <w:pPr>
              <w:spacing w:after="0" w:line="240" w:lineRule="auto"/>
              <w:jc w:val="center"/>
              <w:rPr>
                <w:rFonts w:ascii="Arial" w:eastAsia="Times New Roman" w:hAnsi="Arial" w:cs="Arial"/>
                <w:bCs/>
                <w:color w:val="000000"/>
                <w:sz w:val="24"/>
                <w:szCs w:val="24"/>
                <w:lang w:eastAsia="pt-BR"/>
              </w:rPr>
            </w:pPr>
            <w:r>
              <w:rPr>
                <w:rFonts w:ascii="Arial" w:eastAsia="Times New Roman" w:hAnsi="Arial" w:cs="Arial"/>
                <w:bCs/>
                <w:color w:val="000000"/>
                <w:sz w:val="24"/>
                <w:szCs w:val="24"/>
                <w:lang w:eastAsia="pt-BR"/>
              </w:rPr>
              <w:t>INSERT TABLE 1 A</w:t>
            </w:r>
            <w:r w:rsidR="00207DC8">
              <w:rPr>
                <w:rFonts w:ascii="Arial" w:eastAsia="Times New Roman" w:hAnsi="Arial" w:cs="Arial"/>
                <w:bCs/>
                <w:color w:val="000000"/>
                <w:sz w:val="24"/>
                <w:szCs w:val="24"/>
                <w:lang w:eastAsia="pt-BR"/>
              </w:rPr>
              <w:t>BOUT</w:t>
            </w:r>
            <w:r>
              <w:rPr>
                <w:rFonts w:ascii="Arial" w:eastAsia="Times New Roman" w:hAnsi="Arial" w:cs="Arial"/>
                <w:bCs/>
                <w:color w:val="000000"/>
                <w:sz w:val="24"/>
                <w:szCs w:val="24"/>
                <w:lang w:eastAsia="pt-BR"/>
              </w:rPr>
              <w:t xml:space="preserve"> HERE</w:t>
            </w:r>
            <w:r w:rsidR="00437E26" w:rsidRPr="00EF29FE">
              <w:rPr>
                <w:rFonts w:ascii="Arial" w:eastAsia="Times New Roman" w:hAnsi="Arial" w:cs="Arial"/>
                <w:bCs/>
                <w:color w:val="000000"/>
                <w:sz w:val="24"/>
                <w:szCs w:val="24"/>
                <w:lang w:eastAsia="pt-BR"/>
              </w:rPr>
              <w:t xml:space="preserve"> </w:t>
            </w:r>
          </w:p>
        </w:tc>
      </w:tr>
      <w:tr w:rsidR="00437E26" w:rsidRPr="00A70B07" w:rsidTr="00445C74">
        <w:trPr>
          <w:trHeight w:val="180"/>
        </w:trPr>
        <w:tc>
          <w:tcPr>
            <w:tcW w:w="552" w:type="dxa"/>
            <w:tcBorders>
              <w:top w:val="nil"/>
              <w:left w:val="nil"/>
              <w:bottom w:val="nil"/>
              <w:right w:val="nil"/>
            </w:tcBorders>
            <w:shd w:val="clear" w:color="auto" w:fill="auto"/>
            <w:noWrap/>
            <w:vAlign w:val="bottom"/>
            <w:hideMark/>
          </w:tcPr>
          <w:p w:rsidR="00437E26" w:rsidRPr="00A70B07" w:rsidRDefault="00437E26" w:rsidP="00445C74">
            <w:pPr>
              <w:spacing w:after="0" w:line="240" w:lineRule="auto"/>
              <w:jc w:val="center"/>
              <w:rPr>
                <w:rFonts w:ascii="Arial" w:eastAsia="Times New Roman" w:hAnsi="Arial" w:cs="Arial"/>
                <w:b/>
                <w:bCs/>
                <w:color w:val="000000"/>
                <w:sz w:val="28"/>
                <w:szCs w:val="28"/>
                <w:lang w:eastAsia="pt-BR"/>
              </w:rPr>
            </w:pPr>
          </w:p>
        </w:tc>
        <w:tc>
          <w:tcPr>
            <w:tcW w:w="692" w:type="dxa"/>
            <w:tcBorders>
              <w:top w:val="nil"/>
              <w:left w:val="nil"/>
              <w:bottom w:val="nil"/>
              <w:right w:val="nil"/>
            </w:tcBorders>
            <w:shd w:val="clear" w:color="auto" w:fill="auto"/>
            <w:noWrap/>
            <w:vAlign w:val="bottom"/>
            <w:hideMark/>
          </w:tcPr>
          <w:p w:rsidR="00437E26" w:rsidRPr="00A70B07" w:rsidRDefault="00437E26" w:rsidP="00445C74">
            <w:pPr>
              <w:spacing w:after="0" w:line="240" w:lineRule="auto"/>
              <w:jc w:val="center"/>
              <w:rPr>
                <w:rFonts w:ascii="Arial" w:eastAsia="Times New Roman" w:hAnsi="Arial" w:cs="Arial"/>
                <w:b/>
                <w:bCs/>
                <w:color w:val="000000"/>
                <w:sz w:val="28"/>
                <w:szCs w:val="28"/>
                <w:lang w:eastAsia="pt-BR"/>
              </w:rPr>
            </w:pPr>
          </w:p>
        </w:tc>
        <w:tc>
          <w:tcPr>
            <w:tcW w:w="7843" w:type="dxa"/>
            <w:tcBorders>
              <w:top w:val="nil"/>
              <w:left w:val="nil"/>
              <w:bottom w:val="nil"/>
              <w:right w:val="nil"/>
            </w:tcBorders>
            <w:shd w:val="clear" w:color="auto" w:fill="auto"/>
            <w:noWrap/>
            <w:vAlign w:val="bottom"/>
            <w:hideMark/>
          </w:tcPr>
          <w:p w:rsidR="00437E26" w:rsidRPr="00EF29FE" w:rsidRDefault="00437E26" w:rsidP="00445C74">
            <w:pPr>
              <w:spacing w:after="0" w:line="240" w:lineRule="auto"/>
              <w:jc w:val="center"/>
              <w:rPr>
                <w:rFonts w:ascii="Arial" w:eastAsia="Times New Roman" w:hAnsi="Arial" w:cs="Arial"/>
                <w:b/>
                <w:bCs/>
                <w:color w:val="000000"/>
                <w:sz w:val="24"/>
                <w:szCs w:val="24"/>
                <w:lang w:eastAsia="pt-BR"/>
              </w:rPr>
            </w:pPr>
          </w:p>
        </w:tc>
      </w:tr>
    </w:tbl>
    <w:p w:rsidR="00B67E25" w:rsidRDefault="00B67E25" w:rsidP="00D93057">
      <w:pPr>
        <w:autoSpaceDE w:val="0"/>
        <w:autoSpaceDN w:val="0"/>
        <w:adjustRightInd w:val="0"/>
        <w:spacing w:line="480" w:lineRule="auto"/>
        <w:ind w:firstLine="709"/>
        <w:jc w:val="both"/>
        <w:rPr>
          <w:rFonts w:ascii="Arial" w:hAnsi="Arial" w:cs="Arial"/>
          <w:sz w:val="24"/>
          <w:szCs w:val="24"/>
          <w:lang w:val="en-US" w:eastAsia="pt-BR"/>
        </w:rPr>
      </w:pPr>
      <w:r w:rsidRPr="001321DB">
        <w:rPr>
          <w:rFonts w:ascii="Arial" w:hAnsi="Arial" w:cs="Arial"/>
          <w:sz w:val="24"/>
          <w:szCs w:val="24"/>
          <w:lang w:val="en-US"/>
        </w:rPr>
        <w:t xml:space="preserve">In the present paper, we intend to consider both lines of research </w:t>
      </w:r>
      <w:r w:rsidR="00B17FA4">
        <w:rPr>
          <w:rFonts w:ascii="Arial" w:hAnsi="Arial" w:cs="Arial"/>
          <w:sz w:val="24"/>
          <w:szCs w:val="24"/>
          <w:lang w:val="en-US"/>
        </w:rPr>
        <w:t>for</w:t>
      </w:r>
      <w:r w:rsidRPr="001321DB">
        <w:rPr>
          <w:rFonts w:ascii="Arial" w:hAnsi="Arial" w:cs="Arial"/>
          <w:sz w:val="24"/>
          <w:szCs w:val="24"/>
          <w:lang w:val="en-US"/>
        </w:rPr>
        <w:t xml:space="preserve"> the case of the Brazilian manufacturing industry by exploring multiple data sources that </w:t>
      </w:r>
      <w:r w:rsidR="00B17FA4">
        <w:rPr>
          <w:rFonts w:ascii="Arial" w:hAnsi="Arial" w:cs="Arial"/>
          <w:sz w:val="24"/>
          <w:szCs w:val="24"/>
          <w:lang w:val="en-US"/>
        </w:rPr>
        <w:t>have not</w:t>
      </w:r>
      <w:r w:rsidRPr="001321DB">
        <w:rPr>
          <w:rFonts w:ascii="Arial" w:hAnsi="Arial" w:cs="Arial"/>
          <w:sz w:val="24"/>
          <w:szCs w:val="24"/>
          <w:lang w:val="en-US"/>
        </w:rPr>
        <w:t xml:space="preserve"> previously </w:t>
      </w:r>
      <w:r w:rsidR="00B17FA4">
        <w:rPr>
          <w:rFonts w:ascii="Arial" w:hAnsi="Arial" w:cs="Arial"/>
          <w:sz w:val="24"/>
          <w:szCs w:val="24"/>
          <w:lang w:val="en-US"/>
        </w:rPr>
        <w:t>been</w:t>
      </w:r>
      <w:r w:rsidRPr="001321DB">
        <w:rPr>
          <w:rFonts w:ascii="Arial" w:hAnsi="Arial" w:cs="Arial"/>
          <w:sz w:val="24"/>
          <w:szCs w:val="24"/>
          <w:lang w:val="en-US"/>
        </w:rPr>
        <w:t xml:space="preserve"> explored </w:t>
      </w:r>
      <w:r w:rsidR="00B17FA4">
        <w:rPr>
          <w:rFonts w:ascii="Arial" w:hAnsi="Arial" w:cs="Arial"/>
          <w:sz w:val="24"/>
          <w:szCs w:val="24"/>
          <w:lang w:val="en-US"/>
        </w:rPr>
        <w:t>in this</w:t>
      </w:r>
      <w:r w:rsidRPr="001321DB">
        <w:rPr>
          <w:rFonts w:ascii="Arial" w:hAnsi="Arial" w:cs="Arial"/>
          <w:sz w:val="24"/>
          <w:szCs w:val="24"/>
          <w:lang w:val="en-US"/>
        </w:rPr>
        <w:t xml:space="preserve"> context.</w:t>
      </w:r>
      <w:r w:rsidR="00DC0C57" w:rsidRPr="001321DB">
        <w:rPr>
          <w:rFonts w:ascii="Arial" w:hAnsi="Arial" w:cs="Arial"/>
          <w:sz w:val="24"/>
          <w:szCs w:val="24"/>
          <w:lang w:val="en-US"/>
        </w:rPr>
        <w:t xml:space="preserve"> Therefore, </w:t>
      </w:r>
      <w:r w:rsidR="00B17FA4">
        <w:rPr>
          <w:rFonts w:ascii="Arial" w:hAnsi="Arial" w:cs="Arial"/>
          <w:sz w:val="24"/>
          <w:szCs w:val="24"/>
          <w:lang w:val="en-US"/>
        </w:rPr>
        <w:t>we</w:t>
      </w:r>
      <w:r w:rsidR="00DC0C57" w:rsidRPr="001321DB">
        <w:rPr>
          <w:rFonts w:ascii="Arial" w:hAnsi="Arial" w:cs="Arial"/>
          <w:sz w:val="24"/>
          <w:szCs w:val="24"/>
          <w:lang w:val="en-US"/>
        </w:rPr>
        <w:t xml:space="preserve"> intend to </w:t>
      </w:r>
      <w:r w:rsidR="00B17FA4">
        <w:rPr>
          <w:rFonts w:ascii="Arial" w:hAnsi="Arial" w:cs="Arial"/>
          <w:sz w:val="24"/>
          <w:szCs w:val="24"/>
          <w:lang w:val="en-US"/>
        </w:rPr>
        <w:t>conduct</w:t>
      </w:r>
      <w:r w:rsidR="0048436F" w:rsidRPr="001321DB">
        <w:rPr>
          <w:rFonts w:ascii="Arial" w:hAnsi="Arial" w:cs="Arial"/>
          <w:sz w:val="24"/>
          <w:szCs w:val="24"/>
          <w:lang w:val="en-US"/>
        </w:rPr>
        <w:t xml:space="preserve"> a</w:t>
      </w:r>
      <w:r w:rsidR="00DC0C57" w:rsidRPr="001321DB">
        <w:rPr>
          <w:rFonts w:ascii="Arial" w:hAnsi="Arial" w:cs="Arial"/>
          <w:sz w:val="24"/>
          <w:szCs w:val="24"/>
          <w:lang w:val="en-US"/>
        </w:rPr>
        <w:t xml:space="preserve"> data in</w:t>
      </w:r>
      <w:r w:rsidR="00B17FA4">
        <w:rPr>
          <w:rFonts w:ascii="Arial" w:hAnsi="Arial" w:cs="Arial"/>
          <w:sz w:val="24"/>
          <w:szCs w:val="24"/>
          <w:lang w:val="en-US"/>
        </w:rPr>
        <w:t>tensive study that can provide the</w:t>
      </w:r>
      <w:r w:rsidR="00DC0C57" w:rsidRPr="001321DB">
        <w:rPr>
          <w:rFonts w:ascii="Arial" w:hAnsi="Arial" w:cs="Arial"/>
          <w:sz w:val="24"/>
          <w:szCs w:val="24"/>
          <w:lang w:val="en-US"/>
        </w:rPr>
        <w:t xml:space="preserve"> first attempt to fill </w:t>
      </w:r>
      <w:r w:rsidR="00B17FA4">
        <w:rPr>
          <w:rFonts w:ascii="Arial" w:hAnsi="Arial" w:cs="Arial"/>
          <w:sz w:val="24"/>
          <w:szCs w:val="24"/>
          <w:lang w:val="en-US"/>
        </w:rPr>
        <w:t>a</w:t>
      </w:r>
      <w:r w:rsidR="00DC0C57" w:rsidRPr="001321DB">
        <w:rPr>
          <w:rFonts w:ascii="Arial" w:hAnsi="Arial" w:cs="Arial"/>
          <w:sz w:val="24"/>
          <w:szCs w:val="24"/>
          <w:lang w:val="en-US"/>
        </w:rPr>
        <w:t xml:space="preserve"> gap in the literature for developing countries but </w:t>
      </w:r>
      <w:r w:rsidR="00B17FA4">
        <w:rPr>
          <w:rFonts w:ascii="Arial" w:hAnsi="Arial" w:cs="Arial"/>
          <w:sz w:val="24"/>
          <w:szCs w:val="24"/>
          <w:lang w:val="en-US"/>
        </w:rPr>
        <w:t>that also</w:t>
      </w:r>
      <w:r w:rsidR="00DC0C57" w:rsidRPr="001321DB">
        <w:rPr>
          <w:rFonts w:ascii="Arial" w:hAnsi="Arial" w:cs="Arial"/>
          <w:sz w:val="24"/>
          <w:szCs w:val="24"/>
          <w:lang w:val="en-US"/>
        </w:rPr>
        <w:t xml:space="preserve"> course does not rule </w:t>
      </w:r>
      <w:r w:rsidR="0048436F" w:rsidRPr="001321DB">
        <w:rPr>
          <w:rFonts w:ascii="Arial" w:hAnsi="Arial" w:cs="Arial"/>
          <w:sz w:val="24"/>
          <w:szCs w:val="24"/>
          <w:lang w:val="en-US"/>
        </w:rPr>
        <w:t>out less</w:t>
      </w:r>
      <w:r w:rsidR="00DC0C57" w:rsidRPr="001321DB">
        <w:rPr>
          <w:rFonts w:ascii="Arial" w:hAnsi="Arial" w:cs="Arial"/>
          <w:sz w:val="24"/>
          <w:szCs w:val="24"/>
          <w:lang w:val="en-US"/>
        </w:rPr>
        <w:t xml:space="preserve"> coarse</w:t>
      </w:r>
      <w:r w:rsidR="00B17FA4">
        <w:rPr>
          <w:rFonts w:ascii="Arial" w:hAnsi="Arial" w:cs="Arial"/>
          <w:sz w:val="24"/>
          <w:szCs w:val="24"/>
          <w:lang w:val="en-US"/>
        </w:rPr>
        <w:t xml:space="preserve"> </w:t>
      </w:r>
      <w:proofErr w:type="spellStart"/>
      <w:r w:rsidR="00B17FA4">
        <w:rPr>
          <w:rFonts w:ascii="Arial" w:hAnsi="Arial" w:cs="Arial"/>
          <w:sz w:val="24"/>
          <w:szCs w:val="24"/>
          <w:lang w:val="en-US"/>
        </w:rPr>
        <w:t>characteris</w:t>
      </w:r>
      <w:r w:rsidR="00DC0C57" w:rsidRPr="001321DB">
        <w:rPr>
          <w:rFonts w:ascii="Arial" w:hAnsi="Arial" w:cs="Arial"/>
          <w:sz w:val="24"/>
          <w:szCs w:val="24"/>
          <w:lang w:val="en-US"/>
        </w:rPr>
        <w:t>ations</w:t>
      </w:r>
      <w:proofErr w:type="spellEnd"/>
      <w:r w:rsidR="00DC0C57" w:rsidRPr="001321DB">
        <w:rPr>
          <w:rFonts w:ascii="Arial" w:hAnsi="Arial" w:cs="Arial"/>
          <w:sz w:val="24"/>
          <w:szCs w:val="24"/>
          <w:lang w:val="en-US"/>
        </w:rPr>
        <w:t xml:space="preserve"> of technological regimes. For example, </w:t>
      </w:r>
      <w:proofErr w:type="spellStart"/>
      <w:r w:rsidR="00DC0C57" w:rsidRPr="001321DB">
        <w:rPr>
          <w:rFonts w:ascii="Arial" w:hAnsi="Arial" w:cs="Arial"/>
          <w:sz w:val="24"/>
          <w:szCs w:val="24"/>
          <w:lang w:val="en-US" w:eastAsia="pt-BR"/>
        </w:rPr>
        <w:t>Leiponen</w:t>
      </w:r>
      <w:proofErr w:type="spellEnd"/>
      <w:r w:rsidR="00DC0C57" w:rsidRPr="001321DB">
        <w:rPr>
          <w:rFonts w:ascii="Arial" w:hAnsi="Arial" w:cs="Arial"/>
          <w:sz w:val="24"/>
          <w:szCs w:val="24"/>
          <w:lang w:val="en-US" w:eastAsia="pt-BR"/>
        </w:rPr>
        <w:t xml:space="preserve"> and </w:t>
      </w:r>
      <w:proofErr w:type="spellStart"/>
      <w:r w:rsidR="00DC0C57" w:rsidRPr="001321DB">
        <w:rPr>
          <w:rFonts w:ascii="Arial" w:hAnsi="Arial" w:cs="Arial"/>
          <w:sz w:val="24"/>
          <w:szCs w:val="24"/>
          <w:lang w:val="en-US" w:eastAsia="pt-BR"/>
        </w:rPr>
        <w:t>Drejer</w:t>
      </w:r>
      <w:proofErr w:type="spellEnd"/>
      <w:r w:rsidR="00DC0C57" w:rsidRPr="001321DB">
        <w:rPr>
          <w:rFonts w:ascii="Arial" w:hAnsi="Arial" w:cs="Arial"/>
          <w:sz w:val="24"/>
          <w:szCs w:val="24"/>
          <w:lang w:val="en-US" w:eastAsia="pt-BR"/>
        </w:rPr>
        <w:t xml:space="preserve"> (2007) suggest</w:t>
      </w:r>
      <w:r w:rsidR="00B17FA4">
        <w:rPr>
          <w:rFonts w:ascii="Arial" w:hAnsi="Arial" w:cs="Arial"/>
          <w:sz w:val="24"/>
          <w:szCs w:val="24"/>
          <w:lang w:val="en-US" w:eastAsia="pt-BR"/>
        </w:rPr>
        <w:t xml:space="preserve">ed </w:t>
      </w:r>
      <w:proofErr w:type="gramStart"/>
      <w:r w:rsidR="00B17FA4">
        <w:rPr>
          <w:rFonts w:ascii="Arial" w:hAnsi="Arial" w:cs="Arial"/>
          <w:sz w:val="24"/>
          <w:szCs w:val="24"/>
          <w:lang w:val="en-US" w:eastAsia="pt-BR"/>
        </w:rPr>
        <w:t xml:space="preserve">that </w:t>
      </w:r>
      <w:r w:rsidR="00DC0C57" w:rsidRPr="001321DB">
        <w:rPr>
          <w:rFonts w:ascii="Arial" w:hAnsi="Arial" w:cs="Arial"/>
          <w:sz w:val="24"/>
          <w:szCs w:val="24"/>
          <w:lang w:val="en-US" w:eastAsia="pt-BR"/>
        </w:rPr>
        <w:t xml:space="preserve"> intra</w:t>
      </w:r>
      <w:proofErr w:type="gramEnd"/>
      <w:r w:rsidR="00DC0C57" w:rsidRPr="001321DB">
        <w:rPr>
          <w:rFonts w:ascii="Arial" w:hAnsi="Arial" w:cs="Arial"/>
          <w:sz w:val="24"/>
          <w:szCs w:val="24"/>
          <w:lang w:val="en-US" w:eastAsia="pt-BR"/>
        </w:rPr>
        <w:t>-regimes heterogeneities might deserve further investigation.</w:t>
      </w:r>
    </w:p>
    <w:p w:rsidR="00FA7092" w:rsidRPr="001321DB" w:rsidRDefault="00FA7092" w:rsidP="00D93057">
      <w:pPr>
        <w:autoSpaceDE w:val="0"/>
        <w:autoSpaceDN w:val="0"/>
        <w:adjustRightInd w:val="0"/>
        <w:spacing w:line="480" w:lineRule="auto"/>
        <w:ind w:firstLine="709"/>
        <w:jc w:val="both"/>
        <w:rPr>
          <w:rFonts w:ascii="Arial" w:hAnsi="Arial" w:cs="Arial"/>
          <w:sz w:val="24"/>
          <w:szCs w:val="24"/>
          <w:lang w:val="en-US"/>
        </w:rPr>
      </w:pPr>
    </w:p>
    <w:p w:rsidR="00B15A39" w:rsidRPr="00324454" w:rsidRDefault="00945658" w:rsidP="00945658">
      <w:pPr>
        <w:numPr>
          <w:ilvl w:val="0"/>
          <w:numId w:val="2"/>
        </w:numPr>
        <w:autoSpaceDE w:val="0"/>
        <w:autoSpaceDN w:val="0"/>
        <w:adjustRightInd w:val="0"/>
        <w:spacing w:line="480" w:lineRule="auto"/>
        <w:rPr>
          <w:rFonts w:ascii="Arial" w:hAnsi="Arial" w:cs="Arial"/>
          <w:b/>
          <w:sz w:val="24"/>
          <w:szCs w:val="24"/>
          <w:lang w:val="en-US"/>
        </w:rPr>
      </w:pPr>
      <w:r w:rsidRPr="00324454">
        <w:rPr>
          <w:rFonts w:ascii="Arial" w:hAnsi="Arial" w:cs="Arial"/>
          <w:b/>
          <w:sz w:val="24"/>
          <w:szCs w:val="24"/>
          <w:lang w:val="en-US"/>
        </w:rPr>
        <w:t>Technological Regimes in Brazil: Empirical Analysis</w:t>
      </w:r>
    </w:p>
    <w:p w:rsidR="00945658" w:rsidRPr="00A05982" w:rsidRDefault="00945658" w:rsidP="00945658">
      <w:pPr>
        <w:pStyle w:val="SemEspaamento"/>
        <w:numPr>
          <w:ilvl w:val="1"/>
          <w:numId w:val="2"/>
        </w:numPr>
        <w:rPr>
          <w:rFonts w:ascii="Arial" w:hAnsi="Arial" w:cs="Arial"/>
          <w:sz w:val="24"/>
          <w:szCs w:val="24"/>
          <w:lang w:val="en-US"/>
        </w:rPr>
      </w:pPr>
      <w:r w:rsidRPr="00A05982">
        <w:rPr>
          <w:rFonts w:ascii="Arial" w:hAnsi="Arial" w:cs="Arial"/>
          <w:sz w:val="24"/>
          <w:szCs w:val="24"/>
          <w:lang w:val="en-US"/>
        </w:rPr>
        <w:t xml:space="preserve">- </w:t>
      </w:r>
      <w:r w:rsidRPr="00A05982">
        <w:rPr>
          <w:rFonts w:ascii="Arial" w:hAnsi="Arial" w:cs="Arial"/>
          <w:sz w:val="24"/>
          <w:szCs w:val="24"/>
          <w:u w:val="single"/>
          <w:lang w:val="en-US"/>
        </w:rPr>
        <w:t>Data construction</w:t>
      </w:r>
    </w:p>
    <w:p w:rsidR="00945658" w:rsidRPr="00A05982" w:rsidRDefault="00945658" w:rsidP="00945658">
      <w:pPr>
        <w:pStyle w:val="SemEspaamento"/>
        <w:ind w:left="414"/>
        <w:rPr>
          <w:rFonts w:ascii="Arial" w:hAnsi="Arial" w:cs="Arial"/>
          <w:sz w:val="24"/>
          <w:szCs w:val="24"/>
          <w:lang w:val="en-US"/>
        </w:rPr>
      </w:pPr>
    </w:p>
    <w:p w:rsidR="00B9333A" w:rsidRPr="00A05982" w:rsidRDefault="00945658" w:rsidP="00A80E26">
      <w:pPr>
        <w:autoSpaceDE w:val="0"/>
        <w:autoSpaceDN w:val="0"/>
        <w:adjustRightInd w:val="0"/>
        <w:spacing w:line="480" w:lineRule="auto"/>
        <w:ind w:firstLine="709"/>
        <w:jc w:val="both"/>
        <w:rPr>
          <w:rFonts w:ascii="Arial" w:hAnsi="Arial" w:cs="Arial"/>
          <w:sz w:val="24"/>
          <w:szCs w:val="24"/>
          <w:lang w:val="en-US"/>
        </w:rPr>
      </w:pPr>
      <w:r w:rsidRPr="00A05982">
        <w:rPr>
          <w:rFonts w:ascii="Arial" w:hAnsi="Arial" w:cs="Arial"/>
          <w:sz w:val="24"/>
          <w:szCs w:val="24"/>
          <w:lang w:val="en-US"/>
        </w:rPr>
        <w:t xml:space="preserve">The main data source </w:t>
      </w:r>
      <w:r w:rsidR="002F2EA7">
        <w:rPr>
          <w:rFonts w:ascii="Arial" w:hAnsi="Arial" w:cs="Arial"/>
          <w:sz w:val="24"/>
          <w:szCs w:val="24"/>
          <w:lang w:val="en-US"/>
        </w:rPr>
        <w:t>for</w:t>
      </w:r>
      <w:r w:rsidRPr="00A05982">
        <w:rPr>
          <w:rFonts w:ascii="Arial" w:hAnsi="Arial" w:cs="Arial"/>
          <w:sz w:val="24"/>
          <w:szCs w:val="24"/>
          <w:lang w:val="en-US"/>
        </w:rPr>
        <w:t xml:space="preserve"> the </w:t>
      </w:r>
      <w:r w:rsidR="002035D3" w:rsidRPr="00A05982">
        <w:rPr>
          <w:rFonts w:ascii="Arial" w:hAnsi="Arial" w:cs="Arial"/>
          <w:sz w:val="24"/>
          <w:szCs w:val="24"/>
          <w:lang w:val="en-US"/>
        </w:rPr>
        <w:t>present</w:t>
      </w:r>
      <w:r w:rsidRPr="00A05982">
        <w:rPr>
          <w:rFonts w:ascii="Arial" w:hAnsi="Arial" w:cs="Arial"/>
          <w:sz w:val="24"/>
          <w:szCs w:val="24"/>
          <w:lang w:val="en-US"/>
        </w:rPr>
        <w:t xml:space="preserve"> study </w:t>
      </w:r>
      <w:r w:rsidR="002F2EA7">
        <w:rPr>
          <w:rFonts w:ascii="Arial" w:hAnsi="Arial" w:cs="Arial"/>
          <w:sz w:val="24"/>
          <w:szCs w:val="24"/>
          <w:lang w:val="en-US"/>
        </w:rPr>
        <w:t>was</w:t>
      </w:r>
      <w:r w:rsidRPr="00A05982">
        <w:rPr>
          <w:rFonts w:ascii="Arial" w:hAnsi="Arial" w:cs="Arial"/>
          <w:sz w:val="24"/>
          <w:szCs w:val="24"/>
          <w:lang w:val="en-US"/>
        </w:rPr>
        <w:t xml:space="preserve"> provided by a comprehensive survey on technological innovation in the context of Brazilian industry [</w:t>
      </w:r>
      <w:proofErr w:type="spellStart"/>
      <w:r w:rsidRPr="00A05982">
        <w:rPr>
          <w:rFonts w:ascii="Arial" w:hAnsi="Arial" w:cs="Arial"/>
          <w:sz w:val="24"/>
          <w:szCs w:val="24"/>
          <w:lang w:val="en-US"/>
        </w:rPr>
        <w:t>Pesquisa</w:t>
      </w:r>
      <w:proofErr w:type="spellEnd"/>
      <w:r w:rsidRPr="00A05982">
        <w:rPr>
          <w:rFonts w:ascii="Arial" w:hAnsi="Arial" w:cs="Arial"/>
          <w:sz w:val="24"/>
          <w:szCs w:val="24"/>
          <w:lang w:val="en-US"/>
        </w:rPr>
        <w:t xml:space="preserve"> de </w:t>
      </w:r>
      <w:proofErr w:type="spellStart"/>
      <w:r w:rsidRPr="00A05982">
        <w:rPr>
          <w:rFonts w:ascii="Arial" w:hAnsi="Arial" w:cs="Arial"/>
          <w:sz w:val="24"/>
          <w:szCs w:val="24"/>
          <w:lang w:val="en-US"/>
        </w:rPr>
        <w:t>Inovação</w:t>
      </w:r>
      <w:proofErr w:type="spellEnd"/>
      <w:r w:rsidRPr="00A05982">
        <w:rPr>
          <w:rFonts w:ascii="Arial" w:hAnsi="Arial" w:cs="Arial"/>
          <w:sz w:val="24"/>
          <w:szCs w:val="24"/>
          <w:lang w:val="en-US"/>
        </w:rPr>
        <w:t xml:space="preserve"> </w:t>
      </w:r>
      <w:proofErr w:type="spellStart"/>
      <w:r w:rsidRPr="00A05982">
        <w:rPr>
          <w:rFonts w:ascii="Arial" w:hAnsi="Arial" w:cs="Arial"/>
          <w:sz w:val="24"/>
          <w:szCs w:val="24"/>
          <w:lang w:val="en-US"/>
        </w:rPr>
        <w:t>Tecnológica</w:t>
      </w:r>
      <w:proofErr w:type="spellEnd"/>
      <w:r w:rsidRPr="00A05982">
        <w:rPr>
          <w:rFonts w:ascii="Arial" w:hAnsi="Arial" w:cs="Arial"/>
          <w:sz w:val="24"/>
          <w:szCs w:val="24"/>
          <w:lang w:val="en-US"/>
        </w:rPr>
        <w:t xml:space="preserve">-PINTEC, </w:t>
      </w:r>
      <w:proofErr w:type="spellStart"/>
      <w:r w:rsidRPr="00A05982">
        <w:rPr>
          <w:rFonts w:ascii="Arial" w:hAnsi="Arial" w:cs="Arial"/>
          <w:sz w:val="24"/>
          <w:szCs w:val="24"/>
          <w:lang w:val="en-US"/>
        </w:rPr>
        <w:t>Instituto</w:t>
      </w:r>
      <w:proofErr w:type="spellEnd"/>
      <w:r w:rsidRPr="00A05982">
        <w:rPr>
          <w:rFonts w:ascii="Arial" w:hAnsi="Arial" w:cs="Arial"/>
          <w:sz w:val="24"/>
          <w:szCs w:val="24"/>
          <w:lang w:val="en-US"/>
        </w:rPr>
        <w:t xml:space="preserve"> </w:t>
      </w:r>
      <w:proofErr w:type="spellStart"/>
      <w:r w:rsidRPr="00A05982">
        <w:rPr>
          <w:rFonts w:ascii="Arial" w:hAnsi="Arial" w:cs="Arial"/>
          <w:sz w:val="24"/>
          <w:szCs w:val="24"/>
          <w:lang w:val="en-US"/>
        </w:rPr>
        <w:t>Brasileiro</w:t>
      </w:r>
      <w:proofErr w:type="spellEnd"/>
      <w:r w:rsidRPr="00A05982">
        <w:rPr>
          <w:rFonts w:ascii="Arial" w:hAnsi="Arial" w:cs="Arial"/>
          <w:sz w:val="24"/>
          <w:szCs w:val="24"/>
          <w:lang w:val="en-US"/>
        </w:rPr>
        <w:t xml:space="preserve"> d</w:t>
      </w:r>
      <w:r w:rsidR="00C65076" w:rsidRPr="00A05982">
        <w:rPr>
          <w:rFonts w:ascii="Arial" w:hAnsi="Arial" w:cs="Arial"/>
          <w:sz w:val="24"/>
          <w:szCs w:val="24"/>
          <w:lang w:val="en-US"/>
        </w:rPr>
        <w:t xml:space="preserve">e </w:t>
      </w:r>
      <w:proofErr w:type="spellStart"/>
      <w:r w:rsidR="00C65076" w:rsidRPr="00A05982">
        <w:rPr>
          <w:rFonts w:ascii="Arial" w:hAnsi="Arial" w:cs="Arial"/>
          <w:sz w:val="24"/>
          <w:szCs w:val="24"/>
          <w:lang w:val="en-US"/>
        </w:rPr>
        <w:t>Geografia</w:t>
      </w:r>
      <w:proofErr w:type="spellEnd"/>
      <w:r w:rsidR="00C65076" w:rsidRPr="00A05982">
        <w:rPr>
          <w:rFonts w:ascii="Arial" w:hAnsi="Arial" w:cs="Arial"/>
          <w:sz w:val="24"/>
          <w:szCs w:val="24"/>
          <w:lang w:val="en-US"/>
        </w:rPr>
        <w:t xml:space="preserve"> e </w:t>
      </w:r>
      <w:proofErr w:type="spellStart"/>
      <w:r w:rsidR="00C65076" w:rsidRPr="00A05982">
        <w:rPr>
          <w:rFonts w:ascii="Arial" w:hAnsi="Arial" w:cs="Arial"/>
          <w:sz w:val="24"/>
          <w:szCs w:val="24"/>
          <w:lang w:val="en-US"/>
        </w:rPr>
        <w:t>Estatística</w:t>
      </w:r>
      <w:proofErr w:type="spellEnd"/>
      <w:r w:rsidR="00C65076" w:rsidRPr="00A05982">
        <w:rPr>
          <w:rFonts w:ascii="Arial" w:hAnsi="Arial" w:cs="Arial"/>
          <w:sz w:val="24"/>
          <w:szCs w:val="24"/>
          <w:lang w:val="en-US"/>
        </w:rPr>
        <w:t>-IBGE]</w:t>
      </w:r>
      <w:r w:rsidR="009C7719" w:rsidRPr="00A05982">
        <w:rPr>
          <w:rFonts w:ascii="Arial" w:hAnsi="Arial" w:cs="Arial"/>
          <w:sz w:val="24"/>
          <w:szCs w:val="24"/>
          <w:lang w:val="en-US"/>
        </w:rPr>
        <w:t xml:space="preserve">, which is </w:t>
      </w:r>
      <w:r w:rsidR="002F2EA7">
        <w:rPr>
          <w:rFonts w:ascii="Arial" w:hAnsi="Arial" w:cs="Arial"/>
          <w:sz w:val="24"/>
          <w:szCs w:val="24"/>
          <w:lang w:val="en-US"/>
        </w:rPr>
        <w:t xml:space="preserve">conducted on </w:t>
      </w:r>
      <w:r w:rsidR="009C7719" w:rsidRPr="00A05982">
        <w:rPr>
          <w:rFonts w:ascii="Arial" w:hAnsi="Arial" w:cs="Arial"/>
          <w:sz w:val="24"/>
          <w:szCs w:val="24"/>
          <w:lang w:val="en-US"/>
        </w:rPr>
        <w:t xml:space="preserve">a </w:t>
      </w:r>
      <w:r w:rsidR="00C65076" w:rsidRPr="00A05982">
        <w:rPr>
          <w:rFonts w:ascii="Arial" w:hAnsi="Arial" w:cs="Arial"/>
          <w:sz w:val="24"/>
          <w:szCs w:val="24"/>
          <w:lang w:val="en-US"/>
        </w:rPr>
        <w:t>bi-annual basis</w:t>
      </w:r>
      <w:r w:rsidR="009C7719" w:rsidRPr="00A05982">
        <w:rPr>
          <w:rFonts w:ascii="Arial" w:hAnsi="Arial" w:cs="Arial"/>
          <w:sz w:val="24"/>
          <w:szCs w:val="24"/>
          <w:lang w:val="en-US"/>
        </w:rPr>
        <w:t xml:space="preserve"> </w:t>
      </w:r>
      <w:r w:rsidR="002F2EA7">
        <w:rPr>
          <w:rFonts w:ascii="Arial" w:hAnsi="Arial" w:cs="Arial"/>
          <w:sz w:val="24"/>
          <w:szCs w:val="24"/>
          <w:lang w:val="en-US"/>
        </w:rPr>
        <w:t>on</w:t>
      </w:r>
      <w:r w:rsidRPr="00A05982">
        <w:rPr>
          <w:rFonts w:ascii="Arial" w:hAnsi="Arial" w:cs="Arial"/>
          <w:sz w:val="24"/>
          <w:szCs w:val="24"/>
          <w:lang w:val="en-US"/>
        </w:rPr>
        <w:t xml:space="preserve"> active firms with </w:t>
      </w:r>
      <w:r w:rsidR="002F2EA7">
        <w:rPr>
          <w:rFonts w:ascii="Arial" w:hAnsi="Arial" w:cs="Arial"/>
          <w:sz w:val="24"/>
          <w:szCs w:val="24"/>
          <w:lang w:val="en-US"/>
        </w:rPr>
        <w:t xml:space="preserve">10 or more employees whose </w:t>
      </w:r>
      <w:r w:rsidRPr="00A05982">
        <w:rPr>
          <w:rFonts w:ascii="Arial" w:hAnsi="Arial" w:cs="Arial"/>
          <w:sz w:val="24"/>
          <w:szCs w:val="24"/>
          <w:lang w:val="en-US"/>
        </w:rPr>
        <w:t>main revenues associated with</w:t>
      </w:r>
      <w:r w:rsidR="002F2EA7">
        <w:rPr>
          <w:rFonts w:ascii="Arial" w:hAnsi="Arial" w:cs="Arial"/>
          <w:sz w:val="24"/>
          <w:szCs w:val="24"/>
          <w:lang w:val="en-US"/>
        </w:rPr>
        <w:t xml:space="preserve"> an </w:t>
      </w:r>
      <w:r w:rsidRPr="00A05982">
        <w:rPr>
          <w:rFonts w:ascii="Arial" w:hAnsi="Arial" w:cs="Arial"/>
          <w:sz w:val="24"/>
          <w:szCs w:val="24"/>
          <w:lang w:val="en-US"/>
        </w:rPr>
        <w:t xml:space="preserve"> extractive or manufacturing industry.</w:t>
      </w:r>
      <w:r w:rsidRPr="002965B3">
        <w:rPr>
          <w:rFonts w:ascii="Arial" w:hAnsi="Arial" w:cs="Arial"/>
          <w:color w:val="FF0000"/>
          <w:sz w:val="24"/>
          <w:szCs w:val="24"/>
          <w:lang w:val="en-US"/>
        </w:rPr>
        <w:t xml:space="preserve"> </w:t>
      </w:r>
      <w:r w:rsidR="009C7719" w:rsidRPr="00FF4588">
        <w:rPr>
          <w:rFonts w:ascii="Arial" w:hAnsi="Arial" w:cs="Arial"/>
          <w:sz w:val="24"/>
          <w:szCs w:val="24"/>
          <w:lang w:val="en-US"/>
        </w:rPr>
        <w:t>The database was built from microdata, for the years 2000, 2003 and 2005</w:t>
      </w:r>
      <w:r w:rsidR="009C7719" w:rsidRPr="00FF4588">
        <w:rPr>
          <w:rStyle w:val="Refdenotaderodap"/>
          <w:rFonts w:ascii="Arial" w:hAnsi="Arial" w:cs="Arial"/>
          <w:sz w:val="24"/>
          <w:szCs w:val="24"/>
          <w:lang w:val="en-US"/>
        </w:rPr>
        <w:footnoteReference w:id="3"/>
      </w:r>
      <w:r w:rsidRPr="00FF4588">
        <w:rPr>
          <w:rFonts w:ascii="Arial" w:hAnsi="Arial" w:cs="Arial"/>
          <w:sz w:val="24"/>
          <w:szCs w:val="24"/>
          <w:lang w:val="en-US"/>
        </w:rPr>
        <w:t>.</w:t>
      </w:r>
      <w:r w:rsidRPr="002965B3">
        <w:rPr>
          <w:rFonts w:ascii="Arial" w:hAnsi="Arial" w:cs="Arial"/>
          <w:color w:val="FF0000"/>
          <w:sz w:val="24"/>
          <w:szCs w:val="24"/>
          <w:lang w:val="en-US"/>
        </w:rPr>
        <w:t xml:space="preserve"> </w:t>
      </w:r>
      <w:r w:rsidRPr="00A05982">
        <w:rPr>
          <w:rFonts w:ascii="Arial" w:hAnsi="Arial" w:cs="Arial"/>
          <w:sz w:val="24"/>
          <w:szCs w:val="24"/>
          <w:lang w:val="en-US"/>
        </w:rPr>
        <w:t xml:space="preserve">It is worth </w:t>
      </w:r>
      <w:r w:rsidR="00A203B6">
        <w:rPr>
          <w:rFonts w:ascii="Arial" w:hAnsi="Arial" w:cs="Arial"/>
          <w:sz w:val="24"/>
          <w:szCs w:val="24"/>
          <w:lang w:val="en-US"/>
        </w:rPr>
        <w:t>noting</w:t>
      </w:r>
      <w:r w:rsidRPr="00A05982">
        <w:rPr>
          <w:rFonts w:ascii="Arial" w:hAnsi="Arial" w:cs="Arial"/>
          <w:sz w:val="24"/>
          <w:szCs w:val="24"/>
          <w:lang w:val="en-US"/>
        </w:rPr>
        <w:t xml:space="preserve"> that the questionnaire closely follows th</w:t>
      </w:r>
      <w:r w:rsidR="00A203B6">
        <w:rPr>
          <w:rFonts w:ascii="Arial" w:hAnsi="Arial" w:cs="Arial"/>
          <w:sz w:val="24"/>
          <w:szCs w:val="24"/>
          <w:lang w:val="en-US"/>
        </w:rPr>
        <w:t xml:space="preserve">at of the </w:t>
      </w:r>
      <w:r w:rsidRPr="00A05982">
        <w:rPr>
          <w:rFonts w:ascii="Arial" w:hAnsi="Arial" w:cs="Arial"/>
          <w:sz w:val="24"/>
          <w:szCs w:val="24"/>
          <w:lang w:val="en-US"/>
        </w:rPr>
        <w:t xml:space="preserve">Community Innovation Survey </w:t>
      </w:r>
      <w:r w:rsidRPr="00A05982">
        <w:rPr>
          <w:rFonts w:ascii="Arial" w:hAnsi="Arial" w:cs="Arial"/>
          <w:sz w:val="24"/>
          <w:szCs w:val="24"/>
          <w:lang w:val="en-US"/>
        </w:rPr>
        <w:lastRenderedPageBreak/>
        <w:t>(CIS 1) that focus</w:t>
      </w:r>
      <w:r w:rsidR="00A203B6">
        <w:rPr>
          <w:rFonts w:ascii="Arial" w:hAnsi="Arial" w:cs="Arial"/>
          <w:sz w:val="24"/>
          <w:szCs w:val="24"/>
          <w:lang w:val="en-US"/>
        </w:rPr>
        <w:t>es</w:t>
      </w:r>
      <w:r w:rsidRPr="00A05982">
        <w:rPr>
          <w:rFonts w:ascii="Arial" w:hAnsi="Arial" w:cs="Arial"/>
          <w:sz w:val="24"/>
          <w:szCs w:val="24"/>
          <w:lang w:val="en-US"/>
        </w:rPr>
        <w:t xml:space="preserve"> on European countries. However</w:t>
      </w:r>
      <w:r w:rsidR="005702DB" w:rsidRPr="00A05982">
        <w:rPr>
          <w:rFonts w:ascii="Arial" w:hAnsi="Arial" w:cs="Arial"/>
          <w:sz w:val="24"/>
          <w:szCs w:val="24"/>
          <w:lang w:val="en-US"/>
        </w:rPr>
        <w:t xml:space="preserve">, </w:t>
      </w:r>
      <w:r w:rsidR="00A203B6">
        <w:rPr>
          <w:rFonts w:ascii="Arial" w:hAnsi="Arial" w:cs="Arial"/>
          <w:sz w:val="24"/>
          <w:szCs w:val="24"/>
          <w:lang w:val="en-US"/>
        </w:rPr>
        <w:t>we</w:t>
      </w:r>
      <w:r w:rsidR="005702DB" w:rsidRPr="00A05982">
        <w:rPr>
          <w:rFonts w:ascii="Arial" w:hAnsi="Arial" w:cs="Arial"/>
          <w:sz w:val="24"/>
          <w:szCs w:val="24"/>
          <w:lang w:val="en-US"/>
        </w:rPr>
        <w:t xml:space="preserve"> do </w:t>
      </w:r>
      <w:r w:rsidRPr="00A05982">
        <w:rPr>
          <w:rFonts w:ascii="Arial" w:hAnsi="Arial" w:cs="Arial"/>
          <w:sz w:val="24"/>
          <w:szCs w:val="24"/>
          <w:lang w:val="en-US"/>
        </w:rPr>
        <w:t>not face a micro-aggregation limitation</w:t>
      </w:r>
      <w:r w:rsidR="00A203B6">
        <w:rPr>
          <w:rFonts w:ascii="Arial" w:hAnsi="Arial" w:cs="Arial"/>
          <w:sz w:val="24"/>
          <w:szCs w:val="24"/>
          <w:lang w:val="en-US"/>
        </w:rPr>
        <w:t xml:space="preserve"> </w:t>
      </w:r>
      <w:r w:rsidR="00A203B6" w:rsidRPr="00A05982">
        <w:rPr>
          <w:rFonts w:ascii="Arial" w:hAnsi="Arial" w:cs="Arial"/>
          <w:sz w:val="24"/>
          <w:szCs w:val="24"/>
          <w:lang w:val="en-US"/>
        </w:rPr>
        <w:t>in the Brazilian database</w:t>
      </w:r>
      <w:r w:rsidRPr="00A05982">
        <w:rPr>
          <w:rFonts w:ascii="Arial" w:hAnsi="Arial" w:cs="Arial"/>
          <w:sz w:val="24"/>
          <w:szCs w:val="24"/>
          <w:lang w:val="en-US"/>
        </w:rPr>
        <w:t xml:space="preserve">. </w:t>
      </w:r>
      <w:r w:rsidR="00B9333A" w:rsidRPr="00A05982">
        <w:rPr>
          <w:rFonts w:ascii="Arial" w:hAnsi="Arial" w:cs="Arial"/>
          <w:sz w:val="24"/>
          <w:szCs w:val="24"/>
          <w:lang w:val="en-US"/>
        </w:rPr>
        <w:t>A</w:t>
      </w:r>
      <w:r w:rsidR="00B9333A" w:rsidRPr="002965B3">
        <w:rPr>
          <w:rFonts w:ascii="Arial" w:hAnsi="Arial" w:cs="Arial"/>
          <w:color w:val="FF0000"/>
          <w:sz w:val="24"/>
          <w:szCs w:val="24"/>
          <w:lang w:val="en-US"/>
        </w:rPr>
        <w:t xml:space="preserve"> </w:t>
      </w:r>
      <w:r w:rsidR="00B9333A" w:rsidRPr="00A05982">
        <w:rPr>
          <w:rFonts w:ascii="Arial" w:hAnsi="Arial" w:cs="Arial"/>
          <w:sz w:val="24"/>
          <w:szCs w:val="24"/>
          <w:lang w:val="en-US"/>
        </w:rPr>
        <w:t>complementa</w:t>
      </w:r>
      <w:r w:rsidR="00FF4588">
        <w:rPr>
          <w:rFonts w:ascii="Arial" w:hAnsi="Arial" w:cs="Arial"/>
          <w:sz w:val="24"/>
          <w:szCs w:val="24"/>
          <w:lang w:val="en-US"/>
        </w:rPr>
        <w:t>r</w:t>
      </w:r>
      <w:r w:rsidR="00B9333A" w:rsidRPr="00A05982">
        <w:rPr>
          <w:rFonts w:ascii="Arial" w:hAnsi="Arial" w:cs="Arial"/>
          <w:sz w:val="24"/>
          <w:szCs w:val="24"/>
          <w:lang w:val="en-US"/>
        </w:rPr>
        <w:t>y source was the annual industrial survey [</w:t>
      </w:r>
      <w:proofErr w:type="spellStart"/>
      <w:r w:rsidR="00B9333A" w:rsidRPr="00A05982">
        <w:rPr>
          <w:rFonts w:ascii="Arial" w:hAnsi="Arial" w:cs="Arial"/>
          <w:sz w:val="24"/>
          <w:szCs w:val="24"/>
          <w:lang w:val="en-US"/>
        </w:rPr>
        <w:t>Pesquisa</w:t>
      </w:r>
      <w:proofErr w:type="spellEnd"/>
      <w:r w:rsidR="00B9333A" w:rsidRPr="00A05982">
        <w:rPr>
          <w:rFonts w:ascii="Arial" w:hAnsi="Arial" w:cs="Arial"/>
          <w:sz w:val="24"/>
          <w:szCs w:val="24"/>
          <w:lang w:val="en-US"/>
        </w:rPr>
        <w:t xml:space="preserve"> Industrial </w:t>
      </w:r>
      <w:proofErr w:type="spellStart"/>
      <w:r w:rsidR="00B9333A" w:rsidRPr="00A05982">
        <w:rPr>
          <w:rFonts w:ascii="Arial" w:hAnsi="Arial" w:cs="Arial"/>
          <w:sz w:val="24"/>
          <w:szCs w:val="24"/>
          <w:lang w:val="en-US"/>
        </w:rPr>
        <w:t>Anual</w:t>
      </w:r>
      <w:proofErr w:type="spellEnd"/>
      <w:r w:rsidR="00B9333A" w:rsidRPr="00A05982">
        <w:rPr>
          <w:rFonts w:ascii="Arial" w:hAnsi="Arial" w:cs="Arial"/>
          <w:sz w:val="24"/>
          <w:szCs w:val="24"/>
          <w:lang w:val="en-US"/>
        </w:rPr>
        <w:t xml:space="preserve">-PIA, </w:t>
      </w:r>
      <w:proofErr w:type="spellStart"/>
      <w:r w:rsidR="00B9333A" w:rsidRPr="00A05982">
        <w:rPr>
          <w:rFonts w:ascii="Arial" w:hAnsi="Arial" w:cs="Arial"/>
          <w:sz w:val="24"/>
          <w:szCs w:val="24"/>
          <w:lang w:val="en-US"/>
        </w:rPr>
        <w:t>Instituto</w:t>
      </w:r>
      <w:proofErr w:type="spellEnd"/>
      <w:r w:rsidR="00B9333A" w:rsidRPr="00A05982">
        <w:rPr>
          <w:rFonts w:ascii="Arial" w:hAnsi="Arial" w:cs="Arial"/>
          <w:sz w:val="24"/>
          <w:szCs w:val="24"/>
          <w:lang w:val="en-US"/>
        </w:rPr>
        <w:t xml:space="preserve"> </w:t>
      </w:r>
      <w:proofErr w:type="spellStart"/>
      <w:r w:rsidR="00B9333A" w:rsidRPr="00A05982">
        <w:rPr>
          <w:rFonts w:ascii="Arial" w:hAnsi="Arial" w:cs="Arial"/>
          <w:sz w:val="24"/>
          <w:szCs w:val="24"/>
          <w:lang w:val="en-US"/>
        </w:rPr>
        <w:t>Brasileiro</w:t>
      </w:r>
      <w:proofErr w:type="spellEnd"/>
      <w:r w:rsidR="00B9333A" w:rsidRPr="00A05982">
        <w:rPr>
          <w:rFonts w:ascii="Arial" w:hAnsi="Arial" w:cs="Arial"/>
          <w:sz w:val="24"/>
          <w:szCs w:val="24"/>
          <w:lang w:val="en-US"/>
        </w:rPr>
        <w:t xml:space="preserve"> de </w:t>
      </w:r>
      <w:proofErr w:type="spellStart"/>
      <w:r w:rsidR="00B9333A" w:rsidRPr="00A05982">
        <w:rPr>
          <w:rFonts w:ascii="Arial" w:hAnsi="Arial" w:cs="Arial"/>
          <w:sz w:val="24"/>
          <w:szCs w:val="24"/>
          <w:lang w:val="en-US"/>
        </w:rPr>
        <w:t>Geografia</w:t>
      </w:r>
      <w:proofErr w:type="spellEnd"/>
      <w:r w:rsidR="00B9333A" w:rsidRPr="00A05982">
        <w:rPr>
          <w:rFonts w:ascii="Arial" w:hAnsi="Arial" w:cs="Arial"/>
          <w:sz w:val="24"/>
          <w:szCs w:val="24"/>
          <w:lang w:val="en-US"/>
        </w:rPr>
        <w:t xml:space="preserve"> e </w:t>
      </w:r>
      <w:proofErr w:type="spellStart"/>
      <w:r w:rsidR="00B9333A" w:rsidRPr="00A05982">
        <w:rPr>
          <w:rFonts w:ascii="Arial" w:hAnsi="Arial" w:cs="Arial"/>
          <w:sz w:val="24"/>
          <w:szCs w:val="24"/>
          <w:lang w:val="en-US"/>
        </w:rPr>
        <w:t>Estatística</w:t>
      </w:r>
      <w:proofErr w:type="spellEnd"/>
      <w:r w:rsidR="00B9333A" w:rsidRPr="00A05982">
        <w:rPr>
          <w:rFonts w:ascii="Arial" w:hAnsi="Arial" w:cs="Arial"/>
          <w:sz w:val="24"/>
          <w:szCs w:val="24"/>
          <w:lang w:val="en-US"/>
        </w:rPr>
        <w:t xml:space="preserve">-IBGE] </w:t>
      </w:r>
      <w:r w:rsidR="00A203B6">
        <w:rPr>
          <w:rFonts w:ascii="Arial" w:hAnsi="Arial" w:cs="Arial"/>
          <w:sz w:val="24"/>
          <w:szCs w:val="24"/>
          <w:lang w:val="en-US"/>
        </w:rPr>
        <w:t>which</w:t>
      </w:r>
      <w:r w:rsidR="00B9333A" w:rsidRPr="00A05982">
        <w:rPr>
          <w:rFonts w:ascii="Arial" w:hAnsi="Arial" w:cs="Arial"/>
          <w:sz w:val="24"/>
          <w:szCs w:val="24"/>
          <w:lang w:val="en-US"/>
        </w:rPr>
        <w:t xml:space="preserve"> was matched with the p</w:t>
      </w:r>
      <w:r w:rsidR="00A203B6">
        <w:rPr>
          <w:rFonts w:ascii="Arial" w:hAnsi="Arial" w:cs="Arial"/>
          <w:sz w:val="24"/>
          <w:szCs w:val="24"/>
          <w:lang w:val="en-US"/>
        </w:rPr>
        <w:t>revious database to construct several</w:t>
      </w:r>
      <w:r w:rsidR="00B9333A" w:rsidRPr="00A05982">
        <w:rPr>
          <w:rFonts w:ascii="Arial" w:hAnsi="Arial" w:cs="Arial"/>
          <w:sz w:val="24"/>
          <w:szCs w:val="24"/>
          <w:lang w:val="en-US"/>
        </w:rPr>
        <w:t xml:space="preserve"> indicators. The data description will consider two steps of the analysis.</w:t>
      </w:r>
    </w:p>
    <w:p w:rsidR="005702DB" w:rsidRPr="002965B3" w:rsidRDefault="005702DB" w:rsidP="00FF4588">
      <w:pPr>
        <w:numPr>
          <w:ilvl w:val="0"/>
          <w:numId w:val="9"/>
        </w:numPr>
        <w:autoSpaceDE w:val="0"/>
        <w:autoSpaceDN w:val="0"/>
        <w:adjustRightInd w:val="0"/>
        <w:spacing w:line="480" w:lineRule="auto"/>
        <w:jc w:val="both"/>
        <w:rPr>
          <w:rFonts w:ascii="Arial" w:hAnsi="Arial" w:cs="Arial"/>
          <w:color w:val="FF0000"/>
          <w:sz w:val="24"/>
          <w:szCs w:val="24"/>
          <w:lang w:val="en-US"/>
        </w:rPr>
      </w:pPr>
      <w:r w:rsidRPr="00A05982">
        <w:rPr>
          <w:rFonts w:ascii="Arial" w:hAnsi="Arial" w:cs="Arial"/>
          <w:sz w:val="24"/>
          <w:szCs w:val="24"/>
          <w:u w:val="single"/>
          <w:lang w:val="en-US"/>
        </w:rPr>
        <w:t>The classification of industries in terms of technological regimes</w:t>
      </w:r>
      <w:r w:rsidR="007976FB">
        <w:rPr>
          <w:rFonts w:ascii="Arial" w:hAnsi="Arial" w:cs="Arial"/>
          <w:sz w:val="24"/>
          <w:szCs w:val="24"/>
          <w:lang w:val="en-US"/>
        </w:rPr>
        <w:t>: I</w:t>
      </w:r>
      <w:r w:rsidRPr="00A05982">
        <w:rPr>
          <w:rFonts w:ascii="Arial" w:hAnsi="Arial" w:cs="Arial"/>
          <w:sz w:val="24"/>
          <w:szCs w:val="24"/>
          <w:lang w:val="en-US"/>
        </w:rPr>
        <w:t>n this case, we considered a p</w:t>
      </w:r>
      <w:r w:rsidR="007B7D4A" w:rsidRPr="00A05982">
        <w:rPr>
          <w:rFonts w:ascii="Arial" w:hAnsi="Arial" w:cs="Arial"/>
          <w:sz w:val="24"/>
          <w:szCs w:val="24"/>
          <w:lang w:val="en-US"/>
        </w:rPr>
        <w:t>r</w:t>
      </w:r>
      <w:r w:rsidRPr="00A05982">
        <w:rPr>
          <w:rFonts w:ascii="Arial" w:hAnsi="Arial" w:cs="Arial"/>
          <w:sz w:val="24"/>
          <w:szCs w:val="24"/>
          <w:lang w:val="en-US"/>
        </w:rPr>
        <w:t xml:space="preserve">incipal </w:t>
      </w:r>
      <w:r w:rsidR="007B7D4A" w:rsidRPr="00A05982">
        <w:rPr>
          <w:rFonts w:ascii="Arial" w:hAnsi="Arial" w:cs="Arial"/>
          <w:sz w:val="24"/>
          <w:szCs w:val="24"/>
          <w:lang w:val="en-US"/>
        </w:rPr>
        <w:t>component</w:t>
      </w:r>
      <w:r w:rsidRPr="00A05982">
        <w:rPr>
          <w:rFonts w:ascii="Arial" w:hAnsi="Arial" w:cs="Arial"/>
          <w:sz w:val="24"/>
          <w:szCs w:val="24"/>
          <w:lang w:val="en-US"/>
        </w:rPr>
        <w:t>s procedur</w:t>
      </w:r>
      <w:r w:rsidR="007B7D4A" w:rsidRPr="00A05982">
        <w:rPr>
          <w:rFonts w:ascii="Arial" w:hAnsi="Arial" w:cs="Arial"/>
          <w:sz w:val="24"/>
          <w:szCs w:val="24"/>
          <w:lang w:val="en-US"/>
        </w:rPr>
        <w:t>e inspir</w:t>
      </w:r>
      <w:r w:rsidRPr="00A05982">
        <w:rPr>
          <w:rFonts w:ascii="Arial" w:hAnsi="Arial" w:cs="Arial"/>
          <w:sz w:val="24"/>
          <w:szCs w:val="24"/>
          <w:lang w:val="en-US"/>
        </w:rPr>
        <w:t xml:space="preserve">ed </w:t>
      </w:r>
      <w:r w:rsidR="007976FB">
        <w:rPr>
          <w:rFonts w:ascii="Arial" w:hAnsi="Arial" w:cs="Arial"/>
          <w:sz w:val="24"/>
          <w:szCs w:val="24"/>
          <w:lang w:val="en-US"/>
        </w:rPr>
        <w:t>by</w:t>
      </w:r>
      <w:r w:rsidRPr="00A05982">
        <w:rPr>
          <w:rFonts w:ascii="Arial" w:hAnsi="Arial" w:cs="Arial"/>
          <w:sz w:val="24"/>
          <w:szCs w:val="24"/>
          <w:lang w:val="en-US"/>
        </w:rPr>
        <w:t xml:space="preserve"> </w:t>
      </w:r>
      <w:proofErr w:type="spellStart"/>
      <w:r w:rsidR="002035D3" w:rsidRPr="00A05982">
        <w:rPr>
          <w:rFonts w:ascii="Arial" w:hAnsi="Arial" w:cs="Arial"/>
          <w:sz w:val="24"/>
          <w:szCs w:val="24"/>
          <w:lang w:val="en-US" w:eastAsia="pt-BR"/>
        </w:rPr>
        <w:t>Breschi</w:t>
      </w:r>
      <w:proofErr w:type="spellEnd"/>
      <w:r w:rsidR="002035D3" w:rsidRPr="00A05982">
        <w:rPr>
          <w:rFonts w:ascii="Arial" w:hAnsi="Arial" w:cs="Arial"/>
          <w:sz w:val="24"/>
          <w:szCs w:val="24"/>
          <w:lang w:val="en-US" w:eastAsia="pt-BR"/>
        </w:rPr>
        <w:t xml:space="preserve"> et al. (2000). However, it is important to highlight differences </w:t>
      </w:r>
      <w:r w:rsidR="007976FB">
        <w:rPr>
          <w:rFonts w:ascii="Arial" w:hAnsi="Arial" w:cs="Arial"/>
          <w:sz w:val="24"/>
          <w:szCs w:val="24"/>
          <w:lang w:val="en-US" w:eastAsia="pt-BR"/>
        </w:rPr>
        <w:t xml:space="preserve">that </w:t>
      </w:r>
      <w:r w:rsidR="002035D3" w:rsidRPr="00A05982">
        <w:rPr>
          <w:rFonts w:ascii="Arial" w:hAnsi="Arial" w:cs="Arial"/>
          <w:sz w:val="24"/>
          <w:szCs w:val="24"/>
          <w:lang w:val="en-US" w:eastAsia="pt-BR"/>
        </w:rPr>
        <w:t>pertain</w:t>
      </w:r>
      <w:r w:rsidR="007976FB">
        <w:rPr>
          <w:rFonts w:ascii="Arial" w:hAnsi="Arial" w:cs="Arial"/>
          <w:sz w:val="24"/>
          <w:szCs w:val="24"/>
          <w:lang w:val="en-US" w:eastAsia="pt-BR"/>
        </w:rPr>
        <w:t xml:space="preserve"> to</w:t>
      </w:r>
      <w:r w:rsidR="002035D3" w:rsidRPr="00A05982">
        <w:rPr>
          <w:rFonts w:ascii="Arial" w:hAnsi="Arial" w:cs="Arial"/>
          <w:sz w:val="24"/>
          <w:szCs w:val="24"/>
          <w:lang w:val="en-US" w:eastAsia="pt-BR"/>
        </w:rPr>
        <w:t xml:space="preserve"> the definition of innovating firms and the level of aggregation. </w:t>
      </w:r>
      <w:r w:rsidR="007976FB">
        <w:rPr>
          <w:rFonts w:ascii="Arial" w:hAnsi="Arial" w:cs="Arial"/>
          <w:sz w:val="24"/>
          <w:szCs w:val="24"/>
          <w:lang w:val="en-US" w:eastAsia="pt-BR"/>
        </w:rPr>
        <w:t xml:space="preserve">Our study </w:t>
      </w:r>
      <w:r w:rsidR="00C16878" w:rsidRPr="00A05982">
        <w:rPr>
          <w:rFonts w:ascii="Arial" w:hAnsi="Arial" w:cs="Arial"/>
          <w:sz w:val="24"/>
          <w:szCs w:val="24"/>
          <w:lang w:val="en-US" w:eastAsia="pt-BR"/>
        </w:rPr>
        <w:t>contrast</w:t>
      </w:r>
      <w:r w:rsidR="007976FB">
        <w:rPr>
          <w:rFonts w:ascii="Arial" w:hAnsi="Arial" w:cs="Arial"/>
          <w:sz w:val="24"/>
          <w:szCs w:val="24"/>
          <w:lang w:val="en-US" w:eastAsia="pt-BR"/>
        </w:rPr>
        <w:t>s</w:t>
      </w:r>
      <w:r w:rsidR="002035D3" w:rsidRPr="00A05982">
        <w:rPr>
          <w:rFonts w:ascii="Arial" w:hAnsi="Arial" w:cs="Arial"/>
          <w:sz w:val="24"/>
          <w:szCs w:val="24"/>
          <w:lang w:val="en-US" w:eastAsia="pt-BR"/>
        </w:rPr>
        <w:t xml:space="preserve"> with previous studies </w:t>
      </w:r>
      <w:r w:rsidR="007976FB">
        <w:rPr>
          <w:rFonts w:ascii="Arial" w:hAnsi="Arial" w:cs="Arial"/>
          <w:sz w:val="24"/>
          <w:szCs w:val="24"/>
          <w:lang w:val="en-US" w:eastAsia="pt-BR"/>
        </w:rPr>
        <w:t xml:space="preserve">on the definition of innovating firms </w:t>
      </w:r>
      <w:r w:rsidR="002035D3" w:rsidRPr="00A05982">
        <w:rPr>
          <w:rFonts w:ascii="Arial" w:hAnsi="Arial" w:cs="Arial"/>
          <w:sz w:val="24"/>
          <w:szCs w:val="24"/>
          <w:lang w:val="en-US" w:eastAsia="pt-BR"/>
        </w:rPr>
        <w:t>by not exclusively relying on patent data, wh</w:t>
      </w:r>
      <w:r w:rsidR="007976FB">
        <w:rPr>
          <w:rFonts w:ascii="Arial" w:hAnsi="Arial" w:cs="Arial"/>
          <w:sz w:val="24"/>
          <w:szCs w:val="24"/>
          <w:lang w:val="en-US" w:eastAsia="pt-BR"/>
        </w:rPr>
        <w:t>ich</w:t>
      </w:r>
      <w:r w:rsidR="002035D3" w:rsidRPr="00A05982">
        <w:rPr>
          <w:rFonts w:ascii="Arial" w:hAnsi="Arial" w:cs="Arial"/>
          <w:sz w:val="24"/>
          <w:szCs w:val="24"/>
          <w:lang w:val="en-US" w:eastAsia="pt-BR"/>
        </w:rPr>
        <w:t xml:space="preserve"> reflects </w:t>
      </w:r>
      <w:r w:rsidR="007976FB">
        <w:rPr>
          <w:rFonts w:ascii="Arial" w:hAnsi="Arial" w:cs="Arial"/>
          <w:sz w:val="24"/>
          <w:szCs w:val="24"/>
          <w:lang w:val="en-US" w:eastAsia="pt-BR"/>
        </w:rPr>
        <w:t xml:space="preserve">a </w:t>
      </w:r>
      <w:r w:rsidR="002035D3" w:rsidRPr="00A05982">
        <w:rPr>
          <w:rFonts w:ascii="Arial" w:hAnsi="Arial" w:cs="Arial"/>
          <w:sz w:val="24"/>
          <w:szCs w:val="24"/>
          <w:lang w:val="en-US" w:eastAsia="pt-BR"/>
        </w:rPr>
        <w:t>data availability</w:t>
      </w:r>
      <w:r w:rsidR="007976FB">
        <w:rPr>
          <w:rFonts w:ascii="Arial" w:hAnsi="Arial" w:cs="Arial"/>
          <w:sz w:val="24"/>
          <w:szCs w:val="24"/>
          <w:lang w:val="en-US" w:eastAsia="pt-BR"/>
        </w:rPr>
        <w:t xml:space="preserve"> issue</w:t>
      </w:r>
      <w:r w:rsidR="002035D3" w:rsidRPr="00A05982">
        <w:rPr>
          <w:rFonts w:ascii="Arial" w:hAnsi="Arial" w:cs="Arial"/>
          <w:sz w:val="24"/>
          <w:szCs w:val="24"/>
          <w:lang w:val="en-US" w:eastAsia="pt-BR"/>
        </w:rPr>
        <w:t xml:space="preserve"> in the present </w:t>
      </w:r>
      <w:r w:rsidR="007976FB">
        <w:rPr>
          <w:rFonts w:ascii="Arial" w:hAnsi="Arial" w:cs="Arial"/>
          <w:sz w:val="24"/>
          <w:szCs w:val="24"/>
          <w:lang w:val="en-US" w:eastAsia="pt-BR"/>
        </w:rPr>
        <w:t>study</w:t>
      </w:r>
      <w:r w:rsidR="002035D3" w:rsidRPr="00A05982">
        <w:rPr>
          <w:rFonts w:ascii="Arial" w:hAnsi="Arial" w:cs="Arial"/>
          <w:sz w:val="24"/>
          <w:szCs w:val="24"/>
          <w:lang w:val="en-US" w:eastAsia="pt-BR"/>
        </w:rPr>
        <w:t>. A</w:t>
      </w:r>
      <w:r w:rsidR="00BC28F6" w:rsidRPr="00A05982">
        <w:rPr>
          <w:rFonts w:ascii="Arial" w:hAnsi="Arial" w:cs="Arial"/>
          <w:sz w:val="24"/>
          <w:szCs w:val="24"/>
          <w:lang w:val="en-US" w:eastAsia="pt-BR"/>
        </w:rPr>
        <w:t>cco</w:t>
      </w:r>
      <w:r w:rsidR="008056D5">
        <w:rPr>
          <w:rFonts w:ascii="Arial" w:hAnsi="Arial" w:cs="Arial"/>
          <w:sz w:val="24"/>
          <w:szCs w:val="24"/>
          <w:lang w:val="en-US" w:eastAsia="pt-BR"/>
        </w:rPr>
        <w:t>rdingly, we did</w:t>
      </w:r>
      <w:r w:rsidR="00BC28F6" w:rsidRPr="00A05982">
        <w:rPr>
          <w:rFonts w:ascii="Arial" w:hAnsi="Arial" w:cs="Arial"/>
          <w:sz w:val="24"/>
          <w:szCs w:val="24"/>
          <w:lang w:val="en-US" w:eastAsia="pt-BR"/>
        </w:rPr>
        <w:t xml:space="preserve"> not work with technological classes an</w:t>
      </w:r>
      <w:r w:rsidR="002035D3" w:rsidRPr="00A05982">
        <w:rPr>
          <w:rFonts w:ascii="Arial" w:hAnsi="Arial" w:cs="Arial"/>
          <w:sz w:val="24"/>
          <w:szCs w:val="24"/>
          <w:lang w:val="en-US" w:eastAsia="pt-BR"/>
        </w:rPr>
        <w:t xml:space="preserve">d </w:t>
      </w:r>
      <w:r w:rsidR="008056D5">
        <w:rPr>
          <w:rFonts w:ascii="Arial" w:hAnsi="Arial" w:cs="Arial"/>
          <w:sz w:val="24"/>
          <w:szCs w:val="24"/>
          <w:lang w:val="en-US" w:eastAsia="pt-BR"/>
        </w:rPr>
        <w:t xml:space="preserve">yet we </w:t>
      </w:r>
      <w:r w:rsidR="00E171DE" w:rsidRPr="00A05982">
        <w:rPr>
          <w:rFonts w:ascii="Arial" w:hAnsi="Arial" w:cs="Arial"/>
          <w:sz w:val="24"/>
          <w:szCs w:val="24"/>
          <w:lang w:val="en-US" w:eastAsia="pt-BR"/>
        </w:rPr>
        <w:t>were able to</w:t>
      </w:r>
      <w:r w:rsidR="002035D3" w:rsidRPr="00A05982">
        <w:rPr>
          <w:rFonts w:ascii="Arial" w:hAnsi="Arial" w:cs="Arial"/>
          <w:sz w:val="24"/>
          <w:szCs w:val="24"/>
          <w:lang w:val="en-US" w:eastAsia="pt-BR"/>
        </w:rPr>
        <w:t xml:space="preserve"> consider industrial sectors </w:t>
      </w:r>
      <w:r w:rsidR="008056D5">
        <w:rPr>
          <w:rFonts w:ascii="Arial" w:hAnsi="Arial" w:cs="Arial"/>
          <w:sz w:val="24"/>
          <w:szCs w:val="24"/>
          <w:lang w:val="en-US" w:eastAsia="pt-BR"/>
        </w:rPr>
        <w:t xml:space="preserve">that are </w:t>
      </w:r>
      <w:r w:rsidR="002035D3" w:rsidRPr="00A05982">
        <w:rPr>
          <w:rFonts w:ascii="Arial" w:hAnsi="Arial" w:cs="Arial"/>
          <w:sz w:val="24"/>
          <w:szCs w:val="24"/>
          <w:lang w:val="en-US" w:eastAsia="pt-BR"/>
        </w:rPr>
        <w:t>classified at the 3-digits level (CNAE3)</w:t>
      </w:r>
      <w:r w:rsidR="00C92CD0" w:rsidRPr="00A05982">
        <w:rPr>
          <w:rFonts w:ascii="Arial" w:hAnsi="Arial" w:cs="Arial"/>
          <w:sz w:val="24"/>
          <w:szCs w:val="24"/>
          <w:lang w:val="en-US" w:eastAsia="pt-BR"/>
        </w:rPr>
        <w:t>. The criterion adopted for defining an innovating firm was the implementation of some process or product innovation or yet</w:t>
      </w:r>
      <w:r w:rsidR="00C92CD0" w:rsidRPr="001321DB">
        <w:rPr>
          <w:rFonts w:ascii="Arial" w:hAnsi="Arial" w:cs="Arial"/>
          <w:color w:val="FF0000"/>
          <w:sz w:val="24"/>
          <w:szCs w:val="24"/>
          <w:lang w:val="en-US" w:eastAsia="pt-BR"/>
        </w:rPr>
        <w:t xml:space="preserve"> </w:t>
      </w:r>
      <w:r w:rsidR="00A05982" w:rsidRPr="00FF4588">
        <w:rPr>
          <w:rFonts w:ascii="Arial" w:hAnsi="Arial" w:cs="Arial"/>
          <w:sz w:val="24"/>
          <w:szCs w:val="24"/>
          <w:lang w:val="en-US" w:eastAsia="pt-BR"/>
        </w:rPr>
        <w:t xml:space="preserve">if </w:t>
      </w:r>
      <w:r w:rsidR="00C92CD0" w:rsidRPr="00FF4588">
        <w:rPr>
          <w:rFonts w:ascii="Arial" w:hAnsi="Arial" w:cs="Arial"/>
          <w:sz w:val="24"/>
          <w:szCs w:val="24"/>
          <w:lang w:val="en-US" w:eastAsia="pt-BR"/>
        </w:rPr>
        <w:t>the</w:t>
      </w:r>
      <w:r w:rsidR="00A05982" w:rsidRPr="00FF4588">
        <w:rPr>
          <w:rFonts w:ascii="Arial" w:hAnsi="Arial" w:cs="Arial"/>
          <w:sz w:val="24"/>
          <w:szCs w:val="24"/>
          <w:lang w:val="en-US" w:eastAsia="pt-BR"/>
        </w:rPr>
        <w:t xml:space="preserve"> use</w:t>
      </w:r>
      <w:r w:rsidR="008056D5">
        <w:rPr>
          <w:rFonts w:ascii="Arial" w:hAnsi="Arial" w:cs="Arial"/>
          <w:sz w:val="24"/>
          <w:szCs w:val="24"/>
          <w:lang w:val="en-US" w:eastAsia="pt-BR"/>
        </w:rPr>
        <w:t xml:space="preserve"> of</w:t>
      </w:r>
      <w:r w:rsidR="00A05982" w:rsidRPr="00FF4588">
        <w:rPr>
          <w:rFonts w:ascii="Arial" w:hAnsi="Arial" w:cs="Arial"/>
          <w:sz w:val="24"/>
          <w:szCs w:val="24"/>
          <w:lang w:val="en-US" w:eastAsia="pt-BR"/>
        </w:rPr>
        <w:t xml:space="preserve"> some intellectual property instrument (</w:t>
      </w:r>
      <w:r w:rsidR="008056D5">
        <w:rPr>
          <w:rFonts w:ascii="Arial" w:hAnsi="Arial" w:cs="Arial"/>
          <w:sz w:val="24"/>
          <w:szCs w:val="24"/>
          <w:lang w:val="en-US" w:eastAsia="pt-BR"/>
        </w:rPr>
        <w:t>such as</w:t>
      </w:r>
      <w:r w:rsidR="00A05982" w:rsidRPr="00FF4588">
        <w:rPr>
          <w:rFonts w:ascii="Arial" w:hAnsi="Arial" w:cs="Arial"/>
          <w:sz w:val="24"/>
          <w:szCs w:val="24"/>
          <w:lang w:val="en-US" w:eastAsia="pt-BR"/>
        </w:rPr>
        <w:t xml:space="preserve"> </w:t>
      </w:r>
      <w:r w:rsidR="00C92CD0" w:rsidRPr="00FF4588">
        <w:rPr>
          <w:rFonts w:ascii="Arial" w:hAnsi="Arial" w:cs="Arial"/>
          <w:sz w:val="24"/>
          <w:szCs w:val="24"/>
          <w:lang w:val="en-US" w:eastAsia="pt-BR"/>
        </w:rPr>
        <w:t>patent</w:t>
      </w:r>
      <w:r w:rsidR="00A05982" w:rsidRPr="00FF4588">
        <w:rPr>
          <w:rFonts w:ascii="Arial" w:hAnsi="Arial" w:cs="Arial"/>
          <w:sz w:val="24"/>
          <w:szCs w:val="24"/>
          <w:lang w:val="en-US" w:eastAsia="pt-BR"/>
        </w:rPr>
        <w:t xml:space="preserve">, secrecy, </w:t>
      </w:r>
      <w:r w:rsidR="008056D5">
        <w:rPr>
          <w:rFonts w:ascii="Arial" w:hAnsi="Arial" w:cs="Arial"/>
          <w:sz w:val="24"/>
          <w:szCs w:val="24"/>
          <w:lang w:val="en-US" w:eastAsia="pt-BR"/>
        </w:rPr>
        <w:t xml:space="preserve">a </w:t>
      </w:r>
      <w:r w:rsidR="00A05982" w:rsidRPr="00FF4588">
        <w:rPr>
          <w:rFonts w:ascii="Arial" w:hAnsi="Arial" w:cs="Arial"/>
          <w:sz w:val="24"/>
          <w:szCs w:val="24"/>
          <w:lang w:val="en-US" w:eastAsia="pt-BR"/>
        </w:rPr>
        <w:t>license</w:t>
      </w:r>
      <w:r w:rsidR="008056D5">
        <w:rPr>
          <w:rFonts w:ascii="Arial" w:hAnsi="Arial" w:cs="Arial"/>
          <w:sz w:val="24"/>
          <w:szCs w:val="24"/>
          <w:lang w:val="en-US" w:eastAsia="pt-BR"/>
        </w:rPr>
        <w:t xml:space="preserve"> or a</w:t>
      </w:r>
      <w:r w:rsidR="00A05982" w:rsidRPr="00FF4588">
        <w:rPr>
          <w:rFonts w:ascii="Arial" w:hAnsi="Arial" w:cs="Arial"/>
          <w:sz w:val="24"/>
          <w:szCs w:val="24"/>
          <w:lang w:val="en-US" w:eastAsia="pt-BR"/>
        </w:rPr>
        <w:t xml:space="preserve"> </w:t>
      </w:r>
      <w:r w:rsidR="00382424" w:rsidRPr="00FF4588">
        <w:rPr>
          <w:rFonts w:ascii="Arial" w:hAnsi="Arial" w:cs="Arial"/>
          <w:sz w:val="24"/>
          <w:szCs w:val="24"/>
          <w:lang w:val="en-US" w:eastAsia="pt-BR"/>
        </w:rPr>
        <w:t>trademarks</w:t>
      </w:r>
      <w:r w:rsidR="00A05982" w:rsidRPr="00FF4588">
        <w:rPr>
          <w:rFonts w:ascii="Arial" w:hAnsi="Arial" w:cs="Arial"/>
          <w:sz w:val="24"/>
          <w:szCs w:val="24"/>
          <w:lang w:val="en-US" w:eastAsia="pt-BR"/>
        </w:rPr>
        <w:t xml:space="preserve">, </w:t>
      </w:r>
      <w:r w:rsidR="0048436F" w:rsidRPr="00FF4588">
        <w:rPr>
          <w:rFonts w:ascii="Arial" w:hAnsi="Arial" w:cs="Arial"/>
          <w:sz w:val="24"/>
          <w:szCs w:val="24"/>
          <w:lang w:val="en-US" w:eastAsia="pt-BR"/>
        </w:rPr>
        <w:t>etc.</w:t>
      </w:r>
      <w:r w:rsidR="00A05982" w:rsidRPr="00FF4588">
        <w:rPr>
          <w:rFonts w:ascii="Arial" w:hAnsi="Arial" w:cs="Arial"/>
          <w:sz w:val="24"/>
          <w:szCs w:val="24"/>
          <w:lang w:val="en-US" w:eastAsia="pt-BR"/>
        </w:rPr>
        <w:t>)</w:t>
      </w:r>
      <w:r w:rsidR="00A05982" w:rsidRPr="00A05982">
        <w:rPr>
          <w:rFonts w:ascii="Arial" w:hAnsi="Arial" w:cs="Arial"/>
          <w:color w:val="008000"/>
          <w:sz w:val="24"/>
          <w:szCs w:val="24"/>
          <w:lang w:val="en-US" w:eastAsia="pt-BR"/>
        </w:rPr>
        <w:t xml:space="preserve"> </w:t>
      </w:r>
      <w:r w:rsidR="00C92CD0" w:rsidRPr="00C03C6E">
        <w:rPr>
          <w:rFonts w:ascii="Arial" w:hAnsi="Arial" w:cs="Arial"/>
          <w:sz w:val="24"/>
          <w:szCs w:val="24"/>
          <w:lang w:val="en-US" w:eastAsia="pt-BR"/>
        </w:rPr>
        <w:t>during the survey period</w:t>
      </w:r>
      <w:r w:rsidR="000622C8" w:rsidRPr="00C03C6E">
        <w:rPr>
          <w:rStyle w:val="Refdenotaderodap"/>
          <w:rFonts w:ascii="Arial" w:hAnsi="Arial" w:cs="Arial"/>
          <w:sz w:val="24"/>
          <w:szCs w:val="24"/>
          <w:lang w:val="en-US" w:eastAsia="pt-BR"/>
        </w:rPr>
        <w:footnoteReference w:id="4"/>
      </w:r>
      <w:r w:rsidR="00C92CD0" w:rsidRPr="00C03C6E">
        <w:rPr>
          <w:rFonts w:ascii="Arial" w:hAnsi="Arial" w:cs="Arial"/>
          <w:sz w:val="24"/>
          <w:szCs w:val="24"/>
          <w:lang w:val="en-US" w:eastAsia="pt-BR"/>
        </w:rPr>
        <w:t>.</w:t>
      </w:r>
      <w:r w:rsidR="00EF101E" w:rsidRPr="00C03C6E">
        <w:rPr>
          <w:rFonts w:ascii="Arial" w:hAnsi="Arial" w:cs="Arial"/>
          <w:sz w:val="24"/>
          <w:szCs w:val="24"/>
          <w:lang w:val="en-US" w:eastAsia="pt-BR"/>
        </w:rPr>
        <w:t xml:space="preserve"> U</w:t>
      </w:r>
      <w:r w:rsidR="008056D5">
        <w:rPr>
          <w:rFonts w:ascii="Arial" w:hAnsi="Arial" w:cs="Arial"/>
          <w:sz w:val="24"/>
          <w:szCs w:val="24"/>
          <w:lang w:val="en-US" w:eastAsia="pt-BR"/>
        </w:rPr>
        <w:t>sing</w:t>
      </w:r>
      <w:r w:rsidR="00EF101E" w:rsidRPr="00C03C6E">
        <w:rPr>
          <w:rFonts w:ascii="Arial" w:hAnsi="Arial" w:cs="Arial"/>
          <w:sz w:val="24"/>
          <w:szCs w:val="24"/>
          <w:lang w:val="en-US" w:eastAsia="pt-BR"/>
        </w:rPr>
        <w:t xml:space="preserve"> the sample of selected innovating firms, 3 indicators were considered for implementing the principal components analysis (PCA):</w:t>
      </w:r>
    </w:p>
    <w:p w:rsidR="00CD5BB5" w:rsidRPr="00FE03A1" w:rsidRDefault="00CE7F30" w:rsidP="00DA2910">
      <w:pPr>
        <w:autoSpaceDE w:val="0"/>
        <w:autoSpaceDN w:val="0"/>
        <w:adjustRightInd w:val="0"/>
        <w:spacing w:line="480" w:lineRule="auto"/>
        <w:jc w:val="both"/>
        <w:rPr>
          <w:rFonts w:ascii="Arial" w:hAnsi="Arial" w:cs="Arial"/>
          <w:sz w:val="24"/>
          <w:szCs w:val="24"/>
          <w:lang w:val="en-US"/>
        </w:rPr>
      </w:pPr>
      <w:r>
        <w:rPr>
          <w:rFonts w:ascii="Arial" w:hAnsi="Arial" w:cs="Arial"/>
          <w:sz w:val="24"/>
          <w:szCs w:val="24"/>
          <w:lang w:val="en-US"/>
        </w:rPr>
        <w:t>.</w:t>
      </w:r>
      <w:r w:rsidR="00EF101E" w:rsidRPr="00FE03A1">
        <w:rPr>
          <w:rFonts w:ascii="Arial" w:hAnsi="Arial" w:cs="Arial"/>
          <w:b/>
          <w:sz w:val="24"/>
          <w:szCs w:val="24"/>
          <w:lang w:val="en-US"/>
        </w:rPr>
        <w:t>ENT</w:t>
      </w:r>
      <w:r w:rsidR="0009570B" w:rsidRPr="00FE03A1">
        <w:rPr>
          <w:rFonts w:ascii="Arial" w:hAnsi="Arial" w:cs="Arial"/>
          <w:sz w:val="24"/>
          <w:szCs w:val="24"/>
          <w:lang w:val="en-US"/>
        </w:rPr>
        <w:t xml:space="preserve">: </w:t>
      </w:r>
      <w:r w:rsidR="008056D5">
        <w:rPr>
          <w:rFonts w:ascii="Arial" w:hAnsi="Arial" w:cs="Arial"/>
          <w:sz w:val="24"/>
          <w:szCs w:val="24"/>
          <w:lang w:val="en-US"/>
        </w:rPr>
        <w:t>approximated</w:t>
      </w:r>
      <w:r w:rsidR="00CD5BB5" w:rsidRPr="00FE03A1">
        <w:rPr>
          <w:rFonts w:ascii="Arial" w:hAnsi="Arial" w:cs="Arial"/>
          <w:sz w:val="24"/>
          <w:szCs w:val="24"/>
          <w:lang w:val="en-US"/>
        </w:rPr>
        <w:t xml:space="preserve"> the entry of new innovators, </w:t>
      </w:r>
      <w:r w:rsidR="0011711F" w:rsidRPr="00FE03A1">
        <w:rPr>
          <w:rFonts w:ascii="Arial" w:hAnsi="Arial" w:cs="Arial"/>
          <w:sz w:val="24"/>
          <w:szCs w:val="24"/>
          <w:lang w:val="en-US"/>
        </w:rPr>
        <w:t>by comparing</w:t>
      </w:r>
      <w:r w:rsidR="0009570B" w:rsidRPr="00FE03A1">
        <w:rPr>
          <w:rFonts w:ascii="Arial" w:hAnsi="Arial" w:cs="Arial"/>
          <w:sz w:val="24"/>
          <w:szCs w:val="24"/>
          <w:lang w:val="en-US"/>
        </w:rPr>
        <w:t xml:space="preserve"> </w:t>
      </w:r>
      <w:r w:rsidR="008056D5">
        <w:rPr>
          <w:rFonts w:ascii="Arial" w:hAnsi="Arial" w:cs="Arial"/>
          <w:sz w:val="24"/>
          <w:szCs w:val="24"/>
          <w:lang w:val="en-US"/>
        </w:rPr>
        <w:t xml:space="preserve">the </w:t>
      </w:r>
      <w:r w:rsidR="0009570B" w:rsidRPr="00FE03A1">
        <w:rPr>
          <w:rFonts w:ascii="Arial" w:hAnsi="Arial" w:cs="Arial"/>
          <w:sz w:val="24"/>
          <w:szCs w:val="24"/>
          <w:lang w:val="en-US"/>
        </w:rPr>
        <w:t>PINTEC su</w:t>
      </w:r>
      <w:r w:rsidR="00EF101E" w:rsidRPr="00FE03A1">
        <w:rPr>
          <w:rFonts w:ascii="Arial" w:hAnsi="Arial" w:cs="Arial"/>
          <w:sz w:val="24"/>
          <w:szCs w:val="24"/>
          <w:lang w:val="en-US"/>
        </w:rPr>
        <w:t xml:space="preserve">rveys </w:t>
      </w:r>
      <w:r w:rsidR="0009570B" w:rsidRPr="00FE03A1">
        <w:rPr>
          <w:rFonts w:ascii="Arial" w:hAnsi="Arial" w:cs="Arial"/>
          <w:sz w:val="24"/>
          <w:szCs w:val="24"/>
          <w:lang w:val="en-US"/>
        </w:rPr>
        <w:t xml:space="preserve">for 2000, 2003 and 2005, </w:t>
      </w:r>
      <w:r w:rsidR="008056D5">
        <w:rPr>
          <w:rFonts w:ascii="Arial" w:hAnsi="Arial" w:cs="Arial"/>
          <w:sz w:val="24"/>
          <w:szCs w:val="24"/>
          <w:lang w:val="en-US"/>
        </w:rPr>
        <w:t>and</w:t>
      </w:r>
      <w:r w:rsidR="0009570B" w:rsidRPr="00FE03A1">
        <w:rPr>
          <w:rFonts w:ascii="Arial" w:hAnsi="Arial" w:cs="Arial"/>
          <w:sz w:val="24"/>
          <w:szCs w:val="24"/>
          <w:lang w:val="en-US"/>
        </w:rPr>
        <w:t xml:space="preserve"> identified the f</w:t>
      </w:r>
      <w:r w:rsidR="00EF101E" w:rsidRPr="00FE03A1">
        <w:rPr>
          <w:rFonts w:ascii="Arial" w:hAnsi="Arial" w:cs="Arial"/>
          <w:sz w:val="24"/>
          <w:szCs w:val="24"/>
          <w:lang w:val="en-US"/>
        </w:rPr>
        <w:t>irms th</w:t>
      </w:r>
      <w:r w:rsidR="0009570B" w:rsidRPr="00FE03A1">
        <w:rPr>
          <w:rFonts w:ascii="Arial" w:hAnsi="Arial" w:cs="Arial"/>
          <w:sz w:val="24"/>
          <w:szCs w:val="24"/>
          <w:lang w:val="en-US"/>
        </w:rPr>
        <w:t>a</w:t>
      </w:r>
      <w:r w:rsidR="00EF101E" w:rsidRPr="00FE03A1">
        <w:rPr>
          <w:rFonts w:ascii="Arial" w:hAnsi="Arial" w:cs="Arial"/>
          <w:sz w:val="24"/>
          <w:szCs w:val="24"/>
          <w:lang w:val="en-US"/>
        </w:rPr>
        <w:t>t fi</w:t>
      </w:r>
      <w:r w:rsidR="0009570B" w:rsidRPr="00FE03A1">
        <w:rPr>
          <w:rFonts w:ascii="Arial" w:hAnsi="Arial" w:cs="Arial"/>
          <w:sz w:val="24"/>
          <w:szCs w:val="24"/>
          <w:lang w:val="en-US"/>
        </w:rPr>
        <w:t>r</w:t>
      </w:r>
      <w:r w:rsidR="00EF101E" w:rsidRPr="00FE03A1">
        <w:rPr>
          <w:rFonts w:ascii="Arial" w:hAnsi="Arial" w:cs="Arial"/>
          <w:sz w:val="24"/>
          <w:szCs w:val="24"/>
          <w:lang w:val="en-US"/>
        </w:rPr>
        <w:t>s</w:t>
      </w:r>
      <w:r w:rsidR="0009570B" w:rsidRPr="00FE03A1">
        <w:rPr>
          <w:rFonts w:ascii="Arial" w:hAnsi="Arial" w:cs="Arial"/>
          <w:sz w:val="24"/>
          <w:szCs w:val="24"/>
          <w:lang w:val="en-US"/>
        </w:rPr>
        <w:t>t</w:t>
      </w:r>
      <w:r w:rsidR="00EF101E" w:rsidRPr="00FE03A1">
        <w:rPr>
          <w:rFonts w:ascii="Arial" w:hAnsi="Arial" w:cs="Arial"/>
          <w:sz w:val="24"/>
          <w:szCs w:val="24"/>
          <w:lang w:val="en-US"/>
        </w:rPr>
        <w:t xml:space="preserve"> appe</w:t>
      </w:r>
      <w:r w:rsidR="0009570B" w:rsidRPr="00FE03A1">
        <w:rPr>
          <w:rFonts w:ascii="Arial" w:hAnsi="Arial" w:cs="Arial"/>
          <w:sz w:val="24"/>
          <w:szCs w:val="24"/>
          <w:lang w:val="en-US"/>
        </w:rPr>
        <w:t>a</w:t>
      </w:r>
      <w:r w:rsidR="00EF101E" w:rsidRPr="00FE03A1">
        <w:rPr>
          <w:rFonts w:ascii="Arial" w:hAnsi="Arial" w:cs="Arial"/>
          <w:sz w:val="24"/>
          <w:szCs w:val="24"/>
          <w:lang w:val="en-US"/>
        </w:rPr>
        <w:t>re</w:t>
      </w:r>
      <w:r w:rsidR="0009570B" w:rsidRPr="00FE03A1">
        <w:rPr>
          <w:rFonts w:ascii="Arial" w:hAnsi="Arial" w:cs="Arial"/>
          <w:sz w:val="24"/>
          <w:szCs w:val="24"/>
          <w:lang w:val="en-US"/>
        </w:rPr>
        <w:t>d as innov</w:t>
      </w:r>
      <w:r w:rsidR="00EF101E" w:rsidRPr="00FE03A1">
        <w:rPr>
          <w:rFonts w:ascii="Arial" w:hAnsi="Arial" w:cs="Arial"/>
          <w:sz w:val="24"/>
          <w:szCs w:val="24"/>
          <w:lang w:val="en-US"/>
        </w:rPr>
        <w:t xml:space="preserve">ators in </w:t>
      </w:r>
      <w:r w:rsidR="00EF101E" w:rsidRPr="00FE03A1">
        <w:rPr>
          <w:rFonts w:ascii="Arial" w:hAnsi="Arial" w:cs="Arial"/>
          <w:sz w:val="24"/>
          <w:szCs w:val="24"/>
          <w:lang w:val="en-US"/>
        </w:rPr>
        <w:lastRenderedPageBreak/>
        <w:t>2005</w:t>
      </w:r>
      <w:r w:rsidR="008056D5">
        <w:rPr>
          <w:rFonts w:ascii="Arial" w:hAnsi="Arial" w:cs="Arial"/>
          <w:sz w:val="24"/>
          <w:szCs w:val="24"/>
          <w:lang w:val="en-US"/>
        </w:rPr>
        <w:t xml:space="preserve"> for each 3-digits</w:t>
      </w:r>
      <w:r w:rsidR="0009570B" w:rsidRPr="00FE03A1">
        <w:rPr>
          <w:rFonts w:ascii="Arial" w:hAnsi="Arial" w:cs="Arial"/>
          <w:sz w:val="24"/>
          <w:szCs w:val="24"/>
          <w:lang w:val="en-US"/>
        </w:rPr>
        <w:t xml:space="preserve"> sector.  The indicator </w:t>
      </w:r>
      <w:r w:rsidR="008056D5">
        <w:rPr>
          <w:rFonts w:ascii="Arial" w:hAnsi="Arial" w:cs="Arial"/>
          <w:sz w:val="24"/>
          <w:szCs w:val="24"/>
          <w:lang w:val="en-US"/>
        </w:rPr>
        <w:t>was</w:t>
      </w:r>
      <w:r w:rsidR="0009570B" w:rsidRPr="00FE03A1">
        <w:rPr>
          <w:rFonts w:ascii="Arial" w:hAnsi="Arial" w:cs="Arial"/>
          <w:sz w:val="24"/>
          <w:szCs w:val="24"/>
          <w:lang w:val="en-US"/>
        </w:rPr>
        <w:t xml:space="preserve"> then defined as the proportion of </w:t>
      </w:r>
      <w:r w:rsidR="008056D5">
        <w:rPr>
          <w:rFonts w:ascii="Arial" w:hAnsi="Arial" w:cs="Arial"/>
          <w:sz w:val="24"/>
          <w:szCs w:val="24"/>
          <w:lang w:val="en-US"/>
        </w:rPr>
        <w:t>innovating firms</w:t>
      </w:r>
      <w:r w:rsidR="0009570B" w:rsidRPr="00FE03A1">
        <w:rPr>
          <w:rFonts w:ascii="Arial" w:hAnsi="Arial" w:cs="Arial"/>
          <w:sz w:val="24"/>
          <w:szCs w:val="24"/>
          <w:lang w:val="en-US"/>
        </w:rPr>
        <w:t xml:space="preserve"> relative to the total number of firms in the particular sector in 2005</w:t>
      </w:r>
      <w:r w:rsidR="00CD5BB5" w:rsidRPr="00FE03A1">
        <w:rPr>
          <w:rFonts w:ascii="Arial" w:hAnsi="Arial" w:cs="Arial"/>
          <w:sz w:val="24"/>
          <w:szCs w:val="24"/>
          <w:lang w:val="en-US"/>
        </w:rPr>
        <w:t>;</w:t>
      </w:r>
    </w:p>
    <w:p w:rsidR="00CD5BB5" w:rsidRPr="00341754" w:rsidRDefault="00CD5BB5" w:rsidP="00CE7F30">
      <w:pPr>
        <w:autoSpaceDE w:val="0"/>
        <w:autoSpaceDN w:val="0"/>
        <w:adjustRightInd w:val="0"/>
        <w:spacing w:line="480" w:lineRule="auto"/>
        <w:ind w:right="-143"/>
        <w:jc w:val="both"/>
        <w:rPr>
          <w:rFonts w:ascii="Arial" w:hAnsi="Arial" w:cs="Arial"/>
          <w:sz w:val="24"/>
          <w:szCs w:val="24"/>
          <w:lang w:val="en-US"/>
        </w:rPr>
      </w:pPr>
      <w:r w:rsidRPr="006105E0">
        <w:rPr>
          <w:rFonts w:ascii="Arial" w:hAnsi="Arial" w:cs="Arial"/>
          <w:sz w:val="24"/>
          <w:szCs w:val="24"/>
          <w:lang w:val="en-US"/>
        </w:rPr>
        <w:t xml:space="preserve">. </w:t>
      </w:r>
      <w:r w:rsidRPr="006105E0">
        <w:rPr>
          <w:rFonts w:ascii="Arial" w:hAnsi="Arial" w:cs="Arial"/>
          <w:b/>
          <w:sz w:val="24"/>
          <w:szCs w:val="24"/>
          <w:lang w:val="en-US"/>
        </w:rPr>
        <w:t>CONC</w:t>
      </w:r>
      <w:r w:rsidRPr="006105E0">
        <w:rPr>
          <w:rFonts w:ascii="Arial" w:hAnsi="Arial" w:cs="Arial"/>
          <w:sz w:val="24"/>
          <w:szCs w:val="24"/>
          <w:lang w:val="en-US"/>
        </w:rPr>
        <w:t xml:space="preserve">: </w:t>
      </w:r>
      <w:r w:rsidR="008056D5">
        <w:rPr>
          <w:rFonts w:ascii="Arial" w:hAnsi="Arial" w:cs="Arial"/>
          <w:sz w:val="24"/>
          <w:szCs w:val="24"/>
          <w:lang w:val="en-US"/>
        </w:rPr>
        <w:t>measured</w:t>
      </w:r>
      <w:r w:rsidR="00AF5A98" w:rsidRPr="004A5D56">
        <w:rPr>
          <w:rFonts w:ascii="Arial" w:hAnsi="Arial" w:cs="Arial"/>
          <w:sz w:val="24"/>
          <w:szCs w:val="24"/>
          <w:lang w:val="en-US"/>
        </w:rPr>
        <w:t xml:space="preserve"> the</w:t>
      </w:r>
      <w:r w:rsidR="008D7F56" w:rsidRPr="004A5D56">
        <w:rPr>
          <w:rFonts w:ascii="Arial" w:hAnsi="Arial" w:cs="Arial"/>
          <w:sz w:val="24"/>
          <w:szCs w:val="24"/>
          <w:lang w:val="en-US"/>
        </w:rPr>
        <w:t xml:space="preserve"> concentration of</w:t>
      </w:r>
      <w:r w:rsidRPr="004A5D56">
        <w:rPr>
          <w:rFonts w:ascii="Arial" w:hAnsi="Arial" w:cs="Arial"/>
          <w:sz w:val="24"/>
          <w:szCs w:val="24"/>
          <w:lang w:val="en-US"/>
        </w:rPr>
        <w:t xml:space="preserve"> innovating firms</w:t>
      </w:r>
      <w:r w:rsidR="003723E4" w:rsidRPr="004A5D56">
        <w:rPr>
          <w:rFonts w:ascii="Arial" w:hAnsi="Arial" w:cs="Arial"/>
          <w:sz w:val="24"/>
          <w:szCs w:val="24"/>
          <w:lang w:val="en-US"/>
        </w:rPr>
        <w:t xml:space="preserve"> in terms of revenue</w:t>
      </w:r>
      <w:r w:rsidR="008056D5">
        <w:rPr>
          <w:rFonts w:ascii="Arial" w:hAnsi="Arial" w:cs="Arial"/>
          <w:sz w:val="24"/>
          <w:szCs w:val="24"/>
          <w:lang w:val="en-US"/>
        </w:rPr>
        <w:t xml:space="preserve"> that</w:t>
      </w:r>
      <w:r w:rsidR="003723E4" w:rsidRPr="004A5D56">
        <w:rPr>
          <w:rFonts w:ascii="Arial" w:hAnsi="Arial" w:cs="Arial"/>
          <w:sz w:val="24"/>
          <w:szCs w:val="24"/>
          <w:lang w:val="en-US"/>
        </w:rPr>
        <w:t xml:space="preserve"> accru</w:t>
      </w:r>
      <w:r w:rsidR="008056D5">
        <w:rPr>
          <w:rFonts w:ascii="Arial" w:hAnsi="Arial" w:cs="Arial"/>
          <w:sz w:val="24"/>
          <w:szCs w:val="24"/>
          <w:lang w:val="en-US"/>
        </w:rPr>
        <w:t>ed</w:t>
      </w:r>
      <w:r w:rsidR="003723E4" w:rsidRPr="004A5D56">
        <w:rPr>
          <w:rFonts w:ascii="Arial" w:hAnsi="Arial" w:cs="Arial"/>
          <w:sz w:val="24"/>
          <w:szCs w:val="24"/>
          <w:lang w:val="en-US"/>
        </w:rPr>
        <w:t xml:space="preserve"> from innovati</w:t>
      </w:r>
      <w:r w:rsidR="008056D5">
        <w:rPr>
          <w:rFonts w:ascii="Arial" w:hAnsi="Arial" w:cs="Arial"/>
          <w:sz w:val="24"/>
          <w:szCs w:val="24"/>
          <w:lang w:val="en-US"/>
        </w:rPr>
        <w:t>ve</w:t>
      </w:r>
      <w:r w:rsidR="003723E4" w:rsidRPr="004A5D56">
        <w:rPr>
          <w:rFonts w:ascii="Arial" w:hAnsi="Arial" w:cs="Arial"/>
          <w:sz w:val="24"/>
          <w:szCs w:val="24"/>
          <w:lang w:val="en-US"/>
        </w:rPr>
        <w:t xml:space="preserve"> activities (process or product). </w:t>
      </w:r>
      <w:r w:rsidR="006105E0" w:rsidRPr="004A5D56">
        <w:rPr>
          <w:rFonts w:ascii="Arial" w:hAnsi="Arial" w:cs="Arial"/>
          <w:sz w:val="24"/>
          <w:szCs w:val="24"/>
          <w:lang w:val="en-US"/>
        </w:rPr>
        <w:t xml:space="preserve">This indicator was built upon firm-level data for the </w:t>
      </w:r>
      <w:r w:rsidR="008056D5">
        <w:rPr>
          <w:rFonts w:ascii="Arial" w:hAnsi="Arial" w:cs="Arial"/>
          <w:sz w:val="24"/>
          <w:szCs w:val="24"/>
          <w:lang w:val="en-US"/>
        </w:rPr>
        <w:t xml:space="preserve">2005 </w:t>
      </w:r>
      <w:r w:rsidR="006105E0" w:rsidRPr="004A5D56">
        <w:rPr>
          <w:rFonts w:ascii="Arial" w:hAnsi="Arial" w:cs="Arial"/>
          <w:sz w:val="24"/>
          <w:szCs w:val="24"/>
          <w:lang w:val="en-US"/>
        </w:rPr>
        <w:t>PINTEC from which we obtain</w:t>
      </w:r>
      <w:r w:rsidR="008056D5">
        <w:rPr>
          <w:rFonts w:ascii="Arial" w:hAnsi="Arial" w:cs="Arial"/>
          <w:sz w:val="24"/>
          <w:szCs w:val="24"/>
          <w:lang w:val="en-US"/>
        </w:rPr>
        <w:t>ed</w:t>
      </w:r>
      <w:r w:rsidR="006105E0" w:rsidRPr="004A5D56">
        <w:rPr>
          <w:rFonts w:ascii="Arial" w:hAnsi="Arial" w:cs="Arial"/>
          <w:sz w:val="24"/>
          <w:szCs w:val="24"/>
          <w:lang w:val="en-US"/>
        </w:rPr>
        <w:t xml:space="preserve"> the share of revenue </w:t>
      </w:r>
      <w:r w:rsidR="0048436F" w:rsidRPr="004A5D56">
        <w:rPr>
          <w:rFonts w:ascii="Arial" w:hAnsi="Arial" w:cs="Arial"/>
          <w:sz w:val="24"/>
          <w:szCs w:val="24"/>
          <w:lang w:val="en-US"/>
        </w:rPr>
        <w:t>attributed</w:t>
      </w:r>
      <w:r w:rsidR="006105E0" w:rsidRPr="004A5D56">
        <w:rPr>
          <w:rFonts w:ascii="Arial" w:hAnsi="Arial" w:cs="Arial"/>
          <w:sz w:val="24"/>
          <w:szCs w:val="24"/>
          <w:lang w:val="en-US"/>
        </w:rPr>
        <w:t xml:space="preserve"> to innovative activities</w:t>
      </w:r>
      <w:r w:rsidR="008056D5">
        <w:rPr>
          <w:rFonts w:ascii="Arial" w:hAnsi="Arial" w:cs="Arial"/>
          <w:sz w:val="24"/>
          <w:szCs w:val="24"/>
          <w:lang w:val="en-US"/>
        </w:rPr>
        <w:t>,</w:t>
      </w:r>
      <w:r w:rsidR="006105E0" w:rsidRPr="004A5D56">
        <w:rPr>
          <w:rFonts w:ascii="Arial" w:hAnsi="Arial" w:cs="Arial"/>
          <w:sz w:val="24"/>
          <w:szCs w:val="24"/>
          <w:lang w:val="en-US"/>
        </w:rPr>
        <w:t xml:space="preserve"> and that information was </w:t>
      </w:r>
      <w:r w:rsidR="008056D5">
        <w:rPr>
          <w:rFonts w:ascii="Arial" w:hAnsi="Arial" w:cs="Arial"/>
          <w:sz w:val="24"/>
          <w:szCs w:val="24"/>
          <w:lang w:val="en-US"/>
        </w:rPr>
        <w:t xml:space="preserve">then </w:t>
      </w:r>
      <w:r w:rsidR="006105E0" w:rsidRPr="004A5D56">
        <w:rPr>
          <w:rFonts w:ascii="Arial" w:hAnsi="Arial" w:cs="Arial"/>
          <w:sz w:val="24"/>
          <w:szCs w:val="24"/>
          <w:lang w:val="en-US"/>
        </w:rPr>
        <w:t xml:space="preserve">matched with data on total revenue for the same firms from the </w:t>
      </w:r>
      <w:r w:rsidR="0070793C">
        <w:rPr>
          <w:rFonts w:ascii="Arial" w:hAnsi="Arial" w:cs="Arial"/>
          <w:sz w:val="24"/>
          <w:szCs w:val="24"/>
          <w:lang w:val="en-US"/>
        </w:rPr>
        <w:t xml:space="preserve">2005 </w:t>
      </w:r>
      <w:r w:rsidR="006105E0" w:rsidRPr="004A5D56">
        <w:rPr>
          <w:rFonts w:ascii="Arial" w:hAnsi="Arial" w:cs="Arial"/>
          <w:sz w:val="24"/>
          <w:szCs w:val="24"/>
          <w:lang w:val="en-US"/>
        </w:rPr>
        <w:t>PIA</w:t>
      </w:r>
      <w:r w:rsidR="003723E4" w:rsidRPr="004A5D56">
        <w:rPr>
          <w:rFonts w:ascii="Arial" w:hAnsi="Arial" w:cs="Arial"/>
          <w:sz w:val="24"/>
          <w:szCs w:val="24"/>
          <w:lang w:val="en-US"/>
        </w:rPr>
        <w:t xml:space="preserve">. </w:t>
      </w:r>
      <w:r w:rsidR="00D31228" w:rsidRPr="004A5D56">
        <w:rPr>
          <w:rFonts w:ascii="Arial" w:hAnsi="Arial" w:cs="Arial"/>
          <w:sz w:val="24"/>
          <w:szCs w:val="24"/>
          <w:lang w:val="en-US"/>
        </w:rPr>
        <w:t>The combinati</w:t>
      </w:r>
      <w:r w:rsidR="0070793C">
        <w:rPr>
          <w:rFonts w:ascii="Arial" w:hAnsi="Arial" w:cs="Arial"/>
          <w:sz w:val="24"/>
          <w:szCs w:val="24"/>
          <w:lang w:val="en-US"/>
        </w:rPr>
        <w:t>on of these two variables allowed us to create</w:t>
      </w:r>
      <w:r w:rsidR="00D31228" w:rsidRPr="004A5D56">
        <w:rPr>
          <w:rFonts w:ascii="Arial" w:hAnsi="Arial" w:cs="Arial"/>
          <w:sz w:val="24"/>
          <w:szCs w:val="24"/>
          <w:lang w:val="en-US"/>
        </w:rPr>
        <w:t xml:space="preserve"> of what we call </w:t>
      </w:r>
      <w:r w:rsidR="0070793C">
        <w:rPr>
          <w:rFonts w:ascii="Arial" w:hAnsi="Arial" w:cs="Arial"/>
          <w:sz w:val="24"/>
          <w:szCs w:val="24"/>
          <w:lang w:val="en-US"/>
        </w:rPr>
        <w:t xml:space="preserve">the </w:t>
      </w:r>
      <w:r w:rsidR="00D31228" w:rsidRPr="004A5D56">
        <w:rPr>
          <w:rFonts w:ascii="Arial" w:hAnsi="Arial" w:cs="Arial"/>
          <w:sz w:val="24"/>
          <w:szCs w:val="24"/>
          <w:lang w:val="en-US"/>
        </w:rPr>
        <w:t>"innovation revenue"</w:t>
      </w:r>
      <w:r w:rsidR="00486A17" w:rsidRPr="004A5D56">
        <w:rPr>
          <w:rFonts w:ascii="Arial" w:hAnsi="Arial" w:cs="Arial"/>
          <w:sz w:val="24"/>
          <w:szCs w:val="24"/>
          <w:lang w:val="en-US"/>
        </w:rPr>
        <w:t xml:space="preserve"> for each 3-digits secto</w:t>
      </w:r>
      <w:r w:rsidR="00341754" w:rsidRPr="004A5D56">
        <w:rPr>
          <w:rFonts w:ascii="Arial" w:hAnsi="Arial" w:cs="Arial"/>
          <w:sz w:val="24"/>
          <w:szCs w:val="24"/>
          <w:lang w:val="en-US"/>
        </w:rPr>
        <w:t>r.</w:t>
      </w:r>
      <w:r w:rsidR="00486A17" w:rsidRPr="004A5D56">
        <w:rPr>
          <w:rFonts w:ascii="Arial" w:hAnsi="Arial" w:cs="Arial"/>
          <w:sz w:val="24"/>
          <w:szCs w:val="24"/>
          <w:lang w:val="en-US"/>
        </w:rPr>
        <w:t xml:space="preserve"> </w:t>
      </w:r>
      <w:r w:rsidR="003723E4" w:rsidRPr="004A5D56">
        <w:rPr>
          <w:rFonts w:ascii="Arial" w:hAnsi="Arial" w:cs="Arial"/>
          <w:sz w:val="24"/>
          <w:szCs w:val="24"/>
          <w:lang w:val="en-US"/>
        </w:rPr>
        <w:t>Thus, we were able to generate firm-level data on innovat</w:t>
      </w:r>
      <w:r w:rsidR="00A11FA8" w:rsidRPr="004A5D56">
        <w:rPr>
          <w:rFonts w:ascii="Arial" w:hAnsi="Arial" w:cs="Arial"/>
          <w:sz w:val="24"/>
          <w:szCs w:val="24"/>
          <w:lang w:val="en-US"/>
        </w:rPr>
        <w:t>i</w:t>
      </w:r>
      <w:r w:rsidR="003723E4" w:rsidRPr="004A5D56">
        <w:rPr>
          <w:rFonts w:ascii="Arial" w:hAnsi="Arial" w:cs="Arial"/>
          <w:sz w:val="24"/>
          <w:szCs w:val="24"/>
          <w:lang w:val="en-US"/>
        </w:rPr>
        <w:t>on revenue.</w:t>
      </w:r>
      <w:r w:rsidR="00A11FA8" w:rsidRPr="00341754">
        <w:rPr>
          <w:rFonts w:ascii="Arial" w:hAnsi="Arial" w:cs="Arial"/>
          <w:sz w:val="24"/>
          <w:szCs w:val="24"/>
          <w:lang w:val="en-US"/>
        </w:rPr>
        <w:t xml:space="preserve"> The related s</w:t>
      </w:r>
      <w:r w:rsidR="007B694E" w:rsidRPr="00341754">
        <w:rPr>
          <w:rFonts w:ascii="Arial" w:hAnsi="Arial" w:cs="Arial"/>
          <w:sz w:val="24"/>
          <w:szCs w:val="24"/>
          <w:lang w:val="en-US"/>
        </w:rPr>
        <w:t>hares (</w:t>
      </w:r>
      <w:proofErr w:type="spellStart"/>
      <w:r w:rsidR="007B694E" w:rsidRPr="00341754">
        <w:rPr>
          <w:rFonts w:ascii="Arial" w:hAnsi="Arial" w:cs="Arial"/>
          <w:sz w:val="24"/>
          <w:szCs w:val="24"/>
          <w:lang w:val="en-US"/>
        </w:rPr>
        <w:t>s</w:t>
      </w:r>
      <w:r w:rsidR="007B694E" w:rsidRPr="00341754">
        <w:rPr>
          <w:rFonts w:ascii="Arial" w:hAnsi="Arial" w:cs="Arial"/>
          <w:sz w:val="24"/>
          <w:szCs w:val="24"/>
          <w:vertAlign w:val="subscript"/>
          <w:lang w:val="en-US"/>
        </w:rPr>
        <w:t>i</w:t>
      </w:r>
      <w:proofErr w:type="spellEnd"/>
      <w:r w:rsidR="0070793C">
        <w:rPr>
          <w:rFonts w:ascii="Arial" w:hAnsi="Arial" w:cs="Arial"/>
          <w:sz w:val="24"/>
          <w:szCs w:val="24"/>
          <w:lang w:val="en-US"/>
        </w:rPr>
        <w:t xml:space="preserve">) could </w:t>
      </w:r>
      <w:r w:rsidR="007B694E" w:rsidRPr="00341754">
        <w:rPr>
          <w:rFonts w:ascii="Arial" w:hAnsi="Arial" w:cs="Arial"/>
          <w:sz w:val="24"/>
          <w:szCs w:val="24"/>
          <w:lang w:val="en-US"/>
        </w:rPr>
        <w:t xml:space="preserve">then be readily used to calculate </w:t>
      </w:r>
      <w:r w:rsidR="004864F6" w:rsidRPr="00341754">
        <w:rPr>
          <w:rFonts w:ascii="Arial" w:hAnsi="Arial" w:cs="Arial"/>
          <w:sz w:val="24"/>
          <w:szCs w:val="24"/>
          <w:lang w:val="en-US"/>
        </w:rPr>
        <w:t xml:space="preserve">the </w:t>
      </w:r>
      <w:r w:rsidR="007B694E" w:rsidRPr="00341754">
        <w:rPr>
          <w:rFonts w:ascii="Arial" w:hAnsi="Arial" w:cs="Arial"/>
          <w:sz w:val="24"/>
          <w:szCs w:val="24"/>
          <w:lang w:val="en-US"/>
        </w:rPr>
        <w:t xml:space="preserve">Herfindahl concentration index defined as H = </w:t>
      </w:r>
      <w:r w:rsidR="007B694E" w:rsidRPr="00341754">
        <w:rPr>
          <w:rFonts w:ascii="Arial" w:hAnsi="Arial" w:cs="Arial"/>
          <w:sz w:val="24"/>
          <w:szCs w:val="24"/>
        </w:rPr>
        <w:sym w:font="Symbol" w:char="F053"/>
      </w:r>
      <w:r w:rsidR="007B694E" w:rsidRPr="00341754">
        <w:rPr>
          <w:rFonts w:ascii="Arial" w:hAnsi="Arial" w:cs="Arial"/>
          <w:sz w:val="24"/>
          <w:szCs w:val="24"/>
          <w:vertAlign w:val="subscript"/>
          <w:lang w:val="en-US"/>
        </w:rPr>
        <w:t>i</w:t>
      </w:r>
      <w:r w:rsidR="007B694E" w:rsidRPr="00341754">
        <w:rPr>
          <w:rFonts w:ascii="Arial" w:hAnsi="Arial" w:cs="Arial"/>
          <w:sz w:val="24"/>
          <w:szCs w:val="24"/>
          <w:lang w:val="en-US"/>
        </w:rPr>
        <w:t xml:space="preserve"> s</w:t>
      </w:r>
      <w:r w:rsidR="007B694E" w:rsidRPr="00341754">
        <w:rPr>
          <w:rFonts w:ascii="Arial" w:hAnsi="Arial" w:cs="Arial"/>
          <w:sz w:val="24"/>
          <w:szCs w:val="24"/>
          <w:vertAlign w:val="subscript"/>
          <w:lang w:val="en-US"/>
        </w:rPr>
        <w:t>i</w:t>
      </w:r>
      <w:r w:rsidR="007B694E" w:rsidRPr="00341754">
        <w:rPr>
          <w:rFonts w:ascii="Arial" w:hAnsi="Arial" w:cs="Arial"/>
          <w:sz w:val="24"/>
          <w:szCs w:val="24"/>
          <w:vertAlign w:val="superscript"/>
          <w:lang w:val="en-US"/>
        </w:rPr>
        <w:t>2</w:t>
      </w:r>
      <w:r w:rsidR="007B694E" w:rsidRPr="00341754">
        <w:rPr>
          <w:rFonts w:ascii="Arial" w:hAnsi="Arial" w:cs="Arial"/>
          <w:sz w:val="24"/>
          <w:szCs w:val="24"/>
          <w:lang w:val="en-US"/>
        </w:rPr>
        <w:t>;</w:t>
      </w:r>
    </w:p>
    <w:p w:rsidR="003723E4" w:rsidRPr="005F425D" w:rsidRDefault="00CE7F30" w:rsidP="00CE7F30">
      <w:pPr>
        <w:autoSpaceDE w:val="0"/>
        <w:autoSpaceDN w:val="0"/>
        <w:adjustRightInd w:val="0"/>
        <w:spacing w:line="480" w:lineRule="auto"/>
        <w:ind w:right="-143"/>
        <w:jc w:val="both"/>
        <w:rPr>
          <w:rFonts w:ascii="Arial" w:hAnsi="Arial" w:cs="Arial"/>
          <w:sz w:val="24"/>
          <w:szCs w:val="24"/>
          <w:lang w:val="en-US"/>
        </w:rPr>
      </w:pPr>
      <w:r>
        <w:rPr>
          <w:rFonts w:ascii="Arial" w:hAnsi="Arial" w:cs="Arial"/>
          <w:sz w:val="24"/>
          <w:szCs w:val="24"/>
          <w:lang w:val="en-US"/>
        </w:rPr>
        <w:t>.</w:t>
      </w:r>
      <w:r w:rsidR="00DA183B" w:rsidRPr="00437E26">
        <w:rPr>
          <w:rFonts w:ascii="Arial" w:hAnsi="Arial" w:cs="Arial"/>
          <w:b/>
          <w:sz w:val="24"/>
          <w:szCs w:val="24"/>
          <w:lang w:val="en-US"/>
        </w:rPr>
        <w:t>STAB</w:t>
      </w:r>
      <w:r w:rsidR="0070793C">
        <w:rPr>
          <w:rFonts w:ascii="Arial" w:hAnsi="Arial" w:cs="Arial"/>
          <w:sz w:val="24"/>
          <w:szCs w:val="24"/>
          <w:lang w:val="en-US"/>
        </w:rPr>
        <w:t>: indicated</w:t>
      </w:r>
      <w:r w:rsidR="00DA183B" w:rsidRPr="00DA183B">
        <w:rPr>
          <w:rFonts w:ascii="Arial" w:hAnsi="Arial" w:cs="Arial"/>
          <w:sz w:val="24"/>
          <w:szCs w:val="24"/>
          <w:lang w:val="en-US"/>
        </w:rPr>
        <w:t xml:space="preserve"> </w:t>
      </w:r>
      <w:r w:rsidR="0070793C">
        <w:rPr>
          <w:rFonts w:ascii="Arial" w:hAnsi="Arial" w:cs="Arial"/>
          <w:sz w:val="24"/>
          <w:szCs w:val="24"/>
          <w:lang w:val="en-US"/>
        </w:rPr>
        <w:t>the</w:t>
      </w:r>
      <w:r w:rsidR="00DA183B" w:rsidRPr="00DA183B">
        <w:rPr>
          <w:rFonts w:ascii="Arial" w:hAnsi="Arial" w:cs="Arial"/>
          <w:sz w:val="24"/>
          <w:szCs w:val="24"/>
          <w:lang w:val="en-US"/>
        </w:rPr>
        <w:t xml:space="preserve"> hierarchical s</w:t>
      </w:r>
      <w:r w:rsidR="0070793C">
        <w:rPr>
          <w:rFonts w:ascii="Arial" w:hAnsi="Arial" w:cs="Arial"/>
          <w:sz w:val="24"/>
          <w:szCs w:val="24"/>
          <w:lang w:val="en-US"/>
        </w:rPr>
        <w:t>tability of innovators that aimed</w:t>
      </w:r>
      <w:r w:rsidR="00DA183B" w:rsidRPr="00DA183B">
        <w:rPr>
          <w:rFonts w:ascii="Arial" w:hAnsi="Arial" w:cs="Arial"/>
          <w:sz w:val="24"/>
          <w:szCs w:val="24"/>
          <w:lang w:val="en-US"/>
        </w:rPr>
        <w:t xml:space="preserve"> </w:t>
      </w:r>
      <w:r w:rsidR="0070793C">
        <w:rPr>
          <w:rFonts w:ascii="Arial" w:hAnsi="Arial" w:cs="Arial"/>
          <w:sz w:val="24"/>
          <w:szCs w:val="24"/>
          <w:lang w:val="en-US"/>
        </w:rPr>
        <w:t>to</w:t>
      </w:r>
      <w:r w:rsidR="00DA183B" w:rsidRPr="00DA183B">
        <w:rPr>
          <w:rFonts w:ascii="Arial" w:hAnsi="Arial" w:cs="Arial"/>
          <w:sz w:val="24"/>
          <w:szCs w:val="24"/>
          <w:lang w:val="en-US"/>
        </w:rPr>
        <w:t xml:space="preserve"> approximat</w:t>
      </w:r>
      <w:r w:rsidR="0070793C">
        <w:rPr>
          <w:rFonts w:ascii="Arial" w:hAnsi="Arial" w:cs="Arial"/>
          <w:sz w:val="24"/>
          <w:szCs w:val="24"/>
          <w:lang w:val="en-US"/>
        </w:rPr>
        <w:t>e</w:t>
      </w:r>
      <w:r w:rsidR="00DA183B" w:rsidRPr="00DA183B">
        <w:rPr>
          <w:rFonts w:ascii="Arial" w:hAnsi="Arial" w:cs="Arial"/>
          <w:sz w:val="24"/>
          <w:szCs w:val="24"/>
          <w:lang w:val="en-US"/>
        </w:rPr>
        <w:t xml:space="preserve"> the degree of technological dynamism </w:t>
      </w:r>
      <w:r w:rsidR="0070793C">
        <w:rPr>
          <w:rFonts w:ascii="Arial" w:hAnsi="Arial" w:cs="Arial"/>
          <w:sz w:val="24"/>
          <w:szCs w:val="24"/>
          <w:lang w:val="en-US"/>
        </w:rPr>
        <w:t>in</w:t>
      </w:r>
      <w:r w:rsidR="00DA183B" w:rsidRPr="00DA183B">
        <w:rPr>
          <w:rFonts w:ascii="Arial" w:hAnsi="Arial" w:cs="Arial"/>
          <w:sz w:val="24"/>
          <w:szCs w:val="24"/>
          <w:lang w:val="en-US"/>
        </w:rPr>
        <w:t xml:space="preserve"> the sector. </w:t>
      </w:r>
      <w:r w:rsidR="00DA183B" w:rsidRPr="004A5D56">
        <w:rPr>
          <w:rFonts w:ascii="Arial" w:hAnsi="Arial" w:cs="Arial"/>
          <w:sz w:val="24"/>
          <w:szCs w:val="24"/>
          <w:lang w:val="en-US"/>
        </w:rPr>
        <w:t xml:space="preserve">To </w:t>
      </w:r>
      <w:r w:rsidR="004A5D56">
        <w:rPr>
          <w:rFonts w:ascii="Arial" w:hAnsi="Arial" w:cs="Arial"/>
          <w:sz w:val="24"/>
          <w:szCs w:val="24"/>
          <w:lang w:val="en-US"/>
        </w:rPr>
        <w:t>construct</w:t>
      </w:r>
      <w:r w:rsidR="00DA183B" w:rsidRPr="004A5D56">
        <w:rPr>
          <w:rFonts w:ascii="Arial" w:hAnsi="Arial" w:cs="Arial"/>
          <w:sz w:val="24"/>
          <w:szCs w:val="24"/>
          <w:lang w:val="en-US"/>
        </w:rPr>
        <w:t xml:space="preserve"> this indicator, </w:t>
      </w:r>
      <w:r w:rsidR="0070793C">
        <w:rPr>
          <w:rFonts w:ascii="Arial" w:hAnsi="Arial" w:cs="Arial"/>
          <w:sz w:val="24"/>
          <w:szCs w:val="24"/>
          <w:lang w:val="en-US"/>
        </w:rPr>
        <w:t xml:space="preserve">we </w:t>
      </w:r>
      <w:r w:rsidR="00DA183B" w:rsidRPr="004A5D56">
        <w:rPr>
          <w:rFonts w:ascii="Arial" w:hAnsi="Arial" w:cs="Arial"/>
          <w:sz w:val="24"/>
          <w:szCs w:val="24"/>
          <w:lang w:val="en-US"/>
        </w:rPr>
        <w:t xml:space="preserve">first </w:t>
      </w:r>
      <w:r w:rsidR="00DA2910">
        <w:rPr>
          <w:rFonts w:ascii="Arial" w:hAnsi="Arial" w:cs="Arial"/>
          <w:sz w:val="24"/>
          <w:szCs w:val="24"/>
          <w:lang w:val="en-US"/>
        </w:rPr>
        <w:t>i</w:t>
      </w:r>
      <w:r w:rsidR="00DA183B" w:rsidRPr="004A5D56">
        <w:rPr>
          <w:rFonts w:ascii="Arial" w:hAnsi="Arial" w:cs="Arial"/>
          <w:sz w:val="24"/>
          <w:szCs w:val="24"/>
          <w:lang w:val="en-US"/>
        </w:rPr>
        <w:t xml:space="preserve">dentified the innovating firms in 2000 based on the PINTEC and then we </w:t>
      </w:r>
      <w:r w:rsidR="0070793C">
        <w:rPr>
          <w:rFonts w:ascii="Arial" w:hAnsi="Arial" w:cs="Arial"/>
          <w:sz w:val="24"/>
          <w:szCs w:val="24"/>
          <w:lang w:val="en-US"/>
        </w:rPr>
        <w:t>determined</w:t>
      </w:r>
      <w:r w:rsidR="00DA183B" w:rsidRPr="004A5D56">
        <w:rPr>
          <w:rFonts w:ascii="Arial" w:hAnsi="Arial" w:cs="Arial"/>
          <w:sz w:val="24"/>
          <w:szCs w:val="24"/>
          <w:lang w:val="en-US"/>
        </w:rPr>
        <w:t xml:space="preserve"> the i</w:t>
      </w:r>
      <w:r w:rsidR="0070793C">
        <w:rPr>
          <w:rFonts w:ascii="Arial" w:hAnsi="Arial" w:cs="Arial"/>
          <w:sz w:val="24"/>
          <w:szCs w:val="24"/>
          <w:lang w:val="en-US"/>
        </w:rPr>
        <w:t xml:space="preserve">nnovation revenue based on </w:t>
      </w:r>
      <w:r w:rsidR="00DA183B" w:rsidRPr="004A5D56">
        <w:rPr>
          <w:rFonts w:ascii="Arial" w:hAnsi="Arial" w:cs="Arial"/>
          <w:sz w:val="24"/>
          <w:szCs w:val="24"/>
          <w:lang w:val="en-US"/>
        </w:rPr>
        <w:t xml:space="preserve">the procedure described in the </w:t>
      </w:r>
      <w:r w:rsidR="0070793C">
        <w:rPr>
          <w:rFonts w:ascii="Arial" w:hAnsi="Arial" w:cs="Arial"/>
          <w:sz w:val="24"/>
          <w:szCs w:val="24"/>
          <w:lang w:val="en-US"/>
        </w:rPr>
        <w:t>previous item for 2000 and 2005, I</w:t>
      </w:r>
      <w:r w:rsidR="00DA183B" w:rsidRPr="004A5D56">
        <w:rPr>
          <w:rFonts w:ascii="Arial" w:hAnsi="Arial" w:cs="Arial"/>
          <w:sz w:val="24"/>
          <w:szCs w:val="24"/>
          <w:lang w:val="en-US"/>
        </w:rPr>
        <w:t xml:space="preserve">n cases </w:t>
      </w:r>
      <w:r w:rsidR="0070793C">
        <w:rPr>
          <w:rFonts w:ascii="Arial" w:hAnsi="Arial" w:cs="Arial"/>
          <w:sz w:val="24"/>
          <w:szCs w:val="24"/>
          <w:lang w:val="en-US"/>
        </w:rPr>
        <w:t>of</w:t>
      </w:r>
      <w:r w:rsidR="00DA183B" w:rsidRPr="00DA183B">
        <w:rPr>
          <w:rFonts w:ascii="Arial" w:hAnsi="Arial" w:cs="Arial"/>
          <w:sz w:val="24"/>
          <w:szCs w:val="24"/>
          <w:lang w:val="en-US"/>
        </w:rPr>
        <w:t xml:space="preserve"> non-innovating firms we assigned zero revenue.</w:t>
      </w:r>
      <w:r w:rsidR="00DA183B" w:rsidRPr="00437E26">
        <w:rPr>
          <w:rFonts w:ascii="Arial" w:hAnsi="Arial" w:cs="Arial"/>
          <w:sz w:val="24"/>
          <w:szCs w:val="24"/>
          <w:lang w:val="en-US"/>
        </w:rPr>
        <w:t xml:space="preserve"> </w:t>
      </w:r>
      <w:r w:rsidR="004864F6" w:rsidRPr="005F425D">
        <w:rPr>
          <w:rFonts w:ascii="Arial" w:hAnsi="Arial" w:cs="Arial"/>
          <w:sz w:val="24"/>
          <w:szCs w:val="24"/>
          <w:lang w:val="en-US"/>
        </w:rPr>
        <w:t>The s</w:t>
      </w:r>
      <w:r w:rsidR="0070793C">
        <w:rPr>
          <w:rFonts w:ascii="Arial" w:hAnsi="Arial" w:cs="Arial"/>
          <w:sz w:val="24"/>
          <w:szCs w:val="24"/>
          <w:lang w:val="en-US"/>
        </w:rPr>
        <w:t>tability indicator then compared</w:t>
      </w:r>
      <w:r w:rsidR="004864F6" w:rsidRPr="005F425D">
        <w:rPr>
          <w:rFonts w:ascii="Arial" w:hAnsi="Arial" w:cs="Arial"/>
          <w:sz w:val="24"/>
          <w:szCs w:val="24"/>
          <w:lang w:val="en-US"/>
        </w:rPr>
        <w:t xml:space="preserve"> the ranking of innovation revenue in each 3-digits sector between the two years in terms of Spearman correl</w:t>
      </w:r>
      <w:r w:rsidR="00E171DE" w:rsidRPr="005F425D">
        <w:rPr>
          <w:rFonts w:ascii="Arial" w:hAnsi="Arial" w:cs="Arial"/>
          <w:sz w:val="24"/>
          <w:szCs w:val="24"/>
          <w:lang w:val="en-US"/>
        </w:rPr>
        <w:t>ation coefficients. Given the small</w:t>
      </w:r>
      <w:r w:rsidR="00670306" w:rsidRPr="005F425D">
        <w:rPr>
          <w:rFonts w:ascii="Arial" w:hAnsi="Arial" w:cs="Arial"/>
          <w:sz w:val="24"/>
          <w:szCs w:val="24"/>
          <w:lang w:val="en-US"/>
        </w:rPr>
        <w:t xml:space="preserve"> num</w:t>
      </w:r>
      <w:r w:rsidR="0066584A" w:rsidRPr="005F425D">
        <w:rPr>
          <w:rFonts w:ascii="Arial" w:hAnsi="Arial" w:cs="Arial"/>
          <w:sz w:val="24"/>
          <w:szCs w:val="24"/>
          <w:lang w:val="en-US"/>
        </w:rPr>
        <w:t>b</w:t>
      </w:r>
      <w:r w:rsidR="00670306" w:rsidRPr="005F425D">
        <w:rPr>
          <w:rFonts w:ascii="Arial" w:hAnsi="Arial" w:cs="Arial"/>
          <w:sz w:val="24"/>
          <w:szCs w:val="24"/>
          <w:lang w:val="en-US"/>
        </w:rPr>
        <w:t>er of</w:t>
      </w:r>
      <w:r w:rsidR="00E171DE" w:rsidRPr="005F425D">
        <w:rPr>
          <w:rFonts w:ascii="Arial" w:hAnsi="Arial" w:cs="Arial"/>
          <w:sz w:val="24"/>
          <w:szCs w:val="24"/>
          <w:lang w:val="en-US"/>
        </w:rPr>
        <w:t xml:space="preserve"> firms i</w:t>
      </w:r>
      <w:r w:rsidR="00670306" w:rsidRPr="005F425D">
        <w:rPr>
          <w:rFonts w:ascii="Arial" w:hAnsi="Arial" w:cs="Arial"/>
          <w:sz w:val="24"/>
          <w:szCs w:val="24"/>
          <w:lang w:val="en-US"/>
        </w:rPr>
        <w:t>n</w:t>
      </w:r>
      <w:r w:rsidR="00E171DE" w:rsidRPr="005F425D">
        <w:rPr>
          <w:rFonts w:ascii="Arial" w:hAnsi="Arial" w:cs="Arial"/>
          <w:sz w:val="24"/>
          <w:szCs w:val="24"/>
          <w:lang w:val="en-US"/>
        </w:rPr>
        <w:t xml:space="preserve"> some sectors,</w:t>
      </w:r>
      <w:r w:rsidR="00670306" w:rsidRPr="005F425D">
        <w:rPr>
          <w:rFonts w:ascii="Arial" w:hAnsi="Arial" w:cs="Arial"/>
          <w:sz w:val="24"/>
          <w:szCs w:val="24"/>
          <w:lang w:val="en-US"/>
        </w:rPr>
        <w:t xml:space="preserve"> we</w:t>
      </w:r>
      <w:r w:rsidR="00E171DE" w:rsidRPr="005F425D">
        <w:rPr>
          <w:rFonts w:ascii="Arial" w:hAnsi="Arial" w:cs="Arial"/>
          <w:sz w:val="24"/>
          <w:szCs w:val="24"/>
          <w:lang w:val="en-US"/>
        </w:rPr>
        <w:t xml:space="preserve"> consider</w:t>
      </w:r>
      <w:r w:rsidR="00670306" w:rsidRPr="005F425D">
        <w:rPr>
          <w:rFonts w:ascii="Arial" w:hAnsi="Arial" w:cs="Arial"/>
          <w:sz w:val="24"/>
          <w:szCs w:val="24"/>
          <w:lang w:val="en-US"/>
        </w:rPr>
        <w:t>ed</w:t>
      </w:r>
      <w:r w:rsidR="00E171DE" w:rsidRPr="005F425D">
        <w:rPr>
          <w:rFonts w:ascii="Arial" w:hAnsi="Arial" w:cs="Arial"/>
          <w:sz w:val="24"/>
          <w:szCs w:val="24"/>
          <w:lang w:val="en-US"/>
        </w:rPr>
        <w:t xml:space="preserve"> only those where a </w:t>
      </w:r>
      <w:r w:rsidR="00670306" w:rsidRPr="005F425D">
        <w:rPr>
          <w:rFonts w:ascii="Arial" w:hAnsi="Arial" w:cs="Arial"/>
          <w:sz w:val="24"/>
          <w:szCs w:val="24"/>
          <w:lang w:val="en-US"/>
        </w:rPr>
        <w:t>significant correlation coe</w:t>
      </w:r>
      <w:r w:rsidR="004A5D56">
        <w:rPr>
          <w:rFonts w:ascii="Arial" w:hAnsi="Arial" w:cs="Arial"/>
          <w:sz w:val="24"/>
          <w:szCs w:val="24"/>
          <w:lang w:val="en-US"/>
        </w:rPr>
        <w:t>f</w:t>
      </w:r>
      <w:r w:rsidR="00670306" w:rsidRPr="005F425D">
        <w:rPr>
          <w:rFonts w:ascii="Arial" w:hAnsi="Arial" w:cs="Arial"/>
          <w:sz w:val="24"/>
          <w:szCs w:val="24"/>
          <w:lang w:val="en-US"/>
        </w:rPr>
        <w:t>ficient</w:t>
      </w:r>
      <w:r w:rsidR="00E171DE" w:rsidRPr="005F425D">
        <w:rPr>
          <w:rFonts w:ascii="Arial" w:hAnsi="Arial" w:cs="Arial"/>
          <w:sz w:val="24"/>
          <w:szCs w:val="24"/>
          <w:lang w:val="en-US"/>
        </w:rPr>
        <w:t xml:space="preserve"> was obtained.</w:t>
      </w:r>
      <w:r w:rsidR="00670306" w:rsidRPr="005F425D">
        <w:rPr>
          <w:rFonts w:ascii="Arial" w:hAnsi="Arial" w:cs="Arial"/>
          <w:sz w:val="24"/>
          <w:szCs w:val="24"/>
          <w:lang w:val="en-US"/>
        </w:rPr>
        <w:t xml:space="preserve"> Thus, </w:t>
      </w:r>
      <w:r w:rsidR="009F5068" w:rsidRPr="005F425D">
        <w:rPr>
          <w:rFonts w:ascii="Arial" w:hAnsi="Arial" w:cs="Arial"/>
          <w:sz w:val="24"/>
          <w:szCs w:val="24"/>
          <w:lang w:val="en-US"/>
        </w:rPr>
        <w:t>startin</w:t>
      </w:r>
      <w:r w:rsidR="005F425D" w:rsidRPr="005F425D">
        <w:rPr>
          <w:rFonts w:ascii="Arial" w:hAnsi="Arial" w:cs="Arial"/>
          <w:sz w:val="24"/>
          <w:szCs w:val="24"/>
          <w:lang w:val="en-US"/>
        </w:rPr>
        <w:t>g</w:t>
      </w:r>
      <w:r w:rsidR="009F5068" w:rsidRPr="005F425D">
        <w:rPr>
          <w:rFonts w:ascii="Arial" w:hAnsi="Arial" w:cs="Arial"/>
          <w:sz w:val="24"/>
          <w:szCs w:val="24"/>
          <w:lang w:val="en-US"/>
        </w:rPr>
        <w:t xml:space="preserve"> </w:t>
      </w:r>
      <w:r w:rsidR="00670306" w:rsidRPr="005F425D">
        <w:rPr>
          <w:rFonts w:ascii="Arial" w:hAnsi="Arial" w:cs="Arial"/>
          <w:sz w:val="24"/>
          <w:szCs w:val="24"/>
          <w:lang w:val="en-US"/>
        </w:rPr>
        <w:t xml:space="preserve">from </w:t>
      </w:r>
      <w:r w:rsidR="009F5068" w:rsidRPr="005F425D">
        <w:rPr>
          <w:rFonts w:ascii="Arial" w:hAnsi="Arial" w:cs="Arial"/>
          <w:sz w:val="24"/>
          <w:szCs w:val="24"/>
          <w:lang w:val="en-US"/>
        </w:rPr>
        <w:t>an</w:t>
      </w:r>
      <w:r w:rsidR="00670306" w:rsidRPr="005F425D">
        <w:rPr>
          <w:rFonts w:ascii="Arial" w:hAnsi="Arial" w:cs="Arial"/>
          <w:sz w:val="24"/>
          <w:szCs w:val="24"/>
          <w:lang w:val="en-US"/>
        </w:rPr>
        <w:t xml:space="preserve"> initial sample of 112 sectors at the 3-digits level (comprising extractive and manufacturing industries) </w:t>
      </w:r>
      <w:r w:rsidR="0070793C">
        <w:rPr>
          <w:rFonts w:ascii="Arial" w:hAnsi="Arial" w:cs="Arial"/>
          <w:sz w:val="24"/>
          <w:szCs w:val="24"/>
          <w:lang w:val="en-US"/>
        </w:rPr>
        <w:t>we ended</w:t>
      </w:r>
      <w:r w:rsidR="00670306" w:rsidRPr="005F425D">
        <w:rPr>
          <w:rFonts w:ascii="Arial" w:hAnsi="Arial" w:cs="Arial"/>
          <w:sz w:val="24"/>
          <w:szCs w:val="24"/>
          <w:lang w:val="en-US"/>
        </w:rPr>
        <w:t xml:space="preserve"> wi</w:t>
      </w:r>
      <w:r w:rsidR="006D577A">
        <w:rPr>
          <w:rFonts w:ascii="Arial" w:hAnsi="Arial" w:cs="Arial"/>
          <w:sz w:val="24"/>
          <w:szCs w:val="24"/>
          <w:lang w:val="en-US"/>
        </w:rPr>
        <w:t>th a final sample comp</w:t>
      </w:r>
      <w:r w:rsidR="009D58F9">
        <w:rPr>
          <w:rFonts w:ascii="Arial" w:hAnsi="Arial" w:cs="Arial"/>
          <w:sz w:val="24"/>
          <w:szCs w:val="24"/>
          <w:lang w:val="en-US"/>
        </w:rPr>
        <w:t xml:space="preserve">rised </w:t>
      </w:r>
      <w:r w:rsidR="006D577A">
        <w:rPr>
          <w:rFonts w:ascii="Arial" w:hAnsi="Arial" w:cs="Arial"/>
          <w:sz w:val="24"/>
          <w:szCs w:val="24"/>
          <w:lang w:val="en-US"/>
        </w:rPr>
        <w:t>of 69</w:t>
      </w:r>
      <w:r w:rsidR="00670306" w:rsidRPr="005F425D">
        <w:rPr>
          <w:rFonts w:ascii="Arial" w:hAnsi="Arial" w:cs="Arial"/>
          <w:sz w:val="24"/>
          <w:szCs w:val="24"/>
          <w:lang w:val="en-US"/>
        </w:rPr>
        <w:t xml:space="preserve"> sectors.</w:t>
      </w:r>
      <w:r w:rsidR="004A5D56">
        <w:rPr>
          <w:rFonts w:ascii="Arial" w:hAnsi="Arial" w:cs="Arial"/>
          <w:sz w:val="24"/>
          <w:szCs w:val="24"/>
          <w:lang w:val="en-US"/>
        </w:rPr>
        <w:t xml:space="preserve"> The correspond</w:t>
      </w:r>
      <w:r w:rsidR="00077CBA" w:rsidRPr="005F425D">
        <w:rPr>
          <w:rFonts w:ascii="Arial" w:hAnsi="Arial" w:cs="Arial"/>
          <w:sz w:val="24"/>
          <w:szCs w:val="24"/>
          <w:lang w:val="en-US"/>
        </w:rPr>
        <w:t xml:space="preserve">ing summary </w:t>
      </w:r>
      <w:r w:rsidR="005F425D" w:rsidRPr="005F425D">
        <w:rPr>
          <w:rFonts w:ascii="Arial" w:hAnsi="Arial" w:cs="Arial"/>
          <w:sz w:val="24"/>
          <w:szCs w:val="24"/>
          <w:lang w:val="en-US"/>
        </w:rPr>
        <w:t>statistics</w:t>
      </w:r>
      <w:r w:rsidR="00077CBA" w:rsidRPr="005F425D">
        <w:rPr>
          <w:rFonts w:ascii="Arial" w:hAnsi="Arial" w:cs="Arial"/>
          <w:sz w:val="24"/>
          <w:szCs w:val="24"/>
          <w:lang w:val="en-US"/>
        </w:rPr>
        <w:t xml:space="preserve"> for tho</w:t>
      </w:r>
      <w:r w:rsidR="009D58F9">
        <w:rPr>
          <w:rFonts w:ascii="Arial" w:hAnsi="Arial" w:cs="Arial"/>
          <w:sz w:val="24"/>
          <w:szCs w:val="24"/>
          <w:lang w:val="en-US"/>
        </w:rPr>
        <w:t>se indicators are presented in T</w:t>
      </w:r>
      <w:r w:rsidR="00077CBA" w:rsidRPr="005F425D">
        <w:rPr>
          <w:rFonts w:ascii="Arial" w:hAnsi="Arial" w:cs="Arial"/>
          <w:sz w:val="24"/>
          <w:szCs w:val="24"/>
          <w:lang w:val="en-US"/>
        </w:rPr>
        <w:t>able 2.</w:t>
      </w:r>
    </w:p>
    <w:tbl>
      <w:tblPr>
        <w:tblW w:w="6160" w:type="dxa"/>
        <w:jc w:val="center"/>
        <w:tblInd w:w="55" w:type="dxa"/>
        <w:tblCellMar>
          <w:left w:w="70" w:type="dxa"/>
          <w:right w:w="70" w:type="dxa"/>
        </w:tblCellMar>
        <w:tblLook w:val="04A0" w:firstRow="1" w:lastRow="0" w:firstColumn="1" w:lastColumn="0" w:noHBand="0" w:noVBand="1"/>
      </w:tblPr>
      <w:tblGrid>
        <w:gridCol w:w="6160"/>
      </w:tblGrid>
      <w:tr w:rsidR="00474366" w:rsidRPr="00DA2910" w:rsidTr="0001632F">
        <w:trPr>
          <w:trHeight w:val="300"/>
          <w:jc w:val="center"/>
        </w:trPr>
        <w:tc>
          <w:tcPr>
            <w:tcW w:w="6160" w:type="dxa"/>
            <w:tcBorders>
              <w:top w:val="nil"/>
              <w:left w:val="nil"/>
              <w:bottom w:val="nil"/>
              <w:right w:val="nil"/>
            </w:tcBorders>
            <w:shd w:val="clear" w:color="auto" w:fill="auto"/>
            <w:noWrap/>
            <w:vAlign w:val="bottom"/>
            <w:hideMark/>
          </w:tcPr>
          <w:p w:rsidR="00474366" w:rsidRPr="00EF29FE" w:rsidRDefault="00474366" w:rsidP="0082124D">
            <w:pPr>
              <w:spacing w:after="0" w:line="240" w:lineRule="auto"/>
              <w:jc w:val="center"/>
              <w:rPr>
                <w:rFonts w:ascii="Arial" w:eastAsia="Times New Roman" w:hAnsi="Arial" w:cs="Arial"/>
                <w:bCs/>
                <w:color w:val="000000"/>
                <w:sz w:val="24"/>
                <w:szCs w:val="24"/>
                <w:lang w:eastAsia="pt-BR"/>
              </w:rPr>
            </w:pPr>
            <w:r>
              <w:rPr>
                <w:rFonts w:ascii="Arial" w:eastAsia="Times New Roman" w:hAnsi="Arial" w:cs="Arial"/>
                <w:bCs/>
                <w:color w:val="000000"/>
                <w:sz w:val="24"/>
                <w:szCs w:val="24"/>
                <w:lang w:eastAsia="pt-BR"/>
              </w:rPr>
              <w:lastRenderedPageBreak/>
              <w:t>INSERT TABLE 2 A</w:t>
            </w:r>
            <w:r w:rsidR="0082124D">
              <w:rPr>
                <w:rFonts w:ascii="Arial" w:eastAsia="Times New Roman" w:hAnsi="Arial" w:cs="Arial"/>
                <w:bCs/>
                <w:color w:val="000000"/>
                <w:sz w:val="24"/>
                <w:szCs w:val="24"/>
                <w:lang w:eastAsia="pt-BR"/>
              </w:rPr>
              <w:t>BOUT</w:t>
            </w:r>
            <w:r>
              <w:rPr>
                <w:rFonts w:ascii="Arial" w:eastAsia="Times New Roman" w:hAnsi="Arial" w:cs="Arial"/>
                <w:bCs/>
                <w:color w:val="000000"/>
                <w:sz w:val="24"/>
                <w:szCs w:val="24"/>
                <w:lang w:eastAsia="pt-BR"/>
              </w:rPr>
              <w:t xml:space="preserve"> HERE</w:t>
            </w:r>
            <w:r w:rsidRPr="00EF29FE">
              <w:rPr>
                <w:rFonts w:ascii="Arial" w:eastAsia="Times New Roman" w:hAnsi="Arial" w:cs="Arial"/>
                <w:bCs/>
                <w:color w:val="000000"/>
                <w:sz w:val="24"/>
                <w:szCs w:val="24"/>
                <w:lang w:eastAsia="pt-BR"/>
              </w:rPr>
              <w:t xml:space="preserve"> </w:t>
            </w:r>
          </w:p>
        </w:tc>
      </w:tr>
      <w:tr w:rsidR="00474366" w:rsidRPr="00DA2910" w:rsidTr="00DA2910">
        <w:trPr>
          <w:trHeight w:val="405"/>
          <w:jc w:val="center"/>
        </w:trPr>
        <w:tc>
          <w:tcPr>
            <w:tcW w:w="6160" w:type="dxa"/>
            <w:tcBorders>
              <w:top w:val="nil"/>
              <w:left w:val="nil"/>
              <w:bottom w:val="nil"/>
              <w:right w:val="nil"/>
            </w:tcBorders>
            <w:shd w:val="clear" w:color="auto" w:fill="auto"/>
            <w:noWrap/>
            <w:vAlign w:val="bottom"/>
            <w:hideMark/>
          </w:tcPr>
          <w:p w:rsidR="00474366" w:rsidRPr="00EF29FE" w:rsidRDefault="00474366" w:rsidP="0001632F">
            <w:pPr>
              <w:spacing w:after="0" w:line="240" w:lineRule="auto"/>
              <w:jc w:val="center"/>
              <w:rPr>
                <w:rFonts w:ascii="Arial" w:eastAsia="Times New Roman" w:hAnsi="Arial" w:cs="Arial"/>
                <w:b/>
                <w:bCs/>
                <w:color w:val="000000"/>
                <w:sz w:val="24"/>
                <w:szCs w:val="24"/>
                <w:lang w:eastAsia="pt-BR"/>
              </w:rPr>
            </w:pPr>
          </w:p>
        </w:tc>
      </w:tr>
    </w:tbl>
    <w:p w:rsidR="001321DB" w:rsidRPr="003C3F00" w:rsidRDefault="00ED7145" w:rsidP="00DA2910">
      <w:pPr>
        <w:spacing w:line="480" w:lineRule="auto"/>
        <w:ind w:firstLine="708"/>
        <w:jc w:val="both"/>
        <w:rPr>
          <w:rFonts w:ascii="Arial" w:hAnsi="Arial" w:cs="Arial"/>
          <w:sz w:val="24"/>
          <w:szCs w:val="24"/>
          <w:lang w:val="en-US" w:eastAsia="pt-BR"/>
        </w:rPr>
      </w:pPr>
      <w:r w:rsidRPr="00474C1F">
        <w:rPr>
          <w:rFonts w:ascii="Arial" w:hAnsi="Arial" w:cs="Arial"/>
          <w:sz w:val="24"/>
          <w:szCs w:val="24"/>
          <w:lang w:val="en-US"/>
        </w:rPr>
        <w:t xml:space="preserve">Following the classification of industries in accordance </w:t>
      </w:r>
      <w:r w:rsidR="0082124D">
        <w:rPr>
          <w:rFonts w:ascii="Arial" w:hAnsi="Arial" w:cs="Arial"/>
          <w:sz w:val="24"/>
          <w:szCs w:val="24"/>
          <w:lang w:val="en-US"/>
        </w:rPr>
        <w:t>with the</w:t>
      </w:r>
      <w:r w:rsidRPr="00474C1F">
        <w:rPr>
          <w:rFonts w:ascii="Arial" w:hAnsi="Arial" w:cs="Arial"/>
          <w:sz w:val="24"/>
          <w:szCs w:val="24"/>
          <w:lang w:val="en-US"/>
        </w:rPr>
        <w:t xml:space="preserve"> technological regimes, </w:t>
      </w:r>
      <w:proofErr w:type="spellStart"/>
      <w:r w:rsidRPr="00474C1F">
        <w:rPr>
          <w:rFonts w:ascii="Arial" w:hAnsi="Arial" w:cs="Arial"/>
          <w:sz w:val="24"/>
          <w:szCs w:val="24"/>
          <w:lang w:val="en-US" w:eastAsia="pt-BR"/>
        </w:rPr>
        <w:t>Breschi</w:t>
      </w:r>
      <w:proofErr w:type="spellEnd"/>
      <w:r w:rsidRPr="00474C1F">
        <w:rPr>
          <w:rFonts w:ascii="Arial" w:hAnsi="Arial" w:cs="Arial"/>
          <w:sz w:val="24"/>
          <w:szCs w:val="24"/>
          <w:lang w:val="en-US" w:eastAsia="pt-BR"/>
        </w:rPr>
        <w:t xml:space="preserve"> et al. (2000) further investigated the adherence to factors</w:t>
      </w:r>
      <w:r w:rsidR="00474C1F">
        <w:rPr>
          <w:rFonts w:ascii="Arial" w:hAnsi="Arial" w:cs="Arial"/>
          <w:sz w:val="24"/>
          <w:szCs w:val="24"/>
          <w:lang w:val="en-US" w:eastAsia="pt-BR"/>
        </w:rPr>
        <w:t xml:space="preserve"> </w:t>
      </w:r>
      <w:r w:rsidR="0082124D">
        <w:rPr>
          <w:rFonts w:ascii="Arial" w:hAnsi="Arial" w:cs="Arial"/>
          <w:sz w:val="24"/>
          <w:szCs w:val="24"/>
          <w:lang w:val="en-US" w:eastAsia="pt-BR"/>
        </w:rPr>
        <w:t>that were</w:t>
      </w:r>
      <w:r w:rsidR="004A5D56" w:rsidRPr="004A5D56">
        <w:rPr>
          <w:rFonts w:ascii="Arial" w:hAnsi="Arial" w:cs="Arial"/>
          <w:sz w:val="24"/>
          <w:szCs w:val="24"/>
          <w:lang w:val="en-US" w:eastAsia="pt-BR"/>
        </w:rPr>
        <w:t xml:space="preserve"> </w:t>
      </w:r>
      <w:r w:rsidRPr="004A5D56">
        <w:rPr>
          <w:rFonts w:ascii="Arial" w:hAnsi="Arial" w:cs="Arial"/>
          <w:sz w:val="24"/>
          <w:szCs w:val="24"/>
          <w:lang w:val="en-US" w:eastAsia="pt-BR"/>
        </w:rPr>
        <w:t xml:space="preserve">supposed to </w:t>
      </w:r>
      <w:r w:rsidR="0082124D">
        <w:rPr>
          <w:rFonts w:ascii="Arial" w:hAnsi="Arial" w:cs="Arial"/>
          <w:sz w:val="24"/>
          <w:szCs w:val="24"/>
          <w:lang w:val="en-US" w:eastAsia="pt-BR"/>
        </w:rPr>
        <w:t>represent</w:t>
      </w:r>
      <w:r w:rsidR="00474C1F" w:rsidRPr="004A5D56">
        <w:rPr>
          <w:rFonts w:ascii="Arial" w:hAnsi="Arial" w:cs="Arial"/>
          <w:sz w:val="24"/>
          <w:szCs w:val="24"/>
          <w:lang w:val="en-US" w:eastAsia="pt-BR"/>
        </w:rPr>
        <w:t xml:space="preserve"> the</w:t>
      </w:r>
      <w:r w:rsidRPr="004A5D56">
        <w:rPr>
          <w:rFonts w:ascii="Arial" w:hAnsi="Arial" w:cs="Arial"/>
          <w:sz w:val="24"/>
          <w:szCs w:val="24"/>
          <w:lang w:val="en-US" w:eastAsia="pt-BR"/>
        </w:rPr>
        <w:t xml:space="preserve"> SM-I and SM-II regimes. In the prese</w:t>
      </w:r>
      <w:r w:rsidRPr="00474C1F">
        <w:rPr>
          <w:rFonts w:ascii="Arial" w:hAnsi="Arial" w:cs="Arial"/>
          <w:sz w:val="24"/>
          <w:szCs w:val="24"/>
          <w:lang w:val="en-US" w:eastAsia="pt-BR"/>
        </w:rPr>
        <w:t xml:space="preserve">nt paper, </w:t>
      </w:r>
      <w:proofErr w:type="gramStart"/>
      <w:r w:rsidRPr="00474C1F">
        <w:rPr>
          <w:rFonts w:ascii="Arial" w:hAnsi="Arial" w:cs="Arial"/>
          <w:sz w:val="24"/>
          <w:szCs w:val="24"/>
          <w:lang w:val="en-US" w:eastAsia="pt-BR"/>
        </w:rPr>
        <w:t>we  consider</w:t>
      </w:r>
      <w:r w:rsidR="0082124D">
        <w:rPr>
          <w:rFonts w:ascii="Arial" w:hAnsi="Arial" w:cs="Arial"/>
          <w:sz w:val="24"/>
          <w:szCs w:val="24"/>
          <w:lang w:val="en-US" w:eastAsia="pt-BR"/>
        </w:rPr>
        <w:t>ed</w:t>
      </w:r>
      <w:proofErr w:type="gramEnd"/>
      <w:r w:rsidRPr="00474C1F">
        <w:rPr>
          <w:rFonts w:ascii="Arial" w:hAnsi="Arial" w:cs="Arial"/>
          <w:sz w:val="24"/>
          <w:szCs w:val="24"/>
          <w:lang w:val="en-US" w:eastAsia="pt-BR"/>
        </w:rPr>
        <w:t xml:space="preserve"> such </w:t>
      </w:r>
      <w:r w:rsidR="0082124D">
        <w:rPr>
          <w:rFonts w:ascii="Arial" w:hAnsi="Arial" w:cs="Arial"/>
          <w:sz w:val="24"/>
          <w:szCs w:val="24"/>
          <w:lang w:val="en-US" w:eastAsia="pt-BR"/>
        </w:rPr>
        <w:t xml:space="preserve">a </w:t>
      </w:r>
      <w:r w:rsidRPr="00474C1F">
        <w:rPr>
          <w:rFonts w:ascii="Arial" w:hAnsi="Arial" w:cs="Arial"/>
          <w:sz w:val="24"/>
          <w:szCs w:val="24"/>
          <w:lang w:val="en-US" w:eastAsia="pt-BR"/>
        </w:rPr>
        <w:t xml:space="preserve">complementary analysis in terms of discriminant analysis </w:t>
      </w:r>
      <w:r w:rsidR="0082124D">
        <w:rPr>
          <w:rFonts w:ascii="Arial" w:hAnsi="Arial" w:cs="Arial"/>
          <w:sz w:val="24"/>
          <w:szCs w:val="24"/>
          <w:lang w:val="en-US" w:eastAsia="pt-BR"/>
        </w:rPr>
        <w:t>which we</w:t>
      </w:r>
      <w:r w:rsidRPr="00474C1F">
        <w:rPr>
          <w:rFonts w:ascii="Arial" w:hAnsi="Arial" w:cs="Arial"/>
          <w:sz w:val="24"/>
          <w:szCs w:val="24"/>
          <w:lang w:val="en-US" w:eastAsia="pt-BR"/>
        </w:rPr>
        <w:t xml:space="preserve"> will discuss later.</w:t>
      </w:r>
      <w:r w:rsidR="001321DB" w:rsidRPr="00474C1F">
        <w:rPr>
          <w:rFonts w:ascii="Arial" w:hAnsi="Arial" w:cs="Arial"/>
          <w:sz w:val="24"/>
          <w:szCs w:val="24"/>
          <w:lang w:val="en-US" w:eastAsia="pt-BR"/>
        </w:rPr>
        <w:t xml:space="preserve"> </w:t>
      </w:r>
      <w:r w:rsidR="001321DB" w:rsidRPr="003C3F00">
        <w:rPr>
          <w:rFonts w:ascii="Arial" w:hAnsi="Arial" w:cs="Arial"/>
          <w:sz w:val="24"/>
          <w:szCs w:val="24"/>
          <w:lang w:val="en-US" w:eastAsia="pt-BR"/>
        </w:rPr>
        <w:t xml:space="preserve">The following variables </w:t>
      </w:r>
      <w:r w:rsidR="00E719C4" w:rsidRPr="003C3F00">
        <w:rPr>
          <w:rFonts w:ascii="Arial" w:hAnsi="Arial" w:cs="Arial"/>
          <w:sz w:val="24"/>
          <w:szCs w:val="24"/>
          <w:lang w:val="en-US" w:eastAsia="pt-BR"/>
        </w:rPr>
        <w:t xml:space="preserve">constructed </w:t>
      </w:r>
      <w:r w:rsidR="0082124D">
        <w:rPr>
          <w:rFonts w:ascii="Arial" w:hAnsi="Arial" w:cs="Arial"/>
          <w:sz w:val="24"/>
          <w:szCs w:val="24"/>
          <w:lang w:val="en-US" w:eastAsia="pt-BR"/>
        </w:rPr>
        <w:t xml:space="preserve">based </w:t>
      </w:r>
      <w:r w:rsidR="00E719C4" w:rsidRPr="003C3F00">
        <w:rPr>
          <w:rFonts w:ascii="Arial" w:hAnsi="Arial" w:cs="Arial"/>
          <w:sz w:val="24"/>
          <w:szCs w:val="24"/>
          <w:lang w:val="en-US" w:eastAsia="pt-BR"/>
        </w:rPr>
        <w:t xml:space="preserve">upon the PINTEC </w:t>
      </w:r>
      <w:r w:rsidR="0082124D">
        <w:rPr>
          <w:rFonts w:ascii="Arial" w:hAnsi="Arial" w:cs="Arial"/>
          <w:sz w:val="24"/>
          <w:szCs w:val="24"/>
          <w:lang w:val="en-US" w:eastAsia="pt-BR"/>
        </w:rPr>
        <w:t>were</w:t>
      </w:r>
      <w:r w:rsidR="001321DB" w:rsidRPr="003C3F00">
        <w:rPr>
          <w:rFonts w:ascii="Arial" w:hAnsi="Arial" w:cs="Arial"/>
          <w:sz w:val="24"/>
          <w:szCs w:val="24"/>
          <w:lang w:val="en-US" w:eastAsia="pt-BR"/>
        </w:rPr>
        <w:t xml:space="preserve"> considered:</w:t>
      </w:r>
    </w:p>
    <w:p w:rsidR="00E719C4" w:rsidRPr="003C3F00" w:rsidRDefault="00DA2910" w:rsidP="00CF2CC6">
      <w:pPr>
        <w:spacing w:line="480" w:lineRule="auto"/>
        <w:jc w:val="both"/>
        <w:rPr>
          <w:rFonts w:ascii="Times New Roman" w:hAnsi="Times New Roman"/>
          <w:sz w:val="24"/>
          <w:szCs w:val="24"/>
          <w:highlight w:val="yellow"/>
          <w:lang w:val="en-US"/>
        </w:rPr>
      </w:pPr>
      <w:r>
        <w:rPr>
          <w:rFonts w:ascii="Arial" w:hAnsi="Arial" w:cs="Arial"/>
          <w:sz w:val="24"/>
          <w:szCs w:val="24"/>
          <w:lang w:val="en-US" w:eastAsia="pt-BR"/>
        </w:rPr>
        <w:t>.</w:t>
      </w:r>
      <w:r w:rsidR="00E719C4" w:rsidRPr="003C3F00">
        <w:rPr>
          <w:rFonts w:ascii="Arial" w:hAnsi="Arial" w:cs="Arial"/>
          <w:b/>
          <w:sz w:val="24"/>
          <w:szCs w:val="24"/>
          <w:lang w:val="en-US" w:eastAsia="pt-BR"/>
        </w:rPr>
        <w:t>TECOP</w:t>
      </w:r>
      <w:r w:rsidR="00E719C4" w:rsidRPr="003C3F00">
        <w:rPr>
          <w:rFonts w:ascii="Arial" w:hAnsi="Arial" w:cs="Arial"/>
          <w:sz w:val="24"/>
          <w:szCs w:val="24"/>
          <w:lang w:val="en-US" w:eastAsia="pt-BR"/>
        </w:rPr>
        <w:t xml:space="preserve">: </w:t>
      </w:r>
      <w:r w:rsidR="00D8353A">
        <w:rPr>
          <w:rFonts w:ascii="Arial" w:hAnsi="Arial" w:cs="Arial"/>
          <w:sz w:val="24"/>
          <w:szCs w:val="24"/>
          <w:lang w:val="en-US" w:eastAsia="pt-BR"/>
        </w:rPr>
        <w:t xml:space="preserve">an </w:t>
      </w:r>
      <w:r w:rsidR="00E719C4" w:rsidRPr="003C3F00">
        <w:rPr>
          <w:rFonts w:ascii="Arial" w:hAnsi="Arial" w:cs="Arial"/>
          <w:sz w:val="24"/>
          <w:szCs w:val="24"/>
          <w:lang w:val="en-US" w:eastAsia="pt-BR"/>
        </w:rPr>
        <w:t>indicator for technological opportunity</w:t>
      </w:r>
      <w:r w:rsidR="00CF2CC6" w:rsidRPr="003C3F00">
        <w:rPr>
          <w:rFonts w:ascii="Arial" w:hAnsi="Arial" w:cs="Arial"/>
          <w:sz w:val="24"/>
          <w:szCs w:val="24"/>
          <w:lang w:val="en-US" w:eastAsia="pt-BR"/>
        </w:rPr>
        <w:t xml:space="preserve"> </w:t>
      </w:r>
      <w:r w:rsidR="00D8353A">
        <w:rPr>
          <w:rFonts w:ascii="Arial" w:hAnsi="Arial" w:cs="Arial"/>
          <w:sz w:val="24"/>
          <w:szCs w:val="24"/>
          <w:lang w:val="en-US" w:eastAsia="pt-BR"/>
        </w:rPr>
        <w:t>that</w:t>
      </w:r>
      <w:r w:rsidR="00CF2CC6" w:rsidRPr="003C3F00">
        <w:rPr>
          <w:rFonts w:ascii="Arial" w:hAnsi="Arial" w:cs="Arial"/>
          <w:sz w:val="24"/>
          <w:szCs w:val="24"/>
          <w:lang w:val="en-US" w:eastAsia="pt-BR"/>
        </w:rPr>
        <w:t xml:space="preserve"> assess</w:t>
      </w:r>
      <w:r w:rsidR="00D8353A">
        <w:rPr>
          <w:rFonts w:ascii="Arial" w:hAnsi="Arial" w:cs="Arial"/>
          <w:sz w:val="24"/>
          <w:szCs w:val="24"/>
          <w:lang w:val="en-US" w:eastAsia="pt-BR"/>
        </w:rPr>
        <w:t>ed</w:t>
      </w:r>
      <w:r w:rsidR="00CF2CC6" w:rsidRPr="003C3F00">
        <w:rPr>
          <w:rFonts w:ascii="Arial" w:hAnsi="Arial" w:cs="Arial"/>
          <w:sz w:val="24"/>
          <w:szCs w:val="24"/>
          <w:lang w:val="en-US" w:eastAsia="pt-BR"/>
        </w:rPr>
        <w:t xml:space="preserve"> how eas</w:t>
      </w:r>
      <w:r w:rsidR="00D8353A">
        <w:rPr>
          <w:rFonts w:ascii="Arial" w:hAnsi="Arial" w:cs="Arial"/>
          <w:sz w:val="24"/>
          <w:szCs w:val="24"/>
          <w:lang w:val="en-US" w:eastAsia="pt-BR"/>
        </w:rPr>
        <w:t>ily</w:t>
      </w:r>
      <w:r w:rsidR="00CF2CC6" w:rsidRPr="003C3F00">
        <w:rPr>
          <w:rFonts w:ascii="Arial" w:hAnsi="Arial" w:cs="Arial"/>
          <w:sz w:val="24"/>
          <w:szCs w:val="24"/>
          <w:lang w:val="en-US" w:eastAsia="pt-BR"/>
        </w:rPr>
        <w:t xml:space="preserve"> </w:t>
      </w:r>
      <w:r w:rsidR="003C3F00" w:rsidRPr="003C3F00">
        <w:rPr>
          <w:rFonts w:ascii="Arial" w:hAnsi="Arial" w:cs="Arial"/>
          <w:sz w:val="24"/>
          <w:szCs w:val="24"/>
          <w:lang w:val="en-US" w:eastAsia="pt-BR"/>
        </w:rPr>
        <w:t>the</w:t>
      </w:r>
      <w:r w:rsidR="00CF2CC6" w:rsidRPr="003C3F00">
        <w:rPr>
          <w:rFonts w:ascii="Arial" w:hAnsi="Arial" w:cs="Arial"/>
          <w:sz w:val="24"/>
          <w:szCs w:val="24"/>
          <w:lang w:val="en-US" w:eastAsia="pt-BR"/>
        </w:rPr>
        <w:t xml:space="preserve"> innovations </w:t>
      </w:r>
      <w:r w:rsidR="00D8353A">
        <w:rPr>
          <w:rFonts w:ascii="Arial" w:hAnsi="Arial" w:cs="Arial"/>
          <w:sz w:val="24"/>
          <w:szCs w:val="24"/>
          <w:lang w:val="en-US" w:eastAsia="pt-BR"/>
        </w:rPr>
        <w:t>were</w:t>
      </w:r>
      <w:r w:rsidR="003C3F00" w:rsidRPr="003C3F00">
        <w:rPr>
          <w:rFonts w:ascii="Arial" w:hAnsi="Arial" w:cs="Arial"/>
          <w:sz w:val="24"/>
          <w:szCs w:val="24"/>
          <w:lang w:val="en-US" w:eastAsia="pt-BR"/>
        </w:rPr>
        <w:t xml:space="preserve"> </w:t>
      </w:r>
      <w:r w:rsidR="00CF2CC6" w:rsidRPr="003C3F00">
        <w:rPr>
          <w:rFonts w:ascii="Arial" w:hAnsi="Arial" w:cs="Arial"/>
          <w:sz w:val="24"/>
          <w:szCs w:val="24"/>
          <w:lang w:val="en-US" w:eastAsia="pt-BR"/>
        </w:rPr>
        <w:t xml:space="preserve">likely to emerge in a given sector. </w:t>
      </w:r>
      <w:r w:rsidR="00294A00" w:rsidRPr="003C3F00">
        <w:rPr>
          <w:rFonts w:ascii="Arial" w:hAnsi="Arial" w:cs="Arial"/>
          <w:sz w:val="24"/>
          <w:szCs w:val="24"/>
          <w:lang w:val="en-US" w:eastAsia="pt-BR"/>
        </w:rPr>
        <w:t xml:space="preserve">The indicator was </w:t>
      </w:r>
      <w:r w:rsidR="00D8353A">
        <w:rPr>
          <w:rFonts w:ascii="Arial" w:hAnsi="Arial" w:cs="Arial"/>
          <w:sz w:val="24"/>
          <w:szCs w:val="24"/>
          <w:lang w:val="en-US" w:eastAsia="pt-BR"/>
        </w:rPr>
        <w:t>based on</w:t>
      </w:r>
      <w:r w:rsidR="00294A00" w:rsidRPr="003C3F00">
        <w:rPr>
          <w:rFonts w:ascii="Arial" w:hAnsi="Arial" w:cs="Arial"/>
          <w:sz w:val="24"/>
          <w:szCs w:val="24"/>
          <w:lang w:val="en-US" w:eastAsia="pt-BR"/>
        </w:rPr>
        <w:t xml:space="preserve"> </w:t>
      </w:r>
      <w:r w:rsidR="00CF2CC6" w:rsidRPr="003C3F00">
        <w:rPr>
          <w:rFonts w:ascii="Arial" w:hAnsi="Arial" w:cs="Arial"/>
          <w:sz w:val="24"/>
          <w:szCs w:val="24"/>
          <w:lang w:val="en-US" w:eastAsia="pt-BR"/>
        </w:rPr>
        <w:t>add</w:t>
      </w:r>
      <w:r w:rsidR="00294A00" w:rsidRPr="003C3F00">
        <w:rPr>
          <w:rFonts w:ascii="Arial" w:hAnsi="Arial" w:cs="Arial"/>
          <w:sz w:val="24"/>
          <w:szCs w:val="24"/>
          <w:lang w:val="en-US" w:eastAsia="pt-BR"/>
        </w:rPr>
        <w:t>ing the</w:t>
      </w:r>
      <w:r w:rsidR="00CF2CC6" w:rsidRPr="003C3F00">
        <w:rPr>
          <w:rFonts w:ascii="Arial" w:hAnsi="Arial" w:cs="Arial"/>
          <w:sz w:val="24"/>
          <w:szCs w:val="24"/>
          <w:lang w:val="en-US" w:eastAsia="pt-BR"/>
        </w:rPr>
        <w:t xml:space="preserve"> responses provided by firms </w:t>
      </w:r>
      <w:r w:rsidR="00D8353A">
        <w:rPr>
          <w:rFonts w:ascii="Arial" w:hAnsi="Arial" w:cs="Arial"/>
          <w:sz w:val="24"/>
          <w:szCs w:val="24"/>
          <w:lang w:val="en-US" w:eastAsia="pt-BR"/>
        </w:rPr>
        <w:t>on</w:t>
      </w:r>
      <w:r w:rsidR="00CF2CC6" w:rsidRPr="003C3F00">
        <w:rPr>
          <w:rFonts w:ascii="Arial" w:hAnsi="Arial" w:cs="Arial"/>
          <w:sz w:val="24"/>
          <w:szCs w:val="24"/>
          <w:lang w:val="en-US" w:eastAsia="pt-BR"/>
        </w:rPr>
        <w:t xml:space="preserve"> the importance of available external sources of innovation. A larger value indicate</w:t>
      </w:r>
      <w:r w:rsidR="00D8353A">
        <w:rPr>
          <w:rFonts w:ascii="Arial" w:hAnsi="Arial" w:cs="Arial"/>
          <w:sz w:val="24"/>
          <w:szCs w:val="24"/>
          <w:lang w:val="en-US" w:eastAsia="pt-BR"/>
        </w:rPr>
        <w:t>d</w:t>
      </w:r>
      <w:r w:rsidR="00CF2CC6" w:rsidRPr="003C3F00">
        <w:rPr>
          <w:rFonts w:ascii="Arial" w:hAnsi="Arial" w:cs="Arial"/>
          <w:sz w:val="24"/>
          <w:szCs w:val="24"/>
          <w:lang w:val="en-US" w:eastAsia="pt-BR"/>
        </w:rPr>
        <w:t xml:space="preserve"> greater </w:t>
      </w:r>
      <w:r w:rsidR="00E719C4" w:rsidRPr="003C3F00">
        <w:rPr>
          <w:rFonts w:ascii="Arial" w:hAnsi="Arial" w:cs="Arial"/>
          <w:sz w:val="24"/>
          <w:szCs w:val="24"/>
          <w:lang w:val="en-US"/>
        </w:rPr>
        <w:t>tec</w:t>
      </w:r>
      <w:r w:rsidR="00CF2CC6" w:rsidRPr="003C3F00">
        <w:rPr>
          <w:rFonts w:ascii="Arial" w:hAnsi="Arial" w:cs="Arial"/>
          <w:sz w:val="24"/>
          <w:szCs w:val="24"/>
          <w:lang w:val="en-US"/>
        </w:rPr>
        <w:t>hnological opp</w:t>
      </w:r>
      <w:r w:rsidR="00FA7092">
        <w:rPr>
          <w:rFonts w:ascii="Arial" w:hAnsi="Arial" w:cs="Arial"/>
          <w:sz w:val="24"/>
          <w:szCs w:val="24"/>
          <w:lang w:val="en-US"/>
        </w:rPr>
        <w:t>o</w:t>
      </w:r>
      <w:r w:rsidR="00CF2CC6" w:rsidRPr="003C3F00">
        <w:rPr>
          <w:rFonts w:ascii="Arial" w:hAnsi="Arial" w:cs="Arial"/>
          <w:sz w:val="24"/>
          <w:szCs w:val="24"/>
          <w:lang w:val="en-US"/>
        </w:rPr>
        <w:t>rtunities;</w:t>
      </w:r>
      <w:r w:rsidR="00E719C4" w:rsidRPr="003C3F00">
        <w:rPr>
          <w:rFonts w:ascii="Times New Roman" w:hAnsi="Times New Roman"/>
          <w:sz w:val="24"/>
          <w:szCs w:val="24"/>
          <w:highlight w:val="yellow"/>
          <w:lang w:val="en-US"/>
        </w:rPr>
        <w:t xml:space="preserve"> </w:t>
      </w:r>
    </w:p>
    <w:p w:rsidR="007078D4" w:rsidRPr="002965B3" w:rsidRDefault="001321DB" w:rsidP="001321DB">
      <w:pPr>
        <w:spacing w:line="480" w:lineRule="auto"/>
        <w:jc w:val="both"/>
        <w:rPr>
          <w:rFonts w:ascii="Arial" w:hAnsi="Arial" w:cs="Arial"/>
          <w:color w:val="FF0000"/>
          <w:sz w:val="24"/>
          <w:szCs w:val="24"/>
          <w:lang w:val="en-US"/>
        </w:rPr>
      </w:pPr>
      <w:r w:rsidRPr="000B0798">
        <w:rPr>
          <w:rFonts w:ascii="Arial" w:hAnsi="Arial" w:cs="Arial"/>
          <w:sz w:val="24"/>
          <w:szCs w:val="24"/>
          <w:lang w:val="en-US"/>
        </w:rPr>
        <w:t xml:space="preserve">. </w:t>
      </w:r>
      <w:r w:rsidRPr="000B0798">
        <w:rPr>
          <w:rFonts w:ascii="Arial" w:hAnsi="Arial" w:cs="Arial"/>
          <w:b/>
          <w:sz w:val="24"/>
          <w:szCs w:val="24"/>
          <w:lang w:val="en-US"/>
        </w:rPr>
        <w:t>APROP</w:t>
      </w:r>
      <w:r w:rsidRPr="000B0798">
        <w:rPr>
          <w:rFonts w:ascii="Arial" w:hAnsi="Arial" w:cs="Arial"/>
          <w:sz w:val="24"/>
          <w:szCs w:val="24"/>
          <w:lang w:val="en-US"/>
        </w:rPr>
        <w:t xml:space="preserve">: </w:t>
      </w:r>
      <w:r w:rsidR="00D8353A">
        <w:rPr>
          <w:rFonts w:ascii="Arial" w:hAnsi="Arial" w:cs="Arial"/>
          <w:sz w:val="24"/>
          <w:szCs w:val="24"/>
          <w:lang w:val="en-US"/>
        </w:rPr>
        <w:t>an</w:t>
      </w:r>
      <w:r w:rsidRPr="000B0798">
        <w:rPr>
          <w:rFonts w:ascii="Arial" w:hAnsi="Arial" w:cs="Arial"/>
          <w:sz w:val="24"/>
          <w:szCs w:val="24"/>
          <w:lang w:val="en-US"/>
        </w:rPr>
        <w:t xml:space="preserve"> indicator of </w:t>
      </w:r>
      <w:proofErr w:type="spellStart"/>
      <w:r w:rsidRPr="000B0798">
        <w:rPr>
          <w:rFonts w:ascii="Arial" w:hAnsi="Arial" w:cs="Arial"/>
          <w:sz w:val="24"/>
          <w:szCs w:val="24"/>
          <w:lang w:val="en-US"/>
        </w:rPr>
        <w:t>appropriability</w:t>
      </w:r>
      <w:proofErr w:type="spellEnd"/>
      <w:r w:rsidRPr="000B0798">
        <w:rPr>
          <w:rFonts w:ascii="Arial" w:hAnsi="Arial" w:cs="Arial"/>
          <w:sz w:val="24"/>
          <w:szCs w:val="24"/>
          <w:lang w:val="en-US"/>
        </w:rPr>
        <w:t xml:space="preserve"> </w:t>
      </w:r>
      <w:r w:rsidR="00D8353A">
        <w:rPr>
          <w:rFonts w:ascii="Arial" w:hAnsi="Arial" w:cs="Arial"/>
          <w:sz w:val="24"/>
          <w:szCs w:val="24"/>
          <w:lang w:val="en-US"/>
        </w:rPr>
        <w:t>that identif</w:t>
      </w:r>
      <w:r w:rsidR="007078D4" w:rsidRPr="000B0798">
        <w:rPr>
          <w:rFonts w:ascii="Arial" w:hAnsi="Arial" w:cs="Arial"/>
          <w:sz w:val="24"/>
          <w:szCs w:val="24"/>
          <w:lang w:val="en-US"/>
        </w:rPr>
        <w:t>i</w:t>
      </w:r>
      <w:r w:rsidR="00D8353A">
        <w:rPr>
          <w:rFonts w:ascii="Arial" w:hAnsi="Arial" w:cs="Arial"/>
          <w:sz w:val="24"/>
          <w:szCs w:val="24"/>
          <w:lang w:val="en-US"/>
        </w:rPr>
        <w:t>ed</w:t>
      </w:r>
      <w:r w:rsidR="007078D4" w:rsidRPr="000B0798">
        <w:rPr>
          <w:rFonts w:ascii="Arial" w:hAnsi="Arial" w:cs="Arial"/>
          <w:sz w:val="24"/>
          <w:szCs w:val="24"/>
          <w:lang w:val="en-US"/>
        </w:rPr>
        <w:t xml:space="preserve"> the degree of p</w:t>
      </w:r>
      <w:r w:rsidR="000B0798" w:rsidRPr="000B0798">
        <w:rPr>
          <w:rFonts w:ascii="Arial" w:hAnsi="Arial" w:cs="Arial"/>
          <w:sz w:val="24"/>
          <w:szCs w:val="24"/>
          <w:lang w:val="en-US"/>
        </w:rPr>
        <w:t>r</w:t>
      </w:r>
      <w:r w:rsidR="007078D4" w:rsidRPr="000B0798">
        <w:rPr>
          <w:rFonts w:ascii="Arial" w:hAnsi="Arial" w:cs="Arial"/>
          <w:sz w:val="24"/>
          <w:szCs w:val="24"/>
          <w:lang w:val="en-US"/>
        </w:rPr>
        <w:t>otection derived from intellectual property</w:t>
      </w:r>
      <w:r w:rsidRPr="000B0798">
        <w:rPr>
          <w:rFonts w:ascii="Arial" w:hAnsi="Arial" w:cs="Arial"/>
          <w:sz w:val="24"/>
          <w:szCs w:val="24"/>
          <w:lang w:val="en-US"/>
        </w:rPr>
        <w:t xml:space="preserve">. </w:t>
      </w:r>
      <w:r w:rsidR="00CD4DAF">
        <w:rPr>
          <w:rFonts w:ascii="Arial" w:hAnsi="Arial" w:cs="Arial"/>
          <w:sz w:val="24"/>
          <w:szCs w:val="24"/>
          <w:lang w:val="en-US"/>
        </w:rPr>
        <w:t>It was</w:t>
      </w:r>
      <w:r w:rsidR="007078D4" w:rsidRPr="000B0798">
        <w:rPr>
          <w:rFonts w:ascii="Arial" w:hAnsi="Arial" w:cs="Arial"/>
          <w:sz w:val="24"/>
          <w:szCs w:val="24"/>
          <w:lang w:val="en-US"/>
        </w:rPr>
        <w:t xml:space="preserve"> obtained by adding the response</w:t>
      </w:r>
      <w:r w:rsidR="00CD4DAF">
        <w:rPr>
          <w:rFonts w:ascii="Arial" w:hAnsi="Arial" w:cs="Arial"/>
          <w:sz w:val="24"/>
          <w:szCs w:val="24"/>
          <w:lang w:val="en-US"/>
        </w:rPr>
        <w:t>s provided by innovating firms o</w:t>
      </w:r>
      <w:r w:rsidR="007078D4" w:rsidRPr="000B0798">
        <w:rPr>
          <w:rFonts w:ascii="Arial" w:hAnsi="Arial" w:cs="Arial"/>
          <w:sz w:val="24"/>
          <w:szCs w:val="24"/>
          <w:lang w:val="en-US"/>
        </w:rPr>
        <w:t xml:space="preserve">n questions related to the importance of patents and </w:t>
      </w:r>
      <w:r w:rsidR="00CD4DAF">
        <w:rPr>
          <w:rFonts w:ascii="Arial" w:hAnsi="Arial" w:cs="Arial"/>
          <w:sz w:val="24"/>
          <w:szCs w:val="24"/>
          <w:lang w:val="en-US"/>
        </w:rPr>
        <w:t>o</w:t>
      </w:r>
      <w:r w:rsidR="007078D4" w:rsidRPr="000B0798">
        <w:rPr>
          <w:rFonts w:ascii="Arial" w:hAnsi="Arial" w:cs="Arial"/>
          <w:sz w:val="24"/>
          <w:szCs w:val="24"/>
          <w:lang w:val="en-US"/>
        </w:rPr>
        <w:t>the</w:t>
      </w:r>
      <w:r w:rsidR="00CD4DAF">
        <w:rPr>
          <w:rFonts w:ascii="Arial" w:hAnsi="Arial" w:cs="Arial"/>
          <w:sz w:val="24"/>
          <w:szCs w:val="24"/>
          <w:lang w:val="en-US"/>
        </w:rPr>
        <w:t>r</w:t>
      </w:r>
      <w:r w:rsidR="007078D4" w:rsidRPr="000B0798">
        <w:rPr>
          <w:rFonts w:ascii="Arial" w:hAnsi="Arial" w:cs="Arial"/>
          <w:sz w:val="24"/>
          <w:szCs w:val="24"/>
          <w:lang w:val="en-US"/>
        </w:rPr>
        <w:t xml:space="preserve"> intellectual property mechanisms </w:t>
      </w:r>
      <w:r w:rsidR="000B0798" w:rsidRPr="000B0798">
        <w:rPr>
          <w:rFonts w:ascii="Arial" w:hAnsi="Arial" w:cs="Arial"/>
          <w:sz w:val="24"/>
          <w:szCs w:val="24"/>
          <w:lang w:val="en-US"/>
        </w:rPr>
        <w:t xml:space="preserve">to protect the </w:t>
      </w:r>
      <w:r w:rsidR="00CD4DAF">
        <w:rPr>
          <w:rFonts w:ascii="Arial" w:hAnsi="Arial" w:cs="Arial"/>
          <w:sz w:val="24"/>
          <w:szCs w:val="24"/>
          <w:lang w:val="en-US"/>
        </w:rPr>
        <w:t>innovation activities. This indicator was</w:t>
      </w:r>
      <w:r w:rsidR="007078D4" w:rsidRPr="000B0798">
        <w:rPr>
          <w:rFonts w:ascii="Arial" w:hAnsi="Arial" w:cs="Arial"/>
          <w:sz w:val="24"/>
          <w:szCs w:val="24"/>
          <w:lang w:val="en-US"/>
        </w:rPr>
        <w:t xml:space="preserve"> an inverse proxy, such that a smalle</w:t>
      </w:r>
      <w:r w:rsidR="003E3D46" w:rsidRPr="000B0798">
        <w:rPr>
          <w:rFonts w:ascii="Arial" w:hAnsi="Arial" w:cs="Arial"/>
          <w:sz w:val="24"/>
          <w:szCs w:val="24"/>
          <w:lang w:val="en-US"/>
        </w:rPr>
        <w:t xml:space="preserve">r value </w:t>
      </w:r>
      <w:r w:rsidR="00CD4DAF">
        <w:rPr>
          <w:rFonts w:ascii="Arial" w:hAnsi="Arial" w:cs="Arial"/>
          <w:sz w:val="24"/>
          <w:szCs w:val="24"/>
          <w:lang w:val="en-US"/>
        </w:rPr>
        <w:t>was</w:t>
      </w:r>
      <w:r w:rsidR="003E3D46" w:rsidRPr="000B0798">
        <w:rPr>
          <w:rFonts w:ascii="Arial" w:hAnsi="Arial" w:cs="Arial"/>
          <w:sz w:val="24"/>
          <w:szCs w:val="24"/>
          <w:lang w:val="en-US"/>
        </w:rPr>
        <w:t xml:space="preserve"> expected to reflect </w:t>
      </w:r>
      <w:r w:rsidR="007078D4" w:rsidRPr="000B0798">
        <w:rPr>
          <w:rFonts w:ascii="Arial" w:hAnsi="Arial" w:cs="Arial"/>
          <w:sz w:val="24"/>
          <w:szCs w:val="24"/>
          <w:lang w:val="en-US"/>
        </w:rPr>
        <w:t xml:space="preserve">a greater </w:t>
      </w:r>
      <w:proofErr w:type="spellStart"/>
      <w:r w:rsidR="007078D4" w:rsidRPr="000B0798">
        <w:rPr>
          <w:rFonts w:ascii="Arial" w:hAnsi="Arial" w:cs="Arial"/>
          <w:sz w:val="24"/>
          <w:szCs w:val="24"/>
          <w:lang w:val="en-US"/>
        </w:rPr>
        <w:t>approp</w:t>
      </w:r>
      <w:r w:rsidR="00CD4DAF">
        <w:rPr>
          <w:rFonts w:ascii="Arial" w:hAnsi="Arial" w:cs="Arial"/>
          <w:sz w:val="24"/>
          <w:szCs w:val="24"/>
          <w:lang w:val="en-US"/>
        </w:rPr>
        <w:t>r</w:t>
      </w:r>
      <w:r w:rsidR="007078D4" w:rsidRPr="000B0798">
        <w:rPr>
          <w:rFonts w:ascii="Arial" w:hAnsi="Arial" w:cs="Arial"/>
          <w:sz w:val="24"/>
          <w:szCs w:val="24"/>
          <w:lang w:val="en-US"/>
        </w:rPr>
        <w:t>iability</w:t>
      </w:r>
      <w:proofErr w:type="spellEnd"/>
      <w:r w:rsidR="007078D4" w:rsidRPr="002965B3">
        <w:rPr>
          <w:rFonts w:ascii="Arial" w:hAnsi="Arial" w:cs="Arial"/>
          <w:color w:val="FF0000"/>
          <w:sz w:val="24"/>
          <w:szCs w:val="24"/>
          <w:lang w:val="en-US"/>
        </w:rPr>
        <w:t>;</w:t>
      </w:r>
    </w:p>
    <w:p w:rsidR="007078D4" w:rsidRPr="000253C4" w:rsidRDefault="00DA2910" w:rsidP="007078D4">
      <w:pPr>
        <w:spacing w:line="480" w:lineRule="auto"/>
        <w:jc w:val="both"/>
        <w:rPr>
          <w:rFonts w:ascii="Arial" w:hAnsi="Arial" w:cs="Arial"/>
          <w:sz w:val="24"/>
          <w:szCs w:val="24"/>
          <w:lang w:val="en-US"/>
        </w:rPr>
      </w:pPr>
      <w:r w:rsidRPr="00DA2910">
        <w:rPr>
          <w:rFonts w:ascii="Arial" w:hAnsi="Arial" w:cs="Arial"/>
          <w:sz w:val="24"/>
          <w:szCs w:val="24"/>
          <w:lang w:val="en-US"/>
        </w:rPr>
        <w:t>.</w:t>
      </w:r>
      <w:r w:rsidR="007078D4" w:rsidRPr="000253C4">
        <w:rPr>
          <w:rFonts w:ascii="Arial" w:hAnsi="Arial" w:cs="Arial"/>
          <w:b/>
          <w:sz w:val="24"/>
          <w:szCs w:val="24"/>
          <w:lang w:val="en-US"/>
        </w:rPr>
        <w:t>CUMUL</w:t>
      </w:r>
      <w:r w:rsidR="007078D4" w:rsidRPr="000253C4">
        <w:rPr>
          <w:rFonts w:ascii="Arial" w:hAnsi="Arial" w:cs="Arial"/>
          <w:sz w:val="24"/>
          <w:szCs w:val="24"/>
          <w:lang w:val="en-US"/>
        </w:rPr>
        <w:t xml:space="preserve">: </w:t>
      </w:r>
      <w:r w:rsidR="00CD4DAF">
        <w:rPr>
          <w:rFonts w:ascii="Arial" w:hAnsi="Arial" w:cs="Arial"/>
          <w:sz w:val="24"/>
          <w:szCs w:val="24"/>
          <w:lang w:val="en-US"/>
        </w:rPr>
        <w:t>an indicator intended</w:t>
      </w:r>
      <w:r w:rsidR="007078D4" w:rsidRPr="000253C4">
        <w:rPr>
          <w:rFonts w:ascii="Arial" w:hAnsi="Arial" w:cs="Arial"/>
          <w:sz w:val="24"/>
          <w:szCs w:val="24"/>
          <w:lang w:val="en-US"/>
        </w:rPr>
        <w:t xml:space="preserve"> to identify the degree of dependence between innovation and past technological </w:t>
      </w:r>
      <w:r w:rsidR="000253C4" w:rsidRPr="000253C4">
        <w:rPr>
          <w:rFonts w:ascii="Arial" w:hAnsi="Arial" w:cs="Arial"/>
          <w:sz w:val="24"/>
          <w:szCs w:val="24"/>
          <w:lang w:val="en-US"/>
        </w:rPr>
        <w:t>k</w:t>
      </w:r>
      <w:r w:rsidR="007078D4" w:rsidRPr="000253C4">
        <w:rPr>
          <w:rFonts w:ascii="Arial" w:hAnsi="Arial" w:cs="Arial"/>
          <w:sz w:val="24"/>
          <w:szCs w:val="24"/>
          <w:lang w:val="en-US"/>
        </w:rPr>
        <w:t xml:space="preserve">nowledge. The indicator </w:t>
      </w:r>
      <w:r w:rsidR="00CD4DAF">
        <w:rPr>
          <w:rFonts w:ascii="Arial" w:hAnsi="Arial" w:cs="Arial"/>
          <w:sz w:val="24"/>
          <w:szCs w:val="24"/>
          <w:lang w:val="en-US"/>
        </w:rPr>
        <w:t>was</w:t>
      </w:r>
      <w:r w:rsidR="007078D4" w:rsidRPr="000253C4">
        <w:rPr>
          <w:rFonts w:ascii="Arial" w:hAnsi="Arial" w:cs="Arial"/>
          <w:sz w:val="24"/>
          <w:szCs w:val="24"/>
          <w:lang w:val="en-US"/>
        </w:rPr>
        <w:t xml:space="preserve"> constructed by adding responses provided by firms</w:t>
      </w:r>
      <w:r w:rsidR="00E719C4" w:rsidRPr="000253C4">
        <w:rPr>
          <w:rFonts w:ascii="Arial" w:hAnsi="Arial" w:cs="Arial"/>
          <w:sz w:val="24"/>
          <w:szCs w:val="24"/>
          <w:lang w:val="en-US"/>
        </w:rPr>
        <w:t xml:space="preserve"> with respect to the prevailing constancy </w:t>
      </w:r>
      <w:r w:rsidR="00CD4DAF">
        <w:rPr>
          <w:rFonts w:ascii="Arial" w:hAnsi="Arial" w:cs="Arial"/>
          <w:sz w:val="24"/>
          <w:szCs w:val="24"/>
          <w:lang w:val="en-US"/>
        </w:rPr>
        <w:t>with which undertook</w:t>
      </w:r>
      <w:r w:rsidR="00E719C4" w:rsidRPr="000253C4">
        <w:rPr>
          <w:rFonts w:ascii="Arial" w:hAnsi="Arial" w:cs="Arial"/>
          <w:sz w:val="24"/>
          <w:szCs w:val="24"/>
          <w:lang w:val="en-US"/>
        </w:rPr>
        <w:t xml:space="preserve"> research and development. A larger value denote</w:t>
      </w:r>
      <w:r w:rsidR="00CD4DAF">
        <w:rPr>
          <w:rFonts w:ascii="Arial" w:hAnsi="Arial" w:cs="Arial"/>
          <w:sz w:val="24"/>
          <w:szCs w:val="24"/>
          <w:lang w:val="en-US"/>
        </w:rPr>
        <w:t>d</w:t>
      </w:r>
      <w:r w:rsidR="00E719C4" w:rsidRPr="000253C4">
        <w:rPr>
          <w:rFonts w:ascii="Arial" w:hAnsi="Arial" w:cs="Arial"/>
          <w:sz w:val="24"/>
          <w:szCs w:val="24"/>
          <w:lang w:val="en-US"/>
        </w:rPr>
        <w:t xml:space="preserve"> a higher </w:t>
      </w:r>
      <w:r w:rsidR="000253C4" w:rsidRPr="000253C4">
        <w:rPr>
          <w:rFonts w:ascii="Arial" w:hAnsi="Arial" w:cs="Arial"/>
          <w:sz w:val="24"/>
          <w:szCs w:val="24"/>
          <w:lang w:val="en-US"/>
        </w:rPr>
        <w:t>cumulativeness</w:t>
      </w:r>
      <w:r w:rsidR="00E719C4" w:rsidRPr="000253C4">
        <w:rPr>
          <w:rFonts w:ascii="Arial" w:hAnsi="Arial" w:cs="Arial"/>
          <w:sz w:val="24"/>
          <w:szCs w:val="24"/>
          <w:lang w:val="en-US"/>
        </w:rPr>
        <w:t>;</w:t>
      </w:r>
    </w:p>
    <w:p w:rsidR="00E719C4" w:rsidRPr="00390BF1" w:rsidRDefault="00E719C4" w:rsidP="007078D4">
      <w:pPr>
        <w:spacing w:line="480" w:lineRule="auto"/>
        <w:jc w:val="both"/>
        <w:rPr>
          <w:rFonts w:ascii="Arial" w:hAnsi="Arial" w:cs="Arial"/>
          <w:sz w:val="24"/>
          <w:szCs w:val="24"/>
          <w:lang w:val="en-US"/>
        </w:rPr>
      </w:pPr>
      <w:r w:rsidRPr="00390BF1">
        <w:rPr>
          <w:rFonts w:ascii="Arial" w:hAnsi="Arial" w:cs="Arial"/>
          <w:sz w:val="24"/>
          <w:szCs w:val="24"/>
          <w:lang w:val="en-US"/>
        </w:rPr>
        <w:lastRenderedPageBreak/>
        <w:t xml:space="preserve">. </w:t>
      </w:r>
      <w:r w:rsidRPr="00390BF1">
        <w:rPr>
          <w:rFonts w:ascii="Arial" w:hAnsi="Arial" w:cs="Arial"/>
          <w:b/>
          <w:sz w:val="24"/>
          <w:szCs w:val="24"/>
          <w:lang w:val="en-US"/>
        </w:rPr>
        <w:t>KBASE</w:t>
      </w:r>
      <w:r w:rsidRPr="00390BF1">
        <w:rPr>
          <w:rFonts w:ascii="Arial" w:hAnsi="Arial" w:cs="Arial"/>
          <w:sz w:val="24"/>
          <w:szCs w:val="24"/>
          <w:lang w:val="en-US"/>
        </w:rPr>
        <w:t xml:space="preserve">: this </w:t>
      </w:r>
      <w:r w:rsidR="006333FB" w:rsidRPr="00390BF1">
        <w:rPr>
          <w:rFonts w:ascii="Arial" w:hAnsi="Arial" w:cs="Arial"/>
          <w:sz w:val="24"/>
          <w:szCs w:val="24"/>
          <w:lang w:val="en-US"/>
        </w:rPr>
        <w:t>indicator refer</w:t>
      </w:r>
      <w:r w:rsidR="00F8412E">
        <w:rPr>
          <w:rFonts w:ascii="Arial" w:hAnsi="Arial" w:cs="Arial"/>
          <w:sz w:val="24"/>
          <w:szCs w:val="24"/>
          <w:lang w:val="en-US"/>
        </w:rPr>
        <w:t>red</w:t>
      </w:r>
      <w:r w:rsidR="006333FB" w:rsidRPr="00390BF1">
        <w:rPr>
          <w:rFonts w:ascii="Arial" w:hAnsi="Arial" w:cs="Arial"/>
          <w:sz w:val="24"/>
          <w:szCs w:val="24"/>
          <w:lang w:val="en-US"/>
        </w:rPr>
        <w:t xml:space="preserve"> to the knowledg</w:t>
      </w:r>
      <w:r w:rsidRPr="00390BF1">
        <w:rPr>
          <w:rFonts w:ascii="Arial" w:hAnsi="Arial" w:cs="Arial"/>
          <w:sz w:val="24"/>
          <w:szCs w:val="24"/>
          <w:lang w:val="en-US"/>
        </w:rPr>
        <w:t xml:space="preserve">e base and </w:t>
      </w:r>
      <w:r w:rsidR="00CE7F30" w:rsidRPr="00390BF1">
        <w:rPr>
          <w:rFonts w:ascii="Arial" w:hAnsi="Arial" w:cs="Arial"/>
          <w:sz w:val="24"/>
          <w:szCs w:val="24"/>
          <w:lang w:val="en-US"/>
        </w:rPr>
        <w:t>attempt</w:t>
      </w:r>
      <w:r w:rsidR="00F8412E">
        <w:rPr>
          <w:rFonts w:ascii="Arial" w:hAnsi="Arial" w:cs="Arial"/>
          <w:sz w:val="24"/>
          <w:szCs w:val="24"/>
          <w:lang w:val="en-US"/>
        </w:rPr>
        <w:t>ed</w:t>
      </w:r>
      <w:r w:rsidR="00CE7F30" w:rsidRPr="00390BF1">
        <w:rPr>
          <w:rFonts w:ascii="Arial" w:hAnsi="Arial" w:cs="Arial"/>
          <w:sz w:val="24"/>
          <w:szCs w:val="24"/>
          <w:lang w:val="en-US"/>
        </w:rPr>
        <w:t xml:space="preserve"> to identify </w:t>
      </w:r>
      <w:r w:rsidR="00F8412E">
        <w:rPr>
          <w:rFonts w:ascii="Arial" w:hAnsi="Arial" w:cs="Arial"/>
          <w:sz w:val="24"/>
          <w:szCs w:val="24"/>
          <w:lang w:val="en-US"/>
        </w:rPr>
        <w:t xml:space="preserve">the </w:t>
      </w:r>
      <w:r w:rsidR="00CE7F30" w:rsidRPr="00390BF1">
        <w:rPr>
          <w:rFonts w:ascii="Arial" w:hAnsi="Arial" w:cs="Arial"/>
          <w:sz w:val="24"/>
          <w:szCs w:val="24"/>
          <w:lang w:val="en-US"/>
        </w:rPr>
        <w:t xml:space="preserve">extent </w:t>
      </w:r>
      <w:r w:rsidR="00F8412E">
        <w:rPr>
          <w:rFonts w:ascii="Arial" w:hAnsi="Arial" w:cs="Arial"/>
          <w:sz w:val="24"/>
          <w:szCs w:val="24"/>
          <w:lang w:val="en-US"/>
        </w:rPr>
        <w:t xml:space="preserve">to which </w:t>
      </w:r>
      <w:r w:rsidR="00CE7F30" w:rsidRPr="00390BF1">
        <w:rPr>
          <w:rFonts w:ascii="Arial" w:hAnsi="Arial" w:cs="Arial"/>
          <w:sz w:val="24"/>
          <w:szCs w:val="24"/>
          <w:lang w:val="en-US"/>
        </w:rPr>
        <w:t>the technological knowledge ha</w:t>
      </w:r>
      <w:r w:rsidR="00F8412E">
        <w:rPr>
          <w:rFonts w:ascii="Arial" w:hAnsi="Arial" w:cs="Arial"/>
          <w:sz w:val="24"/>
          <w:szCs w:val="24"/>
          <w:lang w:val="en-US"/>
        </w:rPr>
        <w:t>d</w:t>
      </w:r>
      <w:r w:rsidRPr="00390BF1">
        <w:rPr>
          <w:rFonts w:ascii="Arial" w:hAnsi="Arial" w:cs="Arial"/>
          <w:sz w:val="24"/>
          <w:szCs w:val="24"/>
          <w:lang w:val="en-US"/>
        </w:rPr>
        <w:t xml:space="preserve"> a more generic or more a</w:t>
      </w:r>
      <w:r w:rsidR="00F8412E">
        <w:rPr>
          <w:rFonts w:ascii="Arial" w:hAnsi="Arial" w:cs="Arial"/>
          <w:sz w:val="24"/>
          <w:szCs w:val="24"/>
          <w:lang w:val="en-US"/>
        </w:rPr>
        <w:t>pplied dimension. F</w:t>
      </w:r>
      <w:r w:rsidRPr="00390BF1">
        <w:rPr>
          <w:rFonts w:ascii="Arial" w:hAnsi="Arial" w:cs="Arial"/>
          <w:sz w:val="24"/>
          <w:szCs w:val="24"/>
          <w:lang w:val="en-US"/>
        </w:rPr>
        <w:t xml:space="preserve">or the innovating firms, </w:t>
      </w:r>
      <w:r w:rsidR="00F8412E">
        <w:rPr>
          <w:rFonts w:ascii="Arial" w:hAnsi="Arial" w:cs="Arial"/>
          <w:sz w:val="24"/>
          <w:szCs w:val="24"/>
          <w:lang w:val="en-US"/>
        </w:rPr>
        <w:t xml:space="preserve">we considered </w:t>
      </w:r>
      <w:r w:rsidRPr="00390BF1">
        <w:rPr>
          <w:rFonts w:ascii="Arial" w:hAnsi="Arial" w:cs="Arial"/>
          <w:sz w:val="24"/>
          <w:szCs w:val="24"/>
          <w:lang w:val="en-US"/>
        </w:rPr>
        <w:t>the share of employees that possess</w:t>
      </w:r>
      <w:r w:rsidR="00F8412E">
        <w:rPr>
          <w:rFonts w:ascii="Arial" w:hAnsi="Arial" w:cs="Arial"/>
          <w:sz w:val="24"/>
          <w:szCs w:val="24"/>
          <w:lang w:val="en-US"/>
        </w:rPr>
        <w:t>ed</w:t>
      </w:r>
      <w:r w:rsidRPr="00390BF1">
        <w:rPr>
          <w:rFonts w:ascii="Arial" w:hAnsi="Arial" w:cs="Arial"/>
          <w:sz w:val="24"/>
          <w:szCs w:val="24"/>
          <w:lang w:val="en-US"/>
        </w:rPr>
        <w:t xml:space="preserve"> </w:t>
      </w:r>
      <w:r w:rsidR="00F8412E">
        <w:rPr>
          <w:rFonts w:ascii="Arial" w:hAnsi="Arial" w:cs="Arial"/>
          <w:sz w:val="24"/>
          <w:szCs w:val="24"/>
          <w:lang w:val="en-US"/>
        </w:rPr>
        <w:t xml:space="preserve">an </w:t>
      </w:r>
      <w:r w:rsidRPr="00390BF1">
        <w:rPr>
          <w:rFonts w:ascii="Arial" w:hAnsi="Arial" w:cs="Arial"/>
          <w:sz w:val="24"/>
          <w:szCs w:val="24"/>
          <w:lang w:val="en-US"/>
        </w:rPr>
        <w:t xml:space="preserve">educational background </w:t>
      </w:r>
      <w:r w:rsidR="00CF2CC6" w:rsidRPr="00390BF1">
        <w:rPr>
          <w:rFonts w:ascii="Arial" w:hAnsi="Arial" w:cs="Arial"/>
          <w:sz w:val="24"/>
          <w:szCs w:val="24"/>
          <w:lang w:val="en-US"/>
        </w:rPr>
        <w:t>related to generic and applied k</w:t>
      </w:r>
      <w:r w:rsidRPr="00390BF1">
        <w:rPr>
          <w:rFonts w:ascii="Arial" w:hAnsi="Arial" w:cs="Arial"/>
          <w:sz w:val="24"/>
          <w:szCs w:val="24"/>
          <w:lang w:val="en-US"/>
        </w:rPr>
        <w:t>nowledge</w:t>
      </w:r>
      <w:r w:rsidR="00C73399" w:rsidRPr="00390BF1">
        <w:rPr>
          <w:rFonts w:ascii="Arial" w:hAnsi="Arial" w:cs="Arial"/>
          <w:sz w:val="24"/>
          <w:szCs w:val="24"/>
          <w:lang w:val="en-US"/>
        </w:rPr>
        <w:t xml:space="preserve">. For this category, we constructed two indicators. First, </w:t>
      </w:r>
      <w:r w:rsidR="009F5068" w:rsidRPr="00390BF1">
        <w:rPr>
          <w:rFonts w:ascii="Arial" w:hAnsi="Arial" w:cs="Arial"/>
          <w:sz w:val="24"/>
          <w:szCs w:val="24"/>
          <w:lang w:val="en-US"/>
        </w:rPr>
        <w:t xml:space="preserve">the indicator </w:t>
      </w:r>
      <w:r w:rsidR="009F5068" w:rsidRPr="00390BF1">
        <w:rPr>
          <w:rFonts w:ascii="Arial" w:hAnsi="Arial" w:cs="Arial"/>
          <w:b/>
          <w:sz w:val="24"/>
          <w:szCs w:val="24"/>
          <w:lang w:val="en-US"/>
        </w:rPr>
        <w:t>BASIC</w:t>
      </w:r>
      <w:r w:rsidR="00C73399" w:rsidRPr="00390BF1">
        <w:rPr>
          <w:rFonts w:ascii="Arial" w:hAnsi="Arial" w:cs="Arial"/>
          <w:sz w:val="24"/>
          <w:szCs w:val="24"/>
          <w:lang w:val="en-US"/>
        </w:rPr>
        <w:t xml:space="preserve"> highlight</w:t>
      </w:r>
      <w:r w:rsidR="00F8412E">
        <w:rPr>
          <w:rFonts w:ascii="Arial" w:hAnsi="Arial" w:cs="Arial"/>
          <w:sz w:val="24"/>
          <w:szCs w:val="24"/>
          <w:lang w:val="en-US"/>
        </w:rPr>
        <w:t>ed</w:t>
      </w:r>
      <w:r w:rsidR="00C73399" w:rsidRPr="00390BF1">
        <w:rPr>
          <w:rFonts w:ascii="Arial" w:hAnsi="Arial" w:cs="Arial"/>
          <w:sz w:val="24"/>
          <w:szCs w:val="24"/>
          <w:lang w:val="en-US"/>
        </w:rPr>
        <w:t xml:space="preserve"> how generic the knowledge base </w:t>
      </w:r>
      <w:r w:rsidR="00F8412E">
        <w:rPr>
          <w:rFonts w:ascii="Arial" w:hAnsi="Arial" w:cs="Arial"/>
          <w:sz w:val="24"/>
          <w:szCs w:val="24"/>
          <w:lang w:val="en-US"/>
        </w:rPr>
        <w:t xml:space="preserve">was </w:t>
      </w:r>
      <w:r w:rsidR="00C73399" w:rsidRPr="00390BF1">
        <w:rPr>
          <w:rFonts w:ascii="Arial" w:hAnsi="Arial" w:cs="Arial"/>
          <w:sz w:val="24"/>
          <w:szCs w:val="24"/>
          <w:lang w:val="en-US"/>
        </w:rPr>
        <w:t>and was obtained b</w:t>
      </w:r>
      <w:r w:rsidR="00F8412E">
        <w:rPr>
          <w:rFonts w:ascii="Arial" w:hAnsi="Arial" w:cs="Arial"/>
          <w:sz w:val="24"/>
          <w:szCs w:val="24"/>
          <w:lang w:val="en-US"/>
        </w:rPr>
        <w:t>ased on the share</w:t>
      </w:r>
      <w:r w:rsidR="0096727D" w:rsidRPr="00390BF1">
        <w:rPr>
          <w:rFonts w:ascii="Arial" w:hAnsi="Arial" w:cs="Arial"/>
          <w:sz w:val="24"/>
          <w:szCs w:val="24"/>
          <w:lang w:val="en-US"/>
        </w:rPr>
        <w:t xml:space="preserve"> of employees rela</w:t>
      </w:r>
      <w:r w:rsidR="00F8412E">
        <w:rPr>
          <w:rFonts w:ascii="Arial" w:hAnsi="Arial" w:cs="Arial"/>
          <w:sz w:val="24"/>
          <w:szCs w:val="24"/>
          <w:lang w:val="en-US"/>
        </w:rPr>
        <w:t>ted to basic/generic sciences (chemistry, physics, b</w:t>
      </w:r>
      <w:r w:rsidR="0096727D" w:rsidRPr="00390BF1">
        <w:rPr>
          <w:rFonts w:ascii="Arial" w:hAnsi="Arial" w:cs="Arial"/>
          <w:sz w:val="24"/>
          <w:szCs w:val="24"/>
          <w:lang w:val="en-US"/>
        </w:rPr>
        <w:t xml:space="preserve">iology, </w:t>
      </w:r>
      <w:r w:rsidR="00F8412E">
        <w:rPr>
          <w:rFonts w:ascii="Arial" w:hAnsi="Arial" w:cs="Arial"/>
          <w:sz w:val="24"/>
          <w:szCs w:val="24"/>
          <w:lang w:val="en-US"/>
        </w:rPr>
        <w:t>and m</w:t>
      </w:r>
      <w:r w:rsidR="0048436F" w:rsidRPr="00390BF1">
        <w:rPr>
          <w:rFonts w:ascii="Arial" w:hAnsi="Arial" w:cs="Arial"/>
          <w:sz w:val="24"/>
          <w:szCs w:val="24"/>
          <w:lang w:val="en-US"/>
        </w:rPr>
        <w:t>athematics</w:t>
      </w:r>
      <w:r w:rsidR="0096727D" w:rsidRPr="00390BF1">
        <w:rPr>
          <w:rFonts w:ascii="Arial" w:hAnsi="Arial" w:cs="Arial"/>
          <w:sz w:val="24"/>
          <w:szCs w:val="24"/>
          <w:lang w:val="en-US"/>
        </w:rPr>
        <w:t>). Second</w:t>
      </w:r>
      <w:r w:rsidR="00F8412E">
        <w:rPr>
          <w:rFonts w:ascii="Arial" w:hAnsi="Arial" w:cs="Arial"/>
          <w:sz w:val="24"/>
          <w:szCs w:val="24"/>
          <w:lang w:val="en-US"/>
        </w:rPr>
        <w:t>,</w:t>
      </w:r>
      <w:r w:rsidR="0096727D" w:rsidRPr="00390BF1">
        <w:rPr>
          <w:rFonts w:ascii="Arial" w:hAnsi="Arial" w:cs="Arial"/>
          <w:sz w:val="24"/>
          <w:szCs w:val="24"/>
          <w:lang w:val="en-US"/>
        </w:rPr>
        <w:t xml:space="preserve"> </w:t>
      </w:r>
      <w:r w:rsidR="00F8412E">
        <w:rPr>
          <w:rFonts w:ascii="Arial" w:hAnsi="Arial" w:cs="Arial"/>
          <w:sz w:val="24"/>
          <w:szCs w:val="24"/>
          <w:lang w:val="en-US"/>
        </w:rPr>
        <w:t xml:space="preserve">the </w:t>
      </w:r>
      <w:r w:rsidR="0096727D" w:rsidRPr="00390BF1">
        <w:rPr>
          <w:rFonts w:ascii="Arial" w:hAnsi="Arial" w:cs="Arial"/>
          <w:sz w:val="24"/>
          <w:szCs w:val="24"/>
          <w:lang w:val="en-US"/>
        </w:rPr>
        <w:t xml:space="preserve">indicator </w:t>
      </w:r>
      <w:r w:rsidR="009F5068" w:rsidRPr="00390BF1">
        <w:rPr>
          <w:rFonts w:ascii="Arial" w:hAnsi="Arial" w:cs="Arial"/>
          <w:b/>
          <w:sz w:val="24"/>
          <w:szCs w:val="24"/>
          <w:lang w:val="en-US"/>
        </w:rPr>
        <w:t>APPL</w:t>
      </w:r>
      <w:r w:rsidR="009F5068" w:rsidRPr="00390BF1">
        <w:rPr>
          <w:rFonts w:ascii="Arial" w:hAnsi="Arial" w:cs="Arial"/>
          <w:sz w:val="24"/>
          <w:szCs w:val="24"/>
          <w:lang w:val="en-US"/>
        </w:rPr>
        <w:t xml:space="preserve"> </w:t>
      </w:r>
      <w:r w:rsidR="00390BF1" w:rsidRPr="00390BF1">
        <w:rPr>
          <w:rFonts w:ascii="Arial" w:hAnsi="Arial" w:cs="Arial"/>
          <w:sz w:val="24"/>
          <w:szCs w:val="24"/>
          <w:lang w:val="en-US"/>
        </w:rPr>
        <w:t xml:space="preserve">considered </w:t>
      </w:r>
      <w:r w:rsidR="00F8412E">
        <w:rPr>
          <w:rFonts w:ascii="Arial" w:hAnsi="Arial" w:cs="Arial"/>
          <w:sz w:val="24"/>
          <w:szCs w:val="24"/>
          <w:lang w:val="en-US"/>
        </w:rPr>
        <w:t>the proportion</w:t>
      </w:r>
      <w:r w:rsidR="0096727D" w:rsidRPr="00390BF1">
        <w:rPr>
          <w:rFonts w:ascii="Arial" w:hAnsi="Arial" w:cs="Arial"/>
          <w:sz w:val="24"/>
          <w:szCs w:val="24"/>
          <w:lang w:val="en-US"/>
        </w:rPr>
        <w:t xml:space="preserve"> of employees </w:t>
      </w:r>
      <w:r w:rsidR="00F8412E">
        <w:rPr>
          <w:rFonts w:ascii="Arial" w:hAnsi="Arial" w:cs="Arial"/>
          <w:sz w:val="24"/>
          <w:szCs w:val="24"/>
          <w:lang w:val="en-US"/>
        </w:rPr>
        <w:t>with an educational background</w:t>
      </w:r>
      <w:r w:rsidR="0096727D" w:rsidRPr="00390BF1">
        <w:rPr>
          <w:rFonts w:ascii="Arial" w:hAnsi="Arial" w:cs="Arial"/>
          <w:sz w:val="24"/>
          <w:szCs w:val="24"/>
          <w:lang w:val="en-US"/>
        </w:rPr>
        <w:t xml:space="preserve"> related to applied sciences (engineers, physicians, architects among others), The interpretation of the indicators </w:t>
      </w:r>
      <w:r w:rsidR="00F8412E">
        <w:rPr>
          <w:rFonts w:ascii="Arial" w:hAnsi="Arial" w:cs="Arial"/>
          <w:sz w:val="24"/>
          <w:szCs w:val="24"/>
          <w:lang w:val="en-US"/>
        </w:rPr>
        <w:t>was</w:t>
      </w:r>
      <w:r w:rsidR="0096727D" w:rsidRPr="00390BF1">
        <w:rPr>
          <w:rFonts w:ascii="Arial" w:hAnsi="Arial" w:cs="Arial"/>
          <w:sz w:val="24"/>
          <w:szCs w:val="24"/>
          <w:lang w:val="en-US"/>
        </w:rPr>
        <w:t xml:space="preserve"> direct: the larger the value of the basic science (applied science) indicator </w:t>
      </w:r>
      <w:r w:rsidR="00F8412E">
        <w:rPr>
          <w:rFonts w:ascii="Arial" w:hAnsi="Arial" w:cs="Arial"/>
          <w:sz w:val="24"/>
          <w:szCs w:val="24"/>
          <w:lang w:val="en-US"/>
        </w:rPr>
        <w:t xml:space="preserve">the more generic (applied) </w:t>
      </w:r>
      <w:r w:rsidR="0096727D" w:rsidRPr="00390BF1">
        <w:rPr>
          <w:rFonts w:ascii="Arial" w:hAnsi="Arial" w:cs="Arial"/>
          <w:sz w:val="24"/>
          <w:szCs w:val="24"/>
          <w:lang w:val="en-US"/>
        </w:rPr>
        <w:t>be the technological knowledge</w:t>
      </w:r>
    </w:p>
    <w:p w:rsidR="00063170" w:rsidRPr="00036C36" w:rsidRDefault="00063170" w:rsidP="00063170">
      <w:pPr>
        <w:spacing w:line="480" w:lineRule="auto"/>
        <w:jc w:val="both"/>
        <w:rPr>
          <w:rFonts w:ascii="Arial" w:hAnsi="Arial" w:cs="Arial"/>
          <w:sz w:val="24"/>
          <w:szCs w:val="24"/>
          <w:u w:val="single"/>
          <w:lang w:val="en-US"/>
        </w:rPr>
      </w:pPr>
      <w:r w:rsidRPr="00036C36">
        <w:rPr>
          <w:rFonts w:ascii="Arial" w:hAnsi="Arial" w:cs="Arial"/>
          <w:sz w:val="24"/>
          <w:szCs w:val="24"/>
          <w:lang w:val="en-US"/>
        </w:rPr>
        <w:t xml:space="preserve">b)   </w:t>
      </w:r>
      <w:r w:rsidRPr="00036C36">
        <w:rPr>
          <w:rFonts w:ascii="Arial" w:hAnsi="Arial" w:cs="Arial"/>
          <w:sz w:val="24"/>
          <w:szCs w:val="24"/>
          <w:u w:val="single"/>
          <w:lang w:val="en-US"/>
        </w:rPr>
        <w:t xml:space="preserve"> Inter-industry contrasts</w:t>
      </w:r>
    </w:p>
    <w:p w:rsidR="00036C36" w:rsidRPr="004A5D56" w:rsidRDefault="00036C36" w:rsidP="00DA2910">
      <w:pPr>
        <w:spacing w:line="480" w:lineRule="auto"/>
        <w:ind w:firstLine="708"/>
        <w:jc w:val="both"/>
        <w:rPr>
          <w:rFonts w:ascii="Arial" w:hAnsi="Arial" w:cs="Arial"/>
          <w:sz w:val="24"/>
          <w:szCs w:val="24"/>
          <w:lang w:val="en-US"/>
        </w:rPr>
      </w:pPr>
      <w:r w:rsidRPr="004A5D56">
        <w:rPr>
          <w:rFonts w:ascii="Arial" w:hAnsi="Arial" w:cs="Arial"/>
          <w:sz w:val="24"/>
          <w:szCs w:val="24"/>
          <w:lang w:val="en-US"/>
        </w:rPr>
        <w:t>Following Van Dijk (200</w:t>
      </w:r>
      <w:r w:rsidR="004A5D56">
        <w:rPr>
          <w:rFonts w:ascii="Arial" w:hAnsi="Arial" w:cs="Arial"/>
          <w:sz w:val="24"/>
          <w:szCs w:val="24"/>
          <w:lang w:val="en-US"/>
        </w:rPr>
        <w:t>0</w:t>
      </w:r>
      <w:r w:rsidRPr="004A5D56">
        <w:rPr>
          <w:rFonts w:ascii="Arial" w:hAnsi="Arial" w:cs="Arial"/>
          <w:sz w:val="24"/>
          <w:szCs w:val="24"/>
          <w:lang w:val="en-US"/>
        </w:rPr>
        <w:t xml:space="preserve">, 2002) it is possible to </w:t>
      </w:r>
      <w:r w:rsidR="0001632F">
        <w:rPr>
          <w:rFonts w:ascii="Arial" w:hAnsi="Arial" w:cs="Arial"/>
          <w:sz w:val="24"/>
          <w:szCs w:val="24"/>
          <w:lang w:val="en-US"/>
        </w:rPr>
        <w:t>produce</w:t>
      </w:r>
      <w:r w:rsidRPr="004A5D56">
        <w:rPr>
          <w:rFonts w:ascii="Arial" w:hAnsi="Arial" w:cs="Arial"/>
          <w:sz w:val="24"/>
          <w:szCs w:val="24"/>
          <w:lang w:val="en-US"/>
        </w:rPr>
        <w:t xml:space="preserve"> tests that highlight the contrasts between SM-I and SM-II. The tests allow us to infer </w:t>
      </w:r>
      <w:r w:rsidR="00CF4007">
        <w:rPr>
          <w:rFonts w:ascii="Arial" w:hAnsi="Arial" w:cs="Arial"/>
          <w:sz w:val="24"/>
          <w:szCs w:val="24"/>
          <w:lang w:val="en-US"/>
        </w:rPr>
        <w:t xml:space="preserve">whether </w:t>
      </w:r>
      <w:r w:rsidR="00172465" w:rsidRPr="004A5D56">
        <w:rPr>
          <w:rFonts w:ascii="Arial" w:hAnsi="Arial" w:cs="Arial"/>
          <w:sz w:val="24"/>
          <w:szCs w:val="24"/>
          <w:lang w:val="en-US"/>
        </w:rPr>
        <w:t>i</w:t>
      </w:r>
      <w:r w:rsidR="00CF4007">
        <w:rPr>
          <w:rFonts w:ascii="Arial" w:hAnsi="Arial" w:cs="Arial"/>
          <w:sz w:val="24"/>
          <w:szCs w:val="24"/>
          <w:lang w:val="en-US"/>
        </w:rPr>
        <w:t>t is statistically</w:t>
      </w:r>
      <w:r w:rsidRPr="004A5D56">
        <w:rPr>
          <w:rFonts w:ascii="Arial" w:hAnsi="Arial" w:cs="Arial"/>
          <w:sz w:val="24"/>
          <w:szCs w:val="24"/>
          <w:lang w:val="en-US"/>
        </w:rPr>
        <w:t xml:space="preserve"> </w:t>
      </w:r>
      <w:r w:rsidR="00DA2910" w:rsidRPr="004A5D56">
        <w:rPr>
          <w:rFonts w:ascii="Arial" w:hAnsi="Arial" w:cs="Arial"/>
          <w:sz w:val="24"/>
          <w:szCs w:val="24"/>
          <w:lang w:val="en-US"/>
        </w:rPr>
        <w:t xml:space="preserve">relevant </w:t>
      </w:r>
      <w:r w:rsidR="00DA2910">
        <w:rPr>
          <w:rFonts w:ascii="Arial" w:hAnsi="Arial" w:cs="Arial"/>
          <w:sz w:val="24"/>
          <w:szCs w:val="24"/>
          <w:lang w:val="en-US"/>
        </w:rPr>
        <w:t>to</w:t>
      </w:r>
      <w:r w:rsidR="004A5D56">
        <w:rPr>
          <w:rFonts w:ascii="Arial" w:hAnsi="Arial" w:cs="Arial"/>
          <w:sz w:val="24"/>
          <w:szCs w:val="24"/>
          <w:lang w:val="en-US"/>
        </w:rPr>
        <w:t xml:space="preserve"> </w:t>
      </w:r>
      <w:r w:rsidRPr="004A5D56">
        <w:rPr>
          <w:rFonts w:ascii="Arial" w:hAnsi="Arial" w:cs="Arial"/>
          <w:sz w:val="24"/>
          <w:szCs w:val="24"/>
          <w:lang w:val="en-US"/>
        </w:rPr>
        <w:t>classify industries according to this methodology</w:t>
      </w:r>
      <w:r w:rsidR="0001632F">
        <w:rPr>
          <w:rFonts w:ascii="Arial" w:hAnsi="Arial" w:cs="Arial"/>
          <w:sz w:val="24"/>
          <w:szCs w:val="24"/>
          <w:lang w:val="en-US"/>
        </w:rPr>
        <w:t xml:space="preserve"> and to implement the</w:t>
      </w:r>
      <w:r w:rsidR="00172465" w:rsidRPr="004A5D56">
        <w:rPr>
          <w:rFonts w:ascii="Arial" w:hAnsi="Arial" w:cs="Arial"/>
          <w:sz w:val="24"/>
          <w:szCs w:val="24"/>
          <w:lang w:val="en-US"/>
        </w:rPr>
        <w:t>se tests</w:t>
      </w:r>
      <w:r w:rsidRPr="004A5D56">
        <w:rPr>
          <w:rFonts w:ascii="Arial" w:hAnsi="Arial" w:cs="Arial"/>
          <w:sz w:val="24"/>
          <w:szCs w:val="24"/>
          <w:lang w:val="en-US"/>
        </w:rPr>
        <w:t xml:space="preserve"> we </w:t>
      </w:r>
      <w:r w:rsidR="004A5D56">
        <w:rPr>
          <w:rFonts w:ascii="Arial" w:hAnsi="Arial" w:cs="Arial"/>
          <w:sz w:val="24"/>
          <w:szCs w:val="24"/>
          <w:lang w:val="en-US"/>
        </w:rPr>
        <w:t>consider</w:t>
      </w:r>
      <w:r w:rsidR="0001632F">
        <w:rPr>
          <w:rFonts w:ascii="Arial" w:hAnsi="Arial" w:cs="Arial"/>
          <w:sz w:val="24"/>
          <w:szCs w:val="24"/>
          <w:lang w:val="en-US"/>
        </w:rPr>
        <w:t xml:space="preserve">ed the entire </w:t>
      </w:r>
      <w:r w:rsidRPr="004A5D56">
        <w:rPr>
          <w:rFonts w:ascii="Arial" w:hAnsi="Arial" w:cs="Arial"/>
          <w:sz w:val="24"/>
          <w:szCs w:val="24"/>
          <w:lang w:val="en-US"/>
        </w:rPr>
        <w:t xml:space="preserve">sample </w:t>
      </w:r>
      <w:r w:rsidR="004A5D56">
        <w:rPr>
          <w:rFonts w:ascii="Arial" w:hAnsi="Arial" w:cs="Arial"/>
          <w:sz w:val="24"/>
          <w:szCs w:val="24"/>
          <w:lang w:val="en-US"/>
        </w:rPr>
        <w:t>and not only the innovating firms</w:t>
      </w:r>
      <w:r w:rsidRPr="004A5D56">
        <w:rPr>
          <w:rFonts w:ascii="Arial" w:hAnsi="Arial" w:cs="Arial"/>
          <w:sz w:val="24"/>
          <w:szCs w:val="24"/>
          <w:lang w:val="en-US"/>
        </w:rPr>
        <w:t xml:space="preserve">. </w:t>
      </w:r>
      <w:r w:rsidR="00A11E4D" w:rsidRPr="004A5D56">
        <w:rPr>
          <w:rFonts w:ascii="Arial" w:hAnsi="Arial" w:cs="Arial"/>
          <w:sz w:val="24"/>
          <w:szCs w:val="24"/>
          <w:lang w:val="en-US"/>
        </w:rPr>
        <w:t xml:space="preserve">To construct </w:t>
      </w:r>
      <w:r w:rsidR="009612BE" w:rsidRPr="004A5D56">
        <w:rPr>
          <w:rFonts w:ascii="Arial" w:hAnsi="Arial" w:cs="Arial"/>
          <w:sz w:val="24"/>
          <w:szCs w:val="24"/>
          <w:lang w:val="en-US"/>
        </w:rPr>
        <w:t>the variables used to test the differences between SM-I and SM-II</w:t>
      </w:r>
      <w:r w:rsidR="00A11E4D" w:rsidRPr="004A5D56">
        <w:rPr>
          <w:rFonts w:ascii="Arial" w:hAnsi="Arial" w:cs="Arial"/>
          <w:sz w:val="24"/>
          <w:szCs w:val="24"/>
          <w:lang w:val="en-US"/>
        </w:rPr>
        <w:t>, we</w:t>
      </w:r>
      <w:r w:rsidR="00C25E32" w:rsidRPr="004A5D56">
        <w:rPr>
          <w:rFonts w:ascii="Arial" w:hAnsi="Arial" w:cs="Arial"/>
          <w:sz w:val="24"/>
          <w:szCs w:val="24"/>
          <w:lang w:val="en-US"/>
        </w:rPr>
        <w:t xml:space="preserve"> work</w:t>
      </w:r>
      <w:r w:rsidR="0001632F">
        <w:rPr>
          <w:rFonts w:ascii="Arial" w:hAnsi="Arial" w:cs="Arial"/>
          <w:sz w:val="24"/>
          <w:szCs w:val="24"/>
          <w:lang w:val="en-US"/>
        </w:rPr>
        <w:t>ed</w:t>
      </w:r>
      <w:r w:rsidR="00C25E32" w:rsidRPr="004A5D56">
        <w:rPr>
          <w:rFonts w:ascii="Arial" w:hAnsi="Arial" w:cs="Arial"/>
          <w:sz w:val="24"/>
          <w:szCs w:val="24"/>
          <w:lang w:val="en-US"/>
        </w:rPr>
        <w:t xml:space="preserve"> with the universe of all </w:t>
      </w:r>
      <w:r w:rsidR="004A5D56">
        <w:rPr>
          <w:rFonts w:ascii="Arial" w:hAnsi="Arial" w:cs="Arial"/>
          <w:sz w:val="24"/>
          <w:szCs w:val="24"/>
          <w:lang w:val="en-US"/>
        </w:rPr>
        <w:t>firms</w:t>
      </w:r>
      <w:r w:rsidR="00C25E32" w:rsidRPr="004A5D56">
        <w:rPr>
          <w:rFonts w:ascii="Arial" w:hAnsi="Arial" w:cs="Arial"/>
          <w:sz w:val="24"/>
          <w:szCs w:val="24"/>
          <w:lang w:val="en-US"/>
        </w:rPr>
        <w:t xml:space="preserve"> </w:t>
      </w:r>
      <w:r w:rsidR="00E12851" w:rsidRPr="004A5D56">
        <w:rPr>
          <w:rFonts w:ascii="Arial" w:hAnsi="Arial" w:cs="Arial"/>
          <w:sz w:val="24"/>
          <w:szCs w:val="24"/>
          <w:lang w:val="en-US"/>
        </w:rPr>
        <w:t>aggregated in</w:t>
      </w:r>
      <w:r w:rsidR="0001632F">
        <w:rPr>
          <w:rFonts w:ascii="Arial" w:hAnsi="Arial" w:cs="Arial"/>
          <w:sz w:val="24"/>
          <w:szCs w:val="24"/>
          <w:lang w:val="en-US"/>
        </w:rPr>
        <w:t>to</w:t>
      </w:r>
      <w:r w:rsidR="00E12851" w:rsidRPr="004A5D56">
        <w:rPr>
          <w:rFonts w:ascii="Arial" w:hAnsi="Arial" w:cs="Arial"/>
          <w:sz w:val="24"/>
          <w:szCs w:val="24"/>
          <w:lang w:val="en-US"/>
        </w:rPr>
        <w:t xml:space="preserve"> </w:t>
      </w:r>
      <w:r w:rsidR="00A11E4D" w:rsidRPr="004A5D56">
        <w:rPr>
          <w:rFonts w:ascii="Arial" w:hAnsi="Arial" w:cs="Arial"/>
          <w:sz w:val="24"/>
          <w:szCs w:val="24"/>
          <w:lang w:val="en-US"/>
        </w:rPr>
        <w:t>4-digits sectors (CNAE4)</w:t>
      </w:r>
      <w:r w:rsidR="00A11E4D" w:rsidRPr="004A5D56">
        <w:rPr>
          <w:rStyle w:val="Refdenotaderodap"/>
          <w:rFonts w:ascii="Arial" w:hAnsi="Arial" w:cs="Arial"/>
          <w:sz w:val="24"/>
          <w:szCs w:val="24"/>
          <w:lang w:val="en-US"/>
        </w:rPr>
        <w:footnoteReference w:id="5"/>
      </w:r>
      <w:r w:rsidR="00A11E4D" w:rsidRPr="004A5D56">
        <w:rPr>
          <w:rFonts w:ascii="Arial" w:hAnsi="Arial" w:cs="Arial"/>
          <w:sz w:val="24"/>
          <w:szCs w:val="24"/>
          <w:lang w:val="en-US"/>
        </w:rPr>
        <w:t xml:space="preserve"> </w:t>
      </w:r>
      <w:r w:rsidR="00C87C46">
        <w:rPr>
          <w:rFonts w:ascii="Arial" w:hAnsi="Arial" w:cs="Arial"/>
          <w:sz w:val="24"/>
          <w:szCs w:val="24"/>
          <w:lang w:val="en-US"/>
        </w:rPr>
        <w:t xml:space="preserve"> and instead of using</w:t>
      </w:r>
      <w:r w:rsidR="00C25E32" w:rsidRPr="004A5D56">
        <w:rPr>
          <w:rFonts w:ascii="Arial" w:hAnsi="Arial" w:cs="Arial"/>
          <w:sz w:val="24"/>
          <w:szCs w:val="24"/>
          <w:lang w:val="en-US"/>
        </w:rPr>
        <w:t xml:space="preserve"> </w:t>
      </w:r>
      <w:r w:rsidR="00F00722" w:rsidRPr="004A5D56">
        <w:rPr>
          <w:rFonts w:ascii="Arial" w:hAnsi="Arial" w:cs="Arial"/>
          <w:sz w:val="24"/>
          <w:szCs w:val="24"/>
          <w:lang w:val="en-US"/>
        </w:rPr>
        <w:t xml:space="preserve">the </w:t>
      </w:r>
      <w:r w:rsidR="00C25E32" w:rsidRPr="004A5D56">
        <w:rPr>
          <w:rFonts w:ascii="Arial" w:hAnsi="Arial" w:cs="Arial"/>
          <w:sz w:val="24"/>
          <w:szCs w:val="24"/>
          <w:lang w:val="en-US"/>
        </w:rPr>
        <w:t>PINTEC</w:t>
      </w:r>
      <w:r w:rsidR="00F00722" w:rsidRPr="004A5D56">
        <w:rPr>
          <w:rFonts w:ascii="Arial" w:hAnsi="Arial" w:cs="Arial"/>
          <w:sz w:val="24"/>
          <w:szCs w:val="24"/>
          <w:lang w:val="en-US"/>
        </w:rPr>
        <w:t xml:space="preserve"> database</w:t>
      </w:r>
      <w:r w:rsidR="00C25E32" w:rsidRPr="004A5D56">
        <w:rPr>
          <w:rFonts w:ascii="Arial" w:hAnsi="Arial" w:cs="Arial"/>
          <w:sz w:val="24"/>
          <w:szCs w:val="24"/>
          <w:lang w:val="en-US"/>
        </w:rPr>
        <w:t>, we use</w:t>
      </w:r>
      <w:r w:rsidR="00C87C46">
        <w:rPr>
          <w:rFonts w:ascii="Arial" w:hAnsi="Arial" w:cs="Arial"/>
          <w:sz w:val="24"/>
          <w:szCs w:val="24"/>
          <w:lang w:val="en-US"/>
        </w:rPr>
        <w:t>d</w:t>
      </w:r>
      <w:r w:rsidR="00F00722" w:rsidRPr="004A5D56">
        <w:rPr>
          <w:rFonts w:ascii="Arial" w:hAnsi="Arial" w:cs="Arial"/>
          <w:sz w:val="24"/>
          <w:szCs w:val="24"/>
          <w:lang w:val="en-US"/>
        </w:rPr>
        <w:t xml:space="preserve"> the </w:t>
      </w:r>
      <w:proofErr w:type="spellStart"/>
      <w:r w:rsidR="00F00722" w:rsidRPr="004A5D56">
        <w:rPr>
          <w:rFonts w:ascii="Arial" w:hAnsi="Arial" w:cs="Arial"/>
          <w:sz w:val="24"/>
          <w:szCs w:val="24"/>
          <w:lang w:val="en-US"/>
        </w:rPr>
        <w:t>Relação</w:t>
      </w:r>
      <w:proofErr w:type="spellEnd"/>
      <w:r w:rsidR="00F00722" w:rsidRPr="004A5D56">
        <w:rPr>
          <w:rFonts w:ascii="Arial" w:hAnsi="Arial" w:cs="Arial"/>
          <w:sz w:val="24"/>
          <w:szCs w:val="24"/>
          <w:lang w:val="en-US"/>
        </w:rPr>
        <w:t xml:space="preserve"> </w:t>
      </w:r>
      <w:proofErr w:type="spellStart"/>
      <w:r w:rsidR="00F00722" w:rsidRPr="004A5D56">
        <w:rPr>
          <w:rFonts w:ascii="Arial" w:hAnsi="Arial" w:cs="Arial"/>
          <w:sz w:val="24"/>
          <w:szCs w:val="24"/>
          <w:lang w:val="en-US"/>
        </w:rPr>
        <w:t>Anual</w:t>
      </w:r>
      <w:proofErr w:type="spellEnd"/>
      <w:r w:rsidR="00F00722" w:rsidRPr="004A5D56">
        <w:rPr>
          <w:rFonts w:ascii="Arial" w:hAnsi="Arial" w:cs="Arial"/>
          <w:sz w:val="24"/>
          <w:szCs w:val="24"/>
          <w:lang w:val="en-US"/>
        </w:rPr>
        <w:t xml:space="preserve"> de </w:t>
      </w:r>
      <w:proofErr w:type="spellStart"/>
      <w:r w:rsidR="00F00722" w:rsidRPr="004A5D56">
        <w:rPr>
          <w:rFonts w:ascii="Arial" w:hAnsi="Arial" w:cs="Arial"/>
          <w:sz w:val="24"/>
          <w:szCs w:val="24"/>
          <w:lang w:val="en-US"/>
        </w:rPr>
        <w:t>Informações</w:t>
      </w:r>
      <w:proofErr w:type="spellEnd"/>
      <w:r w:rsidR="00F00722" w:rsidRPr="004A5D56">
        <w:rPr>
          <w:rFonts w:ascii="Arial" w:hAnsi="Arial" w:cs="Arial"/>
          <w:sz w:val="24"/>
          <w:szCs w:val="24"/>
          <w:lang w:val="en-US"/>
        </w:rPr>
        <w:t xml:space="preserve"> Sociais (RAIS, Ministry of </w:t>
      </w:r>
      <w:proofErr w:type="spellStart"/>
      <w:r w:rsidR="00F00722" w:rsidRPr="004A5D56">
        <w:rPr>
          <w:rFonts w:ascii="Arial" w:hAnsi="Arial" w:cs="Arial"/>
          <w:sz w:val="24"/>
          <w:szCs w:val="24"/>
          <w:lang w:val="en-US"/>
        </w:rPr>
        <w:t>Labo</w:t>
      </w:r>
      <w:r w:rsidR="00C87C46">
        <w:rPr>
          <w:rFonts w:ascii="Arial" w:hAnsi="Arial" w:cs="Arial"/>
          <w:sz w:val="24"/>
          <w:szCs w:val="24"/>
          <w:lang w:val="en-US"/>
        </w:rPr>
        <w:t>u</w:t>
      </w:r>
      <w:r w:rsidR="00F00722" w:rsidRPr="004A5D56">
        <w:rPr>
          <w:rFonts w:ascii="Arial" w:hAnsi="Arial" w:cs="Arial"/>
          <w:sz w:val="24"/>
          <w:szCs w:val="24"/>
          <w:lang w:val="en-US"/>
        </w:rPr>
        <w:t>r</w:t>
      </w:r>
      <w:proofErr w:type="spellEnd"/>
      <w:r w:rsidR="00F00722" w:rsidRPr="004A5D56">
        <w:rPr>
          <w:rFonts w:ascii="Arial" w:hAnsi="Arial" w:cs="Arial"/>
          <w:sz w:val="24"/>
          <w:szCs w:val="24"/>
          <w:lang w:val="en-US"/>
        </w:rPr>
        <w:t xml:space="preserve"> and Employment, Brazil)</w:t>
      </w:r>
      <w:r w:rsidR="001D446D" w:rsidRPr="004A5D56">
        <w:rPr>
          <w:rFonts w:ascii="Arial" w:hAnsi="Arial" w:cs="Arial"/>
          <w:sz w:val="24"/>
          <w:szCs w:val="24"/>
          <w:lang w:val="en-US"/>
        </w:rPr>
        <w:t>,</w:t>
      </w:r>
      <w:r w:rsidR="00C25E32" w:rsidRPr="004A5D56">
        <w:rPr>
          <w:rFonts w:ascii="Arial" w:hAnsi="Arial" w:cs="Arial"/>
          <w:sz w:val="24"/>
          <w:szCs w:val="24"/>
          <w:lang w:val="en-US"/>
        </w:rPr>
        <w:t xml:space="preserve"> that is an annual </w:t>
      </w:r>
      <w:r w:rsidR="00C87C46">
        <w:rPr>
          <w:rFonts w:ascii="Arial" w:hAnsi="Arial" w:cs="Arial"/>
          <w:sz w:val="24"/>
          <w:szCs w:val="24"/>
          <w:lang w:val="en-US"/>
        </w:rPr>
        <w:t xml:space="preserve">census type </w:t>
      </w:r>
      <w:r w:rsidR="00C25E32" w:rsidRPr="004A5D56">
        <w:rPr>
          <w:rFonts w:ascii="Arial" w:hAnsi="Arial" w:cs="Arial"/>
          <w:sz w:val="24"/>
          <w:szCs w:val="24"/>
          <w:lang w:val="en-US"/>
        </w:rPr>
        <w:t>survey</w:t>
      </w:r>
      <w:r w:rsidR="00C87C46">
        <w:rPr>
          <w:rFonts w:ascii="Arial" w:hAnsi="Arial" w:cs="Arial"/>
          <w:sz w:val="24"/>
          <w:szCs w:val="24"/>
          <w:lang w:val="en-US"/>
        </w:rPr>
        <w:t xml:space="preserve"> over a 10 years </w:t>
      </w:r>
      <w:r w:rsidR="001D446D" w:rsidRPr="004A5D56">
        <w:rPr>
          <w:rFonts w:ascii="Arial" w:hAnsi="Arial" w:cs="Arial"/>
          <w:sz w:val="24"/>
          <w:szCs w:val="24"/>
          <w:lang w:val="en-US"/>
        </w:rPr>
        <w:t>period (1995-2005)</w:t>
      </w:r>
      <w:r w:rsidR="002E108E" w:rsidRPr="004A5D56">
        <w:rPr>
          <w:rFonts w:ascii="Arial" w:hAnsi="Arial" w:cs="Arial"/>
          <w:sz w:val="24"/>
          <w:szCs w:val="24"/>
          <w:lang w:val="en-US"/>
        </w:rPr>
        <w:t>.</w:t>
      </w:r>
      <w:r w:rsidR="00370A53" w:rsidRPr="004A5D56">
        <w:rPr>
          <w:rFonts w:ascii="Arial" w:hAnsi="Arial" w:cs="Arial"/>
          <w:sz w:val="24"/>
          <w:szCs w:val="24"/>
          <w:lang w:val="en-US"/>
        </w:rPr>
        <w:t>T</w:t>
      </w:r>
      <w:r w:rsidRPr="004A5D56">
        <w:rPr>
          <w:rFonts w:ascii="Arial" w:hAnsi="Arial" w:cs="Arial"/>
          <w:sz w:val="24"/>
          <w:szCs w:val="24"/>
          <w:lang w:val="en-US"/>
        </w:rPr>
        <w:t>he variables w</w:t>
      </w:r>
      <w:r w:rsidR="00C24345">
        <w:rPr>
          <w:rFonts w:ascii="Arial" w:hAnsi="Arial" w:cs="Arial"/>
          <w:sz w:val="24"/>
          <w:szCs w:val="24"/>
          <w:lang w:val="en-US"/>
        </w:rPr>
        <w:t xml:space="preserve">ere </w:t>
      </w:r>
      <w:r w:rsidR="00C24345">
        <w:rPr>
          <w:rFonts w:ascii="Arial" w:hAnsi="Arial" w:cs="Arial"/>
          <w:sz w:val="24"/>
          <w:szCs w:val="24"/>
          <w:lang w:val="en-US"/>
        </w:rPr>
        <w:lastRenderedPageBreak/>
        <w:t>used in the tests in S</w:t>
      </w:r>
      <w:r w:rsidR="004A5D56">
        <w:rPr>
          <w:rFonts w:ascii="Arial" w:hAnsi="Arial" w:cs="Arial"/>
          <w:sz w:val="24"/>
          <w:szCs w:val="24"/>
          <w:lang w:val="en-US"/>
        </w:rPr>
        <w:t xml:space="preserve">ection 3 and are described next. The tests were implemented for the </w:t>
      </w:r>
      <w:proofErr w:type="spellStart"/>
      <w:r w:rsidR="00437E26">
        <w:rPr>
          <w:rFonts w:ascii="Arial" w:hAnsi="Arial" w:cs="Arial"/>
          <w:sz w:val="24"/>
          <w:szCs w:val="24"/>
          <w:lang w:val="en-US"/>
        </w:rPr>
        <w:t>sectoral</w:t>
      </w:r>
      <w:proofErr w:type="spellEnd"/>
      <w:r w:rsidR="004A5D56">
        <w:rPr>
          <w:rFonts w:ascii="Arial" w:hAnsi="Arial" w:cs="Arial"/>
          <w:sz w:val="24"/>
          <w:szCs w:val="24"/>
          <w:lang w:val="en-US"/>
        </w:rPr>
        <w:t xml:space="preserve"> mean values across the </w:t>
      </w:r>
      <w:r w:rsidR="00C24345">
        <w:rPr>
          <w:rFonts w:ascii="Arial" w:hAnsi="Arial" w:cs="Arial"/>
          <w:sz w:val="24"/>
          <w:szCs w:val="24"/>
          <w:lang w:val="en-US"/>
        </w:rPr>
        <w:t xml:space="preserve">10 years </w:t>
      </w:r>
      <w:r w:rsidR="004A5D56">
        <w:rPr>
          <w:rFonts w:ascii="Arial" w:hAnsi="Arial" w:cs="Arial"/>
          <w:sz w:val="24"/>
          <w:szCs w:val="24"/>
          <w:lang w:val="en-US"/>
        </w:rPr>
        <w:t>span.</w:t>
      </w:r>
    </w:p>
    <w:p w:rsidR="006C4285" w:rsidRPr="002421E2" w:rsidRDefault="00CE7F30" w:rsidP="00063170">
      <w:pPr>
        <w:spacing w:line="480" w:lineRule="auto"/>
        <w:jc w:val="both"/>
        <w:rPr>
          <w:rFonts w:ascii="Arial" w:hAnsi="Arial" w:cs="Arial"/>
          <w:sz w:val="24"/>
          <w:szCs w:val="24"/>
          <w:lang w:val="en-US"/>
        </w:rPr>
      </w:pPr>
      <w:r>
        <w:rPr>
          <w:rFonts w:ascii="Arial" w:hAnsi="Arial" w:cs="Arial"/>
          <w:sz w:val="24"/>
          <w:szCs w:val="24"/>
          <w:lang w:val="en-US"/>
        </w:rPr>
        <w:t>.</w:t>
      </w:r>
      <w:r w:rsidR="00A1006E" w:rsidRPr="00CE7F30">
        <w:rPr>
          <w:rFonts w:ascii="Arial" w:hAnsi="Arial" w:cs="Arial"/>
          <w:b/>
          <w:sz w:val="24"/>
          <w:szCs w:val="24"/>
          <w:u w:val="single"/>
          <w:lang w:val="en-US"/>
        </w:rPr>
        <w:t>share of small firms</w:t>
      </w:r>
      <w:r w:rsidR="00A1006E" w:rsidRPr="003C228D">
        <w:rPr>
          <w:rFonts w:ascii="Arial" w:hAnsi="Arial" w:cs="Arial"/>
          <w:sz w:val="24"/>
          <w:szCs w:val="24"/>
          <w:lang w:val="en-US"/>
        </w:rPr>
        <w:t xml:space="preserve">: </w:t>
      </w:r>
      <w:r w:rsidR="003C228D" w:rsidRPr="002421E2">
        <w:rPr>
          <w:rFonts w:ascii="Arial" w:hAnsi="Arial" w:cs="Arial"/>
          <w:sz w:val="24"/>
          <w:szCs w:val="24"/>
          <w:lang w:val="en-US"/>
        </w:rPr>
        <w:t xml:space="preserve">measured in terms of </w:t>
      </w:r>
      <w:r w:rsidR="006C4285" w:rsidRPr="002421E2">
        <w:rPr>
          <w:rFonts w:ascii="Arial" w:hAnsi="Arial" w:cs="Arial"/>
          <w:sz w:val="24"/>
          <w:szCs w:val="24"/>
          <w:lang w:val="en-US"/>
        </w:rPr>
        <w:t xml:space="preserve">the </w:t>
      </w:r>
      <w:r w:rsidR="002421E2" w:rsidRPr="002421E2">
        <w:rPr>
          <w:rFonts w:ascii="Arial" w:hAnsi="Arial" w:cs="Arial"/>
          <w:sz w:val="24"/>
          <w:szCs w:val="24"/>
          <w:lang w:val="en-US"/>
        </w:rPr>
        <w:t>share</w:t>
      </w:r>
      <w:r w:rsidR="006C4285" w:rsidRPr="002421E2">
        <w:rPr>
          <w:rFonts w:ascii="Arial" w:hAnsi="Arial" w:cs="Arial"/>
          <w:sz w:val="24"/>
          <w:szCs w:val="24"/>
          <w:lang w:val="en-US"/>
        </w:rPr>
        <w:t xml:space="preserve"> of small firms </w:t>
      </w:r>
      <w:r w:rsidR="00D50757">
        <w:rPr>
          <w:rFonts w:ascii="Arial" w:hAnsi="Arial" w:cs="Arial"/>
          <w:sz w:val="24"/>
          <w:szCs w:val="24"/>
          <w:lang w:val="en-US"/>
        </w:rPr>
        <w:t>of the</w:t>
      </w:r>
      <w:r w:rsidR="006C4285" w:rsidRPr="002421E2">
        <w:rPr>
          <w:rFonts w:ascii="Arial" w:hAnsi="Arial" w:cs="Arial"/>
          <w:sz w:val="24"/>
          <w:szCs w:val="24"/>
          <w:lang w:val="en-US"/>
        </w:rPr>
        <w:t xml:space="preserve"> total sector</w:t>
      </w:r>
      <w:r w:rsidR="00D50757">
        <w:rPr>
          <w:rFonts w:ascii="Arial" w:hAnsi="Arial" w:cs="Arial"/>
          <w:sz w:val="24"/>
          <w:szCs w:val="24"/>
          <w:lang w:val="en-US"/>
        </w:rPr>
        <w:t xml:space="preserve">. It is important to </w:t>
      </w:r>
      <w:proofErr w:type="spellStart"/>
      <w:r w:rsidR="00D50757">
        <w:rPr>
          <w:rFonts w:ascii="Arial" w:hAnsi="Arial" w:cs="Arial"/>
          <w:sz w:val="24"/>
          <w:szCs w:val="24"/>
          <w:lang w:val="en-US"/>
        </w:rPr>
        <w:t>emphasis</w:t>
      </w:r>
      <w:r w:rsidR="00B14C33" w:rsidRPr="002421E2">
        <w:rPr>
          <w:rFonts w:ascii="Arial" w:hAnsi="Arial" w:cs="Arial"/>
          <w:sz w:val="24"/>
          <w:szCs w:val="24"/>
          <w:lang w:val="en-US"/>
        </w:rPr>
        <w:t>e</w:t>
      </w:r>
      <w:proofErr w:type="spellEnd"/>
      <w:r w:rsidR="00B14C33" w:rsidRPr="002421E2">
        <w:rPr>
          <w:rFonts w:ascii="Arial" w:hAnsi="Arial" w:cs="Arial"/>
          <w:sz w:val="24"/>
          <w:szCs w:val="24"/>
          <w:lang w:val="en-US"/>
        </w:rPr>
        <w:t xml:space="preserve"> two points</w:t>
      </w:r>
      <w:r w:rsidR="00D50757">
        <w:rPr>
          <w:rFonts w:ascii="Arial" w:hAnsi="Arial" w:cs="Arial"/>
          <w:sz w:val="24"/>
          <w:szCs w:val="24"/>
          <w:lang w:val="en-US"/>
        </w:rPr>
        <w:t xml:space="preserve"> for</w:t>
      </w:r>
      <w:r w:rsidR="00B14C33" w:rsidRPr="002421E2">
        <w:rPr>
          <w:rFonts w:ascii="Arial" w:hAnsi="Arial" w:cs="Arial"/>
          <w:sz w:val="24"/>
          <w:szCs w:val="24"/>
          <w:lang w:val="en-US"/>
        </w:rPr>
        <w:t xml:space="preserve"> the construction of this variable</w:t>
      </w:r>
      <w:r w:rsidR="00FC3C65" w:rsidRPr="002421E2">
        <w:rPr>
          <w:rFonts w:ascii="Arial" w:hAnsi="Arial" w:cs="Arial"/>
          <w:sz w:val="24"/>
          <w:szCs w:val="24"/>
          <w:lang w:val="en-US"/>
        </w:rPr>
        <w:t>, first</w:t>
      </w:r>
      <w:r w:rsidR="00D50757">
        <w:rPr>
          <w:rFonts w:ascii="Arial" w:hAnsi="Arial" w:cs="Arial"/>
          <w:sz w:val="24"/>
          <w:szCs w:val="24"/>
          <w:lang w:val="en-US"/>
        </w:rPr>
        <w:t>,</w:t>
      </w:r>
      <w:r w:rsidR="00FC3C65" w:rsidRPr="002421E2">
        <w:rPr>
          <w:rFonts w:ascii="Arial" w:hAnsi="Arial" w:cs="Arial"/>
          <w:sz w:val="24"/>
          <w:szCs w:val="24"/>
          <w:lang w:val="en-US"/>
        </w:rPr>
        <w:t xml:space="preserve"> that </w:t>
      </w:r>
      <w:r w:rsidR="006C4285" w:rsidRPr="002421E2">
        <w:rPr>
          <w:rFonts w:ascii="Arial" w:hAnsi="Arial" w:cs="Arial"/>
          <w:sz w:val="24"/>
          <w:szCs w:val="24"/>
          <w:lang w:val="en-US"/>
        </w:rPr>
        <w:t>we consider</w:t>
      </w:r>
      <w:r w:rsidR="00D50757">
        <w:rPr>
          <w:rFonts w:ascii="Arial" w:hAnsi="Arial" w:cs="Arial"/>
          <w:sz w:val="24"/>
          <w:szCs w:val="24"/>
          <w:lang w:val="en-US"/>
        </w:rPr>
        <w:t>ed</w:t>
      </w:r>
      <w:r w:rsidR="006C4285" w:rsidRPr="002421E2">
        <w:rPr>
          <w:rFonts w:ascii="Arial" w:hAnsi="Arial" w:cs="Arial"/>
          <w:sz w:val="24"/>
          <w:szCs w:val="24"/>
          <w:lang w:val="en-US"/>
        </w:rPr>
        <w:t xml:space="preserve"> </w:t>
      </w:r>
      <w:r w:rsidR="00FC3C65" w:rsidRPr="002421E2">
        <w:rPr>
          <w:rFonts w:ascii="Arial" w:hAnsi="Arial" w:cs="Arial"/>
          <w:sz w:val="24"/>
          <w:szCs w:val="24"/>
          <w:lang w:val="en-US"/>
        </w:rPr>
        <w:t>small</w:t>
      </w:r>
      <w:r w:rsidR="006C4285" w:rsidRPr="002421E2">
        <w:rPr>
          <w:rFonts w:ascii="Arial" w:hAnsi="Arial" w:cs="Arial"/>
          <w:sz w:val="24"/>
          <w:szCs w:val="24"/>
          <w:lang w:val="en-US"/>
        </w:rPr>
        <w:t xml:space="preserve"> firms</w:t>
      </w:r>
      <w:r w:rsidR="00D50757">
        <w:rPr>
          <w:rFonts w:ascii="Arial" w:hAnsi="Arial" w:cs="Arial"/>
          <w:sz w:val="24"/>
          <w:szCs w:val="24"/>
          <w:lang w:val="en-US"/>
        </w:rPr>
        <w:t xml:space="preserve"> as</w:t>
      </w:r>
      <w:r w:rsidR="006C4285" w:rsidRPr="002421E2">
        <w:rPr>
          <w:rFonts w:ascii="Arial" w:hAnsi="Arial" w:cs="Arial"/>
          <w:sz w:val="24"/>
          <w:szCs w:val="24"/>
          <w:lang w:val="en-US"/>
        </w:rPr>
        <w:t xml:space="preserve"> those </w:t>
      </w:r>
      <w:r w:rsidR="00D50757">
        <w:rPr>
          <w:rFonts w:ascii="Arial" w:hAnsi="Arial" w:cs="Arial"/>
          <w:sz w:val="24"/>
          <w:szCs w:val="24"/>
          <w:lang w:val="en-US"/>
        </w:rPr>
        <w:t>that</w:t>
      </w:r>
      <w:r w:rsidR="00FC3C65" w:rsidRPr="002421E2">
        <w:rPr>
          <w:rFonts w:ascii="Arial" w:hAnsi="Arial" w:cs="Arial"/>
          <w:sz w:val="24"/>
          <w:szCs w:val="24"/>
          <w:lang w:val="en-US"/>
        </w:rPr>
        <w:t xml:space="preserve"> ha</w:t>
      </w:r>
      <w:r w:rsidR="00D50757">
        <w:rPr>
          <w:rFonts w:ascii="Arial" w:hAnsi="Arial" w:cs="Arial"/>
          <w:sz w:val="24"/>
          <w:szCs w:val="24"/>
          <w:lang w:val="en-US"/>
        </w:rPr>
        <w:t>d</w:t>
      </w:r>
      <w:r w:rsidR="00FC3C65" w:rsidRPr="002421E2">
        <w:rPr>
          <w:rFonts w:ascii="Arial" w:hAnsi="Arial" w:cs="Arial"/>
          <w:sz w:val="24"/>
          <w:szCs w:val="24"/>
          <w:lang w:val="en-US"/>
        </w:rPr>
        <w:t xml:space="preserve"> </w:t>
      </w:r>
      <w:r w:rsidR="006C4285" w:rsidRPr="002421E2">
        <w:rPr>
          <w:rFonts w:ascii="Arial" w:hAnsi="Arial" w:cs="Arial"/>
          <w:sz w:val="24"/>
          <w:szCs w:val="24"/>
          <w:lang w:val="en-US"/>
        </w:rPr>
        <w:t>more than 5 and less than 100 employees</w:t>
      </w:r>
      <w:r w:rsidR="00D50757">
        <w:rPr>
          <w:rFonts w:ascii="Arial" w:hAnsi="Arial" w:cs="Arial"/>
          <w:sz w:val="24"/>
          <w:szCs w:val="24"/>
          <w:lang w:val="en-US"/>
        </w:rPr>
        <w:t>, s</w:t>
      </w:r>
      <w:r w:rsidR="00FC3C65" w:rsidRPr="002421E2">
        <w:rPr>
          <w:rFonts w:ascii="Arial" w:hAnsi="Arial" w:cs="Arial"/>
          <w:sz w:val="24"/>
          <w:szCs w:val="24"/>
          <w:lang w:val="en-US"/>
        </w:rPr>
        <w:t>econd</w:t>
      </w:r>
      <w:r w:rsidR="00D50757">
        <w:rPr>
          <w:rFonts w:ascii="Arial" w:hAnsi="Arial" w:cs="Arial"/>
          <w:sz w:val="24"/>
          <w:szCs w:val="24"/>
          <w:lang w:val="en-US"/>
        </w:rPr>
        <w:t>,</w:t>
      </w:r>
      <w:r w:rsidR="00FC3C65" w:rsidRPr="002421E2">
        <w:rPr>
          <w:rFonts w:ascii="Arial" w:hAnsi="Arial" w:cs="Arial"/>
          <w:sz w:val="24"/>
          <w:szCs w:val="24"/>
          <w:lang w:val="en-US"/>
        </w:rPr>
        <w:t xml:space="preserve"> when we calculate</w:t>
      </w:r>
      <w:r w:rsidR="00D50757">
        <w:rPr>
          <w:rFonts w:ascii="Arial" w:hAnsi="Arial" w:cs="Arial"/>
          <w:sz w:val="24"/>
          <w:szCs w:val="24"/>
          <w:lang w:val="en-US"/>
        </w:rPr>
        <w:t>d th</w:t>
      </w:r>
      <w:r w:rsidR="00FC3C65" w:rsidRPr="002421E2">
        <w:rPr>
          <w:rFonts w:ascii="Arial" w:hAnsi="Arial" w:cs="Arial"/>
          <w:sz w:val="24"/>
          <w:szCs w:val="24"/>
          <w:lang w:val="en-US"/>
        </w:rPr>
        <w:t>e share of small firms in a sector, we us</w:t>
      </w:r>
      <w:r w:rsidR="00520C89">
        <w:rPr>
          <w:rFonts w:ascii="Arial" w:hAnsi="Arial" w:cs="Arial"/>
          <w:sz w:val="24"/>
          <w:szCs w:val="24"/>
          <w:lang w:val="en-US"/>
        </w:rPr>
        <w:t>ed</w:t>
      </w:r>
      <w:r w:rsidR="00FC3C65" w:rsidRPr="002421E2">
        <w:rPr>
          <w:rFonts w:ascii="Arial" w:hAnsi="Arial" w:cs="Arial"/>
          <w:sz w:val="24"/>
          <w:szCs w:val="24"/>
          <w:lang w:val="en-US"/>
        </w:rPr>
        <w:t xml:space="preserve"> the </w:t>
      </w:r>
      <w:r w:rsidR="0022431A" w:rsidRPr="002421E2">
        <w:rPr>
          <w:rFonts w:ascii="Arial" w:hAnsi="Arial" w:cs="Arial"/>
          <w:sz w:val="24"/>
          <w:szCs w:val="24"/>
          <w:lang w:val="en-US"/>
        </w:rPr>
        <w:t>number of employees</w:t>
      </w:r>
      <w:r w:rsidR="00520C89">
        <w:rPr>
          <w:rFonts w:ascii="Arial" w:hAnsi="Arial" w:cs="Arial"/>
          <w:sz w:val="24"/>
          <w:szCs w:val="24"/>
          <w:lang w:val="en-US"/>
        </w:rPr>
        <w:t xml:space="preserve"> rather than</w:t>
      </w:r>
      <w:r w:rsidR="0022431A" w:rsidRPr="002421E2">
        <w:rPr>
          <w:rFonts w:ascii="Arial" w:hAnsi="Arial" w:cs="Arial"/>
          <w:sz w:val="24"/>
          <w:szCs w:val="24"/>
          <w:lang w:val="en-US"/>
        </w:rPr>
        <w:t xml:space="preserve"> the number of firms</w:t>
      </w:r>
      <w:r w:rsidR="002421E2">
        <w:rPr>
          <w:rFonts w:ascii="Arial" w:hAnsi="Arial" w:cs="Arial"/>
          <w:sz w:val="24"/>
          <w:szCs w:val="24"/>
          <w:lang w:val="en-US"/>
        </w:rPr>
        <w:t>;</w:t>
      </w:r>
      <w:r w:rsidR="006C4285" w:rsidRPr="002421E2">
        <w:rPr>
          <w:rFonts w:ascii="Arial" w:hAnsi="Arial" w:cs="Arial"/>
          <w:sz w:val="24"/>
          <w:szCs w:val="24"/>
          <w:lang w:val="en-US"/>
        </w:rPr>
        <w:t xml:space="preserve"> </w:t>
      </w:r>
    </w:p>
    <w:p w:rsidR="00550FFA" w:rsidRPr="0022431A" w:rsidRDefault="0022431A" w:rsidP="00063170">
      <w:pPr>
        <w:spacing w:line="480" w:lineRule="auto"/>
        <w:jc w:val="both"/>
        <w:rPr>
          <w:rFonts w:ascii="Arial" w:hAnsi="Arial" w:cs="Arial"/>
          <w:sz w:val="24"/>
          <w:szCs w:val="24"/>
          <w:lang w:val="en-US"/>
        </w:rPr>
      </w:pPr>
      <w:r w:rsidRPr="0022431A">
        <w:rPr>
          <w:rFonts w:ascii="Arial" w:hAnsi="Arial" w:cs="Arial"/>
          <w:sz w:val="24"/>
          <w:szCs w:val="24"/>
          <w:u w:val="single"/>
          <w:lang w:val="en-US"/>
        </w:rPr>
        <w:t>.</w:t>
      </w:r>
      <w:r w:rsidR="00550FFA" w:rsidRPr="00CE7F30">
        <w:rPr>
          <w:rFonts w:ascii="Arial" w:hAnsi="Arial" w:cs="Arial"/>
          <w:b/>
          <w:sz w:val="24"/>
          <w:szCs w:val="24"/>
          <w:u w:val="single"/>
          <w:lang w:val="en-US"/>
        </w:rPr>
        <w:t>Industrial concentration</w:t>
      </w:r>
      <w:r w:rsidR="00550FFA" w:rsidRPr="0022431A">
        <w:rPr>
          <w:rFonts w:ascii="Arial" w:hAnsi="Arial" w:cs="Arial"/>
          <w:sz w:val="24"/>
          <w:szCs w:val="24"/>
          <w:lang w:val="en-US"/>
        </w:rPr>
        <w:t xml:space="preserve">: </w:t>
      </w:r>
      <w:r w:rsidR="005949F1">
        <w:rPr>
          <w:rFonts w:ascii="Arial" w:hAnsi="Arial" w:cs="Arial"/>
          <w:sz w:val="24"/>
          <w:szCs w:val="24"/>
          <w:lang w:val="en-US"/>
        </w:rPr>
        <w:t xml:space="preserve"> </w:t>
      </w:r>
      <w:r w:rsidR="009B1F51">
        <w:rPr>
          <w:rFonts w:ascii="Arial" w:hAnsi="Arial" w:cs="Arial"/>
          <w:sz w:val="24"/>
          <w:szCs w:val="24"/>
          <w:lang w:val="en-US"/>
        </w:rPr>
        <w:t xml:space="preserve">measured by the </w:t>
      </w:r>
      <w:proofErr w:type="spellStart"/>
      <w:r w:rsidR="00550FFA" w:rsidRPr="0022431A">
        <w:rPr>
          <w:rFonts w:ascii="Arial" w:hAnsi="Arial" w:cs="Arial"/>
          <w:sz w:val="24"/>
          <w:szCs w:val="24"/>
          <w:lang w:val="en-US"/>
        </w:rPr>
        <w:t>Herfindahl</w:t>
      </w:r>
      <w:proofErr w:type="spellEnd"/>
      <w:r w:rsidR="00550FFA" w:rsidRPr="0022431A">
        <w:rPr>
          <w:rFonts w:ascii="Arial" w:hAnsi="Arial" w:cs="Arial"/>
          <w:sz w:val="24"/>
          <w:szCs w:val="24"/>
          <w:lang w:val="en-US"/>
        </w:rPr>
        <w:t xml:space="preserve"> index </w:t>
      </w:r>
      <w:r w:rsidR="00C81218" w:rsidRPr="0022431A">
        <w:rPr>
          <w:rFonts w:ascii="Arial" w:hAnsi="Arial" w:cs="Arial"/>
          <w:sz w:val="24"/>
          <w:szCs w:val="24"/>
          <w:lang w:val="en-US"/>
        </w:rPr>
        <w:t xml:space="preserve">at the 4-digits level obtained </w:t>
      </w:r>
      <w:r w:rsidR="009B1F51">
        <w:rPr>
          <w:rFonts w:ascii="Arial" w:hAnsi="Arial" w:cs="Arial"/>
          <w:sz w:val="24"/>
          <w:szCs w:val="24"/>
          <w:lang w:val="en-US"/>
        </w:rPr>
        <w:t>through</w:t>
      </w:r>
      <w:r w:rsidR="00550FFA" w:rsidRPr="0022431A">
        <w:rPr>
          <w:rFonts w:ascii="Arial" w:hAnsi="Arial" w:cs="Arial"/>
          <w:sz w:val="24"/>
          <w:szCs w:val="24"/>
          <w:lang w:val="en-US"/>
        </w:rPr>
        <w:t xml:space="preserve"> specially</w:t>
      </w:r>
      <w:r w:rsidR="00C81218" w:rsidRPr="0022431A">
        <w:rPr>
          <w:rFonts w:ascii="Arial" w:hAnsi="Arial" w:cs="Arial"/>
          <w:sz w:val="24"/>
          <w:szCs w:val="24"/>
          <w:lang w:val="en-US"/>
        </w:rPr>
        <w:t xml:space="preserve"> requested </w:t>
      </w:r>
      <w:r w:rsidR="00550FFA" w:rsidRPr="0022431A">
        <w:rPr>
          <w:rFonts w:ascii="Arial" w:hAnsi="Arial" w:cs="Arial"/>
          <w:sz w:val="24"/>
          <w:szCs w:val="24"/>
          <w:lang w:val="en-US"/>
        </w:rPr>
        <w:t>tabulati</w:t>
      </w:r>
      <w:r w:rsidR="00C81218" w:rsidRPr="0022431A">
        <w:rPr>
          <w:rFonts w:ascii="Arial" w:hAnsi="Arial" w:cs="Arial"/>
          <w:sz w:val="24"/>
          <w:szCs w:val="24"/>
          <w:lang w:val="en-US"/>
        </w:rPr>
        <w:t>o</w:t>
      </w:r>
      <w:r w:rsidR="00550FFA" w:rsidRPr="0022431A">
        <w:rPr>
          <w:rFonts w:ascii="Arial" w:hAnsi="Arial" w:cs="Arial"/>
          <w:sz w:val="24"/>
          <w:szCs w:val="24"/>
          <w:lang w:val="en-US"/>
        </w:rPr>
        <w:t>n from the PIA-IBGE</w:t>
      </w:r>
      <w:r w:rsidR="00C81218" w:rsidRPr="0022431A">
        <w:rPr>
          <w:rFonts w:ascii="Arial" w:hAnsi="Arial" w:cs="Arial"/>
          <w:sz w:val="24"/>
          <w:szCs w:val="24"/>
          <w:lang w:val="en-US"/>
        </w:rPr>
        <w:t>;</w:t>
      </w:r>
    </w:p>
    <w:p w:rsidR="000B4DEA" w:rsidRPr="00642689" w:rsidRDefault="00DA2910" w:rsidP="00063170">
      <w:pPr>
        <w:spacing w:line="480" w:lineRule="auto"/>
        <w:jc w:val="both"/>
        <w:rPr>
          <w:rFonts w:ascii="Arial" w:hAnsi="Arial" w:cs="Arial"/>
          <w:sz w:val="24"/>
          <w:szCs w:val="24"/>
          <w:lang w:val="en-US"/>
        </w:rPr>
      </w:pPr>
      <w:r w:rsidRPr="00CE7F30">
        <w:rPr>
          <w:rFonts w:ascii="Arial" w:hAnsi="Arial" w:cs="Arial"/>
          <w:b/>
          <w:sz w:val="24"/>
          <w:szCs w:val="24"/>
          <w:lang w:val="en-US"/>
        </w:rPr>
        <w:t>.</w:t>
      </w:r>
      <w:r w:rsidR="00C81218" w:rsidRPr="00CE7F30">
        <w:rPr>
          <w:rFonts w:ascii="Arial" w:hAnsi="Arial" w:cs="Arial"/>
          <w:b/>
          <w:sz w:val="24"/>
          <w:szCs w:val="24"/>
          <w:u w:val="single"/>
          <w:lang w:val="en-US"/>
        </w:rPr>
        <w:t>Suboptimal scale</w:t>
      </w:r>
      <w:r w:rsidR="00C81218" w:rsidRPr="00CE7F30">
        <w:rPr>
          <w:rFonts w:ascii="Arial" w:hAnsi="Arial" w:cs="Arial"/>
          <w:b/>
          <w:sz w:val="24"/>
          <w:szCs w:val="24"/>
          <w:lang w:val="en-US"/>
        </w:rPr>
        <w:t>:</w:t>
      </w:r>
      <w:r w:rsidR="00C81218" w:rsidRPr="00642689">
        <w:rPr>
          <w:rFonts w:ascii="Arial" w:hAnsi="Arial" w:cs="Arial"/>
          <w:sz w:val="24"/>
          <w:szCs w:val="24"/>
          <w:lang w:val="en-US"/>
        </w:rPr>
        <w:t xml:space="preserve"> </w:t>
      </w:r>
      <w:r w:rsidR="009B1F51">
        <w:rPr>
          <w:rFonts w:ascii="Arial" w:hAnsi="Arial" w:cs="Arial"/>
          <w:sz w:val="24"/>
          <w:szCs w:val="24"/>
          <w:lang w:val="en-US"/>
        </w:rPr>
        <w:t xml:space="preserve">measured as the </w:t>
      </w:r>
      <w:r w:rsidR="00C81218" w:rsidRPr="00642689">
        <w:rPr>
          <w:rFonts w:ascii="Arial" w:hAnsi="Arial" w:cs="Arial"/>
          <w:sz w:val="24"/>
          <w:szCs w:val="24"/>
          <w:lang w:val="en-US"/>
        </w:rPr>
        <w:t xml:space="preserve">proportion of employment in firms </w:t>
      </w:r>
      <w:r w:rsidR="009B1F51">
        <w:rPr>
          <w:rFonts w:ascii="Arial" w:hAnsi="Arial" w:cs="Arial"/>
          <w:sz w:val="24"/>
          <w:szCs w:val="24"/>
          <w:lang w:val="en-US"/>
        </w:rPr>
        <w:t xml:space="preserve">that was </w:t>
      </w:r>
      <w:r w:rsidR="00C81218" w:rsidRPr="00642689">
        <w:rPr>
          <w:rFonts w:ascii="Arial" w:hAnsi="Arial" w:cs="Arial"/>
          <w:sz w:val="24"/>
          <w:szCs w:val="24"/>
          <w:lang w:val="en-US"/>
        </w:rPr>
        <w:t xml:space="preserve">below the minimum efficient scale (MES). This reference was approximated </w:t>
      </w:r>
      <w:r w:rsidR="009B1F51">
        <w:rPr>
          <w:rFonts w:ascii="Arial" w:hAnsi="Arial" w:cs="Arial"/>
          <w:sz w:val="24"/>
          <w:szCs w:val="24"/>
          <w:lang w:val="en-US"/>
        </w:rPr>
        <w:t>by</w:t>
      </w:r>
      <w:r w:rsidR="00C81218" w:rsidRPr="00642689">
        <w:rPr>
          <w:rFonts w:ascii="Arial" w:hAnsi="Arial" w:cs="Arial"/>
          <w:sz w:val="24"/>
          <w:szCs w:val="24"/>
          <w:lang w:val="en-US"/>
        </w:rPr>
        <w:t xml:space="preserve"> the median size of firms as motivated, for example, by Sutton (1997). It </w:t>
      </w:r>
      <w:r w:rsidR="009B1F51">
        <w:rPr>
          <w:rFonts w:ascii="Arial" w:hAnsi="Arial" w:cs="Arial"/>
          <w:sz w:val="24"/>
          <w:szCs w:val="24"/>
          <w:lang w:val="en-US"/>
        </w:rPr>
        <w:t>was</w:t>
      </w:r>
      <w:r w:rsidR="00C81218" w:rsidRPr="00642689">
        <w:rPr>
          <w:rFonts w:ascii="Arial" w:hAnsi="Arial" w:cs="Arial"/>
          <w:sz w:val="24"/>
          <w:szCs w:val="24"/>
          <w:lang w:val="en-US"/>
        </w:rPr>
        <w:t xml:space="preserve"> an inverse measure of barriers to entry and the </w:t>
      </w:r>
      <w:r w:rsidR="00642689" w:rsidRPr="00642689">
        <w:rPr>
          <w:rFonts w:ascii="Arial" w:hAnsi="Arial" w:cs="Arial"/>
          <w:sz w:val="24"/>
          <w:szCs w:val="24"/>
          <w:lang w:val="en-US"/>
        </w:rPr>
        <w:t>necessary</w:t>
      </w:r>
      <w:r w:rsidR="00C81218" w:rsidRPr="00642689">
        <w:rPr>
          <w:rFonts w:ascii="Arial" w:hAnsi="Arial" w:cs="Arial"/>
          <w:sz w:val="24"/>
          <w:szCs w:val="24"/>
          <w:lang w:val="en-US"/>
        </w:rPr>
        <w:t xml:space="preserve"> data was obtained</w:t>
      </w:r>
      <w:r w:rsidR="009B1F51">
        <w:rPr>
          <w:rFonts w:ascii="Arial" w:hAnsi="Arial" w:cs="Arial"/>
          <w:sz w:val="24"/>
          <w:szCs w:val="24"/>
          <w:lang w:val="en-US"/>
        </w:rPr>
        <w:t xml:space="preserve"> from the RAIS;</w:t>
      </w:r>
    </w:p>
    <w:p w:rsidR="00ED4ED3" w:rsidRPr="00087B2C" w:rsidRDefault="00ED4ED3" w:rsidP="00063170">
      <w:pPr>
        <w:spacing w:line="480" w:lineRule="auto"/>
        <w:jc w:val="both"/>
        <w:rPr>
          <w:rFonts w:ascii="Arial" w:hAnsi="Arial" w:cs="Arial"/>
          <w:sz w:val="24"/>
          <w:szCs w:val="24"/>
          <w:lang w:val="en-US"/>
        </w:rPr>
      </w:pPr>
      <w:r w:rsidRPr="00CE7F30">
        <w:rPr>
          <w:rFonts w:ascii="Arial" w:hAnsi="Arial" w:cs="Arial"/>
          <w:b/>
          <w:sz w:val="24"/>
          <w:szCs w:val="24"/>
          <w:lang w:val="en-US"/>
        </w:rPr>
        <w:t xml:space="preserve">. </w:t>
      </w:r>
      <w:r w:rsidRPr="00CE7F30">
        <w:rPr>
          <w:rFonts w:ascii="Arial" w:hAnsi="Arial" w:cs="Arial"/>
          <w:b/>
          <w:sz w:val="24"/>
          <w:szCs w:val="24"/>
          <w:u w:val="single"/>
          <w:lang w:val="en-US"/>
        </w:rPr>
        <w:t>Capital intensity</w:t>
      </w:r>
      <w:r w:rsidRPr="00CE7F30">
        <w:rPr>
          <w:rFonts w:ascii="Arial" w:hAnsi="Arial" w:cs="Arial"/>
          <w:b/>
          <w:sz w:val="24"/>
          <w:szCs w:val="24"/>
          <w:lang w:val="en-US"/>
        </w:rPr>
        <w:t xml:space="preserve">: </w:t>
      </w:r>
      <w:r w:rsidR="009B1F51">
        <w:rPr>
          <w:rFonts w:ascii="Arial" w:hAnsi="Arial" w:cs="Arial"/>
          <w:sz w:val="24"/>
          <w:szCs w:val="24"/>
          <w:lang w:val="en-US"/>
        </w:rPr>
        <w:t xml:space="preserve">measured by </w:t>
      </w:r>
      <w:r w:rsidRPr="00087B2C">
        <w:rPr>
          <w:rFonts w:ascii="Arial" w:hAnsi="Arial" w:cs="Arial"/>
          <w:sz w:val="24"/>
          <w:szCs w:val="24"/>
          <w:lang w:val="en-US"/>
        </w:rPr>
        <w:t xml:space="preserve">capital stock divided by revenue. The capital stock was obtained </w:t>
      </w:r>
      <w:r w:rsidR="009B1F51">
        <w:rPr>
          <w:rFonts w:ascii="Arial" w:hAnsi="Arial" w:cs="Arial"/>
          <w:sz w:val="24"/>
          <w:szCs w:val="24"/>
          <w:lang w:val="en-US"/>
        </w:rPr>
        <w:t>through</w:t>
      </w:r>
      <w:r w:rsidRPr="00087B2C">
        <w:rPr>
          <w:rFonts w:ascii="Arial" w:hAnsi="Arial" w:cs="Arial"/>
          <w:sz w:val="24"/>
          <w:szCs w:val="24"/>
          <w:lang w:val="en-US"/>
        </w:rPr>
        <w:t xml:space="preserve"> the perpetual inventory method </w:t>
      </w:r>
      <w:r w:rsidR="009B1F51">
        <w:rPr>
          <w:rFonts w:ascii="Arial" w:hAnsi="Arial" w:cs="Arial"/>
          <w:sz w:val="24"/>
          <w:szCs w:val="24"/>
          <w:lang w:val="en-US"/>
        </w:rPr>
        <w:t>by relying o</w:t>
      </w:r>
      <w:r w:rsidRPr="00087B2C">
        <w:rPr>
          <w:rFonts w:ascii="Arial" w:hAnsi="Arial" w:cs="Arial"/>
          <w:sz w:val="24"/>
          <w:szCs w:val="24"/>
          <w:lang w:val="en-US"/>
        </w:rPr>
        <w:t xml:space="preserve">n different </w:t>
      </w:r>
      <w:r w:rsidR="009B1F51">
        <w:rPr>
          <w:rFonts w:ascii="Arial" w:hAnsi="Arial" w:cs="Arial"/>
          <w:sz w:val="24"/>
          <w:szCs w:val="24"/>
          <w:lang w:val="en-US"/>
        </w:rPr>
        <w:t>years</w:t>
      </w:r>
      <w:r w:rsidRPr="00087B2C">
        <w:rPr>
          <w:rFonts w:ascii="Arial" w:hAnsi="Arial" w:cs="Arial"/>
          <w:sz w:val="24"/>
          <w:szCs w:val="24"/>
          <w:lang w:val="en-US"/>
        </w:rPr>
        <w:t xml:space="preserve"> of the PIA survey</w:t>
      </w:r>
      <w:r w:rsidR="007C3948" w:rsidRPr="00087B2C">
        <w:rPr>
          <w:rFonts w:ascii="Arial" w:hAnsi="Arial" w:cs="Arial"/>
          <w:sz w:val="24"/>
          <w:szCs w:val="24"/>
          <w:lang w:val="en-US"/>
        </w:rPr>
        <w:t xml:space="preserve"> whereas the </w:t>
      </w:r>
      <w:proofErr w:type="spellStart"/>
      <w:r w:rsidR="00087B2C" w:rsidRPr="00087B2C">
        <w:rPr>
          <w:rFonts w:ascii="Arial" w:hAnsi="Arial" w:cs="Arial"/>
          <w:sz w:val="24"/>
          <w:szCs w:val="24"/>
          <w:lang w:val="en-US"/>
        </w:rPr>
        <w:t>sectoral</w:t>
      </w:r>
      <w:proofErr w:type="spellEnd"/>
      <w:r w:rsidRPr="00087B2C">
        <w:rPr>
          <w:rFonts w:ascii="Arial" w:hAnsi="Arial" w:cs="Arial"/>
          <w:sz w:val="24"/>
          <w:szCs w:val="24"/>
          <w:lang w:val="en-US"/>
        </w:rPr>
        <w:t xml:space="preserve"> data for re</w:t>
      </w:r>
      <w:r w:rsidR="007C3948" w:rsidRPr="00087B2C">
        <w:rPr>
          <w:rFonts w:ascii="Arial" w:hAnsi="Arial" w:cs="Arial"/>
          <w:sz w:val="24"/>
          <w:szCs w:val="24"/>
          <w:lang w:val="en-US"/>
        </w:rPr>
        <w:t>venues</w:t>
      </w:r>
      <w:r w:rsidR="00327CC4">
        <w:rPr>
          <w:rFonts w:ascii="Arial" w:hAnsi="Arial" w:cs="Arial"/>
          <w:sz w:val="24"/>
          <w:szCs w:val="24"/>
          <w:lang w:val="en-US"/>
        </w:rPr>
        <w:t xml:space="preserve"> were readily available from the same</w:t>
      </w:r>
      <w:r w:rsidR="007C3948" w:rsidRPr="00087B2C">
        <w:rPr>
          <w:rFonts w:ascii="Arial" w:hAnsi="Arial" w:cs="Arial"/>
          <w:sz w:val="24"/>
          <w:szCs w:val="24"/>
          <w:lang w:val="en-US"/>
        </w:rPr>
        <w:t xml:space="preserve"> source.</w:t>
      </w:r>
      <w:r w:rsidR="007C3948" w:rsidRPr="00087B2C">
        <w:rPr>
          <w:rStyle w:val="Refdenotaderodap"/>
          <w:rFonts w:ascii="Arial" w:hAnsi="Arial" w:cs="Arial"/>
          <w:sz w:val="24"/>
          <w:szCs w:val="24"/>
          <w:lang w:val="pt"/>
        </w:rPr>
        <w:footnoteReference w:id="6"/>
      </w:r>
      <w:r w:rsidR="007C3948" w:rsidRPr="00087B2C">
        <w:rPr>
          <w:rFonts w:ascii="Arial" w:hAnsi="Arial" w:cs="Arial"/>
          <w:sz w:val="24"/>
          <w:szCs w:val="24"/>
          <w:lang w:val="en-US"/>
        </w:rPr>
        <w:t xml:space="preserve"> </w:t>
      </w:r>
      <w:r w:rsidR="00087B2C" w:rsidRPr="00087B2C">
        <w:rPr>
          <w:rFonts w:ascii="Arial" w:hAnsi="Arial" w:cs="Arial"/>
          <w:sz w:val="24"/>
          <w:szCs w:val="24"/>
          <w:lang w:val="en-US"/>
        </w:rPr>
        <w:t>Note that</w:t>
      </w:r>
      <w:r w:rsidR="00327CC4">
        <w:rPr>
          <w:rFonts w:ascii="Arial" w:hAnsi="Arial" w:cs="Arial"/>
          <w:sz w:val="24"/>
          <w:szCs w:val="24"/>
          <w:lang w:val="en-US"/>
        </w:rPr>
        <w:t xml:space="preserve"> we were able to construct</w:t>
      </w:r>
      <w:r w:rsidR="00087B2C" w:rsidRPr="00087B2C">
        <w:rPr>
          <w:rFonts w:ascii="Arial" w:hAnsi="Arial" w:cs="Arial"/>
          <w:sz w:val="24"/>
          <w:szCs w:val="24"/>
          <w:lang w:val="en-US"/>
        </w:rPr>
        <w:t xml:space="preserve"> this variable </w:t>
      </w:r>
      <w:r w:rsidRPr="00087B2C">
        <w:rPr>
          <w:rFonts w:ascii="Arial" w:hAnsi="Arial" w:cs="Arial"/>
          <w:sz w:val="24"/>
          <w:szCs w:val="24"/>
          <w:lang w:val="en-US"/>
        </w:rPr>
        <w:t>at the 3-digits level;</w:t>
      </w:r>
    </w:p>
    <w:p w:rsidR="00D226C7" w:rsidRPr="002421E2" w:rsidRDefault="00CE7F30" w:rsidP="00063170">
      <w:pPr>
        <w:spacing w:line="480" w:lineRule="auto"/>
        <w:jc w:val="both"/>
        <w:rPr>
          <w:rFonts w:ascii="Arial" w:hAnsi="Arial" w:cs="Arial"/>
          <w:sz w:val="24"/>
          <w:szCs w:val="24"/>
          <w:lang w:val="en-US"/>
        </w:rPr>
      </w:pPr>
      <w:r>
        <w:rPr>
          <w:rFonts w:ascii="Arial" w:hAnsi="Arial" w:cs="Arial"/>
          <w:b/>
          <w:sz w:val="24"/>
          <w:szCs w:val="24"/>
          <w:lang w:val="en-US"/>
        </w:rPr>
        <w:t>.</w:t>
      </w:r>
      <w:r w:rsidR="00BD5352" w:rsidRPr="00CE7F30">
        <w:rPr>
          <w:rFonts w:ascii="Arial" w:hAnsi="Arial" w:cs="Arial"/>
          <w:b/>
          <w:sz w:val="24"/>
          <w:szCs w:val="24"/>
          <w:u w:val="single"/>
          <w:lang w:val="en-US"/>
        </w:rPr>
        <w:t>Profit rate</w:t>
      </w:r>
      <w:r w:rsidR="00BD5352" w:rsidRPr="00CE7F30">
        <w:rPr>
          <w:rFonts w:ascii="Arial" w:hAnsi="Arial" w:cs="Arial"/>
          <w:b/>
          <w:sz w:val="24"/>
          <w:szCs w:val="24"/>
          <w:lang w:val="en-US"/>
        </w:rPr>
        <w:t xml:space="preserve">: </w:t>
      </w:r>
      <w:r w:rsidR="00D226C7" w:rsidRPr="002421E2">
        <w:rPr>
          <w:rFonts w:ascii="Arial" w:hAnsi="Arial" w:cs="Arial"/>
          <w:sz w:val="24"/>
          <w:szCs w:val="24"/>
          <w:lang w:val="en-US"/>
        </w:rPr>
        <w:t>calculated by dividing the gross value of production (minus operating</w:t>
      </w:r>
      <w:r w:rsidR="00FC54EA">
        <w:rPr>
          <w:rFonts w:ascii="Arial" w:hAnsi="Arial" w:cs="Arial"/>
          <w:sz w:val="24"/>
          <w:szCs w:val="24"/>
          <w:lang w:val="en-US"/>
        </w:rPr>
        <w:t xml:space="preserve"> expenses) by the total revenue</w:t>
      </w:r>
      <w:r w:rsidR="00D226C7" w:rsidRPr="002421E2">
        <w:rPr>
          <w:rFonts w:ascii="Arial" w:hAnsi="Arial" w:cs="Arial"/>
          <w:sz w:val="24"/>
          <w:szCs w:val="24"/>
          <w:lang w:val="en-US"/>
        </w:rPr>
        <w:t xml:space="preserve"> of the sector at the 4-digits level; </w:t>
      </w:r>
    </w:p>
    <w:p w:rsidR="002B7142" w:rsidRPr="002C0C36" w:rsidRDefault="00CE7F30" w:rsidP="00063170">
      <w:pPr>
        <w:spacing w:line="480" w:lineRule="auto"/>
        <w:jc w:val="both"/>
        <w:rPr>
          <w:rFonts w:ascii="Arial" w:hAnsi="Arial" w:cs="Arial"/>
          <w:sz w:val="24"/>
          <w:szCs w:val="24"/>
          <w:lang w:val="en-US"/>
        </w:rPr>
      </w:pPr>
      <w:r>
        <w:rPr>
          <w:rFonts w:ascii="Arial" w:hAnsi="Arial" w:cs="Arial"/>
          <w:b/>
          <w:sz w:val="24"/>
          <w:szCs w:val="24"/>
          <w:lang w:val="en-US"/>
        </w:rPr>
        <w:lastRenderedPageBreak/>
        <w:t>.</w:t>
      </w:r>
      <w:r w:rsidR="00FC54EA">
        <w:rPr>
          <w:rFonts w:ascii="Arial" w:hAnsi="Arial" w:cs="Arial"/>
          <w:b/>
          <w:sz w:val="24"/>
          <w:szCs w:val="24"/>
          <w:lang w:val="en-US"/>
        </w:rPr>
        <w:t xml:space="preserve"> </w:t>
      </w:r>
      <w:proofErr w:type="spellStart"/>
      <w:r w:rsidR="002B7142" w:rsidRPr="00CE7F30">
        <w:rPr>
          <w:rFonts w:ascii="Arial" w:hAnsi="Arial" w:cs="Arial"/>
          <w:b/>
          <w:sz w:val="24"/>
          <w:szCs w:val="24"/>
          <w:u w:val="single"/>
          <w:lang w:val="en-US"/>
        </w:rPr>
        <w:t>Labo</w:t>
      </w:r>
      <w:r w:rsidR="00FC54EA">
        <w:rPr>
          <w:rFonts w:ascii="Arial" w:hAnsi="Arial" w:cs="Arial"/>
          <w:b/>
          <w:sz w:val="24"/>
          <w:szCs w:val="24"/>
          <w:u w:val="single"/>
          <w:lang w:val="en-US"/>
        </w:rPr>
        <w:t>u</w:t>
      </w:r>
      <w:r w:rsidR="002B7142" w:rsidRPr="00CE7F30">
        <w:rPr>
          <w:rFonts w:ascii="Arial" w:hAnsi="Arial" w:cs="Arial"/>
          <w:b/>
          <w:sz w:val="24"/>
          <w:szCs w:val="24"/>
          <w:u w:val="single"/>
          <w:lang w:val="en-US"/>
        </w:rPr>
        <w:t>r</w:t>
      </w:r>
      <w:proofErr w:type="spellEnd"/>
      <w:r w:rsidR="002B7142" w:rsidRPr="00CE7F30">
        <w:rPr>
          <w:rFonts w:ascii="Arial" w:hAnsi="Arial" w:cs="Arial"/>
          <w:b/>
          <w:sz w:val="24"/>
          <w:szCs w:val="24"/>
          <w:u w:val="single"/>
          <w:lang w:val="en-US"/>
        </w:rPr>
        <w:t xml:space="preserve"> productivity</w:t>
      </w:r>
      <w:r w:rsidR="002B7142" w:rsidRPr="00CE7F30">
        <w:rPr>
          <w:rFonts w:ascii="Arial" w:hAnsi="Arial" w:cs="Arial"/>
          <w:b/>
          <w:sz w:val="24"/>
          <w:szCs w:val="24"/>
          <w:lang w:val="en-US"/>
        </w:rPr>
        <w:t>:</w:t>
      </w:r>
      <w:r w:rsidR="002B7142" w:rsidRPr="002C0C36">
        <w:rPr>
          <w:rFonts w:ascii="Arial" w:hAnsi="Arial" w:cs="Arial"/>
          <w:sz w:val="24"/>
          <w:szCs w:val="24"/>
          <w:lang w:val="en-US"/>
        </w:rPr>
        <w:t xml:space="preserve"> </w:t>
      </w:r>
      <w:r w:rsidR="00FC54EA">
        <w:rPr>
          <w:rFonts w:ascii="Arial" w:hAnsi="Arial" w:cs="Arial"/>
          <w:sz w:val="24"/>
          <w:szCs w:val="24"/>
          <w:lang w:val="en-US"/>
        </w:rPr>
        <w:t xml:space="preserve">calculated as the </w:t>
      </w:r>
      <w:r w:rsidR="002B7142" w:rsidRPr="002C0C36">
        <w:rPr>
          <w:rFonts w:ascii="Arial" w:hAnsi="Arial" w:cs="Arial"/>
          <w:sz w:val="24"/>
          <w:szCs w:val="24"/>
          <w:lang w:val="en-US"/>
        </w:rPr>
        <w:t>gross production value divided by the total number of employees</w:t>
      </w:r>
      <w:r w:rsidR="00CA50DF" w:rsidRPr="002C0C36">
        <w:rPr>
          <w:rFonts w:ascii="Arial" w:hAnsi="Arial" w:cs="Arial"/>
          <w:sz w:val="24"/>
          <w:szCs w:val="24"/>
          <w:lang w:val="en-US"/>
        </w:rPr>
        <w:t xml:space="preserve"> as obtained from the PIA at the 4-digits level;</w:t>
      </w:r>
    </w:p>
    <w:p w:rsidR="00C81218" w:rsidRPr="003F3B74" w:rsidRDefault="00CE7F30" w:rsidP="00063170">
      <w:pPr>
        <w:spacing w:line="480" w:lineRule="auto"/>
        <w:jc w:val="both"/>
        <w:rPr>
          <w:rFonts w:ascii="Arial" w:hAnsi="Arial" w:cs="Arial"/>
          <w:sz w:val="24"/>
          <w:szCs w:val="24"/>
          <w:lang w:val="en-US"/>
        </w:rPr>
      </w:pPr>
      <w:r>
        <w:rPr>
          <w:rFonts w:ascii="Arial" w:hAnsi="Arial" w:cs="Arial"/>
          <w:b/>
          <w:sz w:val="24"/>
          <w:szCs w:val="24"/>
          <w:lang w:val="en-US"/>
        </w:rPr>
        <w:t>.</w:t>
      </w:r>
      <w:r w:rsidR="00FC54EA">
        <w:rPr>
          <w:rFonts w:ascii="Arial" w:hAnsi="Arial" w:cs="Arial"/>
          <w:b/>
          <w:sz w:val="24"/>
          <w:szCs w:val="24"/>
          <w:lang w:val="en-US"/>
        </w:rPr>
        <w:t xml:space="preserve"> </w:t>
      </w:r>
      <w:r w:rsidR="00CA50DF" w:rsidRPr="00CE7F30">
        <w:rPr>
          <w:rFonts w:ascii="Arial" w:hAnsi="Arial" w:cs="Arial"/>
          <w:b/>
          <w:sz w:val="24"/>
          <w:szCs w:val="24"/>
          <w:u w:val="single"/>
          <w:lang w:val="en-US"/>
        </w:rPr>
        <w:t>Entry rate</w:t>
      </w:r>
      <w:r w:rsidR="00CA50DF" w:rsidRPr="00CE7F30">
        <w:rPr>
          <w:rFonts w:ascii="Arial" w:hAnsi="Arial" w:cs="Arial"/>
          <w:b/>
          <w:sz w:val="24"/>
          <w:szCs w:val="24"/>
          <w:lang w:val="en-US"/>
        </w:rPr>
        <w:t>:</w:t>
      </w:r>
      <w:r w:rsidR="00CA50DF" w:rsidRPr="003F3B74">
        <w:rPr>
          <w:rFonts w:ascii="Arial" w:hAnsi="Arial" w:cs="Arial"/>
          <w:sz w:val="24"/>
          <w:szCs w:val="24"/>
          <w:lang w:val="en-US"/>
        </w:rPr>
        <w:t xml:space="preserve"> </w:t>
      </w:r>
      <w:r w:rsidR="00FC54EA">
        <w:rPr>
          <w:rFonts w:ascii="Arial" w:hAnsi="Arial" w:cs="Arial"/>
          <w:sz w:val="24"/>
          <w:szCs w:val="24"/>
          <w:lang w:val="en-US"/>
        </w:rPr>
        <w:t xml:space="preserve">measured as the </w:t>
      </w:r>
      <w:r w:rsidR="00CA50DF" w:rsidRPr="003F3B74">
        <w:rPr>
          <w:rFonts w:ascii="Arial" w:hAnsi="Arial" w:cs="Arial"/>
          <w:sz w:val="24"/>
          <w:szCs w:val="24"/>
          <w:lang w:val="en-US"/>
        </w:rPr>
        <w:t xml:space="preserve">number of new firms relative to the previously prevailing stock. </w:t>
      </w:r>
      <w:r w:rsidR="00FC54EA">
        <w:rPr>
          <w:rFonts w:ascii="Arial" w:hAnsi="Arial" w:cs="Arial"/>
          <w:sz w:val="24"/>
          <w:szCs w:val="24"/>
          <w:lang w:val="en-US"/>
        </w:rPr>
        <w:t>This variable was c</w:t>
      </w:r>
      <w:r w:rsidR="00CA50DF" w:rsidRPr="003F3B74">
        <w:rPr>
          <w:rFonts w:ascii="Arial" w:hAnsi="Arial" w:cs="Arial"/>
          <w:sz w:val="24"/>
          <w:szCs w:val="24"/>
          <w:lang w:val="en-US"/>
        </w:rPr>
        <w:t>alculated at the 4-digits level</w:t>
      </w:r>
      <w:r w:rsidR="005A4741" w:rsidRPr="003F3B74">
        <w:rPr>
          <w:rFonts w:ascii="Arial" w:hAnsi="Arial" w:cs="Arial"/>
          <w:sz w:val="24"/>
          <w:szCs w:val="24"/>
          <w:lang w:val="en-US"/>
        </w:rPr>
        <w:t xml:space="preserve"> u</w:t>
      </w:r>
      <w:r w:rsidR="002421E2">
        <w:rPr>
          <w:rFonts w:ascii="Arial" w:hAnsi="Arial" w:cs="Arial"/>
          <w:sz w:val="24"/>
          <w:szCs w:val="24"/>
          <w:lang w:val="en-US"/>
        </w:rPr>
        <w:t>pon d</w:t>
      </w:r>
      <w:r w:rsidR="00CA50DF" w:rsidRPr="003F3B74">
        <w:rPr>
          <w:rFonts w:ascii="Arial" w:hAnsi="Arial" w:cs="Arial"/>
          <w:sz w:val="24"/>
          <w:szCs w:val="24"/>
          <w:lang w:val="en-US"/>
        </w:rPr>
        <w:t>ata from the RAIS;</w:t>
      </w:r>
      <w:r w:rsidR="00CA50DF" w:rsidRPr="003F3B74">
        <w:rPr>
          <w:rStyle w:val="Refdenotaderodap"/>
          <w:rFonts w:ascii="Arial" w:hAnsi="Arial" w:cs="Arial"/>
          <w:sz w:val="24"/>
          <w:szCs w:val="24"/>
          <w:lang w:val="pt"/>
        </w:rPr>
        <w:footnoteReference w:id="7"/>
      </w:r>
    </w:p>
    <w:p w:rsidR="005A4741" w:rsidRPr="003F3B74" w:rsidRDefault="005A4741" w:rsidP="00063170">
      <w:pPr>
        <w:spacing w:line="480" w:lineRule="auto"/>
        <w:jc w:val="both"/>
        <w:rPr>
          <w:rFonts w:ascii="Arial" w:hAnsi="Arial" w:cs="Arial"/>
          <w:sz w:val="24"/>
          <w:szCs w:val="24"/>
          <w:lang w:val="en-US"/>
        </w:rPr>
      </w:pPr>
      <w:r w:rsidRPr="00CE7F30">
        <w:rPr>
          <w:rFonts w:ascii="Arial" w:hAnsi="Arial" w:cs="Arial"/>
          <w:b/>
          <w:sz w:val="24"/>
          <w:szCs w:val="24"/>
          <w:lang w:val="en-US"/>
        </w:rPr>
        <w:t xml:space="preserve">. </w:t>
      </w:r>
      <w:r w:rsidR="00FC54EA">
        <w:rPr>
          <w:rFonts w:ascii="Arial" w:hAnsi="Arial" w:cs="Arial"/>
          <w:b/>
          <w:sz w:val="24"/>
          <w:szCs w:val="24"/>
          <w:lang w:val="en-US"/>
        </w:rPr>
        <w:t xml:space="preserve"> </w:t>
      </w:r>
      <w:r w:rsidRPr="00CE7F30">
        <w:rPr>
          <w:rFonts w:ascii="Arial" w:hAnsi="Arial" w:cs="Arial"/>
          <w:b/>
          <w:sz w:val="24"/>
          <w:szCs w:val="24"/>
          <w:u w:val="single"/>
          <w:lang w:val="en-US"/>
        </w:rPr>
        <w:t>Exit rate</w:t>
      </w:r>
      <w:r w:rsidRPr="00CE7F30">
        <w:rPr>
          <w:rFonts w:ascii="Arial" w:hAnsi="Arial" w:cs="Arial"/>
          <w:b/>
          <w:sz w:val="24"/>
          <w:szCs w:val="24"/>
          <w:lang w:val="en-US"/>
        </w:rPr>
        <w:t>:</w:t>
      </w:r>
      <w:r w:rsidRPr="003F3B74">
        <w:rPr>
          <w:rFonts w:ascii="Arial" w:hAnsi="Arial" w:cs="Arial"/>
          <w:sz w:val="24"/>
          <w:szCs w:val="24"/>
          <w:lang w:val="en-US"/>
        </w:rPr>
        <w:t xml:space="preserve"> </w:t>
      </w:r>
      <w:r w:rsidR="00FC54EA">
        <w:rPr>
          <w:rFonts w:ascii="Arial" w:hAnsi="Arial" w:cs="Arial"/>
          <w:sz w:val="24"/>
          <w:szCs w:val="24"/>
          <w:lang w:val="en-US"/>
        </w:rPr>
        <w:t xml:space="preserve">measured as an </w:t>
      </w:r>
      <w:r w:rsidRPr="003F3B74">
        <w:rPr>
          <w:rFonts w:ascii="Arial" w:hAnsi="Arial" w:cs="Arial"/>
          <w:sz w:val="24"/>
          <w:szCs w:val="24"/>
          <w:lang w:val="en-US"/>
        </w:rPr>
        <w:t>analogous calculation for exiting firms;</w:t>
      </w:r>
    </w:p>
    <w:p w:rsidR="00796871" w:rsidRPr="00DD5493" w:rsidRDefault="00CE7F30" w:rsidP="00063170">
      <w:pPr>
        <w:spacing w:line="480" w:lineRule="auto"/>
        <w:jc w:val="both"/>
        <w:rPr>
          <w:rFonts w:ascii="Arial" w:hAnsi="Arial" w:cs="Arial"/>
          <w:sz w:val="24"/>
          <w:szCs w:val="24"/>
          <w:lang w:val="en-US"/>
        </w:rPr>
      </w:pPr>
      <w:r w:rsidRPr="00CE7F30">
        <w:rPr>
          <w:rFonts w:ascii="Arial" w:hAnsi="Arial" w:cs="Arial"/>
          <w:b/>
          <w:sz w:val="24"/>
          <w:szCs w:val="24"/>
          <w:lang w:val="en-US"/>
        </w:rPr>
        <w:t>.</w:t>
      </w:r>
      <w:r w:rsidR="00FC54EA">
        <w:rPr>
          <w:rFonts w:ascii="Arial" w:hAnsi="Arial" w:cs="Arial"/>
          <w:b/>
          <w:sz w:val="24"/>
          <w:szCs w:val="24"/>
          <w:lang w:val="en-US"/>
        </w:rPr>
        <w:t xml:space="preserve"> </w:t>
      </w:r>
      <w:r w:rsidR="005A4741" w:rsidRPr="00CE7F30">
        <w:rPr>
          <w:rFonts w:ascii="Arial" w:hAnsi="Arial" w:cs="Arial"/>
          <w:b/>
          <w:sz w:val="24"/>
          <w:szCs w:val="24"/>
          <w:u w:val="single"/>
          <w:lang w:val="en-US"/>
        </w:rPr>
        <w:t>Turbulence</w:t>
      </w:r>
      <w:r w:rsidR="005A4741" w:rsidRPr="00CE7F30">
        <w:rPr>
          <w:rFonts w:ascii="Arial" w:hAnsi="Arial" w:cs="Arial"/>
          <w:b/>
          <w:color w:val="00B050"/>
          <w:sz w:val="24"/>
          <w:szCs w:val="24"/>
          <w:lang w:val="en-US"/>
        </w:rPr>
        <w:t>:</w:t>
      </w:r>
      <w:r w:rsidR="0087461C">
        <w:rPr>
          <w:rFonts w:ascii="Arial" w:hAnsi="Arial" w:cs="Arial"/>
          <w:color w:val="00B050"/>
          <w:sz w:val="24"/>
          <w:szCs w:val="24"/>
          <w:lang w:val="en-US"/>
        </w:rPr>
        <w:t xml:space="preserve"> </w:t>
      </w:r>
      <w:r w:rsidR="0087461C" w:rsidRPr="00796871">
        <w:rPr>
          <w:rFonts w:ascii="Arial" w:hAnsi="Arial" w:cs="Arial"/>
          <w:sz w:val="24"/>
          <w:szCs w:val="24"/>
          <w:lang w:val="en-US"/>
        </w:rPr>
        <w:t xml:space="preserve">calculated as the average of the annual </w:t>
      </w:r>
      <w:r w:rsidR="00796871" w:rsidRPr="00796871">
        <w:rPr>
          <w:rFonts w:ascii="Arial" w:hAnsi="Arial" w:cs="Arial"/>
          <w:sz w:val="24"/>
          <w:szCs w:val="24"/>
          <w:lang w:val="en-US"/>
        </w:rPr>
        <w:t>changes</w:t>
      </w:r>
      <w:r w:rsidR="0087461C" w:rsidRPr="00796871">
        <w:rPr>
          <w:rFonts w:ascii="Arial" w:hAnsi="Arial" w:cs="Arial"/>
          <w:sz w:val="24"/>
          <w:szCs w:val="24"/>
          <w:lang w:val="en-US"/>
        </w:rPr>
        <w:t xml:space="preserve"> in the proportion of employees</w:t>
      </w:r>
      <w:r w:rsidR="000D4003" w:rsidRPr="00796871">
        <w:rPr>
          <w:rFonts w:ascii="Arial" w:hAnsi="Arial" w:cs="Arial"/>
          <w:sz w:val="24"/>
          <w:szCs w:val="24"/>
          <w:lang w:val="en-US"/>
        </w:rPr>
        <w:t xml:space="preserve"> (relative to total employment in the sector</w:t>
      </w:r>
      <w:r w:rsidR="0048436F" w:rsidRPr="00796871">
        <w:rPr>
          <w:rFonts w:ascii="Arial" w:hAnsi="Arial" w:cs="Arial"/>
          <w:sz w:val="24"/>
          <w:szCs w:val="24"/>
          <w:lang w:val="en-US"/>
        </w:rPr>
        <w:t xml:space="preserve">) </w:t>
      </w:r>
      <w:r w:rsidR="00FC54EA">
        <w:rPr>
          <w:rFonts w:ascii="Arial" w:hAnsi="Arial" w:cs="Arial"/>
          <w:sz w:val="24"/>
          <w:szCs w:val="24"/>
          <w:lang w:val="en-US"/>
        </w:rPr>
        <w:t>for</w:t>
      </w:r>
      <w:r w:rsidR="0087461C" w:rsidRPr="00796871">
        <w:rPr>
          <w:rFonts w:ascii="Arial" w:hAnsi="Arial" w:cs="Arial"/>
          <w:sz w:val="24"/>
          <w:szCs w:val="24"/>
          <w:lang w:val="en-US"/>
        </w:rPr>
        <w:t xml:space="preserve"> the firms </w:t>
      </w:r>
      <w:proofErr w:type="gramStart"/>
      <w:r w:rsidR="0087461C" w:rsidRPr="00796871">
        <w:rPr>
          <w:rFonts w:ascii="Arial" w:hAnsi="Arial" w:cs="Arial"/>
          <w:sz w:val="24"/>
          <w:szCs w:val="24"/>
          <w:lang w:val="en-US"/>
        </w:rPr>
        <w:t>that were</w:t>
      </w:r>
      <w:proofErr w:type="gramEnd"/>
      <w:r w:rsidR="0087461C" w:rsidRPr="00796871">
        <w:rPr>
          <w:rFonts w:ascii="Arial" w:hAnsi="Arial" w:cs="Arial"/>
          <w:sz w:val="24"/>
          <w:szCs w:val="24"/>
          <w:lang w:val="en-US"/>
        </w:rPr>
        <w:t xml:space="preserve"> activ</w:t>
      </w:r>
      <w:r w:rsidR="00FC54EA">
        <w:rPr>
          <w:rFonts w:ascii="Arial" w:hAnsi="Arial" w:cs="Arial"/>
          <w:sz w:val="24"/>
          <w:szCs w:val="24"/>
          <w:lang w:val="en-US"/>
        </w:rPr>
        <w:t xml:space="preserve">e throughout the sample period </w:t>
      </w:r>
      <w:r w:rsidR="0087461C" w:rsidRPr="00796871">
        <w:rPr>
          <w:rFonts w:ascii="Arial" w:hAnsi="Arial" w:cs="Arial"/>
          <w:sz w:val="24"/>
          <w:szCs w:val="24"/>
          <w:lang w:val="en-US"/>
        </w:rPr>
        <w:t>(1995 - 2005)</w:t>
      </w:r>
      <w:r w:rsidR="000D4003" w:rsidRPr="00796871">
        <w:rPr>
          <w:rFonts w:ascii="Arial" w:hAnsi="Arial" w:cs="Arial"/>
          <w:sz w:val="24"/>
          <w:szCs w:val="24"/>
          <w:lang w:val="en-US"/>
        </w:rPr>
        <w:t>;</w:t>
      </w:r>
      <w:r w:rsidR="0087461C" w:rsidRPr="00796871">
        <w:rPr>
          <w:rFonts w:ascii="Arial" w:hAnsi="Arial" w:cs="Arial"/>
          <w:sz w:val="24"/>
          <w:szCs w:val="24"/>
          <w:lang w:val="en-US"/>
        </w:rPr>
        <w:t xml:space="preserve"> </w:t>
      </w:r>
    </w:p>
    <w:p w:rsidR="00945658" w:rsidRPr="00CE7F30" w:rsidRDefault="00016DC7" w:rsidP="00016DC7">
      <w:pPr>
        <w:pStyle w:val="SemEspaamento"/>
        <w:numPr>
          <w:ilvl w:val="1"/>
          <w:numId w:val="2"/>
        </w:numPr>
        <w:spacing w:line="480" w:lineRule="auto"/>
        <w:rPr>
          <w:rFonts w:ascii="Arial" w:hAnsi="Arial" w:cs="Arial"/>
          <w:sz w:val="24"/>
          <w:szCs w:val="24"/>
          <w:lang w:val="en-US"/>
        </w:rPr>
      </w:pPr>
      <w:r w:rsidRPr="00CE7F30">
        <w:rPr>
          <w:rFonts w:ascii="Arial" w:hAnsi="Arial" w:cs="Arial"/>
          <w:sz w:val="24"/>
          <w:szCs w:val="24"/>
          <w:lang w:val="en-US"/>
        </w:rPr>
        <w:t xml:space="preserve">– </w:t>
      </w:r>
      <w:r w:rsidRPr="00CE7F30">
        <w:rPr>
          <w:rFonts w:ascii="Arial" w:hAnsi="Arial" w:cs="Arial"/>
          <w:sz w:val="24"/>
          <w:szCs w:val="24"/>
          <w:u w:val="single"/>
          <w:lang w:val="en-US"/>
        </w:rPr>
        <w:t>Classification of technological regimes: empirical results</w:t>
      </w:r>
    </w:p>
    <w:p w:rsidR="00016DC7" w:rsidRDefault="00016DC7" w:rsidP="00016DC7">
      <w:pPr>
        <w:pStyle w:val="PargrafodaLista"/>
        <w:spacing w:line="480" w:lineRule="auto"/>
        <w:ind w:left="0" w:firstLine="709"/>
        <w:contextualSpacing w:val="0"/>
        <w:jc w:val="both"/>
        <w:rPr>
          <w:rFonts w:ascii="Arial" w:hAnsi="Arial" w:cs="Arial"/>
          <w:sz w:val="24"/>
          <w:szCs w:val="24"/>
          <w:lang w:val="en-US"/>
        </w:rPr>
      </w:pPr>
      <w:r>
        <w:rPr>
          <w:rFonts w:ascii="Arial" w:hAnsi="Arial" w:cs="Arial"/>
          <w:sz w:val="24"/>
          <w:szCs w:val="24"/>
          <w:lang w:val="en-US"/>
        </w:rPr>
        <w:t xml:space="preserve">Initially, we focus on </w:t>
      </w:r>
      <w:r w:rsidR="00B40DC5">
        <w:rPr>
          <w:rFonts w:ascii="Arial" w:hAnsi="Arial" w:cs="Arial"/>
          <w:sz w:val="24"/>
          <w:szCs w:val="24"/>
          <w:lang w:val="en-US"/>
        </w:rPr>
        <w:t xml:space="preserve">the </w:t>
      </w:r>
      <w:r>
        <w:rPr>
          <w:rFonts w:ascii="Arial" w:hAnsi="Arial" w:cs="Arial"/>
          <w:sz w:val="24"/>
          <w:szCs w:val="24"/>
          <w:lang w:val="en-US"/>
        </w:rPr>
        <w:t>principal components analysis (PCA) based on the ENT, CONC and ST</w:t>
      </w:r>
      <w:r w:rsidR="00B40DC5">
        <w:rPr>
          <w:rFonts w:ascii="Arial" w:hAnsi="Arial" w:cs="Arial"/>
          <w:sz w:val="24"/>
          <w:szCs w:val="24"/>
          <w:lang w:val="en-US"/>
        </w:rPr>
        <w:t>AB indicators. As indicated by T</w:t>
      </w:r>
      <w:r>
        <w:rPr>
          <w:rFonts w:ascii="Arial" w:hAnsi="Arial" w:cs="Arial"/>
          <w:sz w:val="24"/>
          <w:szCs w:val="24"/>
          <w:lang w:val="en-US"/>
        </w:rPr>
        <w:t xml:space="preserve">able 3, </w:t>
      </w:r>
      <w:r w:rsidR="00B40DC5">
        <w:rPr>
          <w:rFonts w:ascii="Arial" w:hAnsi="Arial" w:cs="Arial"/>
          <w:sz w:val="24"/>
          <w:szCs w:val="24"/>
          <w:lang w:val="en-US"/>
        </w:rPr>
        <w:t>we</w:t>
      </w:r>
      <w:r>
        <w:rPr>
          <w:rFonts w:ascii="Arial" w:hAnsi="Arial" w:cs="Arial"/>
          <w:sz w:val="24"/>
          <w:szCs w:val="24"/>
          <w:lang w:val="en-US"/>
        </w:rPr>
        <w:t xml:space="preserve"> can </w:t>
      </w:r>
      <w:r w:rsidR="00ED572D">
        <w:rPr>
          <w:rFonts w:ascii="Arial" w:hAnsi="Arial" w:cs="Arial"/>
          <w:sz w:val="24"/>
          <w:szCs w:val="24"/>
          <w:lang w:val="en-US"/>
        </w:rPr>
        <w:t>justify</w:t>
      </w:r>
      <w:r>
        <w:rPr>
          <w:rFonts w:ascii="Arial" w:hAnsi="Arial" w:cs="Arial"/>
          <w:sz w:val="24"/>
          <w:szCs w:val="24"/>
          <w:lang w:val="en-US"/>
        </w:rPr>
        <w:t xml:space="preserve"> the sole retention of the first principal component (henceforth named SCHUMP) </w:t>
      </w:r>
      <w:r w:rsidR="00ED572D">
        <w:rPr>
          <w:rFonts w:ascii="Arial" w:hAnsi="Arial" w:cs="Arial"/>
          <w:sz w:val="24"/>
          <w:szCs w:val="24"/>
          <w:lang w:val="en-US"/>
        </w:rPr>
        <w:t>which</w:t>
      </w:r>
      <w:r>
        <w:rPr>
          <w:rFonts w:ascii="Arial" w:hAnsi="Arial" w:cs="Arial"/>
          <w:sz w:val="24"/>
          <w:szCs w:val="24"/>
          <w:lang w:val="en-US"/>
        </w:rPr>
        <w:t xml:space="preserve"> accounts for 53</w:t>
      </w:r>
      <w:proofErr w:type="gramStart"/>
      <w:r>
        <w:rPr>
          <w:rFonts w:ascii="Arial" w:hAnsi="Arial" w:cs="Arial"/>
          <w:sz w:val="24"/>
          <w:szCs w:val="24"/>
          <w:lang w:val="en-US"/>
        </w:rPr>
        <w:t>,3</w:t>
      </w:r>
      <w:proofErr w:type="gramEnd"/>
      <w:r>
        <w:rPr>
          <w:rFonts w:ascii="Arial" w:hAnsi="Arial" w:cs="Arial"/>
          <w:sz w:val="24"/>
          <w:szCs w:val="24"/>
          <w:lang w:val="en-US"/>
        </w:rPr>
        <w:t>% of the data varia</w:t>
      </w:r>
      <w:r w:rsidR="00E05044">
        <w:rPr>
          <w:rFonts w:ascii="Arial" w:hAnsi="Arial" w:cs="Arial"/>
          <w:sz w:val="24"/>
          <w:szCs w:val="24"/>
          <w:lang w:val="en-US"/>
        </w:rPr>
        <w:t>nce</w:t>
      </w:r>
      <w:r>
        <w:rPr>
          <w:rFonts w:ascii="Arial" w:hAnsi="Arial" w:cs="Arial"/>
          <w:sz w:val="24"/>
          <w:szCs w:val="24"/>
          <w:lang w:val="en-US"/>
        </w:rPr>
        <w:t>.</w:t>
      </w:r>
      <w:r w:rsidR="00E05044">
        <w:rPr>
          <w:rFonts w:ascii="Arial" w:hAnsi="Arial" w:cs="Arial"/>
          <w:sz w:val="24"/>
          <w:szCs w:val="24"/>
          <w:lang w:val="en-US"/>
        </w:rPr>
        <w:t xml:space="preserve"> The relevant fa</w:t>
      </w:r>
      <w:r w:rsidR="00ED572D">
        <w:rPr>
          <w:rFonts w:ascii="Arial" w:hAnsi="Arial" w:cs="Arial"/>
          <w:sz w:val="24"/>
          <w:szCs w:val="24"/>
          <w:lang w:val="en-US"/>
        </w:rPr>
        <w:t>ctor loadings are presented in T</w:t>
      </w:r>
      <w:r w:rsidR="00E05044">
        <w:rPr>
          <w:rFonts w:ascii="Arial" w:hAnsi="Arial" w:cs="Arial"/>
          <w:sz w:val="24"/>
          <w:szCs w:val="24"/>
          <w:lang w:val="en-US"/>
        </w:rPr>
        <w:t>able 4.</w:t>
      </w:r>
    </w:p>
    <w:tbl>
      <w:tblPr>
        <w:tblW w:w="8700" w:type="dxa"/>
        <w:tblInd w:w="55" w:type="dxa"/>
        <w:tblCellMar>
          <w:left w:w="70" w:type="dxa"/>
          <w:right w:w="70" w:type="dxa"/>
        </w:tblCellMar>
        <w:tblLook w:val="04A0" w:firstRow="1" w:lastRow="0" w:firstColumn="1" w:lastColumn="0" w:noHBand="0" w:noVBand="1"/>
      </w:tblPr>
      <w:tblGrid>
        <w:gridCol w:w="8700"/>
      </w:tblGrid>
      <w:tr w:rsidR="00474366" w:rsidRPr="00EF29FE" w:rsidTr="00474366">
        <w:trPr>
          <w:trHeight w:val="315"/>
        </w:trPr>
        <w:tc>
          <w:tcPr>
            <w:tcW w:w="8700" w:type="dxa"/>
            <w:tcBorders>
              <w:top w:val="nil"/>
              <w:left w:val="nil"/>
              <w:bottom w:val="nil"/>
              <w:right w:val="nil"/>
            </w:tcBorders>
            <w:shd w:val="clear" w:color="auto" w:fill="auto"/>
            <w:noWrap/>
            <w:vAlign w:val="center"/>
          </w:tcPr>
          <w:p w:rsidR="00474366" w:rsidRPr="00EF29FE" w:rsidRDefault="00474366" w:rsidP="0001632F">
            <w:pPr>
              <w:spacing w:after="0" w:line="240" w:lineRule="auto"/>
              <w:jc w:val="center"/>
              <w:rPr>
                <w:rFonts w:ascii="Arial" w:eastAsia="Times New Roman" w:hAnsi="Arial" w:cs="Arial"/>
                <w:bCs/>
                <w:color w:val="000000"/>
                <w:sz w:val="24"/>
                <w:szCs w:val="24"/>
                <w:lang w:eastAsia="pt-BR"/>
              </w:rPr>
            </w:pPr>
            <w:r>
              <w:rPr>
                <w:rFonts w:ascii="Arial" w:eastAsia="Times New Roman" w:hAnsi="Arial" w:cs="Arial"/>
                <w:bCs/>
                <w:color w:val="000000"/>
                <w:sz w:val="24"/>
                <w:szCs w:val="24"/>
                <w:lang w:eastAsia="pt-BR"/>
              </w:rPr>
              <w:t xml:space="preserve">INSERT TABLES 3 AND </w:t>
            </w:r>
            <w:proofErr w:type="gramStart"/>
            <w:r>
              <w:rPr>
                <w:rFonts w:ascii="Arial" w:eastAsia="Times New Roman" w:hAnsi="Arial" w:cs="Arial"/>
                <w:bCs/>
                <w:color w:val="000000"/>
                <w:sz w:val="24"/>
                <w:szCs w:val="24"/>
                <w:lang w:eastAsia="pt-BR"/>
              </w:rPr>
              <w:t>4</w:t>
            </w:r>
            <w:proofErr w:type="gramEnd"/>
            <w:r>
              <w:rPr>
                <w:rFonts w:ascii="Arial" w:eastAsia="Times New Roman" w:hAnsi="Arial" w:cs="Arial"/>
                <w:bCs/>
                <w:color w:val="000000"/>
                <w:sz w:val="24"/>
                <w:szCs w:val="24"/>
                <w:lang w:eastAsia="pt-BR"/>
              </w:rPr>
              <w:t xml:space="preserve"> A</w:t>
            </w:r>
            <w:r w:rsidR="0001632F">
              <w:rPr>
                <w:rFonts w:ascii="Arial" w:eastAsia="Times New Roman" w:hAnsi="Arial" w:cs="Arial"/>
                <w:bCs/>
                <w:color w:val="000000"/>
                <w:sz w:val="24"/>
                <w:szCs w:val="24"/>
                <w:lang w:eastAsia="pt-BR"/>
              </w:rPr>
              <w:t>BOUT</w:t>
            </w:r>
            <w:r>
              <w:rPr>
                <w:rFonts w:ascii="Arial" w:eastAsia="Times New Roman" w:hAnsi="Arial" w:cs="Arial"/>
                <w:bCs/>
                <w:color w:val="000000"/>
                <w:sz w:val="24"/>
                <w:szCs w:val="24"/>
                <w:lang w:eastAsia="pt-BR"/>
              </w:rPr>
              <w:t xml:space="preserve"> HERE</w:t>
            </w:r>
            <w:r w:rsidRPr="00EF29FE">
              <w:rPr>
                <w:rFonts w:ascii="Arial" w:eastAsia="Times New Roman" w:hAnsi="Arial" w:cs="Arial"/>
                <w:bCs/>
                <w:color w:val="000000"/>
                <w:sz w:val="24"/>
                <w:szCs w:val="24"/>
                <w:lang w:eastAsia="pt-BR"/>
              </w:rPr>
              <w:t xml:space="preserve"> </w:t>
            </w:r>
          </w:p>
        </w:tc>
      </w:tr>
      <w:tr w:rsidR="00474366" w:rsidRPr="00EF29FE" w:rsidTr="00474366">
        <w:trPr>
          <w:trHeight w:val="315"/>
        </w:trPr>
        <w:tc>
          <w:tcPr>
            <w:tcW w:w="8700" w:type="dxa"/>
            <w:tcBorders>
              <w:top w:val="nil"/>
              <w:left w:val="nil"/>
              <w:bottom w:val="nil"/>
              <w:right w:val="nil"/>
            </w:tcBorders>
            <w:shd w:val="clear" w:color="auto" w:fill="auto"/>
            <w:noWrap/>
            <w:vAlign w:val="center"/>
          </w:tcPr>
          <w:p w:rsidR="00474366" w:rsidRPr="00474366" w:rsidRDefault="00474366" w:rsidP="0001632F">
            <w:pPr>
              <w:spacing w:after="0" w:line="240" w:lineRule="auto"/>
              <w:jc w:val="center"/>
              <w:rPr>
                <w:rFonts w:ascii="Arial" w:eastAsia="Times New Roman" w:hAnsi="Arial" w:cs="Arial"/>
                <w:bCs/>
                <w:color w:val="000000"/>
                <w:sz w:val="24"/>
                <w:szCs w:val="24"/>
                <w:lang w:eastAsia="pt-BR"/>
              </w:rPr>
            </w:pPr>
          </w:p>
        </w:tc>
      </w:tr>
      <w:tr w:rsidR="00CE7F30" w:rsidRPr="00CE7F30" w:rsidTr="00474366">
        <w:trPr>
          <w:trHeight w:val="315"/>
        </w:trPr>
        <w:tc>
          <w:tcPr>
            <w:tcW w:w="8700" w:type="dxa"/>
            <w:tcBorders>
              <w:top w:val="nil"/>
              <w:left w:val="nil"/>
              <w:bottom w:val="nil"/>
              <w:right w:val="nil"/>
            </w:tcBorders>
            <w:shd w:val="clear" w:color="auto" w:fill="auto"/>
            <w:noWrap/>
            <w:vAlign w:val="center"/>
          </w:tcPr>
          <w:p w:rsidR="00CE7F30" w:rsidRPr="00EF29FE" w:rsidRDefault="00CE7F30" w:rsidP="00CE7F30">
            <w:pPr>
              <w:spacing w:after="0" w:line="240" w:lineRule="auto"/>
              <w:jc w:val="center"/>
              <w:rPr>
                <w:rFonts w:ascii="Arial" w:eastAsia="Times New Roman" w:hAnsi="Arial" w:cs="Arial"/>
                <w:bCs/>
                <w:color w:val="000000"/>
                <w:sz w:val="24"/>
                <w:szCs w:val="24"/>
                <w:lang w:eastAsia="pt-BR"/>
              </w:rPr>
            </w:pPr>
          </w:p>
        </w:tc>
      </w:tr>
    </w:tbl>
    <w:p w:rsidR="00646C97" w:rsidRDefault="00E902F8" w:rsidP="00FA5D7F">
      <w:pPr>
        <w:pStyle w:val="PargrafodaLista"/>
        <w:spacing w:line="480" w:lineRule="auto"/>
        <w:ind w:left="0" w:firstLine="709"/>
        <w:contextualSpacing w:val="0"/>
        <w:jc w:val="both"/>
        <w:rPr>
          <w:rFonts w:ascii="Arial" w:hAnsi="Arial" w:cs="Arial"/>
          <w:sz w:val="24"/>
          <w:szCs w:val="24"/>
          <w:lang w:val="en-US"/>
        </w:rPr>
      </w:pPr>
      <w:r>
        <w:rPr>
          <w:rFonts w:ascii="Arial" w:hAnsi="Arial" w:cs="Arial"/>
          <w:sz w:val="24"/>
          <w:szCs w:val="24"/>
          <w:lang w:val="en-US"/>
        </w:rPr>
        <w:t xml:space="preserve">The factor loadings for the first principal component appear to be consistent with the theoretical foundations </w:t>
      </w:r>
      <w:r w:rsidR="00924FCB">
        <w:rPr>
          <w:rFonts w:ascii="Arial" w:hAnsi="Arial" w:cs="Arial"/>
          <w:sz w:val="24"/>
          <w:szCs w:val="24"/>
          <w:lang w:val="en-US"/>
        </w:rPr>
        <w:t>because ENT had a</w:t>
      </w:r>
      <w:r>
        <w:rPr>
          <w:rFonts w:ascii="Arial" w:hAnsi="Arial" w:cs="Arial"/>
          <w:sz w:val="24"/>
          <w:szCs w:val="24"/>
          <w:lang w:val="en-US"/>
        </w:rPr>
        <w:t xml:space="preserve"> negative sign</w:t>
      </w:r>
      <w:r w:rsidR="00924FCB">
        <w:rPr>
          <w:rFonts w:ascii="Arial" w:hAnsi="Arial" w:cs="Arial"/>
          <w:sz w:val="24"/>
          <w:szCs w:val="24"/>
          <w:lang w:val="en-US"/>
        </w:rPr>
        <w:t>,</w:t>
      </w:r>
      <w:r>
        <w:rPr>
          <w:rFonts w:ascii="Arial" w:hAnsi="Arial" w:cs="Arial"/>
          <w:sz w:val="24"/>
          <w:szCs w:val="24"/>
          <w:lang w:val="en-US"/>
        </w:rPr>
        <w:t xml:space="preserve"> whereas the loadings for CONC and STAB </w:t>
      </w:r>
      <w:r w:rsidR="00924FCB">
        <w:rPr>
          <w:rFonts w:ascii="Arial" w:hAnsi="Arial" w:cs="Arial"/>
          <w:sz w:val="24"/>
          <w:szCs w:val="24"/>
          <w:lang w:val="en-US"/>
        </w:rPr>
        <w:t>were</w:t>
      </w:r>
      <w:r>
        <w:rPr>
          <w:rFonts w:ascii="Arial" w:hAnsi="Arial" w:cs="Arial"/>
          <w:sz w:val="24"/>
          <w:szCs w:val="24"/>
          <w:lang w:val="en-US"/>
        </w:rPr>
        <w:t xml:space="preserve"> positive. </w:t>
      </w:r>
      <w:r w:rsidR="003B1FA9">
        <w:rPr>
          <w:rFonts w:ascii="Arial" w:hAnsi="Arial" w:cs="Arial"/>
          <w:sz w:val="24"/>
          <w:szCs w:val="24"/>
          <w:lang w:val="en-US"/>
        </w:rPr>
        <w:t>The inspection of the signs of</w:t>
      </w:r>
      <w:r w:rsidR="00511F22">
        <w:rPr>
          <w:rFonts w:ascii="Arial" w:hAnsi="Arial" w:cs="Arial"/>
          <w:sz w:val="24"/>
          <w:szCs w:val="24"/>
          <w:lang w:val="en-US"/>
        </w:rPr>
        <w:t xml:space="preserve"> the</w:t>
      </w:r>
      <w:r w:rsidR="003B1FA9">
        <w:rPr>
          <w:rFonts w:ascii="Arial" w:hAnsi="Arial" w:cs="Arial"/>
          <w:sz w:val="24"/>
          <w:szCs w:val="24"/>
          <w:lang w:val="en-US"/>
        </w:rPr>
        <w:t xml:space="preserve"> </w:t>
      </w:r>
      <w:r w:rsidR="00511F22">
        <w:rPr>
          <w:rFonts w:ascii="Arial" w:hAnsi="Arial" w:cs="Arial"/>
          <w:sz w:val="24"/>
          <w:szCs w:val="24"/>
          <w:lang w:val="en-US"/>
        </w:rPr>
        <w:t xml:space="preserve">factor </w:t>
      </w:r>
      <w:r w:rsidR="00924FCB">
        <w:rPr>
          <w:rFonts w:ascii="Arial" w:hAnsi="Arial" w:cs="Arial"/>
          <w:sz w:val="24"/>
          <w:szCs w:val="24"/>
          <w:lang w:val="en-US"/>
        </w:rPr>
        <w:t>score</w:t>
      </w:r>
      <w:r w:rsidR="008D3D51">
        <w:rPr>
          <w:rFonts w:ascii="Arial" w:hAnsi="Arial" w:cs="Arial"/>
          <w:sz w:val="24"/>
          <w:szCs w:val="24"/>
          <w:lang w:val="en-US"/>
        </w:rPr>
        <w:t xml:space="preserve"> </w:t>
      </w:r>
      <w:r w:rsidR="00511F22">
        <w:rPr>
          <w:rFonts w:ascii="Arial" w:hAnsi="Arial" w:cs="Arial"/>
          <w:sz w:val="24"/>
          <w:szCs w:val="24"/>
          <w:lang w:val="en-US"/>
        </w:rPr>
        <w:t xml:space="preserve">coefficients </w:t>
      </w:r>
      <w:r w:rsidR="00924FCB">
        <w:rPr>
          <w:rFonts w:ascii="Arial" w:hAnsi="Arial" w:cs="Arial"/>
          <w:sz w:val="24"/>
          <w:szCs w:val="24"/>
          <w:lang w:val="en-US"/>
        </w:rPr>
        <w:t>for</w:t>
      </w:r>
      <w:r w:rsidR="008D3D51">
        <w:rPr>
          <w:rFonts w:ascii="Arial" w:hAnsi="Arial" w:cs="Arial"/>
          <w:sz w:val="24"/>
          <w:szCs w:val="24"/>
          <w:lang w:val="en-US"/>
        </w:rPr>
        <w:t xml:space="preserve"> SCHUMP</w:t>
      </w:r>
      <w:r w:rsidR="003B1FA9">
        <w:rPr>
          <w:rFonts w:ascii="Arial" w:hAnsi="Arial" w:cs="Arial"/>
          <w:sz w:val="24"/>
          <w:szCs w:val="24"/>
          <w:lang w:val="en-US"/>
        </w:rPr>
        <w:t xml:space="preserve"> </w:t>
      </w:r>
      <w:r w:rsidR="00924FCB">
        <w:rPr>
          <w:rFonts w:ascii="Arial" w:hAnsi="Arial" w:cs="Arial"/>
          <w:sz w:val="24"/>
          <w:szCs w:val="24"/>
          <w:lang w:val="en-US"/>
        </w:rPr>
        <w:t>for</w:t>
      </w:r>
      <w:r w:rsidR="003B1FA9">
        <w:rPr>
          <w:rFonts w:ascii="Arial" w:hAnsi="Arial" w:cs="Arial"/>
          <w:sz w:val="24"/>
          <w:szCs w:val="24"/>
          <w:lang w:val="en-US"/>
        </w:rPr>
        <w:t xml:space="preserve"> each particular sector allows </w:t>
      </w:r>
      <w:r w:rsidR="00924FCB">
        <w:rPr>
          <w:rFonts w:ascii="Arial" w:hAnsi="Arial" w:cs="Arial"/>
          <w:sz w:val="24"/>
          <w:szCs w:val="24"/>
          <w:lang w:val="en-US"/>
        </w:rPr>
        <w:t xml:space="preserve">us to classify the </w:t>
      </w:r>
      <w:r w:rsidR="00924FCB">
        <w:rPr>
          <w:rFonts w:ascii="Arial" w:hAnsi="Arial" w:cs="Arial"/>
          <w:sz w:val="24"/>
          <w:szCs w:val="24"/>
          <w:lang w:val="en-US"/>
        </w:rPr>
        <w:lastRenderedPageBreak/>
        <w:t>sectors</w:t>
      </w:r>
      <w:r w:rsidR="003B1FA9">
        <w:rPr>
          <w:rFonts w:ascii="Arial" w:hAnsi="Arial" w:cs="Arial"/>
          <w:sz w:val="24"/>
          <w:szCs w:val="24"/>
          <w:lang w:val="en-US"/>
        </w:rPr>
        <w:t xml:space="preserve"> according to </w:t>
      </w:r>
      <w:r w:rsidR="00924FCB">
        <w:rPr>
          <w:rFonts w:ascii="Arial" w:hAnsi="Arial" w:cs="Arial"/>
          <w:sz w:val="24"/>
          <w:szCs w:val="24"/>
          <w:lang w:val="en-US"/>
        </w:rPr>
        <w:t xml:space="preserve">the </w:t>
      </w:r>
      <w:r w:rsidR="003B1FA9">
        <w:rPr>
          <w:rFonts w:ascii="Arial" w:hAnsi="Arial" w:cs="Arial"/>
          <w:sz w:val="24"/>
          <w:szCs w:val="24"/>
          <w:lang w:val="en-US"/>
        </w:rPr>
        <w:t>technological regimes</w:t>
      </w:r>
      <w:r w:rsidR="008D3D51">
        <w:rPr>
          <w:rFonts w:ascii="Arial" w:hAnsi="Arial" w:cs="Arial"/>
          <w:sz w:val="24"/>
          <w:szCs w:val="24"/>
          <w:lang w:val="en-US"/>
        </w:rPr>
        <w:t xml:space="preserve">. A negative sign </w:t>
      </w:r>
      <w:r w:rsidR="00FA5D7F">
        <w:rPr>
          <w:rFonts w:ascii="Arial" w:hAnsi="Arial" w:cs="Arial"/>
          <w:sz w:val="24"/>
          <w:szCs w:val="24"/>
          <w:lang w:val="en-US"/>
        </w:rPr>
        <w:t>indicate</w:t>
      </w:r>
      <w:r w:rsidR="00924FCB">
        <w:rPr>
          <w:rFonts w:ascii="Arial" w:hAnsi="Arial" w:cs="Arial"/>
          <w:sz w:val="24"/>
          <w:szCs w:val="24"/>
          <w:lang w:val="en-US"/>
        </w:rPr>
        <w:t>d</w:t>
      </w:r>
      <w:r w:rsidR="00FA5D7F">
        <w:rPr>
          <w:rFonts w:ascii="Arial" w:hAnsi="Arial" w:cs="Arial"/>
          <w:sz w:val="24"/>
          <w:szCs w:val="24"/>
          <w:lang w:val="en-US"/>
        </w:rPr>
        <w:t xml:space="preserve"> a SM-I regime and </w:t>
      </w:r>
      <w:r w:rsidR="00924FCB">
        <w:rPr>
          <w:rFonts w:ascii="Arial" w:hAnsi="Arial" w:cs="Arial"/>
          <w:sz w:val="24"/>
          <w:szCs w:val="24"/>
          <w:lang w:val="en-US"/>
        </w:rPr>
        <w:t xml:space="preserve">a </w:t>
      </w:r>
      <w:r w:rsidR="008D3D51">
        <w:rPr>
          <w:rFonts w:ascii="Arial" w:hAnsi="Arial" w:cs="Arial"/>
          <w:sz w:val="24"/>
          <w:szCs w:val="24"/>
          <w:lang w:val="en-US"/>
        </w:rPr>
        <w:t xml:space="preserve">positive sign </w:t>
      </w:r>
      <w:r w:rsidR="00924FCB">
        <w:rPr>
          <w:rFonts w:ascii="Arial" w:hAnsi="Arial" w:cs="Arial"/>
          <w:sz w:val="24"/>
          <w:szCs w:val="24"/>
          <w:lang w:val="en-US"/>
        </w:rPr>
        <w:t xml:space="preserve">indicated </w:t>
      </w:r>
      <w:r w:rsidR="008D3D51">
        <w:rPr>
          <w:rFonts w:ascii="Arial" w:hAnsi="Arial" w:cs="Arial"/>
          <w:sz w:val="24"/>
          <w:szCs w:val="24"/>
          <w:lang w:val="en-US"/>
        </w:rPr>
        <w:t>a</w:t>
      </w:r>
      <w:r w:rsidR="00924FCB">
        <w:rPr>
          <w:rFonts w:ascii="Arial" w:hAnsi="Arial" w:cs="Arial"/>
          <w:sz w:val="24"/>
          <w:szCs w:val="24"/>
          <w:lang w:val="en-US"/>
        </w:rPr>
        <w:t>n</w:t>
      </w:r>
      <w:r w:rsidR="008D3D51">
        <w:rPr>
          <w:rFonts w:ascii="Arial" w:hAnsi="Arial" w:cs="Arial"/>
          <w:sz w:val="24"/>
          <w:szCs w:val="24"/>
          <w:lang w:val="en-US"/>
        </w:rPr>
        <w:t xml:space="preserve"> SM-II regime.</w:t>
      </w:r>
      <w:r w:rsidR="003B1FA9">
        <w:rPr>
          <w:rFonts w:ascii="Arial" w:hAnsi="Arial" w:cs="Arial"/>
          <w:sz w:val="24"/>
          <w:szCs w:val="24"/>
          <w:lang w:val="en-US"/>
        </w:rPr>
        <w:t xml:space="preserve"> </w:t>
      </w:r>
      <w:r w:rsidR="009C38E3" w:rsidRPr="009C38E3">
        <w:rPr>
          <w:rFonts w:ascii="Arial" w:hAnsi="Arial" w:cs="Arial"/>
          <w:sz w:val="24"/>
          <w:szCs w:val="24"/>
          <w:lang w:val="en-US"/>
        </w:rPr>
        <w:t xml:space="preserve">Thus, we were able to classify 69 3-digits sectors in terms of SM-I and SM-II regimes as </w:t>
      </w:r>
      <w:r w:rsidR="00924FCB">
        <w:rPr>
          <w:rFonts w:ascii="Arial" w:hAnsi="Arial" w:cs="Arial"/>
          <w:sz w:val="24"/>
          <w:szCs w:val="24"/>
          <w:lang w:val="en-US"/>
        </w:rPr>
        <w:t>shown in A</w:t>
      </w:r>
      <w:r w:rsidR="009C38E3" w:rsidRPr="009C38E3">
        <w:rPr>
          <w:rFonts w:ascii="Arial" w:hAnsi="Arial" w:cs="Arial"/>
          <w:sz w:val="24"/>
          <w:szCs w:val="24"/>
          <w:lang w:val="en-US"/>
        </w:rPr>
        <w:t xml:space="preserve">ppendix </w:t>
      </w:r>
      <w:r w:rsidR="00924FCB">
        <w:rPr>
          <w:rFonts w:ascii="Arial" w:hAnsi="Arial" w:cs="Arial"/>
          <w:sz w:val="24"/>
          <w:szCs w:val="24"/>
          <w:lang w:val="en-US"/>
        </w:rPr>
        <w:t>2.</w:t>
      </w:r>
    </w:p>
    <w:p w:rsidR="00CA1BB5" w:rsidRDefault="00924FCB" w:rsidP="009A2C9C">
      <w:pPr>
        <w:pStyle w:val="PargrafodaLista"/>
        <w:spacing w:line="480" w:lineRule="auto"/>
        <w:ind w:left="0" w:firstLine="709"/>
        <w:contextualSpacing w:val="0"/>
        <w:jc w:val="both"/>
        <w:rPr>
          <w:rFonts w:ascii="Arial" w:hAnsi="Arial" w:cs="Arial"/>
          <w:color w:val="FF0000"/>
          <w:sz w:val="24"/>
          <w:szCs w:val="24"/>
          <w:lang w:val="en-US"/>
        </w:rPr>
      </w:pPr>
      <w:r>
        <w:rPr>
          <w:rFonts w:ascii="Arial" w:hAnsi="Arial" w:cs="Arial"/>
          <w:sz w:val="24"/>
          <w:szCs w:val="24"/>
          <w:lang w:val="en-US"/>
        </w:rPr>
        <w:t>However, i</w:t>
      </w:r>
      <w:r w:rsidR="00511F22" w:rsidRPr="00CA1BB5">
        <w:rPr>
          <w:rFonts w:ascii="Arial" w:hAnsi="Arial" w:cs="Arial"/>
          <w:sz w:val="24"/>
          <w:szCs w:val="24"/>
          <w:lang w:val="en-US"/>
        </w:rPr>
        <w:t>t</w:t>
      </w:r>
      <w:r>
        <w:rPr>
          <w:rFonts w:ascii="Arial" w:hAnsi="Arial" w:cs="Arial"/>
          <w:sz w:val="24"/>
          <w:szCs w:val="24"/>
          <w:lang w:val="en-US"/>
        </w:rPr>
        <w:t xml:space="preserve"> is important</w:t>
      </w:r>
      <w:r w:rsidR="00B06C1C" w:rsidRPr="00CA1BB5">
        <w:rPr>
          <w:rFonts w:ascii="Arial" w:hAnsi="Arial" w:cs="Arial"/>
          <w:sz w:val="24"/>
          <w:szCs w:val="24"/>
          <w:lang w:val="en-US"/>
        </w:rPr>
        <w:t xml:space="preserve"> to </w:t>
      </w:r>
      <w:r>
        <w:rPr>
          <w:rFonts w:ascii="Arial" w:hAnsi="Arial" w:cs="Arial"/>
          <w:sz w:val="24"/>
          <w:szCs w:val="24"/>
          <w:lang w:val="en-US"/>
        </w:rPr>
        <w:t>provide</w:t>
      </w:r>
      <w:r w:rsidR="00B06C1C" w:rsidRPr="00CA1BB5">
        <w:rPr>
          <w:rFonts w:ascii="Arial" w:hAnsi="Arial" w:cs="Arial"/>
          <w:sz w:val="24"/>
          <w:szCs w:val="24"/>
          <w:lang w:val="en-US"/>
        </w:rPr>
        <w:t xml:space="preserve"> additional con</w:t>
      </w:r>
      <w:r w:rsidR="006333FB" w:rsidRPr="00CA1BB5">
        <w:rPr>
          <w:rFonts w:ascii="Arial" w:hAnsi="Arial" w:cs="Arial"/>
          <w:sz w:val="24"/>
          <w:szCs w:val="24"/>
          <w:lang w:val="en-US"/>
        </w:rPr>
        <w:t xml:space="preserve">fidence </w:t>
      </w:r>
      <w:r>
        <w:rPr>
          <w:rFonts w:ascii="Arial" w:hAnsi="Arial" w:cs="Arial"/>
          <w:sz w:val="24"/>
          <w:szCs w:val="24"/>
          <w:lang w:val="en-US"/>
        </w:rPr>
        <w:t>i</w:t>
      </w:r>
      <w:r w:rsidR="006333FB" w:rsidRPr="00CA1BB5">
        <w:rPr>
          <w:rFonts w:ascii="Arial" w:hAnsi="Arial" w:cs="Arial"/>
          <w:sz w:val="24"/>
          <w:szCs w:val="24"/>
          <w:lang w:val="en-US"/>
        </w:rPr>
        <w:t>n the classification</w:t>
      </w:r>
      <w:r>
        <w:rPr>
          <w:rFonts w:ascii="Arial" w:hAnsi="Arial" w:cs="Arial"/>
          <w:sz w:val="24"/>
          <w:szCs w:val="24"/>
          <w:lang w:val="en-US"/>
        </w:rPr>
        <w:t xml:space="preserve"> system</w:t>
      </w:r>
      <w:r w:rsidR="006333FB" w:rsidRPr="00CA1BB5">
        <w:rPr>
          <w:rFonts w:ascii="Arial" w:hAnsi="Arial" w:cs="Arial"/>
          <w:sz w:val="24"/>
          <w:szCs w:val="24"/>
          <w:lang w:val="en-US"/>
        </w:rPr>
        <w:t xml:space="preserve"> by</w:t>
      </w:r>
      <w:r w:rsidR="00B06C1C" w:rsidRPr="00CA1BB5">
        <w:rPr>
          <w:rFonts w:ascii="Arial" w:hAnsi="Arial" w:cs="Arial"/>
          <w:sz w:val="24"/>
          <w:szCs w:val="24"/>
          <w:lang w:val="en-US"/>
        </w:rPr>
        <w:t xml:space="preserve"> considering the role of </w:t>
      </w:r>
      <w:r>
        <w:rPr>
          <w:rFonts w:ascii="Arial" w:hAnsi="Arial" w:cs="Arial"/>
          <w:sz w:val="24"/>
          <w:szCs w:val="24"/>
          <w:lang w:val="en-US"/>
        </w:rPr>
        <w:t xml:space="preserve">the </w:t>
      </w:r>
      <w:r w:rsidR="006333FB" w:rsidRPr="00CA1BB5">
        <w:rPr>
          <w:rFonts w:ascii="Arial" w:hAnsi="Arial" w:cs="Arial"/>
          <w:sz w:val="24"/>
          <w:szCs w:val="24"/>
          <w:lang w:val="en-US"/>
        </w:rPr>
        <w:t xml:space="preserve">variables related to </w:t>
      </w:r>
      <w:r w:rsidR="006333FB" w:rsidRPr="00CA1BB5">
        <w:rPr>
          <w:rFonts w:ascii="Arial" w:hAnsi="Arial" w:cs="Arial"/>
          <w:sz w:val="24"/>
          <w:szCs w:val="24"/>
          <w:lang w:val="en-US" w:eastAsia="pt-BR"/>
        </w:rPr>
        <w:t>technological opportunity (</w:t>
      </w:r>
      <w:r w:rsidR="006333FB" w:rsidRPr="00CA1BB5">
        <w:rPr>
          <w:rFonts w:ascii="Arial" w:hAnsi="Arial" w:cs="Arial"/>
          <w:b/>
          <w:sz w:val="24"/>
          <w:szCs w:val="24"/>
          <w:lang w:val="en-US" w:eastAsia="pt-BR"/>
        </w:rPr>
        <w:t>TECOP),</w:t>
      </w:r>
      <w:r w:rsidR="006333FB" w:rsidRPr="00CA1BB5">
        <w:rPr>
          <w:rFonts w:ascii="Arial" w:hAnsi="Arial" w:cs="Arial"/>
          <w:sz w:val="24"/>
          <w:szCs w:val="24"/>
          <w:lang w:val="en-US"/>
        </w:rPr>
        <w:t xml:space="preserve"> appropriability (</w:t>
      </w:r>
      <w:r w:rsidR="006333FB" w:rsidRPr="00CA1BB5">
        <w:rPr>
          <w:rFonts w:ascii="Arial" w:hAnsi="Arial" w:cs="Arial"/>
          <w:b/>
          <w:sz w:val="24"/>
          <w:szCs w:val="24"/>
          <w:lang w:val="en-US"/>
        </w:rPr>
        <w:t xml:space="preserve">APROP), </w:t>
      </w:r>
      <w:r w:rsidR="006333FB" w:rsidRPr="00CA1BB5">
        <w:rPr>
          <w:rFonts w:ascii="Arial" w:hAnsi="Arial" w:cs="Arial"/>
          <w:sz w:val="24"/>
          <w:szCs w:val="24"/>
          <w:lang w:val="en-US"/>
        </w:rPr>
        <w:t>cumulativeness</w:t>
      </w:r>
      <w:r w:rsidR="00B5498C">
        <w:rPr>
          <w:rFonts w:ascii="Arial" w:hAnsi="Arial" w:cs="Arial"/>
          <w:b/>
          <w:sz w:val="24"/>
          <w:szCs w:val="24"/>
          <w:lang w:val="en-US"/>
        </w:rPr>
        <w:t xml:space="preserve"> (CUMUL) </w:t>
      </w:r>
      <w:r w:rsidR="00B5498C" w:rsidRPr="00B5498C">
        <w:rPr>
          <w:rFonts w:ascii="Arial" w:hAnsi="Arial" w:cs="Arial"/>
          <w:sz w:val="24"/>
          <w:szCs w:val="24"/>
          <w:lang w:val="en-US"/>
        </w:rPr>
        <w:t>and</w:t>
      </w:r>
      <w:r w:rsidR="006333FB" w:rsidRPr="00CA1BB5">
        <w:rPr>
          <w:rFonts w:ascii="Arial" w:hAnsi="Arial" w:cs="Arial"/>
          <w:b/>
          <w:sz w:val="24"/>
          <w:szCs w:val="24"/>
          <w:lang w:val="en-US"/>
        </w:rPr>
        <w:t xml:space="preserve"> </w:t>
      </w:r>
      <w:r w:rsidR="006333FB" w:rsidRPr="00CA1BB5">
        <w:rPr>
          <w:rFonts w:ascii="Arial" w:hAnsi="Arial" w:cs="Arial"/>
          <w:sz w:val="24"/>
          <w:szCs w:val="24"/>
          <w:lang w:val="en-US"/>
        </w:rPr>
        <w:t>knowledge base (either BASIC or APPL)</w:t>
      </w:r>
      <w:r w:rsidR="002643DB" w:rsidRPr="00CA1BB5">
        <w:rPr>
          <w:rFonts w:ascii="Arial" w:hAnsi="Arial" w:cs="Arial"/>
          <w:sz w:val="24"/>
          <w:szCs w:val="24"/>
          <w:lang w:val="en-US"/>
        </w:rPr>
        <w:t xml:space="preserve"> as previously discussed. Breschi et al. (20</w:t>
      </w:r>
      <w:r w:rsidR="00777E31" w:rsidRPr="00CA1BB5">
        <w:rPr>
          <w:rFonts w:ascii="Arial" w:hAnsi="Arial" w:cs="Arial"/>
          <w:sz w:val="24"/>
          <w:szCs w:val="24"/>
          <w:lang w:val="en-US"/>
        </w:rPr>
        <w:t>0</w:t>
      </w:r>
      <w:r w:rsidR="002643DB" w:rsidRPr="00CA1BB5">
        <w:rPr>
          <w:rFonts w:ascii="Arial" w:hAnsi="Arial" w:cs="Arial"/>
          <w:sz w:val="24"/>
          <w:szCs w:val="24"/>
          <w:lang w:val="en-US"/>
        </w:rPr>
        <w:t>0) u</w:t>
      </w:r>
      <w:r w:rsidR="00777E31" w:rsidRPr="00CA1BB5">
        <w:rPr>
          <w:rFonts w:ascii="Arial" w:hAnsi="Arial" w:cs="Arial"/>
          <w:sz w:val="24"/>
          <w:szCs w:val="24"/>
          <w:lang w:val="en-US"/>
        </w:rPr>
        <w:t>n</w:t>
      </w:r>
      <w:r w:rsidR="00B5498C">
        <w:rPr>
          <w:rFonts w:ascii="Arial" w:hAnsi="Arial" w:cs="Arial"/>
          <w:sz w:val="24"/>
          <w:szCs w:val="24"/>
          <w:lang w:val="en-US"/>
        </w:rPr>
        <w:t>dertook</w:t>
      </w:r>
      <w:r w:rsidR="002643DB" w:rsidRPr="00CA1BB5">
        <w:rPr>
          <w:rFonts w:ascii="Arial" w:hAnsi="Arial" w:cs="Arial"/>
          <w:sz w:val="24"/>
          <w:szCs w:val="24"/>
          <w:lang w:val="en-US"/>
        </w:rPr>
        <w:t xml:space="preserve"> a regression analysis with </w:t>
      </w:r>
      <w:r w:rsidR="00B5498C">
        <w:rPr>
          <w:rFonts w:ascii="Arial" w:hAnsi="Arial" w:cs="Arial"/>
          <w:sz w:val="24"/>
          <w:szCs w:val="24"/>
          <w:lang w:val="en-US"/>
        </w:rPr>
        <w:t xml:space="preserve">their </w:t>
      </w:r>
      <w:r w:rsidR="002643DB" w:rsidRPr="00CA1BB5">
        <w:rPr>
          <w:rFonts w:ascii="Arial" w:hAnsi="Arial" w:cs="Arial"/>
          <w:sz w:val="24"/>
          <w:szCs w:val="24"/>
          <w:lang w:val="en-US"/>
        </w:rPr>
        <w:t>analogous explanatory variables. In the present paper, we consider</w:t>
      </w:r>
      <w:r w:rsidR="00B5498C">
        <w:rPr>
          <w:rFonts w:ascii="Arial" w:hAnsi="Arial" w:cs="Arial"/>
          <w:sz w:val="24"/>
          <w:szCs w:val="24"/>
          <w:lang w:val="en-US"/>
        </w:rPr>
        <w:t>ed</w:t>
      </w:r>
      <w:r w:rsidR="002643DB" w:rsidRPr="00CA1BB5">
        <w:rPr>
          <w:rFonts w:ascii="Arial" w:hAnsi="Arial" w:cs="Arial"/>
          <w:sz w:val="24"/>
          <w:szCs w:val="24"/>
          <w:lang w:val="en-US"/>
        </w:rPr>
        <w:t xml:space="preserve"> the multivariate statistical technique of </w:t>
      </w:r>
      <w:r w:rsidR="00B95370" w:rsidRPr="00CA1BB5">
        <w:rPr>
          <w:rFonts w:ascii="Arial" w:hAnsi="Arial" w:cs="Arial"/>
          <w:sz w:val="24"/>
          <w:szCs w:val="24"/>
          <w:lang w:val="en-US"/>
        </w:rPr>
        <w:t xml:space="preserve">linear </w:t>
      </w:r>
      <w:r w:rsidR="002643DB" w:rsidRPr="00CA1BB5">
        <w:rPr>
          <w:rFonts w:ascii="Arial" w:hAnsi="Arial" w:cs="Arial"/>
          <w:sz w:val="24"/>
          <w:szCs w:val="24"/>
          <w:lang w:val="en-US"/>
        </w:rPr>
        <w:t>discriminant analysis (</w:t>
      </w:r>
      <w:r w:rsidR="00B95370" w:rsidRPr="00CA1BB5">
        <w:rPr>
          <w:rFonts w:ascii="Arial" w:hAnsi="Arial" w:cs="Arial"/>
          <w:sz w:val="24"/>
          <w:szCs w:val="24"/>
          <w:lang w:val="en-US"/>
        </w:rPr>
        <w:t>L</w:t>
      </w:r>
      <w:r w:rsidR="002643DB" w:rsidRPr="00CA1BB5">
        <w:rPr>
          <w:rFonts w:ascii="Arial" w:hAnsi="Arial" w:cs="Arial"/>
          <w:sz w:val="24"/>
          <w:szCs w:val="24"/>
          <w:lang w:val="en-US"/>
        </w:rPr>
        <w:t>DA)</w:t>
      </w:r>
      <w:r w:rsidR="00B95370" w:rsidRPr="002965B3">
        <w:rPr>
          <w:rFonts w:ascii="Arial" w:hAnsi="Arial" w:cs="Arial"/>
          <w:color w:val="FF0000"/>
          <w:sz w:val="24"/>
          <w:szCs w:val="24"/>
          <w:lang w:val="en-US"/>
        </w:rPr>
        <w:t xml:space="preserve">. </w:t>
      </w:r>
      <w:r w:rsidR="00B95370" w:rsidRPr="00CA1BB5">
        <w:rPr>
          <w:rFonts w:ascii="Arial" w:hAnsi="Arial" w:cs="Arial"/>
          <w:sz w:val="24"/>
          <w:szCs w:val="24"/>
          <w:lang w:val="en-US"/>
        </w:rPr>
        <w:t xml:space="preserve">Given a sample </w:t>
      </w:r>
      <w:r w:rsidR="00B5498C">
        <w:rPr>
          <w:rFonts w:ascii="Arial" w:hAnsi="Arial" w:cs="Arial"/>
          <w:sz w:val="24"/>
          <w:szCs w:val="24"/>
          <w:lang w:val="en-US"/>
        </w:rPr>
        <w:t>divided</w:t>
      </w:r>
      <w:r w:rsidR="00B95370" w:rsidRPr="00CA1BB5">
        <w:rPr>
          <w:rFonts w:ascii="Arial" w:hAnsi="Arial" w:cs="Arial"/>
          <w:sz w:val="24"/>
          <w:szCs w:val="24"/>
          <w:lang w:val="en-US"/>
        </w:rPr>
        <w:t xml:space="preserve"> in</w:t>
      </w:r>
      <w:r w:rsidR="00B5498C">
        <w:rPr>
          <w:rFonts w:ascii="Arial" w:hAnsi="Arial" w:cs="Arial"/>
          <w:sz w:val="24"/>
          <w:szCs w:val="24"/>
          <w:lang w:val="en-US"/>
        </w:rPr>
        <w:t>to</w:t>
      </w:r>
      <w:r w:rsidR="00B95370" w:rsidRPr="00CA1BB5">
        <w:rPr>
          <w:rFonts w:ascii="Arial" w:hAnsi="Arial" w:cs="Arial"/>
          <w:sz w:val="24"/>
          <w:szCs w:val="24"/>
          <w:lang w:val="en-US"/>
        </w:rPr>
        <w:t xml:space="preserve"> groups (SM-I and SM-II in the presen</w:t>
      </w:r>
      <w:r w:rsidR="00CA1BB5" w:rsidRPr="00CA1BB5">
        <w:rPr>
          <w:rFonts w:ascii="Arial" w:hAnsi="Arial" w:cs="Arial"/>
          <w:sz w:val="24"/>
          <w:szCs w:val="24"/>
          <w:lang w:val="en-US"/>
        </w:rPr>
        <w:t xml:space="preserve">t application), </w:t>
      </w:r>
      <w:r w:rsidR="007B2957">
        <w:rPr>
          <w:rFonts w:ascii="Arial" w:hAnsi="Arial" w:cs="Arial"/>
          <w:sz w:val="24"/>
          <w:szCs w:val="24"/>
          <w:lang w:val="en-US"/>
        </w:rPr>
        <w:t>we could</w:t>
      </w:r>
      <w:r w:rsidR="00CA1BB5" w:rsidRPr="00CA1BB5">
        <w:rPr>
          <w:rFonts w:ascii="Arial" w:hAnsi="Arial" w:cs="Arial"/>
          <w:sz w:val="24"/>
          <w:szCs w:val="24"/>
          <w:lang w:val="en-US"/>
        </w:rPr>
        <w:t xml:space="preserve"> </w:t>
      </w:r>
      <w:r w:rsidR="00B95370" w:rsidRPr="00CA1BB5">
        <w:rPr>
          <w:rFonts w:ascii="Arial" w:hAnsi="Arial" w:cs="Arial"/>
          <w:sz w:val="24"/>
          <w:szCs w:val="24"/>
          <w:lang w:val="en-US"/>
        </w:rPr>
        <w:t xml:space="preserve">obtain discriminant functions in accordance </w:t>
      </w:r>
      <w:r w:rsidR="007B2957">
        <w:rPr>
          <w:rFonts w:ascii="Arial" w:hAnsi="Arial" w:cs="Arial"/>
          <w:sz w:val="24"/>
          <w:szCs w:val="24"/>
          <w:lang w:val="en-US"/>
        </w:rPr>
        <w:t>with</w:t>
      </w:r>
      <w:r w:rsidR="00B95370" w:rsidRPr="00CA1BB5">
        <w:rPr>
          <w:rFonts w:ascii="Arial" w:hAnsi="Arial" w:cs="Arial"/>
          <w:sz w:val="24"/>
          <w:szCs w:val="24"/>
          <w:lang w:val="en-US"/>
        </w:rPr>
        <w:t xml:space="preserve"> the criteri</w:t>
      </w:r>
      <w:r w:rsidR="007B2957">
        <w:rPr>
          <w:rFonts w:ascii="Arial" w:hAnsi="Arial" w:cs="Arial"/>
          <w:sz w:val="24"/>
          <w:szCs w:val="24"/>
          <w:lang w:val="en-US"/>
        </w:rPr>
        <w:t>a</w:t>
      </w:r>
      <w:r w:rsidR="00B95370" w:rsidRPr="00CA1BB5">
        <w:rPr>
          <w:rFonts w:ascii="Arial" w:hAnsi="Arial" w:cs="Arial"/>
          <w:sz w:val="24"/>
          <w:szCs w:val="24"/>
          <w:lang w:val="en-US"/>
        </w:rPr>
        <w:t xml:space="preserve"> of </w:t>
      </w:r>
      <w:proofErr w:type="spellStart"/>
      <w:r w:rsidR="00B95370" w:rsidRPr="00CA1BB5">
        <w:rPr>
          <w:rFonts w:ascii="Arial" w:hAnsi="Arial" w:cs="Arial"/>
          <w:sz w:val="24"/>
          <w:szCs w:val="24"/>
          <w:lang w:val="en-US"/>
        </w:rPr>
        <w:t>max</w:t>
      </w:r>
      <w:r w:rsidR="00D9775E">
        <w:rPr>
          <w:rFonts w:ascii="Arial" w:hAnsi="Arial" w:cs="Arial"/>
          <w:sz w:val="24"/>
          <w:szCs w:val="24"/>
          <w:lang w:val="en-US"/>
        </w:rPr>
        <w:t>i</w:t>
      </w:r>
      <w:r w:rsidR="007B2957">
        <w:rPr>
          <w:rFonts w:ascii="Arial" w:hAnsi="Arial" w:cs="Arial"/>
          <w:sz w:val="24"/>
          <w:szCs w:val="24"/>
          <w:lang w:val="en-US"/>
        </w:rPr>
        <w:t>mis</w:t>
      </w:r>
      <w:r w:rsidR="00B95370" w:rsidRPr="00CA1BB5">
        <w:rPr>
          <w:rFonts w:ascii="Arial" w:hAnsi="Arial" w:cs="Arial"/>
          <w:sz w:val="24"/>
          <w:szCs w:val="24"/>
          <w:lang w:val="en-US"/>
        </w:rPr>
        <w:t>ing</w:t>
      </w:r>
      <w:proofErr w:type="spellEnd"/>
      <w:r w:rsidR="00B95370" w:rsidRPr="00CA1BB5">
        <w:rPr>
          <w:rFonts w:ascii="Arial" w:hAnsi="Arial" w:cs="Arial"/>
          <w:sz w:val="24"/>
          <w:szCs w:val="24"/>
          <w:lang w:val="en-US"/>
        </w:rPr>
        <w:t xml:space="preserve"> the discrimination between groups and minimizing the heterogeneity within the groups. [</w:t>
      </w:r>
      <w:r w:rsidR="0048436F" w:rsidRPr="00CA1BB5">
        <w:rPr>
          <w:rFonts w:ascii="Arial" w:hAnsi="Arial" w:cs="Arial"/>
          <w:sz w:val="24"/>
          <w:szCs w:val="24"/>
          <w:lang w:val="en-US"/>
        </w:rPr>
        <w:t>See</w:t>
      </w:r>
      <w:r w:rsidR="00B95370" w:rsidRPr="00CA1BB5">
        <w:rPr>
          <w:rFonts w:ascii="Arial" w:hAnsi="Arial" w:cs="Arial"/>
          <w:sz w:val="24"/>
          <w:szCs w:val="24"/>
          <w:lang w:val="en-US"/>
        </w:rPr>
        <w:t xml:space="preserve"> Manly</w:t>
      </w:r>
      <w:r w:rsidR="00663FB1" w:rsidRPr="00CA1BB5">
        <w:rPr>
          <w:rFonts w:ascii="Arial" w:hAnsi="Arial" w:cs="Arial"/>
          <w:sz w:val="24"/>
          <w:szCs w:val="24"/>
          <w:lang w:val="en-US"/>
        </w:rPr>
        <w:t xml:space="preserve"> (1994)</w:t>
      </w:r>
      <w:r w:rsidR="00B95370" w:rsidRPr="00CA1BB5">
        <w:rPr>
          <w:rFonts w:ascii="Arial" w:hAnsi="Arial" w:cs="Arial"/>
          <w:sz w:val="24"/>
          <w:szCs w:val="24"/>
          <w:lang w:val="en-US"/>
        </w:rPr>
        <w:t xml:space="preserve"> for an overview]</w:t>
      </w:r>
      <w:r w:rsidR="00663FB1" w:rsidRPr="00CA1BB5">
        <w:rPr>
          <w:rFonts w:ascii="Arial" w:hAnsi="Arial" w:cs="Arial"/>
          <w:sz w:val="24"/>
          <w:szCs w:val="24"/>
          <w:lang w:val="en-US"/>
        </w:rPr>
        <w:t xml:space="preserve">. </w:t>
      </w:r>
      <w:r w:rsidR="00F91943" w:rsidRPr="00CA1BB5">
        <w:rPr>
          <w:rFonts w:ascii="Arial" w:hAnsi="Arial" w:cs="Arial"/>
          <w:sz w:val="24"/>
          <w:szCs w:val="24"/>
          <w:lang w:val="en-US"/>
        </w:rPr>
        <w:t>Discrim</w:t>
      </w:r>
      <w:r w:rsidR="00D9775E">
        <w:rPr>
          <w:rFonts w:ascii="Arial" w:hAnsi="Arial" w:cs="Arial"/>
          <w:sz w:val="24"/>
          <w:szCs w:val="24"/>
          <w:lang w:val="en-US"/>
        </w:rPr>
        <w:t>in</w:t>
      </w:r>
      <w:r w:rsidR="00F91943" w:rsidRPr="00CA1BB5">
        <w:rPr>
          <w:rFonts w:ascii="Arial" w:hAnsi="Arial" w:cs="Arial"/>
          <w:sz w:val="24"/>
          <w:szCs w:val="24"/>
          <w:lang w:val="en-US"/>
        </w:rPr>
        <w:t>ant functions are sensitive to the scale of the considered variables. Thus, we consider</w:t>
      </w:r>
      <w:r w:rsidR="007B2957">
        <w:rPr>
          <w:rFonts w:ascii="Arial" w:hAnsi="Arial" w:cs="Arial"/>
          <w:sz w:val="24"/>
          <w:szCs w:val="24"/>
          <w:lang w:val="en-US"/>
        </w:rPr>
        <w:t xml:space="preserve">ed </w:t>
      </w:r>
      <w:proofErr w:type="spellStart"/>
      <w:r w:rsidR="007B2957">
        <w:rPr>
          <w:rFonts w:ascii="Arial" w:hAnsi="Arial" w:cs="Arial"/>
          <w:sz w:val="24"/>
          <w:szCs w:val="24"/>
          <w:lang w:val="en-US"/>
        </w:rPr>
        <w:t>standardis</w:t>
      </w:r>
      <w:r w:rsidR="00F91943" w:rsidRPr="00CA1BB5">
        <w:rPr>
          <w:rFonts w:ascii="Arial" w:hAnsi="Arial" w:cs="Arial"/>
          <w:sz w:val="24"/>
          <w:szCs w:val="24"/>
          <w:lang w:val="en-US"/>
        </w:rPr>
        <w:t>ed</w:t>
      </w:r>
      <w:proofErr w:type="spellEnd"/>
      <w:r w:rsidR="00F91943" w:rsidRPr="00CA1BB5">
        <w:rPr>
          <w:rFonts w:ascii="Arial" w:hAnsi="Arial" w:cs="Arial"/>
          <w:sz w:val="24"/>
          <w:szCs w:val="24"/>
          <w:lang w:val="en-US"/>
        </w:rPr>
        <w:t xml:space="preserve"> variables in</w:t>
      </w:r>
      <w:r w:rsidR="009A2C9C" w:rsidRPr="00CA1BB5">
        <w:rPr>
          <w:rFonts w:ascii="Arial" w:hAnsi="Arial" w:cs="Arial"/>
          <w:sz w:val="24"/>
          <w:szCs w:val="24"/>
          <w:lang w:val="en-US"/>
        </w:rPr>
        <w:t xml:space="preserve"> </w:t>
      </w:r>
      <w:r w:rsidR="00F91943" w:rsidRPr="00CA1BB5">
        <w:rPr>
          <w:rFonts w:ascii="Arial" w:hAnsi="Arial" w:cs="Arial"/>
          <w:sz w:val="24"/>
          <w:szCs w:val="24"/>
          <w:lang w:val="en-US"/>
        </w:rPr>
        <w:t>terms of subtraction by the mean and division by the standard deviation.</w:t>
      </w:r>
      <w:r w:rsidR="00511F22" w:rsidRPr="002965B3">
        <w:rPr>
          <w:rFonts w:ascii="Arial" w:hAnsi="Arial" w:cs="Arial"/>
          <w:color w:val="FF0000"/>
          <w:sz w:val="24"/>
          <w:szCs w:val="24"/>
          <w:lang w:val="en-US"/>
        </w:rPr>
        <w:t xml:space="preserve"> </w:t>
      </w:r>
    </w:p>
    <w:p w:rsidR="009C38E3" w:rsidRDefault="00511F22" w:rsidP="00E902F8">
      <w:pPr>
        <w:pStyle w:val="PargrafodaLista"/>
        <w:spacing w:line="480" w:lineRule="auto"/>
        <w:ind w:left="0" w:firstLine="709"/>
        <w:contextualSpacing w:val="0"/>
        <w:jc w:val="both"/>
        <w:rPr>
          <w:rFonts w:ascii="Arial" w:eastAsia="Times New Roman" w:hAnsi="Arial" w:cs="Arial"/>
          <w:sz w:val="24"/>
          <w:szCs w:val="24"/>
          <w:lang w:val="en-US"/>
        </w:rPr>
      </w:pPr>
      <w:r w:rsidRPr="00605833">
        <w:rPr>
          <w:rFonts w:ascii="Arial" w:hAnsi="Arial" w:cs="Arial"/>
          <w:sz w:val="24"/>
          <w:szCs w:val="24"/>
          <w:lang w:val="en-US"/>
        </w:rPr>
        <w:t>In the present application</w:t>
      </w:r>
      <w:r w:rsidR="00605833" w:rsidRPr="00605833">
        <w:rPr>
          <w:rFonts w:ascii="Arial" w:hAnsi="Arial" w:cs="Arial"/>
          <w:color w:val="00B050"/>
          <w:sz w:val="24"/>
          <w:szCs w:val="24"/>
          <w:lang w:val="en-US"/>
        </w:rPr>
        <w:t xml:space="preserve">, </w:t>
      </w:r>
      <w:r w:rsidR="00605833" w:rsidRPr="00D9775E">
        <w:rPr>
          <w:rFonts w:ascii="Arial" w:hAnsi="Arial" w:cs="Arial"/>
          <w:sz w:val="24"/>
          <w:szCs w:val="24"/>
          <w:lang w:val="en-US"/>
        </w:rPr>
        <w:t xml:space="preserve">the LDA approach can be useful as a </w:t>
      </w:r>
      <w:r w:rsidR="007B2957">
        <w:rPr>
          <w:rFonts w:ascii="Arial" w:hAnsi="Arial" w:cs="Arial"/>
          <w:sz w:val="24"/>
          <w:szCs w:val="24"/>
          <w:lang w:val="en-US"/>
        </w:rPr>
        <w:t>type of validation of</w:t>
      </w:r>
      <w:r w:rsidR="00605833" w:rsidRPr="00D9775E">
        <w:rPr>
          <w:rFonts w:ascii="Arial" w:hAnsi="Arial" w:cs="Arial"/>
          <w:sz w:val="24"/>
          <w:szCs w:val="24"/>
          <w:lang w:val="en-US"/>
        </w:rPr>
        <w:t xml:space="preserve"> the adopted </w:t>
      </w:r>
      <w:proofErr w:type="gramStart"/>
      <w:r w:rsidR="00605833" w:rsidRPr="00D9775E">
        <w:rPr>
          <w:rFonts w:ascii="Arial" w:hAnsi="Arial" w:cs="Arial"/>
          <w:sz w:val="24"/>
          <w:szCs w:val="24"/>
          <w:lang w:val="en-US"/>
        </w:rPr>
        <w:t>classification,</w:t>
      </w:r>
      <w:proofErr w:type="gramEnd"/>
      <w:r w:rsidRPr="002965B3">
        <w:rPr>
          <w:rFonts w:ascii="Arial" w:hAnsi="Arial" w:cs="Arial"/>
          <w:color w:val="FF0000"/>
          <w:sz w:val="24"/>
          <w:szCs w:val="24"/>
          <w:lang w:val="en-US"/>
        </w:rPr>
        <w:t xml:space="preserve"> </w:t>
      </w:r>
      <w:r w:rsidRPr="00684FDC">
        <w:rPr>
          <w:rFonts w:ascii="Arial" w:hAnsi="Arial" w:cs="Arial"/>
          <w:sz w:val="24"/>
          <w:szCs w:val="24"/>
          <w:lang w:val="en-US"/>
        </w:rPr>
        <w:t xml:space="preserve">with 2 groups and 3 indicators </w:t>
      </w:r>
      <w:r w:rsidR="007B2957">
        <w:rPr>
          <w:rFonts w:ascii="Arial" w:hAnsi="Arial" w:cs="Arial"/>
          <w:sz w:val="24"/>
          <w:szCs w:val="24"/>
          <w:lang w:val="en-US"/>
        </w:rPr>
        <w:t>we had</w:t>
      </w:r>
      <w:r w:rsidRPr="00684FDC">
        <w:rPr>
          <w:rFonts w:ascii="Arial" w:hAnsi="Arial" w:cs="Arial"/>
          <w:sz w:val="24"/>
          <w:szCs w:val="24"/>
          <w:lang w:val="en-US"/>
        </w:rPr>
        <w:t xml:space="preserve"> a single discriminant function. </w:t>
      </w:r>
      <w:r w:rsidR="00F91943" w:rsidRPr="00684FDC">
        <w:rPr>
          <w:rFonts w:ascii="Arial" w:hAnsi="Arial" w:cs="Arial"/>
          <w:sz w:val="24"/>
          <w:szCs w:val="24"/>
          <w:lang w:val="en-US"/>
        </w:rPr>
        <w:t xml:space="preserve">The discriminating effects of the aforementioned indicators on the </w:t>
      </w:r>
      <w:r w:rsidR="007B2957">
        <w:rPr>
          <w:rFonts w:ascii="Arial" w:hAnsi="Arial" w:cs="Arial"/>
          <w:sz w:val="24"/>
          <w:szCs w:val="24"/>
          <w:lang w:val="en-US"/>
        </w:rPr>
        <w:t xml:space="preserve">innovation patterns (as </w:t>
      </w:r>
      <w:proofErr w:type="spellStart"/>
      <w:r w:rsidR="007B2957">
        <w:rPr>
          <w:rFonts w:ascii="Arial" w:hAnsi="Arial" w:cs="Arial"/>
          <w:sz w:val="24"/>
          <w:szCs w:val="24"/>
          <w:lang w:val="en-US"/>
        </w:rPr>
        <w:t>summaris</w:t>
      </w:r>
      <w:r w:rsidR="00F91943" w:rsidRPr="00684FDC">
        <w:rPr>
          <w:rFonts w:ascii="Arial" w:hAnsi="Arial" w:cs="Arial"/>
          <w:sz w:val="24"/>
          <w:szCs w:val="24"/>
          <w:lang w:val="en-US"/>
        </w:rPr>
        <w:t>ed</w:t>
      </w:r>
      <w:proofErr w:type="spellEnd"/>
      <w:r w:rsidR="00F91943" w:rsidRPr="00684FDC">
        <w:rPr>
          <w:rFonts w:ascii="Arial" w:hAnsi="Arial" w:cs="Arial"/>
          <w:sz w:val="24"/>
          <w:szCs w:val="24"/>
          <w:lang w:val="en-US"/>
        </w:rPr>
        <w:t xml:space="preserve"> by the technological regimes) w</w:t>
      </w:r>
      <w:r w:rsidR="007B2957">
        <w:rPr>
          <w:rFonts w:ascii="Arial" w:hAnsi="Arial" w:cs="Arial"/>
          <w:sz w:val="24"/>
          <w:szCs w:val="24"/>
          <w:lang w:val="en-US"/>
        </w:rPr>
        <w:t>ere</w:t>
      </w:r>
      <w:r w:rsidR="00F91943" w:rsidRPr="00684FDC">
        <w:rPr>
          <w:rFonts w:ascii="Arial" w:hAnsi="Arial" w:cs="Arial"/>
          <w:sz w:val="24"/>
          <w:szCs w:val="24"/>
          <w:lang w:val="en-US"/>
        </w:rPr>
        <w:t xml:space="preserve"> considered in terms of the procedures outlined by Morrison (1969). In that sense, </w:t>
      </w:r>
      <w:r w:rsidR="0048436F" w:rsidRPr="00684FDC">
        <w:rPr>
          <w:rFonts w:ascii="Arial" w:hAnsi="Arial" w:cs="Arial"/>
          <w:sz w:val="24"/>
          <w:szCs w:val="24"/>
          <w:lang w:val="en-US"/>
        </w:rPr>
        <w:t>if</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j;SM-I</m:t>
                </m:r>
              </m:sub>
            </m:sSub>
          </m:e>
        </m:d>
        <m:r>
          <w:rPr>
            <w:rFonts w:ascii="Cambria Math" w:hAnsi="Cambria Math"/>
            <w:sz w:val="24"/>
            <w:szCs w:val="24"/>
          </w:rPr>
          <m:t>&gt;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j;SM-II</m:t>
                </m:r>
              </m:sub>
            </m:sSub>
          </m:e>
        </m:d>
      </m:oMath>
      <w:r w:rsidR="00F91943" w:rsidRPr="00684FDC">
        <w:rPr>
          <w:rFonts w:ascii="Arial" w:eastAsia="Times New Roman" w:hAnsi="Arial" w:cs="Arial"/>
          <w:sz w:val="24"/>
          <w:szCs w:val="24"/>
          <w:lang w:val="en-US"/>
        </w:rPr>
        <w:t xml:space="preserve">, (where </w:t>
      </w:r>
      <m:oMath>
        <m:sSub>
          <m:sSubPr>
            <m:ctrlPr>
              <w:rPr>
                <w:rFonts w:ascii="Cambria Math" w:eastAsia="Times New Roman" w:hAnsi="Cambria Math"/>
                <w:i/>
                <w:sz w:val="24"/>
                <w:szCs w:val="24"/>
              </w:rPr>
            </m:ctrlPr>
          </m:sSubPr>
          <m:e>
            <m:r>
              <w:rPr>
                <w:rFonts w:ascii="Cambria Math" w:eastAsia="Times New Roman" w:hAnsi="Cambria Math"/>
                <w:sz w:val="24"/>
                <w:szCs w:val="24"/>
              </w:rPr>
              <m:t>b</m:t>
            </m:r>
          </m:e>
          <m:sub>
            <m:r>
              <w:rPr>
                <w:rFonts w:ascii="Cambria Math" w:eastAsia="Times New Roman" w:hAnsi="Cambria Math"/>
                <w:sz w:val="24"/>
                <w:szCs w:val="24"/>
              </w:rPr>
              <m:t xml:space="preserve">j ;i </m:t>
            </m:r>
          </m:sub>
        </m:sSub>
      </m:oMath>
      <w:r w:rsidR="00F91943" w:rsidRPr="00684FDC">
        <w:rPr>
          <w:rFonts w:ascii="Arial" w:eastAsia="Times New Roman" w:hAnsi="Arial" w:cs="Arial"/>
          <w:sz w:val="24"/>
          <w:szCs w:val="24"/>
          <w:lang w:val="en-US"/>
        </w:rPr>
        <w:t xml:space="preserve"> is the coefficient of the discriminant function associated </w:t>
      </w:r>
      <w:r w:rsidR="007B2957">
        <w:rPr>
          <w:rFonts w:ascii="Arial" w:eastAsia="Times New Roman" w:hAnsi="Arial" w:cs="Arial"/>
          <w:sz w:val="24"/>
          <w:szCs w:val="24"/>
          <w:lang w:val="en-US"/>
        </w:rPr>
        <w:t>with</w:t>
      </w:r>
      <w:r w:rsidR="00F91943" w:rsidRPr="00684FDC">
        <w:rPr>
          <w:rFonts w:ascii="Arial" w:eastAsia="Times New Roman" w:hAnsi="Arial" w:cs="Arial"/>
          <w:sz w:val="24"/>
          <w:szCs w:val="24"/>
          <w:lang w:val="en-US"/>
        </w:rPr>
        <w:t xml:space="preserve"> indicator </w:t>
      </w:r>
      <w:r w:rsidR="00F91943" w:rsidRPr="00684FDC">
        <w:rPr>
          <w:rFonts w:ascii="Arial" w:eastAsia="Times New Roman" w:hAnsi="Arial" w:cs="Arial"/>
          <w:i/>
          <w:sz w:val="24"/>
          <w:szCs w:val="24"/>
          <w:lang w:val="en-US"/>
        </w:rPr>
        <w:t xml:space="preserve">j </w:t>
      </w:r>
      <w:r w:rsidR="00F0479C" w:rsidRPr="00684FDC">
        <w:rPr>
          <w:rFonts w:ascii="Arial" w:eastAsia="Times New Roman" w:hAnsi="Arial" w:cs="Arial"/>
          <w:sz w:val="24"/>
          <w:szCs w:val="24"/>
          <w:lang w:val="en-US"/>
        </w:rPr>
        <w:t>and</w:t>
      </w:r>
      <w:r w:rsidR="00F91943" w:rsidRPr="00684FDC">
        <w:rPr>
          <w:rFonts w:ascii="Times New Roman" w:eastAsia="Times New Roman" w:hAnsi="Times New Roman"/>
          <w:i/>
          <w:sz w:val="24"/>
          <w:szCs w:val="24"/>
          <w:lang w:val="en-US"/>
        </w:rPr>
        <w:t xml:space="preserve"> </w:t>
      </w:r>
      <w:r w:rsidR="00F91943" w:rsidRPr="00684FDC">
        <w:rPr>
          <w:rFonts w:ascii="Arial" w:eastAsia="Times New Roman" w:hAnsi="Arial" w:cs="Arial"/>
          <w:sz w:val="24"/>
          <w:szCs w:val="24"/>
          <w:lang w:val="en-US"/>
        </w:rPr>
        <w:t>to the innovation</w:t>
      </w:r>
      <w:r w:rsidR="00F0479C" w:rsidRPr="00684FDC">
        <w:rPr>
          <w:rFonts w:ascii="Arial" w:eastAsia="Times New Roman" w:hAnsi="Arial" w:cs="Arial"/>
          <w:sz w:val="24"/>
          <w:szCs w:val="24"/>
          <w:lang w:val="en-US"/>
        </w:rPr>
        <w:t xml:space="preserve"> pattern </w:t>
      </w:r>
      <w:proofErr w:type="spellStart"/>
      <w:r w:rsidR="00F0479C" w:rsidRPr="00684FDC">
        <w:rPr>
          <w:rFonts w:ascii="Arial" w:eastAsia="Times New Roman" w:hAnsi="Arial" w:cs="Arial"/>
          <w:sz w:val="24"/>
          <w:szCs w:val="24"/>
          <w:lang w:val="en-US"/>
        </w:rPr>
        <w:t>i</w:t>
      </w:r>
      <w:proofErr w:type="spellEnd"/>
      <w:r w:rsidR="00F91943" w:rsidRPr="00684FDC">
        <w:rPr>
          <w:rFonts w:ascii="Arial" w:eastAsia="Times New Roman" w:hAnsi="Arial" w:cs="Arial"/>
          <w:sz w:val="24"/>
          <w:szCs w:val="24"/>
          <w:lang w:val="en-US"/>
        </w:rPr>
        <w:t>)</w:t>
      </w:r>
      <w:r w:rsidR="00F91943" w:rsidRPr="00684FDC">
        <w:rPr>
          <w:rFonts w:ascii="Arial" w:eastAsia="Times New Roman" w:hAnsi="Arial" w:cs="Arial"/>
          <w:i/>
          <w:sz w:val="24"/>
          <w:szCs w:val="24"/>
          <w:lang w:val="en-US"/>
        </w:rPr>
        <w:t xml:space="preserve"> </w:t>
      </w:r>
      <w:r w:rsidR="00F0479C" w:rsidRPr="00684FDC">
        <w:rPr>
          <w:rFonts w:ascii="Arial" w:eastAsia="Times New Roman" w:hAnsi="Arial" w:cs="Arial"/>
          <w:sz w:val="24"/>
          <w:szCs w:val="24"/>
          <w:lang w:val="en-US"/>
        </w:rPr>
        <w:t xml:space="preserve">the indicator </w:t>
      </w:r>
      <w:r w:rsidR="0048436F" w:rsidRPr="00684FDC">
        <w:rPr>
          <w:rFonts w:ascii="Arial" w:eastAsia="Times New Roman" w:hAnsi="Arial" w:cs="Arial"/>
          <w:sz w:val="24"/>
          <w:szCs w:val="24"/>
          <w:lang w:val="en-US"/>
        </w:rPr>
        <w:t>favor</w:t>
      </w:r>
      <w:r w:rsidR="007B2957">
        <w:rPr>
          <w:rFonts w:ascii="Arial" w:eastAsia="Times New Roman" w:hAnsi="Arial" w:cs="Arial"/>
          <w:sz w:val="24"/>
          <w:szCs w:val="24"/>
          <w:lang w:val="en-US"/>
        </w:rPr>
        <w:t>ed</w:t>
      </w:r>
      <w:r w:rsidR="0048436F" w:rsidRPr="00684FDC">
        <w:rPr>
          <w:rFonts w:ascii="Arial" w:eastAsia="Times New Roman" w:hAnsi="Arial" w:cs="Arial"/>
          <w:sz w:val="24"/>
          <w:szCs w:val="24"/>
          <w:lang w:val="en-US"/>
        </w:rPr>
        <w:t xml:space="preserve"> a</w:t>
      </w:r>
      <w:r w:rsidR="007B2957">
        <w:rPr>
          <w:rFonts w:ascii="Arial" w:eastAsia="Times New Roman" w:hAnsi="Arial" w:cs="Arial"/>
          <w:sz w:val="24"/>
          <w:szCs w:val="24"/>
          <w:lang w:val="en-US"/>
        </w:rPr>
        <w:t>n</w:t>
      </w:r>
      <w:r w:rsidR="00F0479C" w:rsidRPr="00684FDC">
        <w:rPr>
          <w:rFonts w:ascii="Arial" w:eastAsia="Times New Roman" w:hAnsi="Arial" w:cs="Arial"/>
          <w:sz w:val="24"/>
          <w:szCs w:val="24"/>
          <w:lang w:val="en-US"/>
        </w:rPr>
        <w:t xml:space="preserve"> </w:t>
      </w:r>
      <w:r w:rsidR="00F91943" w:rsidRPr="00684FDC">
        <w:rPr>
          <w:rFonts w:ascii="Arial" w:eastAsia="Times New Roman" w:hAnsi="Arial" w:cs="Arial"/>
          <w:sz w:val="24"/>
          <w:szCs w:val="24"/>
          <w:lang w:val="en-US"/>
        </w:rPr>
        <w:lastRenderedPageBreak/>
        <w:t>SM-I</w:t>
      </w:r>
      <w:r w:rsidR="00F0479C" w:rsidRPr="00684FDC">
        <w:rPr>
          <w:rFonts w:ascii="Arial" w:eastAsia="Times New Roman" w:hAnsi="Arial" w:cs="Arial"/>
          <w:sz w:val="24"/>
          <w:szCs w:val="24"/>
          <w:lang w:val="en-US"/>
        </w:rPr>
        <w:t xml:space="preserve"> regime</w:t>
      </w:r>
      <w:r w:rsidR="00F91943" w:rsidRPr="00684FDC">
        <w:rPr>
          <w:rFonts w:ascii="Times New Roman" w:eastAsia="Times New Roman" w:hAnsi="Times New Roman"/>
          <w:sz w:val="24"/>
          <w:szCs w:val="24"/>
          <w:lang w:val="en-US"/>
        </w:rPr>
        <w:t xml:space="preserve">. </w:t>
      </w:r>
      <w:r w:rsidR="00F0479C" w:rsidRPr="00684FDC">
        <w:rPr>
          <w:rFonts w:ascii="Arial" w:eastAsia="Times New Roman" w:hAnsi="Arial" w:cs="Arial"/>
          <w:sz w:val="24"/>
          <w:szCs w:val="24"/>
          <w:lang w:val="en-US"/>
        </w:rPr>
        <w:t xml:space="preserve">Conversely, </w:t>
      </w:r>
      <w:proofErr w:type="gramStart"/>
      <w:r w:rsidR="00F0479C" w:rsidRPr="00684FDC">
        <w:rPr>
          <w:rFonts w:ascii="Arial" w:eastAsia="Times New Roman" w:hAnsi="Arial" w:cs="Arial"/>
          <w:sz w:val="24"/>
          <w:szCs w:val="24"/>
          <w:lang w:val="en-US"/>
        </w:rPr>
        <w:t xml:space="preserve">if </w:t>
      </w:r>
      <w:proofErr w:type="gramEnd"/>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j;SM-I</m:t>
                </m:r>
              </m:sub>
            </m:sSub>
          </m:e>
        </m:d>
        <m:r>
          <w:rPr>
            <w:rFonts w:ascii="Cambria Math" w:hAnsi="Cambria Math"/>
            <w:sz w:val="24"/>
            <w:szCs w:val="24"/>
          </w:rPr>
          <m:t>&lt;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j;SM-II</m:t>
                </m:r>
              </m:sub>
            </m:sSub>
          </m:e>
        </m:d>
      </m:oMath>
      <w:r w:rsidR="00F91943" w:rsidRPr="00684FDC">
        <w:rPr>
          <w:rFonts w:ascii="Arial" w:eastAsia="Times New Roman" w:hAnsi="Arial" w:cs="Arial"/>
          <w:sz w:val="24"/>
          <w:szCs w:val="24"/>
          <w:lang w:val="en-US"/>
        </w:rPr>
        <w:t xml:space="preserve">, </w:t>
      </w:r>
      <w:r w:rsidR="00F0479C" w:rsidRPr="00684FDC">
        <w:rPr>
          <w:rFonts w:ascii="Arial" w:eastAsia="Times New Roman" w:hAnsi="Arial" w:cs="Arial"/>
          <w:sz w:val="24"/>
          <w:szCs w:val="24"/>
          <w:lang w:val="en-US"/>
        </w:rPr>
        <w:t>the indicator favor</w:t>
      </w:r>
      <w:r w:rsidR="007B2957">
        <w:rPr>
          <w:rFonts w:ascii="Arial" w:eastAsia="Times New Roman" w:hAnsi="Arial" w:cs="Arial"/>
          <w:sz w:val="24"/>
          <w:szCs w:val="24"/>
          <w:lang w:val="en-US"/>
        </w:rPr>
        <w:t>ed</w:t>
      </w:r>
      <w:r w:rsidR="00F0479C" w:rsidRPr="00684FDC">
        <w:rPr>
          <w:rFonts w:ascii="Arial" w:eastAsia="Times New Roman" w:hAnsi="Arial" w:cs="Arial"/>
          <w:sz w:val="24"/>
          <w:szCs w:val="24"/>
          <w:lang w:val="en-US"/>
        </w:rPr>
        <w:t xml:space="preserve"> a</w:t>
      </w:r>
      <w:r w:rsidR="007B2957">
        <w:rPr>
          <w:rFonts w:ascii="Arial" w:eastAsia="Times New Roman" w:hAnsi="Arial" w:cs="Arial"/>
          <w:sz w:val="24"/>
          <w:szCs w:val="24"/>
          <w:lang w:val="en-US"/>
        </w:rPr>
        <w:t>n</w:t>
      </w:r>
      <w:r w:rsidR="00F0479C" w:rsidRPr="00684FDC">
        <w:rPr>
          <w:rFonts w:ascii="Arial" w:eastAsia="Times New Roman" w:hAnsi="Arial" w:cs="Arial"/>
          <w:sz w:val="24"/>
          <w:szCs w:val="24"/>
          <w:lang w:val="en-US"/>
        </w:rPr>
        <w:t xml:space="preserve"> SM-II regime.</w:t>
      </w:r>
      <w:r w:rsidR="00F91943" w:rsidRPr="00684FDC">
        <w:rPr>
          <w:rFonts w:ascii="Arial" w:eastAsia="Times New Roman" w:hAnsi="Arial" w:cs="Arial"/>
          <w:sz w:val="24"/>
          <w:szCs w:val="24"/>
          <w:lang w:val="en-US"/>
        </w:rPr>
        <w:t xml:space="preserve">  </w:t>
      </w:r>
      <w:r w:rsidR="007B2957">
        <w:rPr>
          <w:rFonts w:ascii="Arial" w:eastAsia="Times New Roman" w:hAnsi="Arial" w:cs="Arial"/>
          <w:sz w:val="24"/>
          <w:szCs w:val="24"/>
          <w:lang w:val="en-US"/>
        </w:rPr>
        <w:t>Next, T</w:t>
      </w:r>
      <w:r w:rsidR="00F0479C" w:rsidRPr="00684FDC">
        <w:rPr>
          <w:rFonts w:ascii="Arial" w:eastAsia="Times New Roman" w:hAnsi="Arial" w:cs="Arial"/>
          <w:sz w:val="24"/>
          <w:szCs w:val="24"/>
          <w:lang w:val="en-US"/>
        </w:rPr>
        <w:t>able 5 present</w:t>
      </w:r>
      <w:r w:rsidR="007B2957">
        <w:rPr>
          <w:rFonts w:ascii="Arial" w:eastAsia="Times New Roman" w:hAnsi="Arial" w:cs="Arial"/>
          <w:sz w:val="24"/>
          <w:szCs w:val="24"/>
          <w:lang w:val="en-US"/>
        </w:rPr>
        <w:t>s</w:t>
      </w:r>
      <w:r w:rsidR="00F0479C" w:rsidRPr="00684FDC">
        <w:rPr>
          <w:rFonts w:ascii="Arial" w:eastAsia="Times New Roman" w:hAnsi="Arial" w:cs="Arial"/>
          <w:sz w:val="24"/>
          <w:szCs w:val="24"/>
          <w:lang w:val="en-US"/>
        </w:rPr>
        <w:t xml:space="preserve"> the relevant results.</w:t>
      </w:r>
    </w:p>
    <w:p w:rsidR="00C87625" w:rsidRDefault="00D03308" w:rsidP="00E902F8">
      <w:pPr>
        <w:pStyle w:val="PargrafodaLista"/>
        <w:spacing w:line="480" w:lineRule="auto"/>
        <w:ind w:left="0" w:firstLine="709"/>
        <w:contextualSpacing w:val="0"/>
        <w:jc w:val="both"/>
        <w:rPr>
          <w:rFonts w:ascii="Arial" w:eastAsia="Times New Roman" w:hAnsi="Arial" w:cs="Arial"/>
          <w:sz w:val="24"/>
          <w:szCs w:val="24"/>
          <w:lang w:val="en-US"/>
        </w:rPr>
      </w:pPr>
      <w:r>
        <w:rPr>
          <w:rFonts w:ascii="Arial" w:eastAsia="Times New Roman" w:hAnsi="Arial" w:cs="Arial"/>
          <w:sz w:val="24"/>
          <w:szCs w:val="24"/>
          <w:lang w:val="en-US"/>
        </w:rPr>
        <w:t>I</w:t>
      </w:r>
      <w:r w:rsidR="00C87625" w:rsidRPr="00362216">
        <w:rPr>
          <w:rFonts w:ascii="Arial" w:eastAsia="Times New Roman" w:hAnsi="Arial" w:cs="Arial"/>
          <w:sz w:val="24"/>
          <w:szCs w:val="24"/>
          <w:lang w:val="en-US"/>
        </w:rPr>
        <w:t>nspection of the table reveal</w:t>
      </w:r>
      <w:r>
        <w:rPr>
          <w:rFonts w:ascii="Arial" w:eastAsia="Times New Roman" w:hAnsi="Arial" w:cs="Arial"/>
          <w:sz w:val="24"/>
          <w:szCs w:val="24"/>
          <w:lang w:val="en-US"/>
        </w:rPr>
        <w:t>s</w:t>
      </w:r>
      <w:r w:rsidR="00C87625" w:rsidRPr="00362216">
        <w:rPr>
          <w:rFonts w:ascii="Arial" w:eastAsia="Times New Roman" w:hAnsi="Arial" w:cs="Arial"/>
          <w:sz w:val="24"/>
          <w:szCs w:val="24"/>
          <w:lang w:val="en-US"/>
        </w:rPr>
        <w:t xml:space="preserve"> some inconsistencies with the theory </w:t>
      </w:r>
      <w:r>
        <w:rPr>
          <w:rFonts w:ascii="Arial" w:eastAsia="Times New Roman" w:hAnsi="Arial" w:cs="Arial"/>
          <w:sz w:val="24"/>
          <w:szCs w:val="24"/>
          <w:lang w:val="en-US"/>
        </w:rPr>
        <w:t>because</w:t>
      </w:r>
      <w:r w:rsidR="00C87625" w:rsidRPr="00362216">
        <w:rPr>
          <w:rFonts w:ascii="Arial" w:eastAsia="Times New Roman" w:hAnsi="Arial" w:cs="Arial"/>
          <w:sz w:val="24"/>
          <w:szCs w:val="24"/>
          <w:lang w:val="en-US"/>
        </w:rPr>
        <w:t xml:space="preserve"> the discriminant coefficient associated with CUMUL in </w:t>
      </w:r>
      <w:r>
        <w:rPr>
          <w:rFonts w:ascii="Arial" w:eastAsia="Times New Roman" w:hAnsi="Arial" w:cs="Arial"/>
          <w:sz w:val="24"/>
          <w:szCs w:val="24"/>
          <w:lang w:val="en-US"/>
        </w:rPr>
        <w:t xml:space="preserve">the </w:t>
      </w:r>
      <w:r w:rsidR="00C87625" w:rsidRPr="00362216">
        <w:rPr>
          <w:rFonts w:ascii="Arial" w:eastAsia="Times New Roman" w:hAnsi="Arial" w:cs="Arial"/>
          <w:sz w:val="24"/>
          <w:szCs w:val="24"/>
          <w:lang w:val="en-US"/>
        </w:rPr>
        <w:t>SM-I sectors indicate</w:t>
      </w:r>
      <w:r w:rsidR="001E3EDF">
        <w:rPr>
          <w:rFonts w:ascii="Arial" w:eastAsia="Times New Roman" w:hAnsi="Arial" w:cs="Arial"/>
          <w:sz w:val="24"/>
          <w:szCs w:val="24"/>
          <w:lang w:val="en-US"/>
        </w:rPr>
        <w:t>s</w:t>
      </w:r>
      <w:r w:rsidR="00C87625" w:rsidRPr="00362216">
        <w:rPr>
          <w:rFonts w:ascii="Arial" w:eastAsia="Times New Roman" w:hAnsi="Arial" w:cs="Arial"/>
          <w:sz w:val="24"/>
          <w:szCs w:val="24"/>
          <w:lang w:val="en-US"/>
        </w:rPr>
        <w:t xml:space="preserve"> that </w:t>
      </w:r>
      <w:r w:rsidR="001E3EDF">
        <w:rPr>
          <w:rFonts w:ascii="Arial" w:eastAsia="Times New Roman" w:hAnsi="Arial" w:cs="Arial"/>
          <w:sz w:val="24"/>
          <w:szCs w:val="24"/>
          <w:lang w:val="en-US"/>
        </w:rPr>
        <w:t>a</w:t>
      </w:r>
      <w:r w:rsidR="00C87625" w:rsidRPr="00362216">
        <w:rPr>
          <w:rFonts w:ascii="Arial" w:eastAsia="Times New Roman" w:hAnsi="Arial" w:cs="Arial"/>
          <w:sz w:val="24"/>
          <w:szCs w:val="24"/>
          <w:lang w:val="en-US"/>
        </w:rPr>
        <w:t xml:space="preserve"> higher value </w:t>
      </w:r>
      <w:r w:rsidR="001E3EDF">
        <w:rPr>
          <w:rFonts w:ascii="Arial" w:eastAsia="Times New Roman" w:hAnsi="Arial" w:cs="Arial"/>
          <w:sz w:val="24"/>
          <w:szCs w:val="24"/>
          <w:lang w:val="en-US"/>
        </w:rPr>
        <w:t>for</w:t>
      </w:r>
      <w:r w:rsidR="00C87625" w:rsidRPr="00362216">
        <w:rPr>
          <w:rFonts w:ascii="Arial" w:eastAsia="Times New Roman" w:hAnsi="Arial" w:cs="Arial"/>
          <w:sz w:val="24"/>
          <w:szCs w:val="24"/>
          <w:lang w:val="en-US"/>
        </w:rPr>
        <w:t xml:space="preserve"> that indicator would </w:t>
      </w:r>
      <w:r w:rsidR="001E3EDF">
        <w:rPr>
          <w:rFonts w:ascii="Arial" w:eastAsia="Times New Roman" w:hAnsi="Arial" w:cs="Arial"/>
          <w:sz w:val="24"/>
          <w:szCs w:val="24"/>
          <w:lang w:val="en-US"/>
        </w:rPr>
        <w:t>favor</w:t>
      </w:r>
      <w:r w:rsidR="00C87625" w:rsidRPr="00362216">
        <w:rPr>
          <w:rFonts w:ascii="Arial" w:eastAsia="Times New Roman" w:hAnsi="Arial" w:cs="Arial"/>
          <w:sz w:val="24"/>
          <w:szCs w:val="24"/>
          <w:lang w:val="en-US"/>
        </w:rPr>
        <w:t xml:space="preserve"> the probability of classification as SM-I when one would expect the opposite</w:t>
      </w:r>
      <w:r w:rsidR="001E3EDF">
        <w:rPr>
          <w:rFonts w:ascii="Arial" w:eastAsia="Times New Roman" w:hAnsi="Arial" w:cs="Arial"/>
          <w:sz w:val="24"/>
          <w:szCs w:val="24"/>
          <w:lang w:val="en-US"/>
        </w:rPr>
        <w:t xml:space="preserve"> result</w:t>
      </w:r>
      <w:r w:rsidR="00C87625" w:rsidRPr="00362216">
        <w:rPr>
          <w:rFonts w:ascii="Arial" w:eastAsia="Times New Roman" w:hAnsi="Arial" w:cs="Arial"/>
          <w:sz w:val="24"/>
          <w:szCs w:val="24"/>
          <w:lang w:val="en-US"/>
        </w:rPr>
        <w:t xml:space="preserve">. Therefore, there </w:t>
      </w:r>
      <w:r w:rsidR="001E3EDF">
        <w:rPr>
          <w:rFonts w:ascii="Arial" w:eastAsia="Times New Roman" w:hAnsi="Arial" w:cs="Arial"/>
          <w:sz w:val="24"/>
          <w:szCs w:val="24"/>
          <w:lang w:val="en-US"/>
        </w:rPr>
        <w:t>was</w:t>
      </w:r>
      <w:r w:rsidR="00C87625" w:rsidRPr="00362216">
        <w:rPr>
          <w:rFonts w:ascii="Arial" w:eastAsia="Times New Roman" w:hAnsi="Arial" w:cs="Arial"/>
          <w:sz w:val="24"/>
          <w:szCs w:val="24"/>
          <w:lang w:val="en-US"/>
        </w:rPr>
        <w:t xml:space="preserve"> some evidence of classification errors. To further assess such errors, we calculate</w:t>
      </w:r>
      <w:r w:rsidR="001E3EDF">
        <w:rPr>
          <w:rFonts w:ascii="Arial" w:eastAsia="Times New Roman" w:hAnsi="Arial" w:cs="Arial"/>
          <w:sz w:val="24"/>
          <w:szCs w:val="24"/>
          <w:lang w:val="en-US"/>
        </w:rPr>
        <w:t>d</w:t>
      </w:r>
      <w:r w:rsidR="00C87625" w:rsidRPr="00362216">
        <w:rPr>
          <w:rFonts w:ascii="Arial" w:eastAsia="Times New Roman" w:hAnsi="Arial" w:cs="Arial"/>
          <w:sz w:val="24"/>
          <w:szCs w:val="24"/>
          <w:lang w:val="en-US"/>
        </w:rPr>
        <w:t xml:space="preserve"> discriminating scores for each 3-digits sector and </w:t>
      </w:r>
      <w:r w:rsidR="001E3EDF">
        <w:rPr>
          <w:rFonts w:ascii="Arial" w:eastAsia="Times New Roman" w:hAnsi="Arial" w:cs="Arial"/>
          <w:sz w:val="24"/>
          <w:szCs w:val="24"/>
          <w:lang w:val="en-US"/>
        </w:rPr>
        <w:t>based on</w:t>
      </w:r>
      <w:r w:rsidR="00C87625" w:rsidRPr="00362216">
        <w:rPr>
          <w:rFonts w:ascii="Arial" w:eastAsia="Times New Roman" w:hAnsi="Arial" w:cs="Arial"/>
          <w:sz w:val="24"/>
          <w:szCs w:val="24"/>
          <w:lang w:val="en-US"/>
        </w:rPr>
        <w:t xml:space="preserve"> a criterion motivated by Morrison (1969), </w:t>
      </w:r>
      <w:r w:rsidR="001E3EDF">
        <w:rPr>
          <w:rFonts w:ascii="Arial" w:eastAsia="Times New Roman" w:hAnsi="Arial" w:cs="Arial"/>
          <w:sz w:val="24"/>
          <w:szCs w:val="24"/>
          <w:lang w:val="en-US"/>
        </w:rPr>
        <w:t xml:space="preserve">we </w:t>
      </w:r>
      <w:r w:rsidR="00C87625" w:rsidRPr="00362216">
        <w:rPr>
          <w:rFonts w:ascii="Arial" w:eastAsia="Times New Roman" w:hAnsi="Arial" w:cs="Arial"/>
          <w:sz w:val="24"/>
          <w:szCs w:val="24"/>
          <w:lang w:val="en-US"/>
        </w:rPr>
        <w:t>adopt</w:t>
      </w:r>
      <w:r w:rsidR="001E3EDF">
        <w:rPr>
          <w:rFonts w:ascii="Arial" w:eastAsia="Times New Roman" w:hAnsi="Arial" w:cs="Arial"/>
          <w:sz w:val="24"/>
          <w:szCs w:val="24"/>
          <w:lang w:val="en-US"/>
        </w:rPr>
        <w:t>ed</w:t>
      </w:r>
      <w:r w:rsidR="00C87625" w:rsidRPr="00362216">
        <w:rPr>
          <w:rFonts w:ascii="Arial" w:eastAsia="Times New Roman" w:hAnsi="Arial" w:cs="Arial"/>
          <w:sz w:val="24"/>
          <w:szCs w:val="24"/>
          <w:lang w:val="en-US"/>
        </w:rPr>
        <w:t xml:space="preserve"> the classification rule  that</w:t>
      </w:r>
      <w:r w:rsidR="00C87625" w:rsidRPr="00362216">
        <w:rPr>
          <w:rFonts w:ascii="Times New Roman" w:hAnsi="Times New Roman"/>
          <w:sz w:val="24"/>
          <w:szCs w:val="24"/>
          <w:lang w:val="en-US"/>
        </w:rPr>
        <w:t xml:space="preserve">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SM-I</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SM-II</m:t>
            </m:r>
          </m:sub>
        </m:sSub>
      </m:oMath>
      <w:r w:rsidR="00C87625" w:rsidRPr="00362216">
        <w:rPr>
          <w:rFonts w:ascii="Arial" w:eastAsia="Times New Roman" w:hAnsi="Arial" w:cs="Arial"/>
          <w:sz w:val="24"/>
          <w:szCs w:val="24"/>
          <w:lang w:val="en-US"/>
        </w:rPr>
        <w:t xml:space="preserve">, would suggest </w:t>
      </w:r>
      <w:r w:rsidR="001E3EDF">
        <w:rPr>
          <w:rFonts w:ascii="Arial" w:eastAsia="Times New Roman" w:hAnsi="Arial" w:cs="Arial"/>
          <w:sz w:val="24"/>
          <w:szCs w:val="24"/>
          <w:lang w:val="en-US"/>
        </w:rPr>
        <w:t xml:space="preserve"> </w:t>
      </w:r>
      <w:r w:rsidR="00C87625" w:rsidRPr="00362216">
        <w:rPr>
          <w:rFonts w:ascii="Arial" w:eastAsia="Times New Roman" w:hAnsi="Arial" w:cs="Arial"/>
          <w:sz w:val="24"/>
          <w:szCs w:val="24"/>
          <w:lang w:val="en-US"/>
        </w:rPr>
        <w:t>classification as SM-I</w:t>
      </w:r>
      <w:r w:rsidR="00C87625">
        <w:rPr>
          <w:rFonts w:ascii="Arial" w:eastAsia="Times New Roman" w:hAnsi="Arial" w:cs="Arial"/>
          <w:sz w:val="24"/>
          <w:szCs w:val="24"/>
          <w:lang w:val="en-US"/>
        </w:rPr>
        <w:t>.</w:t>
      </w:r>
    </w:p>
    <w:tbl>
      <w:tblPr>
        <w:tblW w:w="6096" w:type="dxa"/>
        <w:jc w:val="center"/>
        <w:tblInd w:w="70" w:type="dxa"/>
        <w:tblCellMar>
          <w:left w:w="70" w:type="dxa"/>
          <w:right w:w="70" w:type="dxa"/>
        </w:tblCellMar>
        <w:tblLook w:val="04A0" w:firstRow="1" w:lastRow="0" w:firstColumn="1" w:lastColumn="0" w:noHBand="0" w:noVBand="1"/>
      </w:tblPr>
      <w:tblGrid>
        <w:gridCol w:w="6096"/>
      </w:tblGrid>
      <w:tr w:rsidR="00474366" w:rsidRPr="00EF29FE" w:rsidTr="00474366">
        <w:trPr>
          <w:trHeight w:val="315"/>
          <w:jc w:val="center"/>
        </w:trPr>
        <w:tc>
          <w:tcPr>
            <w:tcW w:w="6096" w:type="dxa"/>
            <w:tcBorders>
              <w:top w:val="nil"/>
              <w:left w:val="nil"/>
              <w:bottom w:val="nil"/>
              <w:right w:val="nil"/>
            </w:tcBorders>
            <w:shd w:val="clear" w:color="auto" w:fill="auto"/>
            <w:noWrap/>
            <w:vAlign w:val="center"/>
            <w:hideMark/>
          </w:tcPr>
          <w:p w:rsidR="00474366" w:rsidRDefault="00474366" w:rsidP="0001632F">
            <w:pPr>
              <w:spacing w:after="0" w:line="240" w:lineRule="auto"/>
              <w:jc w:val="center"/>
              <w:rPr>
                <w:rFonts w:ascii="Arial" w:eastAsia="Times New Roman" w:hAnsi="Arial" w:cs="Arial"/>
                <w:bCs/>
                <w:color w:val="000000"/>
                <w:sz w:val="24"/>
                <w:szCs w:val="24"/>
                <w:lang w:eastAsia="pt-BR"/>
              </w:rPr>
            </w:pPr>
            <w:r>
              <w:rPr>
                <w:rFonts w:ascii="Arial" w:eastAsia="Times New Roman" w:hAnsi="Arial" w:cs="Arial"/>
                <w:bCs/>
                <w:color w:val="000000"/>
                <w:sz w:val="24"/>
                <w:szCs w:val="24"/>
                <w:lang w:eastAsia="pt-BR"/>
              </w:rPr>
              <w:t>INSERT TABLE 5 A</w:t>
            </w:r>
            <w:r w:rsidR="0001632F">
              <w:rPr>
                <w:rFonts w:ascii="Arial" w:eastAsia="Times New Roman" w:hAnsi="Arial" w:cs="Arial"/>
                <w:bCs/>
                <w:color w:val="000000"/>
                <w:sz w:val="24"/>
                <w:szCs w:val="24"/>
                <w:lang w:eastAsia="pt-BR"/>
              </w:rPr>
              <w:t>BOUT</w:t>
            </w:r>
            <w:r>
              <w:rPr>
                <w:rFonts w:ascii="Arial" w:eastAsia="Times New Roman" w:hAnsi="Arial" w:cs="Arial"/>
                <w:bCs/>
                <w:color w:val="000000"/>
                <w:sz w:val="24"/>
                <w:szCs w:val="24"/>
                <w:lang w:eastAsia="pt-BR"/>
              </w:rPr>
              <w:t xml:space="preserve"> HERE</w:t>
            </w:r>
            <w:r w:rsidRPr="00EF29FE">
              <w:rPr>
                <w:rFonts w:ascii="Arial" w:eastAsia="Times New Roman" w:hAnsi="Arial" w:cs="Arial"/>
                <w:bCs/>
                <w:color w:val="000000"/>
                <w:sz w:val="24"/>
                <w:szCs w:val="24"/>
                <w:lang w:eastAsia="pt-BR"/>
              </w:rPr>
              <w:t xml:space="preserve"> </w:t>
            </w:r>
          </w:p>
          <w:p w:rsidR="00474366" w:rsidRPr="00EF29FE" w:rsidRDefault="00474366" w:rsidP="0001632F">
            <w:pPr>
              <w:spacing w:after="0" w:line="240" w:lineRule="auto"/>
              <w:jc w:val="center"/>
              <w:rPr>
                <w:rFonts w:ascii="Arial" w:eastAsia="Times New Roman" w:hAnsi="Arial" w:cs="Arial"/>
                <w:bCs/>
                <w:color w:val="000000"/>
                <w:sz w:val="24"/>
                <w:szCs w:val="24"/>
                <w:lang w:eastAsia="pt-BR"/>
              </w:rPr>
            </w:pPr>
          </w:p>
        </w:tc>
      </w:tr>
    </w:tbl>
    <w:p w:rsidR="005D2442" w:rsidRDefault="005D2442" w:rsidP="007A449F">
      <w:pPr>
        <w:pStyle w:val="PargrafodaLista"/>
        <w:spacing w:line="480" w:lineRule="auto"/>
        <w:ind w:left="0" w:firstLine="709"/>
        <w:contextualSpacing w:val="0"/>
        <w:jc w:val="both"/>
        <w:rPr>
          <w:rFonts w:ascii="Arial" w:eastAsia="Times New Roman" w:hAnsi="Arial" w:cs="Arial"/>
          <w:sz w:val="24"/>
          <w:szCs w:val="24"/>
          <w:lang w:val="en-US"/>
        </w:rPr>
      </w:pPr>
      <w:r w:rsidRPr="00362216">
        <w:rPr>
          <w:rFonts w:ascii="Arial" w:eastAsia="Times New Roman" w:hAnsi="Arial" w:cs="Arial"/>
          <w:sz w:val="24"/>
          <w:szCs w:val="24"/>
          <w:lang w:val="en-US"/>
        </w:rPr>
        <w:t>In fact, misclassification</w:t>
      </w:r>
      <w:r w:rsidR="00557AEF">
        <w:rPr>
          <w:rFonts w:ascii="Arial" w:eastAsia="Times New Roman" w:hAnsi="Arial" w:cs="Arial"/>
          <w:sz w:val="24"/>
          <w:szCs w:val="24"/>
          <w:lang w:val="en-US"/>
        </w:rPr>
        <w:t>s</w:t>
      </w:r>
      <w:r w:rsidRPr="00362216">
        <w:rPr>
          <w:rFonts w:ascii="Arial" w:eastAsia="Times New Roman" w:hAnsi="Arial" w:cs="Arial"/>
          <w:sz w:val="24"/>
          <w:szCs w:val="24"/>
          <w:lang w:val="en-US"/>
        </w:rPr>
        <w:t xml:space="preserve"> appeared </w:t>
      </w:r>
      <w:r w:rsidR="00557AEF">
        <w:rPr>
          <w:rFonts w:ascii="Arial" w:eastAsia="Times New Roman" w:hAnsi="Arial" w:cs="Arial"/>
          <w:sz w:val="24"/>
          <w:szCs w:val="24"/>
          <w:lang w:val="en-US"/>
        </w:rPr>
        <w:t>to be</w:t>
      </w:r>
      <w:r w:rsidRPr="00362216">
        <w:rPr>
          <w:rFonts w:ascii="Arial" w:eastAsia="Times New Roman" w:hAnsi="Arial" w:cs="Arial"/>
          <w:sz w:val="24"/>
          <w:szCs w:val="24"/>
          <w:lang w:val="en-US"/>
        </w:rPr>
        <w:t xml:space="preserve"> non-negligible. It was possible to </w:t>
      </w:r>
      <w:r w:rsidR="00C87625">
        <w:rPr>
          <w:rFonts w:ascii="Arial" w:eastAsia="Times New Roman" w:hAnsi="Arial" w:cs="Arial"/>
          <w:sz w:val="24"/>
          <w:szCs w:val="24"/>
          <w:lang w:val="en-US"/>
        </w:rPr>
        <w:t>i</w:t>
      </w:r>
      <w:r w:rsidRPr="00362216">
        <w:rPr>
          <w:rFonts w:ascii="Arial" w:eastAsia="Times New Roman" w:hAnsi="Arial" w:cs="Arial"/>
          <w:sz w:val="24"/>
          <w:szCs w:val="24"/>
          <w:lang w:val="en-US"/>
        </w:rPr>
        <w:t>dentify 3 out of 14 SM-I sectors that were misclassified. Similarly, 7 out of the 55 SM-II sectors appear</w:t>
      </w:r>
      <w:r w:rsidR="00557AEF">
        <w:rPr>
          <w:rFonts w:ascii="Arial" w:eastAsia="Times New Roman" w:hAnsi="Arial" w:cs="Arial"/>
          <w:sz w:val="24"/>
          <w:szCs w:val="24"/>
          <w:lang w:val="en-US"/>
        </w:rPr>
        <w:t>ed</w:t>
      </w:r>
      <w:r w:rsidRPr="00362216">
        <w:rPr>
          <w:rFonts w:ascii="Arial" w:eastAsia="Times New Roman" w:hAnsi="Arial" w:cs="Arial"/>
          <w:sz w:val="24"/>
          <w:szCs w:val="24"/>
          <w:lang w:val="en-US"/>
        </w:rPr>
        <w:t xml:space="preserve"> to involve </w:t>
      </w:r>
      <w:r w:rsidR="00A618FB" w:rsidRPr="00362216">
        <w:rPr>
          <w:rFonts w:ascii="Arial" w:eastAsia="Times New Roman" w:hAnsi="Arial" w:cs="Arial"/>
          <w:sz w:val="24"/>
          <w:szCs w:val="24"/>
          <w:lang w:val="en-US"/>
        </w:rPr>
        <w:t>misclassifications. After adjusting the classifications as outlined, we obtain</w:t>
      </w:r>
      <w:r w:rsidR="00557AEF">
        <w:rPr>
          <w:rFonts w:ascii="Arial" w:eastAsia="Times New Roman" w:hAnsi="Arial" w:cs="Arial"/>
          <w:sz w:val="24"/>
          <w:szCs w:val="24"/>
          <w:lang w:val="en-US"/>
        </w:rPr>
        <w:t>ed</w:t>
      </w:r>
      <w:r w:rsidR="00A618FB" w:rsidRPr="00362216">
        <w:rPr>
          <w:rFonts w:ascii="Arial" w:eastAsia="Times New Roman" w:hAnsi="Arial" w:cs="Arial"/>
          <w:sz w:val="24"/>
          <w:szCs w:val="24"/>
          <w:lang w:val="en-US"/>
        </w:rPr>
        <w:t xml:space="preserve"> the discriminant function</w:t>
      </w:r>
      <w:r w:rsidR="00557AEF">
        <w:rPr>
          <w:rFonts w:ascii="Arial" w:eastAsia="Times New Roman" w:hAnsi="Arial" w:cs="Arial"/>
          <w:sz w:val="24"/>
          <w:szCs w:val="24"/>
          <w:lang w:val="en-US"/>
        </w:rPr>
        <w:t>,</w:t>
      </w:r>
      <w:r w:rsidR="00A618FB" w:rsidRPr="00362216">
        <w:rPr>
          <w:rFonts w:ascii="Arial" w:eastAsia="Times New Roman" w:hAnsi="Arial" w:cs="Arial"/>
          <w:sz w:val="24"/>
          <w:szCs w:val="24"/>
          <w:lang w:val="en-US"/>
        </w:rPr>
        <w:t xml:space="preserve"> and the re</w:t>
      </w:r>
      <w:r w:rsidR="00557AEF">
        <w:rPr>
          <w:rFonts w:ascii="Arial" w:eastAsia="Times New Roman" w:hAnsi="Arial" w:cs="Arial"/>
          <w:sz w:val="24"/>
          <w:szCs w:val="24"/>
          <w:lang w:val="en-US"/>
        </w:rPr>
        <w:t>lated results are presented in T</w:t>
      </w:r>
      <w:r w:rsidR="00A618FB" w:rsidRPr="00362216">
        <w:rPr>
          <w:rFonts w:ascii="Arial" w:eastAsia="Times New Roman" w:hAnsi="Arial" w:cs="Arial"/>
          <w:sz w:val="24"/>
          <w:szCs w:val="24"/>
          <w:lang w:val="en-US"/>
        </w:rPr>
        <w:t>able 6</w:t>
      </w:r>
      <w:r w:rsidR="00C87625">
        <w:rPr>
          <w:rFonts w:ascii="Arial" w:eastAsia="Times New Roman" w:hAnsi="Arial" w:cs="Arial"/>
          <w:sz w:val="24"/>
          <w:szCs w:val="24"/>
          <w:lang w:val="en-US"/>
        </w:rPr>
        <w:t>:</w:t>
      </w:r>
    </w:p>
    <w:tbl>
      <w:tblPr>
        <w:tblW w:w="6536" w:type="dxa"/>
        <w:jc w:val="center"/>
        <w:tblInd w:w="70" w:type="dxa"/>
        <w:tblCellMar>
          <w:left w:w="70" w:type="dxa"/>
          <w:right w:w="70" w:type="dxa"/>
        </w:tblCellMar>
        <w:tblLook w:val="04A0" w:firstRow="1" w:lastRow="0" w:firstColumn="1" w:lastColumn="0" w:noHBand="0" w:noVBand="1"/>
      </w:tblPr>
      <w:tblGrid>
        <w:gridCol w:w="6536"/>
      </w:tblGrid>
      <w:tr w:rsidR="00474366" w:rsidRPr="00925CD3" w:rsidTr="0001632F">
        <w:trPr>
          <w:trHeight w:val="315"/>
          <w:jc w:val="center"/>
        </w:trPr>
        <w:tc>
          <w:tcPr>
            <w:tcW w:w="6536" w:type="dxa"/>
            <w:tcBorders>
              <w:top w:val="nil"/>
              <w:left w:val="nil"/>
              <w:bottom w:val="nil"/>
              <w:right w:val="nil"/>
            </w:tcBorders>
            <w:shd w:val="clear" w:color="auto" w:fill="auto"/>
            <w:noWrap/>
            <w:vAlign w:val="bottom"/>
          </w:tcPr>
          <w:p w:rsidR="00474366" w:rsidRPr="00EF29FE" w:rsidRDefault="00474366" w:rsidP="00557AEF">
            <w:pPr>
              <w:spacing w:after="0" w:line="240" w:lineRule="auto"/>
              <w:jc w:val="center"/>
              <w:rPr>
                <w:rFonts w:ascii="Arial" w:eastAsia="Times New Roman" w:hAnsi="Arial" w:cs="Arial"/>
                <w:bCs/>
                <w:color w:val="000000"/>
                <w:sz w:val="24"/>
                <w:szCs w:val="24"/>
                <w:lang w:eastAsia="pt-BR"/>
              </w:rPr>
            </w:pPr>
            <w:r>
              <w:rPr>
                <w:rFonts w:ascii="Arial" w:eastAsia="Times New Roman" w:hAnsi="Arial" w:cs="Arial"/>
                <w:bCs/>
                <w:color w:val="000000"/>
                <w:sz w:val="24"/>
                <w:szCs w:val="24"/>
                <w:lang w:eastAsia="pt-BR"/>
              </w:rPr>
              <w:t>INSERT TABLE 6 A</w:t>
            </w:r>
            <w:r w:rsidR="00557AEF">
              <w:rPr>
                <w:rFonts w:ascii="Arial" w:eastAsia="Times New Roman" w:hAnsi="Arial" w:cs="Arial"/>
                <w:bCs/>
                <w:color w:val="000000"/>
                <w:sz w:val="24"/>
                <w:szCs w:val="24"/>
                <w:lang w:eastAsia="pt-BR"/>
              </w:rPr>
              <w:t>BOUT HERE</w:t>
            </w:r>
            <w:r w:rsidRPr="00EF29FE">
              <w:rPr>
                <w:rFonts w:ascii="Arial" w:eastAsia="Times New Roman" w:hAnsi="Arial" w:cs="Arial"/>
                <w:bCs/>
                <w:color w:val="000000"/>
                <w:sz w:val="24"/>
                <w:szCs w:val="24"/>
                <w:lang w:eastAsia="pt-BR"/>
              </w:rPr>
              <w:t xml:space="preserve"> </w:t>
            </w:r>
          </w:p>
        </w:tc>
      </w:tr>
    </w:tbl>
    <w:p w:rsidR="00474366" w:rsidRDefault="00474366" w:rsidP="00154767">
      <w:pPr>
        <w:pStyle w:val="PargrafodaLista"/>
        <w:spacing w:line="480" w:lineRule="auto"/>
        <w:ind w:left="0" w:firstLine="709"/>
        <w:contextualSpacing w:val="0"/>
        <w:jc w:val="both"/>
        <w:rPr>
          <w:rFonts w:ascii="Arial" w:hAnsi="Arial" w:cs="Arial"/>
          <w:sz w:val="24"/>
          <w:szCs w:val="24"/>
          <w:lang w:val="en-US"/>
        </w:rPr>
      </w:pPr>
    </w:p>
    <w:p w:rsidR="00A61B1A" w:rsidRPr="00A61B1A" w:rsidRDefault="00A618FB" w:rsidP="00154767">
      <w:pPr>
        <w:pStyle w:val="PargrafodaLista"/>
        <w:spacing w:line="480" w:lineRule="auto"/>
        <w:ind w:left="0" w:firstLine="709"/>
        <w:contextualSpacing w:val="0"/>
        <w:jc w:val="both"/>
        <w:rPr>
          <w:rFonts w:ascii="Arial" w:hAnsi="Arial" w:cs="Arial"/>
          <w:color w:val="00B050"/>
          <w:sz w:val="24"/>
          <w:szCs w:val="24"/>
          <w:lang w:val="en-US"/>
        </w:rPr>
      </w:pPr>
      <w:r w:rsidRPr="00A61B1A">
        <w:rPr>
          <w:rFonts w:ascii="Arial" w:hAnsi="Arial" w:cs="Arial"/>
          <w:sz w:val="24"/>
          <w:szCs w:val="24"/>
          <w:lang w:val="en-US"/>
        </w:rPr>
        <w:t xml:space="preserve">The results </w:t>
      </w:r>
      <w:r w:rsidR="00557AEF">
        <w:rPr>
          <w:rFonts w:ascii="Arial" w:hAnsi="Arial" w:cs="Arial"/>
          <w:sz w:val="24"/>
          <w:szCs w:val="24"/>
          <w:lang w:val="en-US"/>
        </w:rPr>
        <w:t>show</w:t>
      </w:r>
      <w:r w:rsidRPr="00A61B1A">
        <w:rPr>
          <w:rFonts w:ascii="Arial" w:hAnsi="Arial" w:cs="Arial"/>
          <w:sz w:val="24"/>
          <w:szCs w:val="24"/>
          <w:lang w:val="en-US"/>
        </w:rPr>
        <w:t xml:space="preserve"> consistency with the expected economic </w:t>
      </w:r>
      <w:r w:rsidR="0049251D" w:rsidRPr="00A61B1A">
        <w:rPr>
          <w:rFonts w:ascii="Arial" w:hAnsi="Arial" w:cs="Arial"/>
          <w:sz w:val="24"/>
          <w:szCs w:val="24"/>
          <w:lang w:val="en-US"/>
        </w:rPr>
        <w:t>fundamentals discussed</w:t>
      </w:r>
      <w:r w:rsidRPr="00A61B1A">
        <w:rPr>
          <w:rFonts w:ascii="Arial" w:hAnsi="Arial" w:cs="Arial"/>
          <w:sz w:val="24"/>
          <w:szCs w:val="24"/>
          <w:lang w:val="en-US"/>
        </w:rPr>
        <w:t xml:space="preserve"> by Breschi et al. (2000)</w:t>
      </w:r>
      <w:r w:rsidR="00324620" w:rsidRPr="00A61B1A">
        <w:rPr>
          <w:rFonts w:ascii="Arial" w:hAnsi="Arial" w:cs="Arial"/>
          <w:sz w:val="24"/>
          <w:szCs w:val="24"/>
          <w:lang w:val="en-US"/>
        </w:rPr>
        <w:t xml:space="preserve">. In particular, sectors with greater technological opportunities </w:t>
      </w:r>
      <w:r w:rsidR="00557AEF">
        <w:rPr>
          <w:rFonts w:ascii="Arial" w:hAnsi="Arial" w:cs="Arial"/>
          <w:sz w:val="24"/>
          <w:szCs w:val="24"/>
          <w:lang w:val="en-US"/>
        </w:rPr>
        <w:t xml:space="preserve">are classified as SM-I whereas sectors </w:t>
      </w:r>
      <w:r w:rsidR="00324620" w:rsidRPr="00A61B1A">
        <w:rPr>
          <w:rFonts w:ascii="Arial" w:hAnsi="Arial" w:cs="Arial"/>
          <w:sz w:val="24"/>
          <w:szCs w:val="24"/>
          <w:lang w:val="en-US"/>
        </w:rPr>
        <w:t xml:space="preserve">with greater </w:t>
      </w:r>
      <w:proofErr w:type="spellStart"/>
      <w:r w:rsidR="00324620" w:rsidRPr="00A61B1A">
        <w:rPr>
          <w:rFonts w:ascii="Arial" w:hAnsi="Arial" w:cs="Arial"/>
          <w:sz w:val="24"/>
          <w:szCs w:val="24"/>
          <w:lang w:val="en-US"/>
        </w:rPr>
        <w:t>appropriability</w:t>
      </w:r>
      <w:proofErr w:type="spellEnd"/>
      <w:r w:rsidR="00324620" w:rsidRPr="00A61B1A">
        <w:rPr>
          <w:rFonts w:ascii="Arial" w:hAnsi="Arial" w:cs="Arial"/>
          <w:sz w:val="24"/>
          <w:szCs w:val="24"/>
          <w:lang w:val="en-US"/>
        </w:rPr>
        <w:t xml:space="preserve"> and cumulativeness w</w:t>
      </w:r>
      <w:r w:rsidR="00557AEF">
        <w:rPr>
          <w:rFonts w:ascii="Arial" w:hAnsi="Arial" w:cs="Arial"/>
          <w:sz w:val="24"/>
          <w:szCs w:val="24"/>
          <w:lang w:val="en-US"/>
        </w:rPr>
        <w:t>ere</w:t>
      </w:r>
      <w:r w:rsidR="00324620" w:rsidRPr="00A61B1A">
        <w:rPr>
          <w:rFonts w:ascii="Arial" w:hAnsi="Arial" w:cs="Arial"/>
          <w:sz w:val="24"/>
          <w:szCs w:val="24"/>
          <w:lang w:val="en-US"/>
        </w:rPr>
        <w:t xml:space="preserve"> be classified as SM-II. A final verification of the separation power associate</w:t>
      </w:r>
      <w:r w:rsidR="00557AEF">
        <w:rPr>
          <w:rFonts w:ascii="Arial" w:hAnsi="Arial" w:cs="Arial"/>
          <w:sz w:val="24"/>
          <w:szCs w:val="24"/>
          <w:lang w:val="en-US"/>
        </w:rPr>
        <w:t>d with</w:t>
      </w:r>
      <w:r w:rsidR="00324620" w:rsidRPr="00A61B1A">
        <w:rPr>
          <w:rFonts w:ascii="Arial" w:hAnsi="Arial" w:cs="Arial"/>
          <w:sz w:val="24"/>
          <w:szCs w:val="24"/>
          <w:lang w:val="en-US"/>
        </w:rPr>
        <w:t xml:space="preserve"> the discriminant function is warranted</w:t>
      </w:r>
      <w:r w:rsidR="00557AEF">
        <w:rPr>
          <w:rFonts w:ascii="Arial" w:hAnsi="Arial" w:cs="Arial"/>
          <w:sz w:val="24"/>
          <w:szCs w:val="24"/>
          <w:lang w:val="en-US"/>
        </w:rPr>
        <w:t>.</w:t>
      </w:r>
      <w:r w:rsidR="00A61B1A">
        <w:rPr>
          <w:rFonts w:ascii="Arial" w:hAnsi="Arial" w:cs="Arial"/>
          <w:sz w:val="24"/>
          <w:szCs w:val="24"/>
          <w:lang w:val="en-US"/>
        </w:rPr>
        <w:t xml:space="preserve"> </w:t>
      </w:r>
      <w:r w:rsidR="00557AEF">
        <w:rPr>
          <w:rFonts w:ascii="Arial" w:hAnsi="Arial" w:cs="Arial"/>
          <w:sz w:val="24"/>
          <w:szCs w:val="24"/>
          <w:lang w:val="en-US"/>
        </w:rPr>
        <w:t>W</w:t>
      </w:r>
      <w:r w:rsidR="00A61B1A" w:rsidRPr="002421E2">
        <w:rPr>
          <w:rFonts w:ascii="Arial" w:hAnsi="Arial" w:cs="Arial"/>
          <w:sz w:val="24"/>
          <w:szCs w:val="24"/>
          <w:lang w:val="en-US"/>
        </w:rPr>
        <w:t>e calculate</w:t>
      </w:r>
      <w:r w:rsidR="00557AEF">
        <w:rPr>
          <w:rFonts w:ascii="Arial" w:hAnsi="Arial" w:cs="Arial"/>
          <w:sz w:val="24"/>
          <w:szCs w:val="24"/>
          <w:lang w:val="en-US"/>
        </w:rPr>
        <w:t>d th</w:t>
      </w:r>
      <w:r w:rsidR="00A61B1A" w:rsidRPr="002421E2">
        <w:rPr>
          <w:rFonts w:ascii="Arial" w:hAnsi="Arial" w:cs="Arial"/>
          <w:sz w:val="24"/>
          <w:szCs w:val="24"/>
          <w:lang w:val="en-US"/>
        </w:rPr>
        <w:t xml:space="preserve">e </w:t>
      </w:r>
      <w:r w:rsidR="00A61B1A" w:rsidRPr="002421E2">
        <w:rPr>
          <w:rFonts w:ascii="Arial" w:hAnsi="Arial" w:cs="Arial"/>
          <w:sz w:val="24"/>
          <w:szCs w:val="24"/>
          <w:lang w:val="en-US"/>
        </w:rPr>
        <w:lastRenderedPageBreak/>
        <w:t xml:space="preserve">eigenvalue and </w:t>
      </w:r>
      <w:r w:rsidR="006D46C3">
        <w:rPr>
          <w:rFonts w:ascii="Arial" w:hAnsi="Arial" w:cs="Arial"/>
          <w:sz w:val="24"/>
          <w:szCs w:val="24"/>
          <w:lang w:val="en-US"/>
        </w:rPr>
        <w:t xml:space="preserve">the </w:t>
      </w:r>
      <w:r w:rsidR="00A61B1A" w:rsidRPr="002421E2">
        <w:rPr>
          <w:rFonts w:ascii="Arial" w:hAnsi="Arial" w:cs="Arial"/>
          <w:sz w:val="24"/>
          <w:szCs w:val="24"/>
          <w:lang w:val="en-US"/>
        </w:rPr>
        <w:t>canonical correlation, which is a s</w:t>
      </w:r>
      <w:r w:rsidR="00A61B1A" w:rsidRPr="00A61B1A">
        <w:rPr>
          <w:rFonts w:ascii="Arial" w:hAnsi="Arial" w:cs="Arial"/>
          <w:sz w:val="24"/>
          <w:szCs w:val="24"/>
          <w:lang w:val="en-US"/>
        </w:rPr>
        <w:t>ynthetic measure</w:t>
      </w:r>
      <w:r w:rsidR="00324620" w:rsidRPr="00A61B1A">
        <w:rPr>
          <w:rFonts w:ascii="Arial" w:hAnsi="Arial" w:cs="Arial"/>
          <w:sz w:val="24"/>
          <w:szCs w:val="24"/>
          <w:lang w:val="en-US"/>
        </w:rPr>
        <w:t xml:space="preserve"> of association between groups of variables consider</w:t>
      </w:r>
      <w:r w:rsidR="00A61B1A">
        <w:rPr>
          <w:rFonts w:ascii="Arial" w:hAnsi="Arial" w:cs="Arial"/>
          <w:sz w:val="24"/>
          <w:szCs w:val="24"/>
          <w:lang w:val="en-US"/>
        </w:rPr>
        <w:t>ing</w:t>
      </w:r>
      <w:r w:rsidR="00324620" w:rsidRPr="00A61B1A">
        <w:rPr>
          <w:rFonts w:ascii="Arial" w:hAnsi="Arial" w:cs="Arial"/>
          <w:sz w:val="24"/>
          <w:szCs w:val="24"/>
          <w:lang w:val="en-US"/>
        </w:rPr>
        <w:t xml:space="preserve"> linear combinations of indicators in each group to maximize the related corre</w:t>
      </w:r>
      <w:r w:rsidR="006D46C3">
        <w:rPr>
          <w:rFonts w:ascii="Arial" w:hAnsi="Arial" w:cs="Arial"/>
          <w:sz w:val="24"/>
          <w:szCs w:val="24"/>
          <w:lang w:val="en-US"/>
        </w:rPr>
        <w:t xml:space="preserve">lation. The evidence is </w:t>
      </w:r>
      <w:proofErr w:type="spellStart"/>
      <w:r w:rsidR="006D46C3">
        <w:rPr>
          <w:rFonts w:ascii="Arial" w:hAnsi="Arial" w:cs="Arial"/>
          <w:sz w:val="24"/>
          <w:szCs w:val="24"/>
          <w:lang w:val="en-US"/>
        </w:rPr>
        <w:t>summarised</w:t>
      </w:r>
      <w:proofErr w:type="spellEnd"/>
      <w:r w:rsidR="006D46C3">
        <w:rPr>
          <w:rFonts w:ascii="Arial" w:hAnsi="Arial" w:cs="Arial"/>
          <w:sz w:val="24"/>
          <w:szCs w:val="24"/>
          <w:lang w:val="en-US"/>
        </w:rPr>
        <w:t xml:space="preserve"> next in T</w:t>
      </w:r>
      <w:r w:rsidR="00324620" w:rsidRPr="00A61B1A">
        <w:rPr>
          <w:rFonts w:ascii="Arial" w:hAnsi="Arial" w:cs="Arial"/>
          <w:sz w:val="24"/>
          <w:szCs w:val="24"/>
          <w:lang w:val="en-US"/>
        </w:rPr>
        <w:t>able 7</w:t>
      </w:r>
      <w:r w:rsidR="001D39D1" w:rsidRPr="00A61B1A">
        <w:rPr>
          <w:rFonts w:ascii="Arial" w:hAnsi="Arial" w:cs="Arial"/>
          <w:sz w:val="24"/>
          <w:szCs w:val="24"/>
          <w:lang w:val="en-US"/>
        </w:rPr>
        <w:t>.</w:t>
      </w:r>
    </w:p>
    <w:tbl>
      <w:tblPr>
        <w:tblW w:w="8460" w:type="dxa"/>
        <w:jc w:val="center"/>
        <w:tblInd w:w="55" w:type="dxa"/>
        <w:tblCellMar>
          <w:left w:w="70" w:type="dxa"/>
          <w:right w:w="70" w:type="dxa"/>
        </w:tblCellMar>
        <w:tblLook w:val="04A0" w:firstRow="1" w:lastRow="0" w:firstColumn="1" w:lastColumn="0" w:noHBand="0" w:noVBand="1"/>
      </w:tblPr>
      <w:tblGrid>
        <w:gridCol w:w="8460"/>
      </w:tblGrid>
      <w:tr w:rsidR="00474366" w:rsidRPr="00FA2866" w:rsidTr="0001632F">
        <w:trPr>
          <w:trHeight w:val="315"/>
          <w:jc w:val="center"/>
        </w:trPr>
        <w:tc>
          <w:tcPr>
            <w:tcW w:w="8460" w:type="dxa"/>
            <w:tcBorders>
              <w:top w:val="nil"/>
              <w:left w:val="nil"/>
              <w:bottom w:val="nil"/>
              <w:right w:val="nil"/>
            </w:tcBorders>
            <w:shd w:val="clear" w:color="auto" w:fill="auto"/>
            <w:noWrap/>
            <w:vAlign w:val="bottom"/>
            <w:hideMark/>
          </w:tcPr>
          <w:p w:rsidR="00474366" w:rsidRPr="00EF29FE" w:rsidRDefault="00474366" w:rsidP="006D46C3">
            <w:pPr>
              <w:spacing w:after="0" w:line="240" w:lineRule="auto"/>
              <w:jc w:val="center"/>
              <w:rPr>
                <w:rFonts w:ascii="Arial" w:eastAsia="Times New Roman" w:hAnsi="Arial" w:cs="Arial"/>
                <w:bCs/>
                <w:color w:val="000000"/>
                <w:sz w:val="24"/>
                <w:szCs w:val="24"/>
                <w:lang w:eastAsia="pt-BR"/>
              </w:rPr>
            </w:pPr>
            <w:r>
              <w:rPr>
                <w:rFonts w:ascii="Arial" w:eastAsia="Times New Roman" w:hAnsi="Arial" w:cs="Arial"/>
                <w:bCs/>
                <w:color w:val="000000"/>
                <w:sz w:val="24"/>
                <w:szCs w:val="24"/>
                <w:lang w:eastAsia="pt-BR"/>
              </w:rPr>
              <w:t>INSERT TABLE 7 A</w:t>
            </w:r>
            <w:r w:rsidR="006D46C3">
              <w:rPr>
                <w:rFonts w:ascii="Arial" w:eastAsia="Times New Roman" w:hAnsi="Arial" w:cs="Arial"/>
                <w:bCs/>
                <w:color w:val="000000"/>
                <w:sz w:val="24"/>
                <w:szCs w:val="24"/>
                <w:lang w:eastAsia="pt-BR"/>
              </w:rPr>
              <w:t>BOUT</w:t>
            </w:r>
            <w:r>
              <w:rPr>
                <w:rFonts w:ascii="Arial" w:eastAsia="Times New Roman" w:hAnsi="Arial" w:cs="Arial"/>
                <w:bCs/>
                <w:color w:val="000000"/>
                <w:sz w:val="24"/>
                <w:szCs w:val="24"/>
                <w:lang w:eastAsia="pt-BR"/>
              </w:rPr>
              <w:t xml:space="preserve"> HERE</w:t>
            </w:r>
            <w:r w:rsidRPr="00EF29FE">
              <w:rPr>
                <w:rFonts w:ascii="Arial" w:eastAsia="Times New Roman" w:hAnsi="Arial" w:cs="Arial"/>
                <w:bCs/>
                <w:color w:val="000000"/>
                <w:sz w:val="24"/>
                <w:szCs w:val="24"/>
                <w:lang w:eastAsia="pt-BR"/>
              </w:rPr>
              <w:t xml:space="preserve"> </w:t>
            </w:r>
          </w:p>
        </w:tc>
      </w:tr>
    </w:tbl>
    <w:p w:rsidR="00324620" w:rsidRPr="00154767" w:rsidRDefault="00316223" w:rsidP="008E2A20">
      <w:pPr>
        <w:pStyle w:val="PargrafodaLista"/>
        <w:spacing w:before="240" w:line="480" w:lineRule="auto"/>
        <w:ind w:left="0" w:firstLine="709"/>
        <w:contextualSpacing w:val="0"/>
        <w:jc w:val="both"/>
        <w:rPr>
          <w:rFonts w:ascii="Arial" w:hAnsi="Arial" w:cs="Arial"/>
          <w:sz w:val="24"/>
          <w:szCs w:val="24"/>
          <w:lang w:val="en-US"/>
        </w:rPr>
      </w:pPr>
      <w:r w:rsidRPr="00154767">
        <w:rPr>
          <w:rFonts w:ascii="Arial" w:hAnsi="Arial" w:cs="Arial"/>
          <w:sz w:val="24"/>
          <w:szCs w:val="24"/>
          <w:lang w:val="en-US"/>
        </w:rPr>
        <w:t xml:space="preserve">The results show that the SM-I and SM-II patterns </w:t>
      </w:r>
      <w:r w:rsidR="005F5B30">
        <w:rPr>
          <w:rFonts w:ascii="Arial" w:hAnsi="Arial" w:cs="Arial"/>
          <w:sz w:val="24"/>
          <w:szCs w:val="24"/>
          <w:lang w:val="en-US"/>
        </w:rPr>
        <w:t>were</w:t>
      </w:r>
      <w:r w:rsidRPr="00154767">
        <w:rPr>
          <w:rFonts w:ascii="Arial" w:hAnsi="Arial" w:cs="Arial"/>
          <w:sz w:val="24"/>
          <w:szCs w:val="24"/>
          <w:lang w:val="en-US"/>
        </w:rPr>
        <w:t xml:space="preserve"> well discriminated by the corresponding function given the observed high values for the eigenvalue and </w:t>
      </w:r>
      <w:r w:rsidR="005F5B30">
        <w:rPr>
          <w:rFonts w:ascii="Arial" w:hAnsi="Arial" w:cs="Arial"/>
          <w:sz w:val="24"/>
          <w:szCs w:val="24"/>
          <w:lang w:val="en-US"/>
        </w:rPr>
        <w:t xml:space="preserve">the </w:t>
      </w:r>
      <w:r w:rsidRPr="00154767">
        <w:rPr>
          <w:rFonts w:ascii="Arial" w:hAnsi="Arial" w:cs="Arial"/>
          <w:sz w:val="24"/>
          <w:szCs w:val="24"/>
          <w:lang w:val="en-US"/>
        </w:rPr>
        <w:t>canonical correlation and the high significance indicated by the obtained p-value. Moreover</w:t>
      </w:r>
      <w:r w:rsidR="00A61B1A" w:rsidRPr="00154767">
        <w:rPr>
          <w:rFonts w:ascii="Arial" w:hAnsi="Arial" w:cs="Arial"/>
          <w:sz w:val="24"/>
          <w:szCs w:val="24"/>
          <w:lang w:val="en-US"/>
        </w:rPr>
        <w:t>, the Mahalanobis distance had a</w:t>
      </w:r>
      <w:r w:rsidRPr="00154767">
        <w:rPr>
          <w:rFonts w:ascii="Arial" w:hAnsi="Arial" w:cs="Arial"/>
          <w:sz w:val="24"/>
          <w:szCs w:val="24"/>
          <w:lang w:val="en-US"/>
        </w:rPr>
        <w:t xml:space="preserve"> value of 12.238 with a corresponding </w:t>
      </w:r>
      <w:r w:rsidR="00531249" w:rsidRPr="00154767">
        <w:rPr>
          <w:rFonts w:ascii="Arial" w:hAnsi="Arial" w:cs="Arial"/>
          <w:sz w:val="24"/>
          <w:szCs w:val="24"/>
          <w:lang w:val="en-US"/>
        </w:rPr>
        <w:t xml:space="preserve">statistic </w:t>
      </w:r>
      <w:proofErr w:type="gramStart"/>
      <w:r w:rsidRPr="00154767">
        <w:rPr>
          <w:rFonts w:ascii="Arial" w:hAnsi="Arial" w:cs="Arial"/>
          <w:sz w:val="24"/>
          <w:szCs w:val="24"/>
          <w:lang w:val="en-US"/>
        </w:rPr>
        <w:t>F(</w:t>
      </w:r>
      <w:proofErr w:type="gramEnd"/>
      <w:r w:rsidRPr="00154767">
        <w:rPr>
          <w:rFonts w:ascii="Arial" w:hAnsi="Arial" w:cs="Arial"/>
          <w:sz w:val="24"/>
          <w:szCs w:val="24"/>
          <w:lang w:val="en-US"/>
        </w:rPr>
        <w:t>5,63) = 30.620 [p-value: 0.000]</w:t>
      </w:r>
      <w:r w:rsidR="00531249" w:rsidRPr="00154767">
        <w:rPr>
          <w:rFonts w:ascii="Arial" w:hAnsi="Arial" w:cs="Arial"/>
          <w:sz w:val="24"/>
          <w:szCs w:val="24"/>
          <w:lang w:val="en-US"/>
        </w:rPr>
        <w:t xml:space="preserve"> </w:t>
      </w:r>
      <w:r w:rsidR="005F5B30">
        <w:rPr>
          <w:rFonts w:ascii="Arial" w:hAnsi="Arial" w:cs="Arial"/>
          <w:sz w:val="24"/>
          <w:szCs w:val="24"/>
          <w:lang w:val="en-US"/>
        </w:rPr>
        <w:t>which therefore</w:t>
      </w:r>
      <w:r w:rsidR="00531249" w:rsidRPr="00154767">
        <w:rPr>
          <w:rFonts w:ascii="Arial" w:hAnsi="Arial" w:cs="Arial"/>
          <w:sz w:val="24"/>
          <w:szCs w:val="24"/>
          <w:lang w:val="en-US"/>
        </w:rPr>
        <w:t xml:space="preserve"> provided evidence of a significant distance (</w:t>
      </w:r>
      <w:r w:rsidR="00FA2866" w:rsidRPr="00154767">
        <w:rPr>
          <w:rFonts w:ascii="Arial" w:hAnsi="Arial" w:cs="Arial"/>
          <w:sz w:val="24"/>
          <w:szCs w:val="24"/>
          <w:lang w:val="en-US"/>
        </w:rPr>
        <w:t>difference</w:t>
      </w:r>
      <w:r w:rsidR="00531249" w:rsidRPr="00154767">
        <w:rPr>
          <w:rFonts w:ascii="Arial" w:hAnsi="Arial" w:cs="Arial"/>
          <w:sz w:val="24"/>
          <w:szCs w:val="24"/>
          <w:lang w:val="en-US"/>
        </w:rPr>
        <w:t>) between the mean vectors of the SM-I and SM-II patterns.</w:t>
      </w:r>
    </w:p>
    <w:p w:rsidR="00104104" w:rsidRPr="002421E2" w:rsidRDefault="00531249" w:rsidP="0056789E">
      <w:pPr>
        <w:spacing w:line="480" w:lineRule="auto"/>
        <w:ind w:firstLine="708"/>
        <w:jc w:val="both"/>
        <w:rPr>
          <w:rFonts w:ascii="Arial" w:hAnsi="Arial" w:cs="Arial"/>
          <w:sz w:val="24"/>
          <w:szCs w:val="24"/>
          <w:lang w:val="en-US" w:eastAsia="pt-BR"/>
        </w:rPr>
      </w:pPr>
      <w:r w:rsidRPr="002421E2">
        <w:rPr>
          <w:rFonts w:ascii="Arial" w:hAnsi="Arial" w:cs="Arial"/>
          <w:sz w:val="24"/>
          <w:szCs w:val="24"/>
          <w:lang w:val="en-US"/>
        </w:rPr>
        <w:t>Finally, to further confirm such differences in means</w:t>
      </w:r>
      <w:r w:rsidR="00104104" w:rsidRPr="002421E2">
        <w:rPr>
          <w:rFonts w:ascii="Arial" w:hAnsi="Arial" w:cs="Arial"/>
          <w:sz w:val="24"/>
          <w:szCs w:val="24"/>
          <w:lang w:val="en-US"/>
        </w:rPr>
        <w:t>, we calculate</w:t>
      </w:r>
      <w:r w:rsidR="005F5B30">
        <w:rPr>
          <w:rFonts w:ascii="Arial" w:hAnsi="Arial" w:cs="Arial"/>
          <w:sz w:val="24"/>
          <w:szCs w:val="24"/>
          <w:lang w:val="en-US"/>
        </w:rPr>
        <w:t>d the</w:t>
      </w:r>
      <w:r w:rsidR="00104104" w:rsidRPr="002421E2">
        <w:rPr>
          <w:rFonts w:ascii="Arial" w:hAnsi="Arial" w:cs="Arial"/>
          <w:sz w:val="24"/>
          <w:szCs w:val="24"/>
          <w:lang w:val="en-US"/>
        </w:rPr>
        <w:t xml:space="preserve"> </w:t>
      </w:r>
      <w:proofErr w:type="spellStart"/>
      <w:r w:rsidR="00104104" w:rsidRPr="002421E2">
        <w:rPr>
          <w:rFonts w:ascii="Arial" w:hAnsi="Arial" w:cs="Arial"/>
          <w:sz w:val="24"/>
          <w:szCs w:val="24"/>
          <w:lang w:val="en-US"/>
        </w:rPr>
        <w:t>Wilks</w:t>
      </w:r>
      <w:proofErr w:type="spellEnd"/>
      <w:r w:rsidR="00104104" w:rsidRPr="002421E2">
        <w:rPr>
          <w:rFonts w:ascii="Arial" w:hAnsi="Arial" w:cs="Arial"/>
          <w:sz w:val="24"/>
          <w:szCs w:val="24"/>
          <w:lang w:val="en-US"/>
        </w:rPr>
        <w:t xml:space="preserve">' lambda test, which </w:t>
      </w:r>
      <w:r w:rsidR="005F5B30">
        <w:rPr>
          <w:rFonts w:ascii="Arial" w:hAnsi="Arial" w:cs="Arial"/>
          <w:sz w:val="24"/>
          <w:szCs w:val="24"/>
          <w:lang w:val="en-US"/>
        </w:rPr>
        <w:t>yield</w:t>
      </w:r>
      <w:r w:rsidR="00104104" w:rsidRPr="002421E2">
        <w:rPr>
          <w:rFonts w:ascii="Arial" w:hAnsi="Arial" w:cs="Arial"/>
          <w:sz w:val="24"/>
          <w:szCs w:val="24"/>
          <w:lang w:val="en-US"/>
        </w:rPr>
        <w:t xml:space="preserve"> a statistic of 0.2824, with a p-value of 0.000. This </w:t>
      </w:r>
      <w:r w:rsidR="0056789E" w:rsidRPr="002421E2">
        <w:rPr>
          <w:rFonts w:ascii="Arial" w:hAnsi="Arial" w:cs="Arial"/>
          <w:sz w:val="24"/>
          <w:szCs w:val="24"/>
          <w:lang w:val="en-US"/>
        </w:rPr>
        <w:t>result</w:t>
      </w:r>
      <w:r w:rsidR="005F5B30">
        <w:rPr>
          <w:rFonts w:ascii="Arial" w:hAnsi="Arial" w:cs="Arial"/>
          <w:sz w:val="24"/>
          <w:szCs w:val="24"/>
          <w:lang w:val="en-US"/>
        </w:rPr>
        <w:t xml:space="preserve"> showed</w:t>
      </w:r>
      <w:r w:rsidR="00104104" w:rsidRPr="002421E2">
        <w:rPr>
          <w:rFonts w:ascii="Arial" w:hAnsi="Arial" w:cs="Arial"/>
          <w:sz w:val="24"/>
          <w:szCs w:val="24"/>
          <w:lang w:val="en-US"/>
        </w:rPr>
        <w:t xml:space="preserve"> that t</w:t>
      </w:r>
      <w:r w:rsidR="00104104" w:rsidRPr="002421E2">
        <w:rPr>
          <w:rFonts w:ascii="Arial" w:hAnsi="Arial" w:cs="Arial"/>
          <w:sz w:val="24"/>
          <w:szCs w:val="24"/>
          <w:lang w:val="en-US" w:eastAsia="pt-BR"/>
        </w:rPr>
        <w:t xml:space="preserve">he previous evidence based on the different tests </w:t>
      </w:r>
      <w:proofErr w:type="spellStart"/>
      <w:r w:rsidR="00104104" w:rsidRPr="002421E2">
        <w:rPr>
          <w:rFonts w:ascii="Arial" w:hAnsi="Arial" w:cs="Arial"/>
          <w:sz w:val="24"/>
          <w:szCs w:val="24"/>
          <w:lang w:val="en-US" w:eastAsia="pt-BR"/>
        </w:rPr>
        <w:t>favo</w:t>
      </w:r>
      <w:r w:rsidR="005F5B30">
        <w:rPr>
          <w:rFonts w:ascii="Arial" w:hAnsi="Arial" w:cs="Arial"/>
          <w:sz w:val="24"/>
          <w:szCs w:val="24"/>
          <w:lang w:val="en-US" w:eastAsia="pt-BR"/>
        </w:rPr>
        <w:t>u</w:t>
      </w:r>
      <w:r w:rsidR="00104104" w:rsidRPr="002421E2">
        <w:rPr>
          <w:rFonts w:ascii="Arial" w:hAnsi="Arial" w:cs="Arial"/>
          <w:sz w:val="24"/>
          <w:szCs w:val="24"/>
          <w:lang w:val="en-US" w:eastAsia="pt-BR"/>
        </w:rPr>
        <w:t>r</w:t>
      </w:r>
      <w:r w:rsidR="005F5B30">
        <w:rPr>
          <w:rFonts w:ascii="Arial" w:hAnsi="Arial" w:cs="Arial"/>
          <w:sz w:val="24"/>
          <w:szCs w:val="24"/>
          <w:lang w:val="en-US" w:eastAsia="pt-BR"/>
        </w:rPr>
        <w:t>ed</w:t>
      </w:r>
      <w:proofErr w:type="spellEnd"/>
      <w:r w:rsidR="00104104" w:rsidRPr="002421E2">
        <w:rPr>
          <w:rFonts w:ascii="Arial" w:hAnsi="Arial" w:cs="Arial"/>
          <w:sz w:val="24"/>
          <w:szCs w:val="24"/>
          <w:lang w:val="en-US" w:eastAsia="pt-BR"/>
        </w:rPr>
        <w:t xml:space="preserve"> the rejection of </w:t>
      </w:r>
      <w:r w:rsidR="0056789E" w:rsidRPr="002421E2">
        <w:rPr>
          <w:rFonts w:ascii="Arial" w:hAnsi="Arial" w:cs="Arial"/>
          <w:sz w:val="24"/>
          <w:szCs w:val="24"/>
          <w:lang w:val="en-US" w:eastAsia="pt-BR"/>
        </w:rPr>
        <w:t>t</w:t>
      </w:r>
      <w:r w:rsidR="00104104" w:rsidRPr="002421E2">
        <w:rPr>
          <w:rFonts w:ascii="Arial" w:hAnsi="Arial" w:cs="Arial"/>
          <w:sz w:val="24"/>
          <w:szCs w:val="24"/>
          <w:lang w:val="en-US" w:eastAsia="pt-BR"/>
        </w:rPr>
        <w:t xml:space="preserve">he null hypothesis and thus </w:t>
      </w:r>
      <w:r w:rsidR="005F5B30">
        <w:rPr>
          <w:rFonts w:ascii="Arial" w:hAnsi="Arial" w:cs="Arial"/>
          <w:sz w:val="24"/>
          <w:szCs w:val="24"/>
          <w:lang w:val="en-US" w:eastAsia="pt-BR"/>
        </w:rPr>
        <w:t xml:space="preserve">delineated the </w:t>
      </w:r>
      <w:r w:rsidR="00104104" w:rsidRPr="002421E2">
        <w:rPr>
          <w:rFonts w:ascii="Arial" w:hAnsi="Arial" w:cs="Arial"/>
          <w:sz w:val="24"/>
          <w:szCs w:val="24"/>
          <w:lang w:val="en-US" w:eastAsia="pt-BR"/>
        </w:rPr>
        <w:t xml:space="preserve">significant mean discrepancies between </w:t>
      </w:r>
      <w:r w:rsidR="005F5B30">
        <w:rPr>
          <w:rFonts w:ascii="Arial" w:hAnsi="Arial" w:cs="Arial"/>
          <w:sz w:val="24"/>
          <w:szCs w:val="24"/>
          <w:lang w:val="en-US" w:eastAsia="pt-BR"/>
        </w:rPr>
        <w:t xml:space="preserve">the </w:t>
      </w:r>
      <w:r w:rsidR="00104104" w:rsidRPr="002421E2">
        <w:rPr>
          <w:rFonts w:ascii="Arial" w:hAnsi="Arial" w:cs="Arial"/>
          <w:sz w:val="24"/>
          <w:szCs w:val="24"/>
          <w:lang w:val="en-US" w:eastAsia="pt-BR"/>
        </w:rPr>
        <w:t>SM-I and SM-II sectors.</w:t>
      </w:r>
    </w:p>
    <w:p w:rsidR="00435B09" w:rsidRPr="007E3D2F" w:rsidRDefault="00435B09" w:rsidP="0056789E">
      <w:pPr>
        <w:spacing w:line="480" w:lineRule="auto"/>
        <w:ind w:firstLine="708"/>
        <w:jc w:val="both"/>
        <w:rPr>
          <w:rFonts w:ascii="Arial" w:eastAsia="Times New Roman" w:hAnsi="Arial" w:cs="Arial"/>
          <w:sz w:val="24"/>
          <w:szCs w:val="24"/>
          <w:lang w:val="en-US"/>
        </w:rPr>
      </w:pPr>
      <w:r w:rsidRPr="007E3D2F">
        <w:rPr>
          <w:rFonts w:ascii="Arial" w:hAnsi="Arial" w:cs="Arial"/>
          <w:sz w:val="24"/>
          <w:szCs w:val="24"/>
          <w:lang w:val="en-US" w:eastAsia="pt-BR"/>
        </w:rPr>
        <w:t xml:space="preserve">It is worth considering </w:t>
      </w:r>
      <w:r w:rsidR="000662C4" w:rsidRPr="007E3D2F">
        <w:rPr>
          <w:rFonts w:ascii="Arial" w:hAnsi="Arial" w:cs="Arial"/>
          <w:sz w:val="24"/>
          <w:szCs w:val="24"/>
          <w:lang w:val="en-US" w:eastAsia="pt-BR"/>
        </w:rPr>
        <w:t>a</w:t>
      </w:r>
      <w:r w:rsidRPr="007E3D2F">
        <w:rPr>
          <w:rFonts w:ascii="Arial" w:hAnsi="Arial" w:cs="Arial"/>
          <w:sz w:val="24"/>
          <w:szCs w:val="24"/>
          <w:lang w:val="en-US" w:eastAsia="pt-BR"/>
        </w:rPr>
        <w:t>n initial comparison</w:t>
      </w:r>
      <w:r w:rsidR="00DB75F1" w:rsidRPr="007E3D2F">
        <w:rPr>
          <w:rFonts w:ascii="Arial" w:hAnsi="Arial" w:cs="Arial"/>
          <w:sz w:val="24"/>
          <w:szCs w:val="24"/>
          <w:lang w:val="en-US" w:eastAsia="pt-BR"/>
        </w:rPr>
        <w:t xml:space="preserve"> with the classifications obt</w:t>
      </w:r>
      <w:r w:rsidRPr="007E3D2F">
        <w:rPr>
          <w:rFonts w:ascii="Arial" w:hAnsi="Arial" w:cs="Arial"/>
          <w:sz w:val="24"/>
          <w:szCs w:val="24"/>
          <w:lang w:val="en-US" w:eastAsia="pt-BR"/>
        </w:rPr>
        <w:t>ained by</w:t>
      </w:r>
      <w:r w:rsidR="0056789E" w:rsidRPr="007E3D2F">
        <w:rPr>
          <w:rFonts w:ascii="Arial" w:hAnsi="Arial" w:cs="Arial"/>
          <w:sz w:val="24"/>
          <w:szCs w:val="24"/>
          <w:lang w:val="en-US" w:eastAsia="pt-BR"/>
        </w:rPr>
        <w:t xml:space="preserve"> </w:t>
      </w:r>
      <w:r w:rsidR="0053747F" w:rsidRPr="007E3D2F">
        <w:rPr>
          <w:rFonts w:ascii="Arial" w:eastAsia="Times New Roman" w:hAnsi="Arial" w:cs="Arial"/>
          <w:sz w:val="24"/>
          <w:szCs w:val="24"/>
          <w:lang w:val="en-US"/>
        </w:rPr>
        <w:t xml:space="preserve">Breschi et al. (2000) </w:t>
      </w:r>
      <w:r w:rsidRPr="007E3D2F">
        <w:rPr>
          <w:rFonts w:ascii="Arial" w:eastAsia="Times New Roman" w:hAnsi="Arial" w:cs="Arial"/>
          <w:sz w:val="24"/>
          <w:szCs w:val="24"/>
          <w:lang w:val="en-US"/>
        </w:rPr>
        <w:t xml:space="preserve">for Italy, Germany and </w:t>
      </w:r>
      <w:r w:rsidR="00BB5263">
        <w:rPr>
          <w:rFonts w:ascii="Arial" w:eastAsia="Times New Roman" w:hAnsi="Arial" w:cs="Arial"/>
          <w:sz w:val="24"/>
          <w:szCs w:val="24"/>
          <w:lang w:val="en-US"/>
        </w:rPr>
        <w:t xml:space="preserve">the </w:t>
      </w:r>
      <w:r w:rsidRPr="007E3D2F">
        <w:rPr>
          <w:rFonts w:ascii="Arial" w:eastAsia="Times New Roman" w:hAnsi="Arial" w:cs="Arial"/>
          <w:sz w:val="24"/>
          <w:szCs w:val="24"/>
          <w:lang w:val="en-US"/>
        </w:rPr>
        <w:t xml:space="preserve">United </w:t>
      </w:r>
      <w:r w:rsidR="003430AF" w:rsidRPr="007E3D2F">
        <w:rPr>
          <w:rFonts w:ascii="Arial" w:eastAsia="Times New Roman" w:hAnsi="Arial" w:cs="Arial"/>
          <w:sz w:val="24"/>
          <w:szCs w:val="24"/>
          <w:lang w:val="en-US"/>
        </w:rPr>
        <w:t>Kingdom</w:t>
      </w:r>
      <w:r w:rsidRPr="007E3D2F">
        <w:rPr>
          <w:rFonts w:ascii="Arial" w:eastAsia="Times New Roman" w:hAnsi="Arial" w:cs="Arial"/>
          <w:sz w:val="24"/>
          <w:szCs w:val="24"/>
          <w:lang w:val="en-US"/>
        </w:rPr>
        <w:t xml:space="preserve"> and by </w:t>
      </w:r>
      <w:r w:rsidR="00BB5263">
        <w:rPr>
          <w:rFonts w:ascii="Arial" w:eastAsia="Times New Roman" w:hAnsi="Arial" w:cs="Arial"/>
          <w:sz w:val="24"/>
          <w:szCs w:val="24"/>
          <w:lang w:val="en-US"/>
        </w:rPr>
        <w:t>Mesa and</w:t>
      </w:r>
      <w:r w:rsidR="0053747F" w:rsidRPr="007E3D2F">
        <w:rPr>
          <w:rFonts w:ascii="Arial" w:eastAsia="Times New Roman" w:hAnsi="Arial" w:cs="Arial"/>
          <w:sz w:val="24"/>
          <w:szCs w:val="24"/>
          <w:lang w:val="en-US"/>
        </w:rPr>
        <w:t xml:space="preserve"> </w:t>
      </w:r>
      <w:proofErr w:type="spellStart"/>
      <w:r w:rsidR="0053747F" w:rsidRPr="007E3D2F">
        <w:rPr>
          <w:rFonts w:ascii="Arial" w:eastAsia="Times New Roman" w:hAnsi="Arial" w:cs="Arial"/>
          <w:sz w:val="24"/>
          <w:szCs w:val="24"/>
          <w:lang w:val="en-US"/>
        </w:rPr>
        <w:t>Gayo</w:t>
      </w:r>
      <w:proofErr w:type="spellEnd"/>
      <w:r w:rsidR="0053747F" w:rsidRPr="007E3D2F">
        <w:rPr>
          <w:rFonts w:ascii="Arial" w:eastAsia="Times New Roman" w:hAnsi="Arial" w:cs="Arial"/>
          <w:sz w:val="24"/>
          <w:szCs w:val="24"/>
          <w:lang w:val="en-US"/>
        </w:rPr>
        <w:t xml:space="preserve"> (1999) </w:t>
      </w:r>
      <w:r w:rsidRPr="007E3D2F">
        <w:rPr>
          <w:rFonts w:ascii="Arial" w:eastAsia="Times New Roman" w:hAnsi="Arial" w:cs="Arial"/>
          <w:sz w:val="24"/>
          <w:szCs w:val="24"/>
          <w:lang w:val="en-US"/>
        </w:rPr>
        <w:t>for Spain</w:t>
      </w:r>
      <w:r w:rsidRPr="007E3D2F">
        <w:rPr>
          <w:rStyle w:val="Refdenotaderodap"/>
          <w:rFonts w:ascii="Arial" w:eastAsia="Times New Roman" w:hAnsi="Arial" w:cs="Arial"/>
          <w:sz w:val="24"/>
          <w:szCs w:val="24"/>
        </w:rPr>
        <w:footnoteReference w:id="8"/>
      </w:r>
      <w:r w:rsidR="009A056B">
        <w:rPr>
          <w:rFonts w:ascii="Arial" w:eastAsia="Times New Roman" w:hAnsi="Arial" w:cs="Arial"/>
          <w:sz w:val="24"/>
          <w:szCs w:val="24"/>
          <w:lang w:val="en-US"/>
        </w:rPr>
        <w:t>.</w:t>
      </w:r>
      <w:r w:rsidR="005A35E3" w:rsidRPr="007E3D2F">
        <w:rPr>
          <w:rFonts w:ascii="Arial" w:eastAsia="Times New Roman" w:hAnsi="Arial" w:cs="Arial"/>
          <w:sz w:val="24"/>
          <w:szCs w:val="24"/>
          <w:lang w:val="en-US"/>
        </w:rPr>
        <w:t xml:space="preserve"> For example, it is possible to observe that </w:t>
      </w:r>
      <w:r w:rsidR="00BB5263">
        <w:rPr>
          <w:rFonts w:ascii="Arial" w:eastAsia="Times New Roman" w:hAnsi="Arial" w:cs="Arial"/>
          <w:sz w:val="24"/>
          <w:szCs w:val="24"/>
          <w:lang w:val="en-US"/>
        </w:rPr>
        <w:t xml:space="preserve">the </w:t>
      </w:r>
      <w:r w:rsidR="005A35E3" w:rsidRPr="007E3D2F">
        <w:rPr>
          <w:rFonts w:ascii="Arial" w:eastAsia="Times New Roman" w:hAnsi="Arial" w:cs="Arial"/>
          <w:sz w:val="24"/>
          <w:szCs w:val="24"/>
          <w:lang w:val="en-US"/>
        </w:rPr>
        <w:t xml:space="preserve">sectors </w:t>
      </w:r>
      <w:r w:rsidR="00BB5263">
        <w:rPr>
          <w:rFonts w:ascii="Arial" w:eastAsia="Times New Roman" w:hAnsi="Arial" w:cs="Arial"/>
          <w:sz w:val="24"/>
          <w:szCs w:val="24"/>
          <w:lang w:val="en-US"/>
        </w:rPr>
        <w:t>related</w:t>
      </w:r>
      <w:r w:rsidR="005A35E3" w:rsidRPr="007E3D2F">
        <w:rPr>
          <w:rFonts w:ascii="Arial" w:eastAsia="Times New Roman" w:hAnsi="Arial" w:cs="Arial"/>
          <w:sz w:val="24"/>
          <w:szCs w:val="24"/>
          <w:lang w:val="en-US"/>
        </w:rPr>
        <w:t xml:space="preserve"> </w:t>
      </w:r>
      <w:r w:rsidR="004B2199" w:rsidRPr="007E3D2F">
        <w:rPr>
          <w:rFonts w:ascii="Arial" w:eastAsia="Times New Roman" w:hAnsi="Arial" w:cs="Arial"/>
          <w:sz w:val="24"/>
          <w:szCs w:val="24"/>
          <w:lang w:val="en-US"/>
        </w:rPr>
        <w:t>to textiles</w:t>
      </w:r>
      <w:r w:rsidR="005A35E3" w:rsidRPr="007E3D2F">
        <w:rPr>
          <w:rFonts w:ascii="Arial" w:eastAsia="Times New Roman" w:hAnsi="Arial" w:cs="Arial"/>
          <w:sz w:val="24"/>
          <w:szCs w:val="24"/>
          <w:lang w:val="en-US"/>
        </w:rPr>
        <w:t>, electrical equipment</w:t>
      </w:r>
      <w:r w:rsidR="004B2199" w:rsidRPr="007E3D2F">
        <w:rPr>
          <w:rFonts w:ascii="Arial" w:eastAsia="Times New Roman" w:hAnsi="Arial" w:cs="Arial"/>
          <w:sz w:val="24"/>
          <w:szCs w:val="24"/>
          <w:lang w:val="en-US"/>
        </w:rPr>
        <w:t>,</w:t>
      </w:r>
      <w:r w:rsidR="005A35E3" w:rsidRPr="007E3D2F">
        <w:rPr>
          <w:rFonts w:ascii="Arial" w:eastAsia="Times New Roman" w:hAnsi="Arial" w:cs="Arial"/>
          <w:sz w:val="24"/>
          <w:szCs w:val="24"/>
          <w:lang w:val="en-US"/>
        </w:rPr>
        <w:t xml:space="preserve"> machines and </w:t>
      </w:r>
      <w:r w:rsidR="004B2199" w:rsidRPr="007E3D2F">
        <w:rPr>
          <w:rFonts w:ascii="Arial" w:eastAsia="Times New Roman" w:hAnsi="Arial" w:cs="Arial"/>
          <w:sz w:val="24"/>
          <w:szCs w:val="24"/>
          <w:lang w:val="en-US"/>
        </w:rPr>
        <w:t>equipment’s</w:t>
      </w:r>
      <w:r w:rsidR="005A35E3" w:rsidRPr="007E3D2F">
        <w:rPr>
          <w:rFonts w:ascii="Arial" w:eastAsia="Times New Roman" w:hAnsi="Arial" w:cs="Arial"/>
          <w:sz w:val="24"/>
          <w:szCs w:val="24"/>
          <w:lang w:val="en-US"/>
        </w:rPr>
        <w:t xml:space="preserve"> in general appear</w:t>
      </w:r>
      <w:r w:rsidR="00BB5263">
        <w:rPr>
          <w:rFonts w:ascii="Arial" w:eastAsia="Times New Roman" w:hAnsi="Arial" w:cs="Arial"/>
          <w:sz w:val="24"/>
          <w:szCs w:val="24"/>
          <w:lang w:val="en-US"/>
        </w:rPr>
        <w:t>ed</w:t>
      </w:r>
      <w:r w:rsidR="005A35E3" w:rsidRPr="007E3D2F">
        <w:rPr>
          <w:rFonts w:ascii="Arial" w:eastAsia="Times New Roman" w:hAnsi="Arial" w:cs="Arial"/>
          <w:sz w:val="24"/>
          <w:szCs w:val="24"/>
          <w:lang w:val="en-US"/>
        </w:rPr>
        <w:t xml:space="preserve"> to </w:t>
      </w:r>
      <w:r w:rsidR="005A35E3" w:rsidRPr="007E3D2F">
        <w:rPr>
          <w:rFonts w:ascii="Arial" w:eastAsia="Times New Roman" w:hAnsi="Arial" w:cs="Arial"/>
          <w:sz w:val="24"/>
          <w:szCs w:val="24"/>
          <w:lang w:val="en-US"/>
        </w:rPr>
        <w:lastRenderedPageBreak/>
        <w:t>follow a</w:t>
      </w:r>
      <w:r w:rsidR="00BB5263">
        <w:rPr>
          <w:rFonts w:ascii="Arial" w:eastAsia="Times New Roman" w:hAnsi="Arial" w:cs="Arial"/>
          <w:sz w:val="24"/>
          <w:szCs w:val="24"/>
          <w:lang w:val="en-US"/>
        </w:rPr>
        <w:t>n</w:t>
      </w:r>
      <w:r w:rsidR="005A35E3" w:rsidRPr="007E3D2F">
        <w:rPr>
          <w:rFonts w:ascii="Arial" w:eastAsia="Times New Roman" w:hAnsi="Arial" w:cs="Arial"/>
          <w:sz w:val="24"/>
          <w:szCs w:val="24"/>
          <w:lang w:val="en-US"/>
        </w:rPr>
        <w:t xml:space="preserve"> SM-I </w:t>
      </w:r>
      <w:r w:rsidR="004B2199" w:rsidRPr="007E3D2F">
        <w:rPr>
          <w:rFonts w:ascii="Arial" w:eastAsia="Times New Roman" w:hAnsi="Arial" w:cs="Arial"/>
          <w:sz w:val="24"/>
          <w:szCs w:val="24"/>
          <w:lang w:val="en-US"/>
        </w:rPr>
        <w:t>pattern, and</w:t>
      </w:r>
      <w:r w:rsidR="005A35E3" w:rsidRPr="007E3D2F">
        <w:rPr>
          <w:rFonts w:ascii="Arial" w:eastAsia="Times New Roman" w:hAnsi="Arial" w:cs="Arial"/>
          <w:sz w:val="24"/>
          <w:szCs w:val="24"/>
          <w:lang w:val="en-US"/>
        </w:rPr>
        <w:t xml:space="preserve"> </w:t>
      </w:r>
      <w:r w:rsidR="004B2199" w:rsidRPr="007E3D2F">
        <w:rPr>
          <w:rFonts w:ascii="Arial" w:eastAsia="Times New Roman" w:hAnsi="Arial" w:cs="Arial"/>
          <w:sz w:val="24"/>
          <w:szCs w:val="24"/>
          <w:lang w:val="en-US"/>
        </w:rPr>
        <w:t>i</w:t>
      </w:r>
      <w:r w:rsidR="005A35E3" w:rsidRPr="007E3D2F">
        <w:rPr>
          <w:rFonts w:ascii="Arial" w:eastAsia="Times New Roman" w:hAnsi="Arial" w:cs="Arial"/>
          <w:sz w:val="24"/>
          <w:szCs w:val="24"/>
          <w:lang w:val="en-US"/>
        </w:rPr>
        <w:t>n the other hand, sectors related to chemicals, pharmaceuticals,</w:t>
      </w:r>
      <w:r w:rsidR="004B2199" w:rsidRPr="007E3D2F">
        <w:rPr>
          <w:rFonts w:ascii="Arial" w:eastAsia="Times New Roman" w:hAnsi="Arial" w:cs="Arial"/>
          <w:sz w:val="24"/>
          <w:szCs w:val="24"/>
          <w:lang w:val="en-US"/>
        </w:rPr>
        <w:t xml:space="preserve"> </w:t>
      </w:r>
      <w:r w:rsidR="005A35E3" w:rsidRPr="007E3D2F">
        <w:rPr>
          <w:rFonts w:ascii="Arial" w:eastAsia="Times New Roman" w:hAnsi="Arial" w:cs="Arial"/>
          <w:sz w:val="24"/>
          <w:szCs w:val="24"/>
          <w:lang w:val="en-US"/>
        </w:rPr>
        <w:t>oil and gas, and vehicle manufacturing appear to conform to a SM-II pattern.</w:t>
      </w:r>
      <w:r w:rsidR="00803DFE" w:rsidRPr="007E3D2F">
        <w:rPr>
          <w:rFonts w:ascii="Arial" w:eastAsia="Times New Roman" w:hAnsi="Arial" w:cs="Arial"/>
          <w:sz w:val="24"/>
          <w:szCs w:val="24"/>
          <w:lang w:val="en-US"/>
        </w:rPr>
        <w:t xml:space="preserve"> I</w:t>
      </w:r>
      <w:r w:rsidR="000662C4" w:rsidRPr="007E3D2F">
        <w:rPr>
          <w:rFonts w:ascii="Arial" w:eastAsia="Times New Roman" w:hAnsi="Arial" w:cs="Arial"/>
          <w:sz w:val="24"/>
          <w:szCs w:val="24"/>
          <w:lang w:val="en-US"/>
        </w:rPr>
        <w:t>n</w:t>
      </w:r>
      <w:r w:rsidR="00803DFE" w:rsidRPr="007E3D2F">
        <w:rPr>
          <w:rFonts w:ascii="Arial" w:eastAsia="Times New Roman" w:hAnsi="Arial" w:cs="Arial"/>
          <w:sz w:val="24"/>
          <w:szCs w:val="24"/>
          <w:lang w:val="en-US"/>
        </w:rPr>
        <w:t xml:space="preserve"> the Brazilian case</w:t>
      </w:r>
      <w:r w:rsidR="000662C4" w:rsidRPr="007E3D2F">
        <w:rPr>
          <w:rFonts w:ascii="Arial" w:eastAsia="Times New Roman" w:hAnsi="Arial" w:cs="Arial"/>
          <w:sz w:val="24"/>
          <w:szCs w:val="24"/>
          <w:lang w:val="en-US"/>
        </w:rPr>
        <w:t xml:space="preserve">, </w:t>
      </w:r>
      <w:r w:rsidR="00DB75F1" w:rsidRPr="007E3D2F">
        <w:rPr>
          <w:rFonts w:ascii="Arial" w:eastAsia="Times New Roman" w:hAnsi="Arial" w:cs="Arial"/>
          <w:sz w:val="24"/>
          <w:szCs w:val="24"/>
          <w:lang w:val="en-US"/>
        </w:rPr>
        <w:t xml:space="preserve">similar </w:t>
      </w:r>
      <w:r w:rsidR="004B2199" w:rsidRPr="007E3D2F">
        <w:rPr>
          <w:rFonts w:ascii="Arial" w:eastAsia="Times New Roman" w:hAnsi="Arial" w:cs="Arial"/>
          <w:sz w:val="24"/>
          <w:szCs w:val="24"/>
          <w:lang w:val="en-US"/>
        </w:rPr>
        <w:t>patterns</w:t>
      </w:r>
      <w:r w:rsidR="00DB75F1" w:rsidRPr="007E3D2F">
        <w:rPr>
          <w:rFonts w:ascii="Arial" w:eastAsia="Times New Roman" w:hAnsi="Arial" w:cs="Arial"/>
          <w:sz w:val="24"/>
          <w:szCs w:val="24"/>
          <w:lang w:val="en-US"/>
        </w:rPr>
        <w:t xml:space="preserve"> emerge</w:t>
      </w:r>
      <w:r w:rsidR="00BB5263">
        <w:rPr>
          <w:rFonts w:ascii="Arial" w:eastAsia="Times New Roman" w:hAnsi="Arial" w:cs="Arial"/>
          <w:sz w:val="24"/>
          <w:szCs w:val="24"/>
          <w:lang w:val="en-US"/>
        </w:rPr>
        <w:t>d</w:t>
      </w:r>
      <w:r w:rsidR="00DB75F1" w:rsidRPr="007E3D2F">
        <w:rPr>
          <w:rFonts w:ascii="Arial" w:eastAsia="Times New Roman" w:hAnsi="Arial" w:cs="Arial"/>
          <w:sz w:val="24"/>
          <w:szCs w:val="24"/>
          <w:lang w:val="en-US"/>
        </w:rPr>
        <w:t xml:space="preserve"> in those sectors, </w:t>
      </w:r>
      <w:r w:rsidR="000662C4" w:rsidRPr="007E3D2F">
        <w:rPr>
          <w:rFonts w:ascii="Arial" w:eastAsia="Times New Roman" w:hAnsi="Arial" w:cs="Arial"/>
          <w:sz w:val="24"/>
          <w:szCs w:val="24"/>
          <w:lang w:val="en-US"/>
        </w:rPr>
        <w:t xml:space="preserve">however, a </w:t>
      </w:r>
      <w:r w:rsidR="00DB75F1" w:rsidRPr="007E3D2F">
        <w:rPr>
          <w:rFonts w:ascii="Arial" w:eastAsia="Times New Roman" w:hAnsi="Arial" w:cs="Arial"/>
          <w:sz w:val="24"/>
          <w:szCs w:val="24"/>
          <w:lang w:val="en-US"/>
        </w:rPr>
        <w:t xml:space="preserve">salient </w:t>
      </w:r>
      <w:r w:rsidR="000662C4" w:rsidRPr="007E3D2F">
        <w:rPr>
          <w:rFonts w:ascii="Arial" w:eastAsia="Times New Roman" w:hAnsi="Arial" w:cs="Arial"/>
          <w:sz w:val="24"/>
          <w:szCs w:val="24"/>
          <w:lang w:val="en-US"/>
        </w:rPr>
        <w:t xml:space="preserve">contrast </w:t>
      </w:r>
      <w:r w:rsidR="00BB5263">
        <w:rPr>
          <w:rFonts w:ascii="Arial" w:eastAsia="Times New Roman" w:hAnsi="Arial" w:cs="Arial"/>
          <w:sz w:val="24"/>
          <w:szCs w:val="24"/>
          <w:lang w:val="en-US"/>
        </w:rPr>
        <w:t>wa</w:t>
      </w:r>
      <w:r w:rsidR="00DB75F1" w:rsidRPr="007E3D2F">
        <w:rPr>
          <w:rFonts w:ascii="Arial" w:eastAsia="Times New Roman" w:hAnsi="Arial" w:cs="Arial"/>
          <w:sz w:val="24"/>
          <w:szCs w:val="24"/>
          <w:lang w:val="en-US"/>
        </w:rPr>
        <w:t>s provided</w:t>
      </w:r>
      <w:r w:rsidR="000662C4" w:rsidRPr="007E3D2F">
        <w:rPr>
          <w:rFonts w:ascii="Arial" w:eastAsia="Times New Roman" w:hAnsi="Arial" w:cs="Arial"/>
          <w:sz w:val="24"/>
          <w:szCs w:val="24"/>
          <w:lang w:val="en-US"/>
        </w:rPr>
        <w:t xml:space="preserve"> in the case of pharmaceuticals that were classified as SM-I.</w:t>
      </w:r>
      <w:r w:rsidR="00267932" w:rsidRPr="007E3D2F">
        <w:rPr>
          <w:rFonts w:ascii="Arial" w:eastAsia="Times New Roman" w:hAnsi="Arial" w:cs="Arial"/>
          <w:sz w:val="24"/>
          <w:szCs w:val="24"/>
          <w:lang w:val="en-US"/>
        </w:rPr>
        <w:t xml:space="preserve"> That result </w:t>
      </w:r>
      <w:r w:rsidR="00BB5263">
        <w:rPr>
          <w:rFonts w:ascii="Arial" w:eastAsia="Times New Roman" w:hAnsi="Arial" w:cs="Arial"/>
          <w:sz w:val="24"/>
          <w:szCs w:val="24"/>
          <w:lang w:val="en-US"/>
        </w:rPr>
        <w:t>could</w:t>
      </w:r>
      <w:r w:rsidR="00267932" w:rsidRPr="007E3D2F">
        <w:rPr>
          <w:rFonts w:ascii="Arial" w:eastAsia="Times New Roman" w:hAnsi="Arial" w:cs="Arial"/>
          <w:sz w:val="24"/>
          <w:szCs w:val="24"/>
          <w:lang w:val="en-US"/>
        </w:rPr>
        <w:t xml:space="preserve"> reflect the dominance of subsidiaries of multinational firms as the important R&amp;D efforts are likely to take place in their headquarters facilities abroad. The importance of Brazilian firms in that industry only star</w:t>
      </w:r>
      <w:r w:rsidR="00BB5263">
        <w:rPr>
          <w:rFonts w:ascii="Arial" w:eastAsia="Times New Roman" w:hAnsi="Arial" w:cs="Arial"/>
          <w:sz w:val="24"/>
          <w:szCs w:val="24"/>
          <w:lang w:val="en-US"/>
        </w:rPr>
        <w:t>t</w:t>
      </w:r>
      <w:r w:rsidR="00267932" w:rsidRPr="007E3D2F">
        <w:rPr>
          <w:rFonts w:ascii="Arial" w:eastAsia="Times New Roman" w:hAnsi="Arial" w:cs="Arial"/>
          <w:sz w:val="24"/>
          <w:szCs w:val="24"/>
          <w:lang w:val="en-US"/>
        </w:rPr>
        <w:t>ed increasing in the 2000s with the dissemination of generic drugs</w:t>
      </w:r>
      <w:r w:rsidR="00F57374">
        <w:rPr>
          <w:rFonts w:ascii="Arial" w:eastAsia="Times New Roman" w:hAnsi="Arial" w:cs="Arial"/>
          <w:sz w:val="24"/>
          <w:szCs w:val="24"/>
          <w:lang w:val="en-US"/>
        </w:rPr>
        <w:t>,</w:t>
      </w:r>
      <w:r w:rsidR="00267932" w:rsidRPr="007E3D2F">
        <w:rPr>
          <w:rFonts w:ascii="Arial" w:eastAsia="Times New Roman" w:hAnsi="Arial" w:cs="Arial"/>
          <w:sz w:val="24"/>
          <w:szCs w:val="24"/>
          <w:lang w:val="en-US"/>
        </w:rPr>
        <w:t xml:space="preserve"> </w:t>
      </w:r>
      <w:r w:rsidR="00BB5263">
        <w:rPr>
          <w:rFonts w:ascii="Arial" w:eastAsia="Times New Roman" w:hAnsi="Arial" w:cs="Arial"/>
          <w:sz w:val="24"/>
          <w:szCs w:val="24"/>
          <w:lang w:val="en-US"/>
        </w:rPr>
        <w:t>and</w:t>
      </w:r>
      <w:r w:rsidR="00267932" w:rsidRPr="007E3D2F">
        <w:rPr>
          <w:rFonts w:ascii="Arial" w:eastAsia="Times New Roman" w:hAnsi="Arial" w:cs="Arial"/>
          <w:sz w:val="24"/>
          <w:szCs w:val="24"/>
          <w:lang w:val="en-US"/>
        </w:rPr>
        <w:t xml:space="preserve"> in any case it refers to established active principles and therefore do</w:t>
      </w:r>
      <w:r w:rsidR="00F57374">
        <w:rPr>
          <w:rFonts w:ascii="Arial" w:eastAsia="Times New Roman" w:hAnsi="Arial" w:cs="Arial"/>
          <w:sz w:val="24"/>
          <w:szCs w:val="24"/>
          <w:lang w:val="en-US"/>
        </w:rPr>
        <w:t>es</w:t>
      </w:r>
      <w:r w:rsidR="00267932" w:rsidRPr="007E3D2F">
        <w:rPr>
          <w:rFonts w:ascii="Arial" w:eastAsia="Times New Roman" w:hAnsi="Arial" w:cs="Arial"/>
          <w:sz w:val="24"/>
          <w:szCs w:val="24"/>
          <w:lang w:val="en-US"/>
        </w:rPr>
        <w:t xml:space="preserve"> not involve important innovative efforts.</w:t>
      </w:r>
    </w:p>
    <w:p w:rsidR="00D7223E" w:rsidRPr="00D9775E" w:rsidRDefault="000F69E9" w:rsidP="007E3D2F">
      <w:pPr>
        <w:spacing w:line="480" w:lineRule="auto"/>
        <w:ind w:firstLine="708"/>
        <w:jc w:val="both"/>
        <w:rPr>
          <w:rFonts w:ascii="Arial" w:eastAsia="Times New Roman" w:hAnsi="Arial" w:cs="Arial"/>
          <w:sz w:val="24"/>
          <w:szCs w:val="24"/>
          <w:lang w:val="en-US"/>
        </w:rPr>
      </w:pPr>
      <w:r w:rsidRPr="007E3D2F">
        <w:rPr>
          <w:rFonts w:ascii="Arial" w:eastAsia="Times New Roman" w:hAnsi="Arial" w:cs="Arial"/>
          <w:sz w:val="24"/>
          <w:szCs w:val="24"/>
          <w:lang w:val="en-US"/>
        </w:rPr>
        <w:t>Addit</w:t>
      </w:r>
      <w:r w:rsidR="00D9775E">
        <w:rPr>
          <w:rFonts w:ascii="Arial" w:eastAsia="Times New Roman" w:hAnsi="Arial" w:cs="Arial"/>
          <w:sz w:val="24"/>
          <w:szCs w:val="24"/>
          <w:lang w:val="en-US"/>
        </w:rPr>
        <w:t>i</w:t>
      </w:r>
      <w:r w:rsidRPr="007E3D2F">
        <w:rPr>
          <w:rFonts w:ascii="Arial" w:eastAsia="Times New Roman" w:hAnsi="Arial" w:cs="Arial"/>
          <w:sz w:val="24"/>
          <w:szCs w:val="24"/>
          <w:lang w:val="en-US"/>
        </w:rPr>
        <w:t xml:space="preserve">onally, sectors </w:t>
      </w:r>
      <w:r w:rsidR="00D826C7">
        <w:rPr>
          <w:rFonts w:ascii="Arial" w:eastAsia="Times New Roman" w:hAnsi="Arial" w:cs="Arial"/>
          <w:sz w:val="24"/>
          <w:szCs w:val="24"/>
          <w:lang w:val="en-US"/>
        </w:rPr>
        <w:t xml:space="preserve">that involve </w:t>
      </w:r>
      <w:r w:rsidRPr="007E3D2F">
        <w:rPr>
          <w:rFonts w:ascii="Arial" w:eastAsia="Times New Roman" w:hAnsi="Arial" w:cs="Arial"/>
          <w:sz w:val="24"/>
          <w:szCs w:val="24"/>
          <w:lang w:val="en-US"/>
        </w:rPr>
        <w:t xml:space="preserve">products derived from </w:t>
      </w:r>
      <w:r w:rsidR="009A056B">
        <w:rPr>
          <w:rFonts w:ascii="Arial" w:eastAsia="Times New Roman" w:hAnsi="Arial" w:cs="Arial"/>
          <w:sz w:val="24"/>
          <w:szCs w:val="24"/>
          <w:lang w:val="en-US"/>
        </w:rPr>
        <w:t>pulp and paper</w:t>
      </w:r>
      <w:r w:rsidRPr="007E3D2F">
        <w:rPr>
          <w:rFonts w:ascii="Arial" w:eastAsia="Times New Roman" w:hAnsi="Arial" w:cs="Arial"/>
          <w:sz w:val="24"/>
          <w:szCs w:val="24"/>
          <w:lang w:val="en-US"/>
        </w:rPr>
        <w:t xml:space="preserve"> that were classified as SM-I in previous studies </w:t>
      </w:r>
      <w:r w:rsidR="00D826C7">
        <w:rPr>
          <w:rFonts w:ascii="Arial" w:eastAsia="Times New Roman" w:hAnsi="Arial" w:cs="Arial"/>
          <w:sz w:val="24"/>
          <w:szCs w:val="24"/>
          <w:lang w:val="en-US"/>
        </w:rPr>
        <w:t>are</w:t>
      </w:r>
      <w:r w:rsidRPr="007E3D2F">
        <w:rPr>
          <w:rFonts w:ascii="Arial" w:eastAsia="Times New Roman" w:hAnsi="Arial" w:cs="Arial"/>
          <w:sz w:val="24"/>
          <w:szCs w:val="24"/>
          <w:lang w:val="en-US"/>
        </w:rPr>
        <w:t xml:space="preserve"> classified as SM-II in the Brazilian case.</w:t>
      </w:r>
      <w:r w:rsidR="006E5EA4">
        <w:rPr>
          <w:rFonts w:ascii="Arial" w:eastAsia="Times New Roman" w:hAnsi="Arial" w:cs="Arial"/>
          <w:color w:val="E36C0A"/>
          <w:sz w:val="24"/>
          <w:szCs w:val="24"/>
          <w:lang w:val="en-US"/>
        </w:rPr>
        <w:t xml:space="preserve"> </w:t>
      </w:r>
      <w:r w:rsidR="00D7223E" w:rsidRPr="00D9775E">
        <w:rPr>
          <w:rFonts w:ascii="Arial" w:eastAsia="Times New Roman" w:hAnsi="Arial" w:cs="Arial"/>
          <w:sz w:val="24"/>
          <w:szCs w:val="24"/>
          <w:lang w:val="en-US"/>
        </w:rPr>
        <w:t>A distinguish</w:t>
      </w:r>
      <w:r w:rsidR="00D9775E" w:rsidRPr="00D9775E">
        <w:rPr>
          <w:rFonts w:ascii="Arial" w:eastAsia="Times New Roman" w:hAnsi="Arial" w:cs="Arial"/>
          <w:sz w:val="24"/>
          <w:szCs w:val="24"/>
          <w:lang w:val="en-US"/>
        </w:rPr>
        <w:t>ing</w:t>
      </w:r>
      <w:r w:rsidR="00D7223E" w:rsidRPr="00D9775E">
        <w:rPr>
          <w:rFonts w:ascii="Arial" w:eastAsia="Times New Roman" w:hAnsi="Arial" w:cs="Arial"/>
          <w:sz w:val="24"/>
          <w:szCs w:val="24"/>
          <w:lang w:val="en-US"/>
        </w:rPr>
        <w:t xml:space="preserve"> characteristic </w:t>
      </w:r>
      <w:r w:rsidR="009A056B">
        <w:rPr>
          <w:rFonts w:ascii="Arial" w:eastAsia="Times New Roman" w:hAnsi="Arial" w:cs="Arial"/>
          <w:sz w:val="24"/>
          <w:szCs w:val="24"/>
          <w:lang w:val="en-US"/>
        </w:rPr>
        <w:t>in the case of pulp and paper</w:t>
      </w:r>
      <w:r w:rsidR="00D9775E" w:rsidRPr="00D9775E">
        <w:rPr>
          <w:rFonts w:ascii="Arial" w:eastAsia="Times New Roman" w:hAnsi="Arial" w:cs="Arial"/>
          <w:sz w:val="24"/>
          <w:szCs w:val="24"/>
          <w:lang w:val="en-US"/>
        </w:rPr>
        <w:t xml:space="preserve"> </w:t>
      </w:r>
      <w:r w:rsidR="00D7223E" w:rsidRPr="00D9775E">
        <w:rPr>
          <w:rFonts w:ascii="Arial" w:eastAsia="Times New Roman" w:hAnsi="Arial" w:cs="Arial"/>
          <w:sz w:val="24"/>
          <w:szCs w:val="24"/>
          <w:lang w:val="en-US"/>
        </w:rPr>
        <w:t xml:space="preserve">is </w:t>
      </w:r>
      <w:r w:rsidR="004D0773" w:rsidRPr="00D9775E">
        <w:rPr>
          <w:rFonts w:ascii="Arial" w:eastAsia="Times New Roman" w:hAnsi="Arial" w:cs="Arial"/>
          <w:sz w:val="24"/>
          <w:szCs w:val="24"/>
          <w:lang w:val="en-US"/>
        </w:rPr>
        <w:t>that Brazil ha</w:t>
      </w:r>
      <w:r w:rsidR="00D9775E" w:rsidRPr="00D9775E">
        <w:rPr>
          <w:rFonts w:ascii="Arial" w:eastAsia="Times New Roman" w:hAnsi="Arial" w:cs="Arial"/>
          <w:sz w:val="24"/>
          <w:szCs w:val="24"/>
          <w:lang w:val="en-US"/>
        </w:rPr>
        <w:t>s</w:t>
      </w:r>
      <w:r w:rsidR="004D0773" w:rsidRPr="00D9775E">
        <w:rPr>
          <w:rFonts w:ascii="Arial" w:eastAsia="Times New Roman" w:hAnsi="Arial" w:cs="Arial"/>
          <w:sz w:val="24"/>
          <w:szCs w:val="24"/>
          <w:lang w:val="en-US"/>
        </w:rPr>
        <w:t xml:space="preserve"> a </w:t>
      </w:r>
      <w:r w:rsidR="00D9775E" w:rsidRPr="00D9775E">
        <w:rPr>
          <w:rFonts w:ascii="Arial" w:eastAsia="Times New Roman" w:hAnsi="Arial" w:cs="Arial"/>
          <w:sz w:val="24"/>
          <w:szCs w:val="24"/>
          <w:lang w:val="en-US"/>
        </w:rPr>
        <w:t>significant</w:t>
      </w:r>
      <w:r w:rsidR="004D0773" w:rsidRPr="00D9775E">
        <w:rPr>
          <w:rFonts w:ascii="Arial" w:eastAsia="Times New Roman" w:hAnsi="Arial" w:cs="Arial"/>
          <w:sz w:val="24"/>
          <w:szCs w:val="24"/>
          <w:lang w:val="en-US"/>
        </w:rPr>
        <w:t xml:space="preserve"> competitive advantage, </w:t>
      </w:r>
      <w:r w:rsidR="00F57374">
        <w:rPr>
          <w:rFonts w:ascii="Arial" w:eastAsia="Times New Roman" w:hAnsi="Arial" w:cs="Arial"/>
          <w:sz w:val="24"/>
          <w:szCs w:val="24"/>
          <w:lang w:val="en-US"/>
        </w:rPr>
        <w:t>because</w:t>
      </w:r>
      <w:r w:rsidR="008A76FC" w:rsidRPr="00D9775E">
        <w:rPr>
          <w:rFonts w:ascii="Arial" w:eastAsia="Times New Roman" w:hAnsi="Arial" w:cs="Arial"/>
          <w:sz w:val="24"/>
          <w:szCs w:val="24"/>
          <w:lang w:val="en-US"/>
        </w:rPr>
        <w:t xml:space="preserve"> it </w:t>
      </w:r>
      <w:r w:rsidR="00F57374">
        <w:rPr>
          <w:rFonts w:ascii="Arial" w:eastAsia="Times New Roman" w:hAnsi="Arial" w:cs="Arial"/>
          <w:sz w:val="24"/>
          <w:szCs w:val="24"/>
          <w:lang w:val="en-US"/>
        </w:rPr>
        <w:t>has</w:t>
      </w:r>
      <w:r w:rsidR="008A76FC" w:rsidRPr="00D9775E">
        <w:rPr>
          <w:rFonts w:ascii="Arial" w:eastAsia="Times New Roman" w:hAnsi="Arial" w:cs="Arial"/>
          <w:sz w:val="24"/>
          <w:szCs w:val="24"/>
          <w:lang w:val="en-US"/>
        </w:rPr>
        <w:t xml:space="preserve"> soil condition</w:t>
      </w:r>
      <w:r w:rsidR="00424766" w:rsidRPr="00D9775E">
        <w:rPr>
          <w:rFonts w:ascii="Arial" w:eastAsia="Times New Roman" w:hAnsi="Arial" w:cs="Arial"/>
          <w:sz w:val="24"/>
          <w:szCs w:val="24"/>
          <w:lang w:val="en-US"/>
        </w:rPr>
        <w:t>s, climate and insolation level</w:t>
      </w:r>
      <w:r w:rsidR="00F57374">
        <w:rPr>
          <w:rFonts w:ascii="Arial" w:eastAsia="Times New Roman" w:hAnsi="Arial" w:cs="Arial"/>
          <w:sz w:val="24"/>
          <w:szCs w:val="24"/>
          <w:lang w:val="en-US"/>
        </w:rPr>
        <w:t>s</w:t>
      </w:r>
      <w:r w:rsidR="00424766" w:rsidRPr="00D9775E">
        <w:rPr>
          <w:rFonts w:ascii="Arial" w:eastAsia="Times New Roman" w:hAnsi="Arial" w:cs="Arial"/>
          <w:sz w:val="24"/>
          <w:szCs w:val="24"/>
          <w:lang w:val="en-US"/>
        </w:rPr>
        <w:t xml:space="preserve"> that </w:t>
      </w:r>
      <w:proofErr w:type="spellStart"/>
      <w:r w:rsidR="00424766" w:rsidRPr="00D9775E">
        <w:rPr>
          <w:rFonts w:ascii="Arial" w:eastAsia="Times New Roman" w:hAnsi="Arial" w:cs="Arial"/>
          <w:sz w:val="24"/>
          <w:szCs w:val="24"/>
          <w:lang w:val="en-US"/>
        </w:rPr>
        <w:t>favo</w:t>
      </w:r>
      <w:r w:rsidR="00F57374">
        <w:rPr>
          <w:rFonts w:ascii="Arial" w:eastAsia="Times New Roman" w:hAnsi="Arial" w:cs="Arial"/>
          <w:sz w:val="24"/>
          <w:szCs w:val="24"/>
          <w:lang w:val="en-US"/>
        </w:rPr>
        <w:t>u</w:t>
      </w:r>
      <w:r w:rsidR="00424766" w:rsidRPr="00D9775E">
        <w:rPr>
          <w:rFonts w:ascii="Arial" w:eastAsia="Times New Roman" w:hAnsi="Arial" w:cs="Arial"/>
          <w:sz w:val="24"/>
          <w:szCs w:val="24"/>
          <w:lang w:val="en-US"/>
        </w:rPr>
        <w:t>r</w:t>
      </w:r>
      <w:proofErr w:type="spellEnd"/>
      <w:r w:rsidR="00424766" w:rsidRPr="00D9775E">
        <w:rPr>
          <w:rFonts w:ascii="Arial" w:eastAsia="Times New Roman" w:hAnsi="Arial" w:cs="Arial"/>
          <w:sz w:val="24"/>
          <w:szCs w:val="24"/>
          <w:lang w:val="en-US"/>
        </w:rPr>
        <w:t xml:space="preserve"> the growth of natural and planted forests.</w:t>
      </w:r>
      <w:r w:rsidR="006E5EA4" w:rsidRPr="00D9775E">
        <w:rPr>
          <w:rFonts w:ascii="Arial" w:eastAsia="Times New Roman" w:hAnsi="Arial" w:cs="Arial"/>
          <w:sz w:val="24"/>
          <w:szCs w:val="24"/>
          <w:lang w:val="en-US"/>
        </w:rPr>
        <w:t xml:space="preserve"> </w:t>
      </w:r>
    </w:p>
    <w:p w:rsidR="000202F0" w:rsidRPr="00D826C7" w:rsidRDefault="002E2B4E" w:rsidP="00120A04">
      <w:pPr>
        <w:spacing w:line="480" w:lineRule="auto"/>
        <w:ind w:firstLine="708"/>
        <w:jc w:val="both"/>
        <w:rPr>
          <w:rFonts w:ascii="Arial" w:eastAsia="Times New Roman" w:hAnsi="Arial" w:cs="Arial"/>
          <w:sz w:val="24"/>
          <w:szCs w:val="24"/>
          <w:lang w:val="en-US"/>
        </w:rPr>
      </w:pPr>
      <w:r w:rsidRPr="00D9775E">
        <w:rPr>
          <w:rFonts w:ascii="Arial" w:eastAsia="Times New Roman" w:hAnsi="Arial" w:cs="Arial"/>
          <w:sz w:val="24"/>
          <w:szCs w:val="24"/>
          <w:lang w:val="en-US"/>
        </w:rPr>
        <w:t xml:space="preserve">Brazilian </w:t>
      </w:r>
      <w:r w:rsidR="009A056B">
        <w:rPr>
          <w:rFonts w:ascii="Arial" w:eastAsia="Times New Roman" w:hAnsi="Arial" w:cs="Arial"/>
          <w:sz w:val="24"/>
          <w:szCs w:val="24"/>
          <w:lang w:val="en-US"/>
        </w:rPr>
        <w:t>pulp and paper</w:t>
      </w:r>
      <w:r w:rsidR="00EF5492" w:rsidRPr="00D9775E">
        <w:rPr>
          <w:rFonts w:ascii="Arial" w:eastAsia="Times New Roman" w:hAnsi="Arial" w:cs="Arial"/>
          <w:sz w:val="24"/>
          <w:szCs w:val="24"/>
          <w:lang w:val="en-US"/>
        </w:rPr>
        <w:t xml:space="preserve"> companies a</w:t>
      </w:r>
      <w:r w:rsidR="00F57374">
        <w:rPr>
          <w:rFonts w:ascii="Arial" w:eastAsia="Times New Roman" w:hAnsi="Arial" w:cs="Arial"/>
          <w:sz w:val="24"/>
          <w:szCs w:val="24"/>
          <w:lang w:val="en-US"/>
        </w:rPr>
        <w:t xml:space="preserve">re </w:t>
      </w:r>
      <w:proofErr w:type="spellStart"/>
      <w:r w:rsidR="00F57374">
        <w:rPr>
          <w:rFonts w:ascii="Arial" w:eastAsia="Times New Roman" w:hAnsi="Arial" w:cs="Arial"/>
          <w:sz w:val="24"/>
          <w:szCs w:val="24"/>
          <w:lang w:val="en-US"/>
        </w:rPr>
        <w:t>characteris</w:t>
      </w:r>
      <w:r w:rsidR="00EF5492" w:rsidRPr="00D9775E">
        <w:rPr>
          <w:rFonts w:ascii="Arial" w:eastAsia="Times New Roman" w:hAnsi="Arial" w:cs="Arial"/>
          <w:sz w:val="24"/>
          <w:szCs w:val="24"/>
          <w:lang w:val="en-US"/>
        </w:rPr>
        <w:t>ed</w:t>
      </w:r>
      <w:proofErr w:type="spellEnd"/>
      <w:r w:rsidR="00EF5492" w:rsidRPr="00D9775E">
        <w:rPr>
          <w:rFonts w:ascii="Arial" w:eastAsia="Times New Roman" w:hAnsi="Arial" w:cs="Arial"/>
          <w:sz w:val="24"/>
          <w:szCs w:val="24"/>
          <w:lang w:val="en-US"/>
        </w:rPr>
        <w:t xml:space="preserve"> </w:t>
      </w:r>
      <w:r w:rsidR="00F57374">
        <w:rPr>
          <w:rFonts w:ascii="Arial" w:eastAsia="Times New Roman" w:hAnsi="Arial" w:cs="Arial"/>
          <w:sz w:val="24"/>
          <w:szCs w:val="24"/>
          <w:lang w:val="en-US"/>
        </w:rPr>
        <w:t>as</w:t>
      </w:r>
      <w:r w:rsidR="00EF5492" w:rsidRPr="00D9775E">
        <w:rPr>
          <w:rFonts w:ascii="Arial" w:eastAsia="Times New Roman" w:hAnsi="Arial" w:cs="Arial"/>
          <w:sz w:val="24"/>
          <w:szCs w:val="24"/>
          <w:lang w:val="en-US"/>
        </w:rPr>
        <w:t xml:space="preserve"> being integrated from</w:t>
      </w:r>
      <w:r w:rsidR="0012545D">
        <w:rPr>
          <w:rFonts w:ascii="Arial" w:eastAsia="Times New Roman" w:hAnsi="Arial" w:cs="Arial"/>
          <w:sz w:val="24"/>
          <w:szCs w:val="24"/>
          <w:lang w:val="en-US"/>
        </w:rPr>
        <w:t xml:space="preserve"> the beginning of the chain, </w:t>
      </w:r>
      <w:r w:rsidR="00F57374">
        <w:rPr>
          <w:rFonts w:ascii="Arial" w:eastAsia="Times New Roman" w:hAnsi="Arial" w:cs="Arial"/>
          <w:sz w:val="24"/>
          <w:szCs w:val="24"/>
          <w:lang w:val="en-US"/>
        </w:rPr>
        <w:t xml:space="preserve">because </w:t>
      </w:r>
      <w:r w:rsidR="0012545D">
        <w:rPr>
          <w:rFonts w:ascii="Arial" w:eastAsia="Times New Roman" w:hAnsi="Arial" w:cs="Arial"/>
          <w:sz w:val="24"/>
          <w:szCs w:val="24"/>
          <w:lang w:val="en-US"/>
        </w:rPr>
        <w:t>as</w:t>
      </w:r>
      <w:r w:rsidR="00EF5492" w:rsidRPr="00D9775E">
        <w:rPr>
          <w:rFonts w:ascii="Arial" w:eastAsia="Times New Roman" w:hAnsi="Arial" w:cs="Arial"/>
          <w:sz w:val="24"/>
          <w:szCs w:val="24"/>
          <w:lang w:val="en-US"/>
        </w:rPr>
        <w:t xml:space="preserve"> </w:t>
      </w:r>
      <w:r w:rsidR="00861194" w:rsidRPr="00D9775E">
        <w:rPr>
          <w:rFonts w:ascii="Arial" w:eastAsia="Times New Roman" w:hAnsi="Arial" w:cs="Arial"/>
          <w:sz w:val="24"/>
          <w:szCs w:val="24"/>
          <w:lang w:val="en-US"/>
        </w:rPr>
        <w:t>the</w:t>
      </w:r>
      <w:r w:rsidR="00F57374">
        <w:rPr>
          <w:rFonts w:ascii="Arial" w:eastAsia="Times New Roman" w:hAnsi="Arial" w:cs="Arial"/>
          <w:sz w:val="24"/>
          <w:szCs w:val="24"/>
          <w:lang w:val="en-US"/>
        </w:rPr>
        <w:t xml:space="preserve"> companies they control</w:t>
      </w:r>
      <w:r w:rsidR="00861194" w:rsidRPr="00D9775E">
        <w:rPr>
          <w:rFonts w:ascii="Arial" w:eastAsia="Times New Roman" w:hAnsi="Arial" w:cs="Arial"/>
          <w:sz w:val="24"/>
          <w:szCs w:val="24"/>
          <w:lang w:val="en-US"/>
        </w:rPr>
        <w:t xml:space="preserve"> have</w:t>
      </w:r>
      <w:r w:rsidR="008839A4" w:rsidRPr="00D9775E">
        <w:rPr>
          <w:lang w:val="en-US"/>
        </w:rPr>
        <w:t xml:space="preserve"> </w:t>
      </w:r>
      <w:r w:rsidR="008839A4" w:rsidRPr="00D9775E">
        <w:rPr>
          <w:rFonts w:ascii="Arial" w:eastAsia="Times New Roman" w:hAnsi="Arial" w:cs="Arial"/>
          <w:sz w:val="24"/>
          <w:szCs w:val="24"/>
          <w:lang w:val="en-US"/>
        </w:rPr>
        <w:t xml:space="preserve">both planted forests that </w:t>
      </w:r>
      <w:r w:rsidR="00F57374">
        <w:rPr>
          <w:rFonts w:ascii="Arial" w:eastAsia="Times New Roman" w:hAnsi="Arial" w:cs="Arial"/>
          <w:sz w:val="24"/>
          <w:szCs w:val="24"/>
          <w:lang w:val="en-US"/>
        </w:rPr>
        <w:t>supply the</w:t>
      </w:r>
      <w:r w:rsidR="008839A4" w:rsidRPr="00D9775E">
        <w:rPr>
          <w:rFonts w:ascii="Arial" w:eastAsia="Times New Roman" w:hAnsi="Arial" w:cs="Arial"/>
          <w:sz w:val="24"/>
          <w:szCs w:val="24"/>
          <w:lang w:val="en-US"/>
        </w:rPr>
        <w:t xml:space="preserve"> pulp for paper production, and produce </w:t>
      </w:r>
      <w:r w:rsidR="00F57374">
        <w:rPr>
          <w:rFonts w:ascii="Arial" w:eastAsia="Times New Roman" w:hAnsi="Arial" w:cs="Arial"/>
          <w:sz w:val="24"/>
          <w:szCs w:val="24"/>
          <w:lang w:val="en-US"/>
        </w:rPr>
        <w:t xml:space="preserve">the </w:t>
      </w:r>
      <w:r w:rsidR="008839A4" w:rsidRPr="00D9775E">
        <w:rPr>
          <w:rFonts w:ascii="Arial" w:eastAsia="Times New Roman" w:hAnsi="Arial" w:cs="Arial"/>
          <w:sz w:val="24"/>
          <w:szCs w:val="24"/>
          <w:lang w:val="en-US"/>
        </w:rPr>
        <w:t>paper to be sold.</w:t>
      </w:r>
      <w:r w:rsidR="00EF5492" w:rsidRPr="00D9775E">
        <w:rPr>
          <w:rFonts w:ascii="Arial" w:eastAsia="Times New Roman" w:hAnsi="Arial" w:cs="Arial"/>
          <w:sz w:val="24"/>
          <w:szCs w:val="24"/>
          <w:lang w:val="en-US"/>
        </w:rPr>
        <w:t xml:space="preserve"> </w:t>
      </w:r>
      <w:r w:rsidR="00AB3191" w:rsidRPr="00D9775E">
        <w:rPr>
          <w:rFonts w:ascii="Arial" w:eastAsia="Times New Roman" w:hAnsi="Arial" w:cs="Arial"/>
          <w:sz w:val="24"/>
          <w:szCs w:val="24"/>
          <w:lang w:val="en-US"/>
        </w:rPr>
        <w:t>More specifically</w:t>
      </w:r>
      <w:r w:rsidR="00D9775E" w:rsidRPr="00D9775E">
        <w:rPr>
          <w:rFonts w:ascii="Arial" w:eastAsia="Times New Roman" w:hAnsi="Arial" w:cs="Arial"/>
          <w:sz w:val="24"/>
          <w:szCs w:val="24"/>
          <w:lang w:val="en-US"/>
        </w:rPr>
        <w:t>,</w:t>
      </w:r>
      <w:r w:rsidR="00AB3191" w:rsidRPr="00D9775E">
        <w:rPr>
          <w:rFonts w:ascii="Arial" w:eastAsia="Times New Roman" w:hAnsi="Arial" w:cs="Arial"/>
          <w:sz w:val="24"/>
          <w:szCs w:val="24"/>
          <w:lang w:val="en-US"/>
        </w:rPr>
        <w:t xml:space="preserve"> the </w:t>
      </w:r>
      <w:r w:rsidR="009A056B">
        <w:rPr>
          <w:rFonts w:ascii="Arial" w:eastAsia="Times New Roman" w:hAnsi="Arial" w:cs="Arial"/>
          <w:sz w:val="24"/>
          <w:szCs w:val="24"/>
          <w:lang w:val="en-US"/>
        </w:rPr>
        <w:t>pulp</w:t>
      </w:r>
      <w:r w:rsidR="00AB3191" w:rsidRPr="00D9775E">
        <w:rPr>
          <w:rFonts w:ascii="Arial" w:eastAsia="Times New Roman" w:hAnsi="Arial" w:cs="Arial"/>
          <w:sz w:val="24"/>
          <w:szCs w:val="24"/>
          <w:lang w:val="en-US"/>
        </w:rPr>
        <w:t xml:space="preserve"> sector </w:t>
      </w:r>
      <w:r w:rsidR="00475F3A" w:rsidRPr="00D9775E">
        <w:rPr>
          <w:rFonts w:ascii="Arial" w:eastAsia="Times New Roman" w:hAnsi="Arial" w:cs="Arial"/>
          <w:sz w:val="24"/>
          <w:szCs w:val="24"/>
          <w:lang w:val="en-US"/>
        </w:rPr>
        <w:t>i</w:t>
      </w:r>
      <w:r w:rsidR="00AB3191" w:rsidRPr="00D9775E">
        <w:rPr>
          <w:rFonts w:ascii="Arial" w:eastAsia="Times New Roman" w:hAnsi="Arial" w:cs="Arial"/>
          <w:sz w:val="24"/>
          <w:szCs w:val="24"/>
          <w:lang w:val="en-US"/>
        </w:rPr>
        <w:t xml:space="preserve">s, </w:t>
      </w:r>
      <w:r w:rsidR="00F57374">
        <w:rPr>
          <w:rFonts w:ascii="Arial" w:eastAsia="Times New Roman" w:hAnsi="Arial" w:cs="Arial"/>
          <w:sz w:val="24"/>
          <w:szCs w:val="24"/>
          <w:lang w:val="en-US"/>
        </w:rPr>
        <w:t>as</w:t>
      </w:r>
      <w:r w:rsidR="00AB3191" w:rsidRPr="00D9775E">
        <w:rPr>
          <w:rFonts w:ascii="Arial" w:eastAsia="Times New Roman" w:hAnsi="Arial" w:cs="Arial"/>
          <w:sz w:val="24"/>
          <w:szCs w:val="24"/>
          <w:lang w:val="en-US"/>
        </w:rPr>
        <w:t xml:space="preserve"> present</w:t>
      </w:r>
      <w:r w:rsidR="008839A4" w:rsidRPr="00D9775E">
        <w:rPr>
          <w:rFonts w:ascii="Arial" w:eastAsia="Times New Roman" w:hAnsi="Arial" w:cs="Arial"/>
          <w:sz w:val="24"/>
          <w:szCs w:val="24"/>
          <w:lang w:val="en-US"/>
        </w:rPr>
        <w:t>ed</w:t>
      </w:r>
      <w:r w:rsidR="00AB3191" w:rsidRPr="00D9775E">
        <w:rPr>
          <w:rFonts w:ascii="Arial" w:eastAsia="Times New Roman" w:hAnsi="Arial" w:cs="Arial"/>
          <w:sz w:val="24"/>
          <w:szCs w:val="24"/>
          <w:lang w:val="en-US"/>
        </w:rPr>
        <w:t xml:space="preserve"> </w:t>
      </w:r>
      <w:r w:rsidR="008839A4" w:rsidRPr="00D9775E">
        <w:rPr>
          <w:rFonts w:ascii="Arial" w:eastAsia="Times New Roman" w:hAnsi="Arial" w:cs="Arial"/>
          <w:sz w:val="24"/>
          <w:szCs w:val="24"/>
          <w:lang w:val="en-US"/>
        </w:rPr>
        <w:t xml:space="preserve">by </w:t>
      </w:r>
      <w:proofErr w:type="spellStart"/>
      <w:r w:rsidR="008839A4" w:rsidRPr="00D9775E">
        <w:rPr>
          <w:rFonts w:ascii="Arial" w:eastAsia="Times New Roman" w:hAnsi="Arial" w:cs="Arial"/>
          <w:sz w:val="24"/>
          <w:szCs w:val="24"/>
          <w:lang w:val="en-US"/>
        </w:rPr>
        <w:t>Dores</w:t>
      </w:r>
      <w:proofErr w:type="spellEnd"/>
      <w:r w:rsidR="008839A4" w:rsidRPr="00D9775E">
        <w:rPr>
          <w:rFonts w:ascii="Arial" w:eastAsia="Times New Roman" w:hAnsi="Arial" w:cs="Arial"/>
          <w:sz w:val="24"/>
          <w:szCs w:val="24"/>
          <w:lang w:val="en-US"/>
        </w:rPr>
        <w:t xml:space="preserve"> e</w:t>
      </w:r>
      <w:r w:rsidR="00D9775E" w:rsidRPr="00D9775E">
        <w:rPr>
          <w:rFonts w:ascii="Arial" w:eastAsia="Times New Roman" w:hAnsi="Arial" w:cs="Arial"/>
          <w:sz w:val="24"/>
          <w:szCs w:val="24"/>
          <w:lang w:val="en-US"/>
        </w:rPr>
        <w:t>t al.</w:t>
      </w:r>
      <w:r w:rsidR="008839A4" w:rsidRPr="00D9775E">
        <w:rPr>
          <w:rFonts w:ascii="Arial" w:eastAsia="Times New Roman" w:hAnsi="Arial" w:cs="Arial"/>
          <w:sz w:val="24"/>
          <w:szCs w:val="24"/>
          <w:lang w:val="en-US"/>
        </w:rPr>
        <w:t xml:space="preserve"> (2007</w:t>
      </w:r>
      <w:r w:rsidR="00112A74" w:rsidRPr="00D9775E">
        <w:rPr>
          <w:rFonts w:ascii="Arial" w:eastAsia="Times New Roman" w:hAnsi="Arial" w:cs="Arial"/>
          <w:sz w:val="24"/>
          <w:szCs w:val="24"/>
          <w:lang w:val="en-US"/>
        </w:rPr>
        <w:t>, p.122</w:t>
      </w:r>
      <w:r w:rsidR="008839A4" w:rsidRPr="00D9775E">
        <w:rPr>
          <w:rFonts w:ascii="Arial" w:eastAsia="Times New Roman" w:hAnsi="Arial" w:cs="Arial"/>
          <w:sz w:val="24"/>
          <w:szCs w:val="24"/>
          <w:lang w:val="en-US"/>
        </w:rPr>
        <w:t>)</w:t>
      </w:r>
      <w:r w:rsidR="00AB3191" w:rsidRPr="00D9775E">
        <w:rPr>
          <w:rFonts w:ascii="Arial" w:eastAsia="Times New Roman" w:hAnsi="Arial" w:cs="Arial"/>
          <w:sz w:val="24"/>
          <w:szCs w:val="24"/>
          <w:lang w:val="en-US"/>
        </w:rPr>
        <w:t xml:space="preserve">, highly </w:t>
      </w:r>
      <w:r w:rsidR="00F57374">
        <w:rPr>
          <w:rFonts w:ascii="Arial" w:eastAsia="Times New Roman" w:hAnsi="Arial" w:cs="Arial"/>
          <w:sz w:val="24"/>
          <w:szCs w:val="24"/>
          <w:lang w:val="en-US"/>
        </w:rPr>
        <w:t>capital-</w:t>
      </w:r>
      <w:r w:rsidR="00AB3191" w:rsidRPr="00D9775E">
        <w:rPr>
          <w:rFonts w:ascii="Arial" w:eastAsia="Times New Roman" w:hAnsi="Arial" w:cs="Arial"/>
          <w:sz w:val="24"/>
          <w:szCs w:val="24"/>
          <w:lang w:val="en-US"/>
        </w:rPr>
        <w:t>intensive, with high efficiency and minimal scales</w:t>
      </w:r>
      <w:r w:rsidR="00F57374">
        <w:rPr>
          <w:rFonts w:ascii="Arial" w:eastAsia="Times New Roman" w:hAnsi="Arial" w:cs="Arial"/>
          <w:sz w:val="24"/>
          <w:szCs w:val="24"/>
          <w:lang w:val="en-US"/>
        </w:rPr>
        <w:t xml:space="preserve">, </w:t>
      </w:r>
      <w:proofErr w:type="gramStart"/>
      <w:r w:rsidR="00F57374">
        <w:rPr>
          <w:rFonts w:ascii="Arial" w:eastAsia="Times New Roman" w:hAnsi="Arial" w:cs="Arial"/>
          <w:sz w:val="24"/>
          <w:szCs w:val="24"/>
          <w:lang w:val="en-US"/>
        </w:rPr>
        <w:t xml:space="preserve">and </w:t>
      </w:r>
      <w:r w:rsidR="00AB3191" w:rsidRPr="00D9775E">
        <w:rPr>
          <w:rFonts w:ascii="Arial" w:eastAsia="Times New Roman" w:hAnsi="Arial" w:cs="Arial"/>
          <w:sz w:val="24"/>
          <w:szCs w:val="24"/>
          <w:lang w:val="en-US"/>
        </w:rPr>
        <w:t xml:space="preserve"> displayi</w:t>
      </w:r>
      <w:r w:rsidR="004F644C" w:rsidRPr="00D9775E">
        <w:rPr>
          <w:rFonts w:ascii="Arial" w:eastAsia="Times New Roman" w:hAnsi="Arial" w:cs="Arial"/>
          <w:sz w:val="24"/>
          <w:szCs w:val="24"/>
          <w:lang w:val="en-US"/>
        </w:rPr>
        <w:t>ng</w:t>
      </w:r>
      <w:proofErr w:type="gramEnd"/>
      <w:r w:rsidR="004F644C" w:rsidRPr="00D9775E">
        <w:rPr>
          <w:rFonts w:ascii="Arial" w:eastAsia="Times New Roman" w:hAnsi="Arial" w:cs="Arial"/>
          <w:sz w:val="24"/>
          <w:szCs w:val="24"/>
          <w:lang w:val="en-US"/>
        </w:rPr>
        <w:t xml:space="preserve"> a cyclic</w:t>
      </w:r>
      <w:r w:rsidR="00D9775E" w:rsidRPr="00D9775E">
        <w:rPr>
          <w:rFonts w:ascii="Arial" w:eastAsia="Times New Roman" w:hAnsi="Arial" w:cs="Arial"/>
          <w:sz w:val="24"/>
          <w:szCs w:val="24"/>
          <w:lang w:val="en-US"/>
        </w:rPr>
        <w:t>al</w:t>
      </w:r>
      <w:r w:rsidR="004F644C" w:rsidRPr="00D9775E">
        <w:rPr>
          <w:rFonts w:ascii="Arial" w:eastAsia="Times New Roman" w:hAnsi="Arial" w:cs="Arial"/>
          <w:sz w:val="24"/>
          <w:szCs w:val="24"/>
          <w:lang w:val="en-US"/>
        </w:rPr>
        <w:t xml:space="preserve"> </w:t>
      </w:r>
      <w:r w:rsidR="00F57374">
        <w:rPr>
          <w:rFonts w:ascii="Arial" w:eastAsia="Times New Roman" w:hAnsi="Arial" w:cs="Arial"/>
          <w:sz w:val="24"/>
          <w:szCs w:val="24"/>
          <w:lang w:val="en-US"/>
        </w:rPr>
        <w:t xml:space="preserve">pricing </w:t>
      </w:r>
      <w:proofErr w:type="spellStart"/>
      <w:r w:rsidR="004F644C" w:rsidRPr="00D9775E">
        <w:rPr>
          <w:rFonts w:ascii="Arial" w:eastAsia="Times New Roman" w:hAnsi="Arial" w:cs="Arial"/>
          <w:sz w:val="24"/>
          <w:szCs w:val="24"/>
          <w:lang w:val="en-US"/>
        </w:rPr>
        <w:t>behavio</w:t>
      </w:r>
      <w:r w:rsidR="00F57374">
        <w:rPr>
          <w:rFonts w:ascii="Arial" w:eastAsia="Times New Roman" w:hAnsi="Arial" w:cs="Arial"/>
          <w:sz w:val="24"/>
          <w:szCs w:val="24"/>
          <w:lang w:val="en-US"/>
        </w:rPr>
        <w:t>u</w:t>
      </w:r>
      <w:r w:rsidR="004F644C" w:rsidRPr="00D9775E">
        <w:rPr>
          <w:rFonts w:ascii="Arial" w:eastAsia="Times New Roman" w:hAnsi="Arial" w:cs="Arial"/>
          <w:sz w:val="24"/>
          <w:szCs w:val="24"/>
          <w:lang w:val="en-US"/>
        </w:rPr>
        <w:t>r</w:t>
      </w:r>
      <w:proofErr w:type="spellEnd"/>
      <w:r w:rsidR="004F644C">
        <w:rPr>
          <w:rFonts w:ascii="Arial" w:eastAsia="Times New Roman" w:hAnsi="Arial" w:cs="Arial"/>
          <w:color w:val="E36C0A"/>
          <w:sz w:val="24"/>
          <w:szCs w:val="24"/>
          <w:lang w:val="en-US"/>
        </w:rPr>
        <w:t>.</w:t>
      </w:r>
      <w:r w:rsidR="00D84F66">
        <w:rPr>
          <w:rFonts w:ascii="Arial" w:eastAsia="Times New Roman" w:hAnsi="Arial" w:cs="Arial"/>
          <w:color w:val="E36C0A"/>
          <w:sz w:val="24"/>
          <w:szCs w:val="24"/>
          <w:lang w:val="en-US"/>
        </w:rPr>
        <w:t xml:space="preserve"> </w:t>
      </w:r>
      <w:r w:rsidR="00D84F66" w:rsidRPr="00D9775E">
        <w:rPr>
          <w:rFonts w:ascii="Arial" w:eastAsia="Times New Roman" w:hAnsi="Arial" w:cs="Arial"/>
          <w:sz w:val="24"/>
          <w:szCs w:val="24"/>
          <w:lang w:val="en-US"/>
        </w:rPr>
        <w:t xml:space="preserve">Another </w:t>
      </w:r>
      <w:r w:rsidR="00D9775E" w:rsidRPr="00D9775E">
        <w:rPr>
          <w:rFonts w:ascii="Arial" w:eastAsia="Times New Roman" w:hAnsi="Arial" w:cs="Arial"/>
          <w:sz w:val="24"/>
          <w:szCs w:val="24"/>
          <w:lang w:val="en-US"/>
        </w:rPr>
        <w:t xml:space="preserve">relevant </w:t>
      </w:r>
      <w:r w:rsidR="00D84F66" w:rsidRPr="00D9775E">
        <w:rPr>
          <w:rFonts w:ascii="Arial" w:eastAsia="Times New Roman" w:hAnsi="Arial" w:cs="Arial"/>
          <w:sz w:val="24"/>
          <w:szCs w:val="24"/>
          <w:lang w:val="en-US"/>
        </w:rPr>
        <w:t xml:space="preserve">characteristic of this sector </w:t>
      </w:r>
      <w:r w:rsidR="00F57374">
        <w:rPr>
          <w:rFonts w:ascii="Arial" w:eastAsia="Times New Roman" w:hAnsi="Arial" w:cs="Arial"/>
          <w:sz w:val="24"/>
          <w:szCs w:val="24"/>
          <w:lang w:val="en-US"/>
        </w:rPr>
        <w:t>is</w:t>
      </w:r>
      <w:r w:rsidR="00D9775E" w:rsidRPr="00D9775E">
        <w:rPr>
          <w:rFonts w:ascii="Arial" w:eastAsia="Times New Roman" w:hAnsi="Arial" w:cs="Arial"/>
          <w:sz w:val="24"/>
          <w:szCs w:val="24"/>
          <w:lang w:val="en-US"/>
        </w:rPr>
        <w:t xml:space="preserve"> </w:t>
      </w:r>
      <w:r w:rsidR="00F57374">
        <w:rPr>
          <w:rFonts w:ascii="Arial" w:eastAsia="Times New Roman" w:hAnsi="Arial" w:cs="Arial"/>
          <w:sz w:val="24"/>
          <w:szCs w:val="24"/>
          <w:lang w:val="en-US"/>
        </w:rPr>
        <w:t xml:space="preserve">that it </w:t>
      </w:r>
      <w:r w:rsidR="00D9775E" w:rsidRPr="00D9775E">
        <w:rPr>
          <w:rFonts w:ascii="Arial" w:eastAsia="Times New Roman" w:hAnsi="Arial" w:cs="Arial"/>
          <w:sz w:val="24"/>
          <w:szCs w:val="24"/>
          <w:lang w:val="en-US"/>
        </w:rPr>
        <w:t>is</w:t>
      </w:r>
      <w:r w:rsidR="004933A0" w:rsidRPr="00D9775E">
        <w:rPr>
          <w:rFonts w:ascii="Arial" w:eastAsia="Times New Roman" w:hAnsi="Arial" w:cs="Arial"/>
          <w:sz w:val="24"/>
          <w:szCs w:val="24"/>
          <w:lang w:val="en-US"/>
        </w:rPr>
        <w:t xml:space="preserve"> highly concentrated, with the </w:t>
      </w:r>
      <w:r w:rsidR="002530BE" w:rsidRPr="00D9775E">
        <w:rPr>
          <w:rFonts w:ascii="Arial" w:eastAsia="Times New Roman" w:hAnsi="Arial" w:cs="Arial"/>
          <w:sz w:val="24"/>
          <w:szCs w:val="24"/>
          <w:lang w:val="en-US"/>
        </w:rPr>
        <w:t>7</w:t>
      </w:r>
      <w:r w:rsidR="004933A0" w:rsidRPr="00D9775E">
        <w:rPr>
          <w:rFonts w:ascii="Arial" w:eastAsia="Times New Roman" w:hAnsi="Arial" w:cs="Arial"/>
          <w:sz w:val="24"/>
          <w:szCs w:val="24"/>
          <w:lang w:val="en-US"/>
        </w:rPr>
        <w:t xml:space="preserve"> largest companies</w:t>
      </w:r>
      <w:r w:rsidR="00582E41" w:rsidRPr="00D9775E">
        <w:rPr>
          <w:rFonts w:ascii="Arial" w:eastAsia="Times New Roman" w:hAnsi="Arial" w:cs="Arial"/>
          <w:sz w:val="24"/>
          <w:szCs w:val="24"/>
          <w:lang w:val="en-US"/>
        </w:rPr>
        <w:t>, in 2005,</w:t>
      </w:r>
      <w:r w:rsidR="004933A0" w:rsidRPr="00D9775E">
        <w:rPr>
          <w:rFonts w:ascii="Arial" w:eastAsia="Times New Roman" w:hAnsi="Arial" w:cs="Arial"/>
          <w:sz w:val="24"/>
          <w:szCs w:val="24"/>
          <w:lang w:val="en-US"/>
        </w:rPr>
        <w:t xml:space="preserve"> account</w:t>
      </w:r>
      <w:r w:rsidR="00D9775E" w:rsidRPr="00D9775E">
        <w:rPr>
          <w:rFonts w:ascii="Arial" w:eastAsia="Times New Roman" w:hAnsi="Arial" w:cs="Arial"/>
          <w:sz w:val="24"/>
          <w:szCs w:val="24"/>
          <w:lang w:val="en-US"/>
        </w:rPr>
        <w:t>ing</w:t>
      </w:r>
      <w:r w:rsidR="004933A0" w:rsidRPr="00D9775E">
        <w:rPr>
          <w:rFonts w:ascii="Arial" w:eastAsia="Times New Roman" w:hAnsi="Arial" w:cs="Arial"/>
          <w:sz w:val="24"/>
          <w:szCs w:val="24"/>
          <w:lang w:val="en-US"/>
        </w:rPr>
        <w:t xml:space="preserve"> for over 90% of </w:t>
      </w:r>
      <w:r w:rsidR="00F57374">
        <w:rPr>
          <w:rFonts w:ascii="Arial" w:eastAsia="Times New Roman" w:hAnsi="Arial" w:cs="Arial"/>
          <w:sz w:val="24"/>
          <w:szCs w:val="24"/>
          <w:lang w:val="en-US"/>
        </w:rPr>
        <w:t xml:space="preserve">the </w:t>
      </w:r>
      <w:r w:rsidR="004933A0" w:rsidRPr="00D9775E">
        <w:rPr>
          <w:rFonts w:ascii="Arial" w:eastAsia="Times New Roman" w:hAnsi="Arial" w:cs="Arial"/>
          <w:sz w:val="24"/>
          <w:szCs w:val="24"/>
          <w:lang w:val="en-US"/>
        </w:rPr>
        <w:t xml:space="preserve">production, according to data from </w:t>
      </w:r>
      <w:proofErr w:type="spellStart"/>
      <w:r w:rsidR="00F57374">
        <w:rPr>
          <w:rFonts w:ascii="Arial" w:eastAsia="Times New Roman" w:hAnsi="Arial" w:cs="Arial"/>
          <w:sz w:val="24"/>
          <w:szCs w:val="24"/>
          <w:lang w:val="en-US"/>
        </w:rPr>
        <w:t>Dores</w:t>
      </w:r>
      <w:proofErr w:type="spellEnd"/>
      <w:r w:rsidR="00F57374">
        <w:rPr>
          <w:rFonts w:ascii="Arial" w:eastAsia="Times New Roman" w:hAnsi="Arial" w:cs="Arial"/>
          <w:sz w:val="24"/>
          <w:szCs w:val="24"/>
          <w:lang w:val="en-US"/>
        </w:rPr>
        <w:t xml:space="preserve"> et al. (2007).</w:t>
      </w:r>
      <w:r w:rsidR="00D826C7">
        <w:rPr>
          <w:rFonts w:ascii="Arial" w:eastAsia="Times New Roman" w:hAnsi="Arial" w:cs="Arial"/>
          <w:sz w:val="24"/>
          <w:szCs w:val="24"/>
          <w:lang w:val="en-US"/>
        </w:rPr>
        <w:t xml:space="preserve"> Thus, </w:t>
      </w:r>
      <w:r w:rsidR="00F57374">
        <w:rPr>
          <w:rFonts w:ascii="Arial" w:eastAsia="Times New Roman" w:hAnsi="Arial" w:cs="Arial"/>
          <w:sz w:val="24"/>
          <w:szCs w:val="24"/>
          <w:lang w:val="en-US"/>
        </w:rPr>
        <w:t xml:space="preserve">we can </w:t>
      </w:r>
      <w:proofErr w:type="spellStart"/>
      <w:r w:rsidR="00F57374">
        <w:rPr>
          <w:rFonts w:ascii="Arial" w:eastAsia="Times New Roman" w:hAnsi="Arial" w:cs="Arial"/>
          <w:sz w:val="24"/>
          <w:szCs w:val="24"/>
          <w:lang w:val="en-US"/>
        </w:rPr>
        <w:t>summaris</w:t>
      </w:r>
      <w:r w:rsidR="000202F0" w:rsidRPr="00D826C7">
        <w:rPr>
          <w:rFonts w:ascii="Arial" w:eastAsia="Times New Roman" w:hAnsi="Arial" w:cs="Arial"/>
          <w:sz w:val="24"/>
          <w:szCs w:val="24"/>
          <w:lang w:val="en-US"/>
        </w:rPr>
        <w:t>e</w:t>
      </w:r>
      <w:proofErr w:type="spellEnd"/>
      <w:r w:rsidR="000202F0" w:rsidRPr="00D826C7">
        <w:rPr>
          <w:rFonts w:ascii="Arial" w:eastAsia="Times New Roman" w:hAnsi="Arial" w:cs="Arial"/>
          <w:sz w:val="24"/>
          <w:szCs w:val="24"/>
          <w:lang w:val="en-US"/>
        </w:rPr>
        <w:t xml:space="preserve"> the characteristics of th</w:t>
      </w:r>
      <w:r w:rsidR="00D826C7" w:rsidRPr="00D826C7">
        <w:rPr>
          <w:rFonts w:ascii="Arial" w:eastAsia="Times New Roman" w:hAnsi="Arial" w:cs="Arial"/>
          <w:sz w:val="24"/>
          <w:szCs w:val="24"/>
          <w:lang w:val="en-US"/>
        </w:rPr>
        <w:t>is</w:t>
      </w:r>
      <w:r w:rsidR="000202F0" w:rsidRPr="00D826C7">
        <w:rPr>
          <w:rFonts w:ascii="Arial" w:eastAsia="Times New Roman" w:hAnsi="Arial" w:cs="Arial"/>
          <w:sz w:val="24"/>
          <w:szCs w:val="24"/>
          <w:lang w:val="en-US"/>
        </w:rPr>
        <w:t xml:space="preserve"> sector as </w:t>
      </w:r>
      <w:r w:rsidR="00F57374">
        <w:rPr>
          <w:rFonts w:ascii="Arial" w:eastAsia="Times New Roman" w:hAnsi="Arial" w:cs="Arial"/>
          <w:sz w:val="24"/>
          <w:szCs w:val="24"/>
          <w:lang w:val="en-US"/>
        </w:rPr>
        <w:t>capital-</w:t>
      </w:r>
      <w:r w:rsidR="004D7861" w:rsidRPr="00D826C7">
        <w:rPr>
          <w:rFonts w:ascii="Arial" w:eastAsia="Times New Roman" w:hAnsi="Arial" w:cs="Arial"/>
          <w:sz w:val="24"/>
          <w:szCs w:val="24"/>
          <w:lang w:val="en-US"/>
        </w:rPr>
        <w:t xml:space="preserve">intensive, with </w:t>
      </w:r>
      <w:r w:rsidR="00D146E3" w:rsidRPr="00D826C7">
        <w:rPr>
          <w:rFonts w:ascii="Arial" w:eastAsia="Times New Roman" w:hAnsi="Arial" w:cs="Arial"/>
          <w:sz w:val="24"/>
          <w:szCs w:val="24"/>
          <w:lang w:val="en-US"/>
        </w:rPr>
        <w:t xml:space="preserve">high minimal </w:t>
      </w:r>
      <w:r w:rsidR="00D146E3" w:rsidRPr="00D826C7">
        <w:rPr>
          <w:rFonts w:ascii="Arial" w:eastAsia="Times New Roman" w:hAnsi="Arial" w:cs="Arial"/>
          <w:sz w:val="24"/>
          <w:szCs w:val="24"/>
          <w:lang w:val="en-US"/>
        </w:rPr>
        <w:lastRenderedPageBreak/>
        <w:t xml:space="preserve">scale, </w:t>
      </w:r>
      <w:r w:rsidR="00D826C7" w:rsidRPr="00D826C7">
        <w:rPr>
          <w:rFonts w:ascii="Arial" w:eastAsia="Times New Roman" w:hAnsi="Arial" w:cs="Arial"/>
          <w:sz w:val="24"/>
          <w:szCs w:val="24"/>
          <w:lang w:val="en-US"/>
        </w:rPr>
        <w:t xml:space="preserve">and </w:t>
      </w:r>
      <w:r w:rsidR="00D146E3" w:rsidRPr="00D826C7">
        <w:rPr>
          <w:rFonts w:ascii="Arial" w:eastAsia="Times New Roman" w:hAnsi="Arial" w:cs="Arial"/>
          <w:sz w:val="24"/>
          <w:szCs w:val="24"/>
          <w:lang w:val="en-US"/>
        </w:rPr>
        <w:t xml:space="preserve">with production concentrated in </w:t>
      </w:r>
      <w:r w:rsidR="00F57374">
        <w:rPr>
          <w:rFonts w:ascii="Arial" w:eastAsia="Times New Roman" w:hAnsi="Arial" w:cs="Arial"/>
          <w:sz w:val="24"/>
          <w:szCs w:val="24"/>
          <w:lang w:val="en-US"/>
        </w:rPr>
        <w:t xml:space="preserve">a </w:t>
      </w:r>
      <w:r w:rsidR="00D146E3" w:rsidRPr="00D826C7">
        <w:rPr>
          <w:rFonts w:ascii="Arial" w:eastAsia="Times New Roman" w:hAnsi="Arial" w:cs="Arial"/>
          <w:sz w:val="24"/>
          <w:szCs w:val="24"/>
          <w:lang w:val="en-US"/>
        </w:rPr>
        <w:t xml:space="preserve">few </w:t>
      </w:r>
      <w:r w:rsidR="00F57374">
        <w:rPr>
          <w:rFonts w:ascii="Arial" w:eastAsia="Times New Roman" w:hAnsi="Arial" w:cs="Arial"/>
          <w:sz w:val="24"/>
          <w:szCs w:val="24"/>
          <w:lang w:val="en-US"/>
        </w:rPr>
        <w:t>large</w:t>
      </w:r>
      <w:r w:rsidR="004C0F1B" w:rsidRPr="00D826C7">
        <w:rPr>
          <w:rFonts w:ascii="Arial" w:eastAsia="Times New Roman" w:hAnsi="Arial" w:cs="Arial"/>
          <w:sz w:val="24"/>
          <w:szCs w:val="24"/>
          <w:lang w:val="en-US"/>
        </w:rPr>
        <w:t xml:space="preserve"> companies</w:t>
      </w:r>
      <w:r w:rsidR="00107BA0">
        <w:rPr>
          <w:rFonts w:ascii="Arial" w:eastAsia="Times New Roman" w:hAnsi="Arial" w:cs="Arial"/>
          <w:sz w:val="24"/>
          <w:szCs w:val="24"/>
          <w:lang w:val="en-US"/>
        </w:rPr>
        <w:t xml:space="preserve"> which are much more </w:t>
      </w:r>
      <w:r w:rsidR="00E663F5" w:rsidRPr="00D826C7">
        <w:rPr>
          <w:rFonts w:ascii="Arial" w:eastAsia="Times New Roman" w:hAnsi="Arial" w:cs="Arial"/>
          <w:sz w:val="24"/>
          <w:szCs w:val="24"/>
          <w:lang w:val="en-US"/>
        </w:rPr>
        <w:t>SM-II characteristic</w:t>
      </w:r>
      <w:r w:rsidR="00107BA0">
        <w:rPr>
          <w:rFonts w:ascii="Arial" w:eastAsia="Times New Roman" w:hAnsi="Arial" w:cs="Arial"/>
          <w:sz w:val="24"/>
          <w:szCs w:val="24"/>
          <w:lang w:val="en-US"/>
        </w:rPr>
        <w:t>s</w:t>
      </w:r>
      <w:r w:rsidR="00E663F5" w:rsidRPr="00D826C7">
        <w:rPr>
          <w:rFonts w:ascii="Arial" w:eastAsia="Times New Roman" w:hAnsi="Arial" w:cs="Arial"/>
          <w:sz w:val="24"/>
          <w:szCs w:val="24"/>
          <w:lang w:val="en-US"/>
        </w:rPr>
        <w:t xml:space="preserve"> than SM-I, so t</w:t>
      </w:r>
      <w:r w:rsidR="00D826C7" w:rsidRPr="00D826C7">
        <w:rPr>
          <w:rFonts w:ascii="Arial" w:eastAsia="Times New Roman" w:hAnsi="Arial" w:cs="Arial"/>
          <w:sz w:val="24"/>
          <w:szCs w:val="24"/>
          <w:lang w:val="en-US"/>
        </w:rPr>
        <w:t>he chang</w:t>
      </w:r>
      <w:r w:rsidR="00107BA0">
        <w:rPr>
          <w:rFonts w:ascii="Arial" w:eastAsia="Times New Roman" w:hAnsi="Arial" w:cs="Arial"/>
          <w:sz w:val="24"/>
          <w:szCs w:val="24"/>
          <w:lang w:val="en-US"/>
        </w:rPr>
        <w:t>e</w:t>
      </w:r>
      <w:r w:rsidR="00D826C7" w:rsidRPr="00D826C7">
        <w:rPr>
          <w:rFonts w:ascii="Arial" w:eastAsia="Times New Roman" w:hAnsi="Arial" w:cs="Arial"/>
          <w:sz w:val="24"/>
          <w:szCs w:val="24"/>
          <w:lang w:val="en-US"/>
        </w:rPr>
        <w:t xml:space="preserve"> proposed by the LDA seems</w:t>
      </w:r>
      <w:r w:rsidR="00E663F5" w:rsidRPr="00D826C7">
        <w:rPr>
          <w:rFonts w:ascii="Arial" w:eastAsia="Times New Roman" w:hAnsi="Arial" w:cs="Arial"/>
          <w:sz w:val="24"/>
          <w:szCs w:val="24"/>
          <w:lang w:val="en-US"/>
        </w:rPr>
        <w:t xml:space="preserve"> to be</w:t>
      </w:r>
      <w:r w:rsidR="00D87687" w:rsidRPr="00D826C7">
        <w:rPr>
          <w:rFonts w:ascii="Arial" w:eastAsia="Times New Roman" w:hAnsi="Arial" w:cs="Arial"/>
          <w:sz w:val="24"/>
          <w:szCs w:val="24"/>
          <w:lang w:val="en-US"/>
        </w:rPr>
        <w:t xml:space="preserve"> </w:t>
      </w:r>
      <w:r w:rsidR="00D826C7" w:rsidRPr="00D826C7">
        <w:rPr>
          <w:rFonts w:ascii="Arial" w:eastAsia="Times New Roman" w:hAnsi="Arial" w:cs="Arial"/>
          <w:sz w:val="24"/>
          <w:szCs w:val="24"/>
          <w:lang w:val="en-US"/>
        </w:rPr>
        <w:t>appropriate</w:t>
      </w:r>
      <w:r w:rsidR="00D87687" w:rsidRPr="00D826C7">
        <w:rPr>
          <w:rFonts w:ascii="Arial" w:eastAsia="Times New Roman" w:hAnsi="Arial" w:cs="Arial"/>
          <w:sz w:val="24"/>
          <w:szCs w:val="24"/>
          <w:lang w:val="en-US"/>
        </w:rPr>
        <w:t xml:space="preserve">. </w:t>
      </w:r>
      <w:r w:rsidR="00E663F5" w:rsidRPr="00D826C7">
        <w:rPr>
          <w:rFonts w:ascii="Arial" w:eastAsia="Times New Roman" w:hAnsi="Arial" w:cs="Arial"/>
          <w:sz w:val="24"/>
          <w:szCs w:val="24"/>
          <w:lang w:val="en-US"/>
        </w:rPr>
        <w:t xml:space="preserve"> </w:t>
      </w:r>
    </w:p>
    <w:p w:rsidR="00881D4A" w:rsidRDefault="00612270" w:rsidP="009A056B">
      <w:pPr>
        <w:spacing w:line="480" w:lineRule="auto"/>
        <w:ind w:firstLine="708"/>
        <w:jc w:val="both"/>
        <w:rPr>
          <w:rFonts w:ascii="Arial" w:eastAsia="Times New Roman" w:hAnsi="Arial" w:cs="Arial"/>
          <w:sz w:val="24"/>
          <w:szCs w:val="24"/>
          <w:lang w:val="en-US"/>
        </w:rPr>
      </w:pPr>
      <w:r w:rsidRPr="00612270">
        <w:rPr>
          <w:rFonts w:ascii="Arial" w:eastAsia="Times New Roman" w:hAnsi="Arial" w:cs="Arial"/>
          <w:sz w:val="24"/>
          <w:szCs w:val="24"/>
          <w:lang w:val="en-US"/>
        </w:rPr>
        <w:t>Following</w:t>
      </w:r>
      <w:r w:rsidR="001B14D3" w:rsidRPr="00612270">
        <w:rPr>
          <w:rFonts w:ascii="Arial" w:eastAsia="Times New Roman" w:hAnsi="Arial" w:cs="Arial"/>
          <w:sz w:val="24"/>
          <w:szCs w:val="24"/>
          <w:lang w:val="en-US"/>
        </w:rPr>
        <w:t xml:space="preserve"> the classifications of sectors according to technological regimes, the next natural step is to explore structural </w:t>
      </w:r>
      <w:r w:rsidRPr="00612270">
        <w:rPr>
          <w:rFonts w:ascii="Arial" w:eastAsia="Times New Roman" w:hAnsi="Arial" w:cs="Arial"/>
          <w:sz w:val="24"/>
          <w:szCs w:val="24"/>
          <w:lang w:val="en-US"/>
        </w:rPr>
        <w:t>contrasts</w:t>
      </w:r>
      <w:r w:rsidR="001B14D3" w:rsidRPr="00612270">
        <w:rPr>
          <w:rFonts w:ascii="Arial" w:eastAsia="Times New Roman" w:hAnsi="Arial" w:cs="Arial"/>
          <w:sz w:val="24"/>
          <w:szCs w:val="24"/>
          <w:lang w:val="en-US"/>
        </w:rPr>
        <w:t xml:space="preserve"> between the sectors operating under the SM-I and SM-II regimes. For that purpose, the next section considers test</w:t>
      </w:r>
      <w:r w:rsidR="00A07C29">
        <w:rPr>
          <w:rFonts w:ascii="Arial" w:eastAsia="Times New Roman" w:hAnsi="Arial" w:cs="Arial"/>
          <w:sz w:val="24"/>
          <w:szCs w:val="24"/>
          <w:lang w:val="en-US"/>
        </w:rPr>
        <w:t>s</w:t>
      </w:r>
      <w:r w:rsidR="001B14D3" w:rsidRPr="00612270">
        <w:rPr>
          <w:rFonts w:ascii="Arial" w:eastAsia="Times New Roman" w:hAnsi="Arial" w:cs="Arial"/>
          <w:sz w:val="24"/>
          <w:szCs w:val="24"/>
          <w:lang w:val="en-US"/>
        </w:rPr>
        <w:t xml:space="preserve"> of different hypotheses that were advanced by Van Dijk (2000, 2002)  for the totality of firms and not only the innovating </w:t>
      </w:r>
      <w:r w:rsidR="00A07C29">
        <w:rPr>
          <w:rFonts w:ascii="Arial" w:eastAsia="Times New Roman" w:hAnsi="Arial" w:cs="Arial"/>
          <w:sz w:val="24"/>
          <w:szCs w:val="24"/>
          <w:lang w:val="en-US"/>
        </w:rPr>
        <w:t>firms</w:t>
      </w:r>
      <w:r w:rsidR="001B14D3" w:rsidRPr="00612270">
        <w:rPr>
          <w:rFonts w:ascii="Arial" w:eastAsia="Times New Roman" w:hAnsi="Arial" w:cs="Arial"/>
          <w:sz w:val="24"/>
          <w:szCs w:val="24"/>
          <w:lang w:val="en-US"/>
        </w:rPr>
        <w:t>.</w:t>
      </w:r>
    </w:p>
    <w:p w:rsidR="001B7730" w:rsidRDefault="001B7730" w:rsidP="009A056B">
      <w:pPr>
        <w:spacing w:line="480" w:lineRule="auto"/>
        <w:ind w:firstLine="708"/>
        <w:jc w:val="both"/>
        <w:rPr>
          <w:rFonts w:ascii="Arial" w:eastAsia="Times New Roman" w:hAnsi="Arial" w:cs="Arial"/>
          <w:sz w:val="24"/>
          <w:szCs w:val="24"/>
          <w:lang w:val="en-US"/>
        </w:rPr>
      </w:pPr>
    </w:p>
    <w:p w:rsidR="00DB255E" w:rsidRPr="002965B3" w:rsidRDefault="00DB255E" w:rsidP="00DB255E">
      <w:pPr>
        <w:spacing w:line="480" w:lineRule="auto"/>
        <w:ind w:left="-66"/>
        <w:rPr>
          <w:rFonts w:ascii="Arial" w:eastAsia="Times New Roman" w:hAnsi="Arial" w:cs="Arial"/>
          <w:b/>
          <w:sz w:val="24"/>
          <w:szCs w:val="24"/>
          <w:lang w:val="en-US"/>
        </w:rPr>
      </w:pPr>
      <w:r w:rsidRPr="002965B3">
        <w:rPr>
          <w:rFonts w:ascii="Arial" w:eastAsia="Times New Roman" w:hAnsi="Arial" w:cs="Arial"/>
          <w:b/>
          <w:sz w:val="24"/>
          <w:szCs w:val="24"/>
          <w:lang w:val="en-US"/>
        </w:rPr>
        <w:t>4.  Technological Regimes and Inter-Industry Heterogeneity</w:t>
      </w:r>
    </w:p>
    <w:p w:rsidR="00881D4A" w:rsidRPr="00B23BD8" w:rsidRDefault="00881D4A" w:rsidP="004806CC">
      <w:pPr>
        <w:spacing w:line="480" w:lineRule="auto"/>
        <w:ind w:left="-66"/>
        <w:jc w:val="both"/>
        <w:rPr>
          <w:rFonts w:ascii="Arial" w:eastAsia="Times New Roman" w:hAnsi="Arial" w:cs="Arial"/>
          <w:sz w:val="24"/>
          <w:szCs w:val="24"/>
          <w:lang w:val="en-US"/>
        </w:rPr>
      </w:pPr>
      <w:r w:rsidRPr="00B23BD8">
        <w:rPr>
          <w:rFonts w:ascii="Arial" w:eastAsia="Times New Roman" w:hAnsi="Arial" w:cs="Arial"/>
          <w:sz w:val="24"/>
          <w:szCs w:val="24"/>
          <w:lang w:val="en-US"/>
        </w:rPr>
        <w:t xml:space="preserve">4.1 – </w:t>
      </w:r>
      <w:r w:rsidRPr="00B23BD8">
        <w:rPr>
          <w:rFonts w:ascii="Arial" w:eastAsia="Times New Roman" w:hAnsi="Arial" w:cs="Arial"/>
          <w:sz w:val="24"/>
          <w:szCs w:val="24"/>
          <w:u w:val="single"/>
          <w:lang w:val="en-US"/>
        </w:rPr>
        <w:t>Relevant statistical tests: a brief digression</w:t>
      </w:r>
    </w:p>
    <w:p w:rsidR="00881D4A" w:rsidRPr="004806CC" w:rsidRDefault="00881D4A" w:rsidP="009A056B">
      <w:pPr>
        <w:spacing w:line="480" w:lineRule="auto"/>
        <w:ind w:left="-66" w:firstLine="774"/>
        <w:jc w:val="both"/>
        <w:rPr>
          <w:rFonts w:ascii="Arial" w:eastAsia="Times New Roman" w:hAnsi="Arial" w:cs="Arial"/>
          <w:sz w:val="24"/>
          <w:szCs w:val="24"/>
          <w:lang w:val="en-US"/>
        </w:rPr>
      </w:pPr>
      <w:r w:rsidRPr="004806CC">
        <w:rPr>
          <w:rFonts w:ascii="Arial" w:eastAsia="Times New Roman" w:hAnsi="Arial" w:cs="Arial"/>
          <w:sz w:val="24"/>
          <w:szCs w:val="24"/>
          <w:lang w:val="en-US"/>
        </w:rPr>
        <w:t>Van Dijk (2000, 2002) explored inter-industry contrasts for industrial sectors classified in ter</w:t>
      </w:r>
      <w:r w:rsidR="00AF4BB1">
        <w:rPr>
          <w:rFonts w:ascii="Arial" w:eastAsia="Times New Roman" w:hAnsi="Arial" w:cs="Arial"/>
          <w:sz w:val="24"/>
          <w:szCs w:val="24"/>
          <w:lang w:val="en-US"/>
        </w:rPr>
        <w:t>ms of technological regimes. This</w:t>
      </w:r>
      <w:r w:rsidRPr="004806CC">
        <w:rPr>
          <w:rFonts w:ascii="Arial" w:eastAsia="Times New Roman" w:hAnsi="Arial" w:cs="Arial"/>
          <w:sz w:val="24"/>
          <w:szCs w:val="24"/>
          <w:lang w:val="en-US"/>
        </w:rPr>
        <w:t xml:space="preserve"> analysis considers the totality of the population as </w:t>
      </w:r>
      <w:r w:rsidR="00AF4BB1">
        <w:rPr>
          <w:rFonts w:ascii="Arial" w:eastAsia="Times New Roman" w:hAnsi="Arial" w:cs="Arial"/>
          <w:sz w:val="24"/>
          <w:szCs w:val="24"/>
          <w:lang w:val="en-US"/>
        </w:rPr>
        <w:t xml:space="preserve">a </w:t>
      </w:r>
      <w:r w:rsidRPr="004806CC">
        <w:rPr>
          <w:rFonts w:ascii="Arial" w:eastAsia="Times New Roman" w:hAnsi="Arial" w:cs="Arial"/>
          <w:sz w:val="24"/>
          <w:szCs w:val="24"/>
          <w:lang w:val="en-US"/>
        </w:rPr>
        <w:t xml:space="preserve">reference and not only a sample of innovating firms. The related hypotheses </w:t>
      </w:r>
      <w:r w:rsidR="00AF4BB1">
        <w:rPr>
          <w:rFonts w:ascii="Arial" w:eastAsia="Times New Roman" w:hAnsi="Arial" w:cs="Arial"/>
          <w:sz w:val="24"/>
          <w:szCs w:val="24"/>
          <w:lang w:val="en-US"/>
        </w:rPr>
        <w:t xml:space="preserve">were been </w:t>
      </w:r>
      <w:proofErr w:type="spellStart"/>
      <w:r w:rsidR="00AF4BB1">
        <w:rPr>
          <w:rFonts w:ascii="Arial" w:eastAsia="Times New Roman" w:hAnsi="Arial" w:cs="Arial"/>
          <w:sz w:val="24"/>
          <w:szCs w:val="24"/>
          <w:lang w:val="en-US"/>
        </w:rPr>
        <w:t>summaris</w:t>
      </w:r>
      <w:r w:rsidRPr="004806CC">
        <w:rPr>
          <w:rFonts w:ascii="Arial" w:eastAsia="Times New Roman" w:hAnsi="Arial" w:cs="Arial"/>
          <w:sz w:val="24"/>
          <w:szCs w:val="24"/>
          <w:lang w:val="en-US"/>
        </w:rPr>
        <w:t>ed</w:t>
      </w:r>
      <w:proofErr w:type="spellEnd"/>
      <w:r w:rsidRPr="004806CC">
        <w:rPr>
          <w:rFonts w:ascii="Arial" w:eastAsia="Times New Roman" w:hAnsi="Arial" w:cs="Arial"/>
          <w:sz w:val="24"/>
          <w:szCs w:val="24"/>
          <w:lang w:val="en-US"/>
        </w:rPr>
        <w:t xml:space="preserve"> in table 1 and will be considered in the next sub-section.</w:t>
      </w:r>
    </w:p>
    <w:p w:rsidR="008E2A20" w:rsidRDefault="00881D4A" w:rsidP="008E2A20">
      <w:pPr>
        <w:spacing w:after="0" w:line="480" w:lineRule="auto"/>
        <w:ind w:left="-68" w:firstLine="777"/>
        <w:jc w:val="both"/>
        <w:rPr>
          <w:rFonts w:ascii="Arial" w:eastAsia="Times New Roman" w:hAnsi="Arial" w:cs="Arial"/>
          <w:sz w:val="24"/>
          <w:szCs w:val="24"/>
          <w:lang w:val="en-US"/>
        </w:rPr>
      </w:pPr>
      <w:r w:rsidRPr="00362C24">
        <w:rPr>
          <w:rFonts w:ascii="Arial" w:eastAsia="Times New Roman" w:hAnsi="Arial" w:cs="Arial"/>
          <w:sz w:val="24"/>
          <w:szCs w:val="24"/>
          <w:lang w:val="en-US"/>
        </w:rPr>
        <w:t>The referred empirical approach ma</w:t>
      </w:r>
      <w:r w:rsidR="00AF4BB1">
        <w:rPr>
          <w:rFonts w:ascii="Arial" w:eastAsia="Times New Roman" w:hAnsi="Arial" w:cs="Arial"/>
          <w:sz w:val="24"/>
          <w:szCs w:val="24"/>
          <w:lang w:val="en-US"/>
        </w:rPr>
        <w:t>d</w:t>
      </w:r>
      <w:r w:rsidRPr="00362C24">
        <w:rPr>
          <w:rFonts w:ascii="Arial" w:eastAsia="Times New Roman" w:hAnsi="Arial" w:cs="Arial"/>
          <w:sz w:val="24"/>
          <w:szCs w:val="24"/>
          <w:lang w:val="en-US"/>
        </w:rPr>
        <w:t>e use of tests for difference in means of the form</w:t>
      </w:r>
      <w:r w:rsidRPr="00362C24">
        <w:rPr>
          <w:rStyle w:val="Refdenotaderodap"/>
          <w:rFonts w:ascii="Arial" w:eastAsia="Times New Roman" w:hAnsi="Arial" w:cs="Arial"/>
          <w:sz w:val="24"/>
          <w:szCs w:val="24"/>
        </w:rPr>
        <w:footnoteReference w:id="9"/>
      </w:r>
      <w:r w:rsidR="008E2A20">
        <w:rPr>
          <w:rFonts w:ascii="Arial" w:eastAsia="Times New Roman" w:hAnsi="Arial" w:cs="Arial"/>
          <w:sz w:val="24"/>
          <w:szCs w:val="24"/>
          <w:lang w:val="en-US"/>
        </w:rPr>
        <w:t xml:space="preserve">:   </w:t>
      </w:r>
    </w:p>
    <w:p w:rsidR="00881D4A" w:rsidRPr="008E2A20" w:rsidRDefault="008E2A20" w:rsidP="008E2A20">
      <w:pPr>
        <w:spacing w:line="480" w:lineRule="auto"/>
        <w:ind w:left="-66" w:firstLine="774"/>
        <w:jc w:val="center"/>
        <w:rPr>
          <w:rFonts w:ascii="Arial" w:eastAsia="Times New Roman" w:hAnsi="Arial" w:cs="Arial"/>
          <w:sz w:val="24"/>
          <w:szCs w:val="24"/>
          <w:lang w:val="en-US"/>
        </w:rPr>
      </w:pPr>
      <w:r w:rsidRPr="00362C24">
        <w:rPr>
          <w:rFonts w:ascii="Arial" w:hAnsi="Arial" w:cs="Arial"/>
          <w:position w:val="-74"/>
          <w:sz w:val="24"/>
          <w:szCs w:val="24"/>
        </w:rPr>
        <w:object w:dxaOrig="462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6pt;height:48.9pt" o:ole="">
            <v:imagedata r:id="rId10" o:title=""/>
          </v:shape>
          <o:OLEObject Type="Embed" ProgID="Equation.3" ShapeID="_x0000_i1025" DrawAspect="Content" ObjectID="_1441097937" r:id="rId11"/>
        </w:object>
      </w:r>
    </w:p>
    <w:p w:rsidR="00881D4A" w:rsidRPr="00362C24" w:rsidRDefault="00881D4A" w:rsidP="008E2A20">
      <w:pPr>
        <w:spacing w:after="0" w:line="480" w:lineRule="auto"/>
        <w:ind w:firstLine="709"/>
        <w:jc w:val="both"/>
        <w:rPr>
          <w:rFonts w:ascii="Arial" w:hAnsi="Arial" w:cs="Arial"/>
          <w:sz w:val="24"/>
          <w:szCs w:val="24"/>
          <w:lang w:val="en-US"/>
        </w:rPr>
      </w:pPr>
      <w:r w:rsidRPr="00362C24">
        <w:rPr>
          <w:rFonts w:ascii="Arial" w:hAnsi="Arial" w:cs="Arial"/>
          <w:sz w:val="24"/>
          <w:szCs w:val="24"/>
          <w:lang w:val="en-US"/>
        </w:rPr>
        <w:lastRenderedPageBreak/>
        <w:t xml:space="preserve">The null hypothesis of the test </w:t>
      </w:r>
      <w:r w:rsidR="00AF4BB1">
        <w:rPr>
          <w:rFonts w:ascii="Arial" w:hAnsi="Arial" w:cs="Arial"/>
          <w:sz w:val="24"/>
          <w:szCs w:val="24"/>
          <w:lang w:val="en-US"/>
        </w:rPr>
        <w:t>was</w:t>
      </w:r>
      <w:r w:rsidRPr="00362C24">
        <w:rPr>
          <w:rFonts w:ascii="Arial" w:hAnsi="Arial" w:cs="Arial"/>
          <w:sz w:val="24"/>
          <w:szCs w:val="24"/>
          <w:lang w:val="en-US"/>
        </w:rPr>
        <w:t xml:space="preserve"> the equality of means across the different groups and the statistic is distributed as a Student t with (n</w:t>
      </w:r>
      <w:r w:rsidRPr="00362C24">
        <w:rPr>
          <w:rFonts w:ascii="Arial" w:hAnsi="Arial" w:cs="Arial"/>
          <w:sz w:val="24"/>
          <w:szCs w:val="24"/>
          <w:vertAlign w:val="subscript"/>
          <w:lang w:val="en-US"/>
        </w:rPr>
        <w:t>x</w:t>
      </w:r>
      <w:r w:rsidRPr="00362C24">
        <w:rPr>
          <w:rFonts w:ascii="Arial" w:hAnsi="Arial" w:cs="Arial"/>
          <w:sz w:val="24"/>
          <w:szCs w:val="24"/>
          <w:lang w:val="en-US"/>
        </w:rPr>
        <w:t>+</w:t>
      </w:r>
      <w:proofErr w:type="gramStart"/>
      <w:r w:rsidRPr="00362C24">
        <w:rPr>
          <w:rFonts w:ascii="Arial" w:hAnsi="Arial" w:cs="Arial"/>
          <w:sz w:val="24"/>
          <w:szCs w:val="24"/>
          <w:lang w:val="en-US"/>
        </w:rPr>
        <w:t>n</w:t>
      </w:r>
      <w:r w:rsidRPr="00362C24">
        <w:rPr>
          <w:rFonts w:ascii="Arial" w:hAnsi="Arial" w:cs="Arial"/>
          <w:sz w:val="24"/>
          <w:szCs w:val="24"/>
          <w:vertAlign w:val="subscript"/>
          <w:lang w:val="en-US"/>
        </w:rPr>
        <w:t>y</w:t>
      </w:r>
      <w:proofErr w:type="gramEnd"/>
      <w:r w:rsidRPr="00362C24">
        <w:rPr>
          <w:rFonts w:ascii="Arial" w:hAnsi="Arial" w:cs="Arial"/>
          <w:sz w:val="24"/>
          <w:szCs w:val="24"/>
          <w:lang w:val="en-US"/>
        </w:rPr>
        <w:t xml:space="preserve"> – 2) degrees of freedom. However, </w:t>
      </w:r>
      <w:r w:rsidR="009A056B" w:rsidRPr="00362C24">
        <w:rPr>
          <w:rFonts w:ascii="Arial" w:hAnsi="Arial" w:cs="Arial"/>
          <w:sz w:val="24"/>
          <w:szCs w:val="24"/>
          <w:lang w:val="en-US"/>
        </w:rPr>
        <w:t>this version for unequal sample sizes assumes</w:t>
      </w:r>
      <w:r w:rsidRPr="00362C24">
        <w:rPr>
          <w:rFonts w:ascii="Arial" w:hAnsi="Arial" w:cs="Arial"/>
          <w:sz w:val="24"/>
          <w:szCs w:val="24"/>
          <w:lang w:val="en-US"/>
        </w:rPr>
        <w:t xml:space="preserve"> equal variances. If such requirement is not tenable, </w:t>
      </w:r>
      <w:r w:rsidR="00AF4BB1">
        <w:rPr>
          <w:rFonts w:ascii="Arial" w:hAnsi="Arial" w:cs="Arial"/>
          <w:sz w:val="24"/>
          <w:szCs w:val="24"/>
          <w:lang w:val="en-US"/>
        </w:rPr>
        <w:t>we must</w:t>
      </w:r>
      <w:r w:rsidRPr="00362C24">
        <w:rPr>
          <w:rFonts w:ascii="Arial" w:hAnsi="Arial" w:cs="Arial"/>
          <w:sz w:val="24"/>
          <w:szCs w:val="24"/>
          <w:lang w:val="en-US"/>
        </w:rPr>
        <w:t xml:space="preserve"> rely on expression (2) </w:t>
      </w:r>
      <w:r w:rsidR="00AF4BB1">
        <w:rPr>
          <w:rFonts w:ascii="Arial" w:hAnsi="Arial" w:cs="Arial"/>
          <w:sz w:val="24"/>
          <w:szCs w:val="24"/>
          <w:lang w:val="en-US"/>
        </w:rPr>
        <w:t>of</w:t>
      </w:r>
      <w:r w:rsidRPr="00362C24">
        <w:rPr>
          <w:rFonts w:ascii="Arial" w:hAnsi="Arial" w:cs="Arial"/>
          <w:sz w:val="24"/>
          <w:szCs w:val="24"/>
          <w:lang w:val="en-US"/>
        </w:rPr>
        <w:t xml:space="preserve"> the test, known as Welch´s t test:</w:t>
      </w:r>
    </w:p>
    <w:p w:rsidR="00881D4A" w:rsidRPr="00362C24" w:rsidRDefault="008E2A20" w:rsidP="00881D4A">
      <w:pPr>
        <w:spacing w:line="480" w:lineRule="auto"/>
        <w:ind w:left="-66"/>
        <w:jc w:val="center"/>
        <w:rPr>
          <w:rFonts w:ascii="Arial" w:eastAsia="Times New Roman" w:hAnsi="Arial" w:cs="Arial"/>
          <w:sz w:val="24"/>
          <w:szCs w:val="24"/>
        </w:rPr>
      </w:pPr>
      <w:r w:rsidRPr="0012545D">
        <w:rPr>
          <w:rFonts w:ascii="Arial" w:hAnsi="Arial" w:cs="Arial"/>
          <w:position w:val="-76"/>
          <w:sz w:val="24"/>
          <w:szCs w:val="24"/>
        </w:rPr>
        <w:object w:dxaOrig="3260" w:dyaOrig="1140">
          <v:shape id="_x0000_i1026" type="#_x0000_t75" style="width:140.3pt;height:48.9pt" o:ole="">
            <v:imagedata r:id="rId12" o:title=""/>
          </v:shape>
          <o:OLEObject Type="Embed" ProgID="Equation.3" ShapeID="_x0000_i1026" DrawAspect="Content" ObjectID="_1441097938" r:id="rId13"/>
        </w:object>
      </w:r>
    </w:p>
    <w:p w:rsidR="00881D4A" w:rsidRPr="00362C24" w:rsidRDefault="00881D4A" w:rsidP="009A056B">
      <w:pPr>
        <w:spacing w:line="480" w:lineRule="auto"/>
        <w:ind w:firstLine="708"/>
        <w:jc w:val="both"/>
        <w:rPr>
          <w:rFonts w:ascii="Arial" w:hAnsi="Arial" w:cs="Arial"/>
          <w:sz w:val="24"/>
          <w:szCs w:val="24"/>
          <w:lang w:val="en-US"/>
        </w:rPr>
      </w:pPr>
      <w:r w:rsidRPr="00362C24">
        <w:rPr>
          <w:rFonts w:ascii="Arial" w:hAnsi="Arial" w:cs="Arial"/>
          <w:sz w:val="24"/>
          <w:szCs w:val="24"/>
          <w:lang w:val="en-US"/>
        </w:rPr>
        <w:t>Under the null hypothesis the relevant degrees of freedom are obtained in accordan</w:t>
      </w:r>
      <w:r w:rsidR="008E2A20">
        <w:rPr>
          <w:rFonts w:ascii="Arial" w:hAnsi="Arial" w:cs="Arial"/>
          <w:sz w:val="24"/>
          <w:szCs w:val="24"/>
          <w:lang w:val="en-US"/>
        </w:rPr>
        <w:t xml:space="preserve">ce </w:t>
      </w:r>
      <w:r w:rsidR="00720187">
        <w:rPr>
          <w:rFonts w:ascii="Arial" w:hAnsi="Arial" w:cs="Arial"/>
          <w:sz w:val="24"/>
          <w:szCs w:val="24"/>
          <w:lang w:val="en-US"/>
        </w:rPr>
        <w:t>with</w:t>
      </w:r>
      <w:r w:rsidR="008E2A20">
        <w:rPr>
          <w:rFonts w:ascii="Arial" w:hAnsi="Arial" w:cs="Arial"/>
          <w:sz w:val="24"/>
          <w:szCs w:val="24"/>
          <w:lang w:val="en-US"/>
        </w:rPr>
        <w:t xml:space="preserve"> the </w:t>
      </w:r>
      <w:proofErr w:type="spellStart"/>
      <w:r w:rsidR="008E2A20">
        <w:rPr>
          <w:rFonts w:ascii="Arial" w:hAnsi="Arial" w:cs="Arial"/>
          <w:sz w:val="24"/>
          <w:szCs w:val="24"/>
          <w:lang w:val="en-US"/>
        </w:rPr>
        <w:t>Satterthwaite</w:t>
      </w:r>
      <w:proofErr w:type="spellEnd"/>
      <w:r w:rsidR="008E2A20">
        <w:rPr>
          <w:rFonts w:ascii="Arial" w:hAnsi="Arial" w:cs="Arial"/>
          <w:sz w:val="24"/>
          <w:szCs w:val="24"/>
          <w:lang w:val="en-US"/>
        </w:rPr>
        <w:t xml:space="preserve"> formula</w:t>
      </w:r>
      <w:r w:rsidRPr="00362C24">
        <w:rPr>
          <w:rStyle w:val="Refdenotaderodap"/>
          <w:rFonts w:ascii="Arial" w:hAnsi="Arial" w:cs="Arial"/>
          <w:sz w:val="24"/>
          <w:szCs w:val="24"/>
        </w:rPr>
        <w:footnoteReference w:id="10"/>
      </w:r>
      <w:r w:rsidR="008E2A20">
        <w:rPr>
          <w:rFonts w:ascii="Arial" w:hAnsi="Arial" w:cs="Arial"/>
          <w:sz w:val="24"/>
          <w:szCs w:val="24"/>
          <w:lang w:val="en-US"/>
        </w:rPr>
        <w:t>.</w:t>
      </w:r>
      <w:r w:rsidRPr="00362C24">
        <w:rPr>
          <w:rFonts w:ascii="Arial" w:hAnsi="Arial" w:cs="Arial"/>
          <w:sz w:val="24"/>
          <w:szCs w:val="24"/>
          <w:lang w:val="en-US"/>
        </w:rPr>
        <w:t xml:space="preserve">  Therefore, it is important to assess the constancy of the variances prior to the application of the test for </w:t>
      </w:r>
      <w:r w:rsidR="00720187">
        <w:rPr>
          <w:rFonts w:ascii="Arial" w:hAnsi="Arial" w:cs="Arial"/>
          <w:sz w:val="24"/>
          <w:szCs w:val="24"/>
          <w:lang w:val="en-US"/>
        </w:rPr>
        <w:t xml:space="preserve">the </w:t>
      </w:r>
      <w:r w:rsidRPr="00362C24">
        <w:rPr>
          <w:rFonts w:ascii="Arial" w:hAnsi="Arial" w:cs="Arial"/>
          <w:sz w:val="24"/>
          <w:szCs w:val="24"/>
          <w:lang w:val="en-US"/>
        </w:rPr>
        <w:t>difference in means to de</w:t>
      </w:r>
      <w:r w:rsidR="00720187">
        <w:rPr>
          <w:rFonts w:ascii="Arial" w:hAnsi="Arial" w:cs="Arial"/>
          <w:sz w:val="24"/>
          <w:szCs w:val="24"/>
          <w:lang w:val="en-US"/>
        </w:rPr>
        <w:t>termine</w:t>
      </w:r>
      <w:r w:rsidRPr="00362C24">
        <w:rPr>
          <w:rFonts w:ascii="Arial" w:hAnsi="Arial" w:cs="Arial"/>
          <w:sz w:val="24"/>
          <w:szCs w:val="24"/>
          <w:lang w:val="en-US"/>
        </w:rPr>
        <w:t xml:space="preserve"> the appropriate version. For that purpose, we consider</w:t>
      </w:r>
      <w:r w:rsidR="00720187">
        <w:rPr>
          <w:rFonts w:ascii="Arial" w:hAnsi="Arial" w:cs="Arial"/>
          <w:sz w:val="24"/>
          <w:szCs w:val="24"/>
          <w:lang w:val="en-US"/>
        </w:rPr>
        <w:t>ed</w:t>
      </w:r>
      <w:r w:rsidRPr="00362C24">
        <w:rPr>
          <w:rFonts w:ascii="Arial" w:hAnsi="Arial" w:cs="Arial"/>
          <w:sz w:val="24"/>
          <w:szCs w:val="24"/>
          <w:lang w:val="en-US"/>
        </w:rPr>
        <w:t xml:space="preserve"> </w:t>
      </w:r>
      <w:proofErr w:type="spellStart"/>
      <w:r w:rsidRPr="00362C24">
        <w:rPr>
          <w:rFonts w:ascii="Arial" w:hAnsi="Arial" w:cs="Arial"/>
          <w:sz w:val="24"/>
          <w:szCs w:val="24"/>
          <w:lang w:val="en-US"/>
        </w:rPr>
        <w:t>Lavene´s</w:t>
      </w:r>
      <w:proofErr w:type="spellEnd"/>
      <w:r w:rsidRPr="00362C24">
        <w:rPr>
          <w:rFonts w:ascii="Arial" w:hAnsi="Arial" w:cs="Arial"/>
          <w:sz w:val="24"/>
          <w:szCs w:val="24"/>
          <w:lang w:val="en-US"/>
        </w:rPr>
        <w:t xml:space="preserve"> test as properly outlined by Forsythe (1974). All </w:t>
      </w:r>
      <w:r w:rsidR="00720187">
        <w:rPr>
          <w:rFonts w:ascii="Arial" w:hAnsi="Arial" w:cs="Arial"/>
          <w:sz w:val="24"/>
          <w:szCs w:val="24"/>
          <w:lang w:val="en-US"/>
        </w:rPr>
        <w:t xml:space="preserve">of </w:t>
      </w:r>
      <w:r w:rsidRPr="00362C24">
        <w:rPr>
          <w:rFonts w:ascii="Arial" w:hAnsi="Arial" w:cs="Arial"/>
          <w:sz w:val="24"/>
          <w:szCs w:val="24"/>
          <w:lang w:val="en-US"/>
        </w:rPr>
        <w:t>the tests were implemented with Stata 11.0.</w:t>
      </w:r>
    </w:p>
    <w:p w:rsidR="00881D4A" w:rsidRPr="00B23BD8" w:rsidRDefault="00881D4A" w:rsidP="00881D4A">
      <w:pPr>
        <w:spacing w:line="480" w:lineRule="auto"/>
        <w:rPr>
          <w:rFonts w:ascii="Arial" w:hAnsi="Arial" w:cs="Arial"/>
          <w:sz w:val="24"/>
          <w:szCs w:val="24"/>
          <w:lang w:val="en-US"/>
        </w:rPr>
      </w:pPr>
      <w:r w:rsidRPr="00B23BD8">
        <w:rPr>
          <w:rFonts w:ascii="Arial" w:hAnsi="Arial" w:cs="Arial"/>
          <w:sz w:val="24"/>
          <w:szCs w:val="24"/>
          <w:lang w:val="en-US"/>
        </w:rPr>
        <w:t xml:space="preserve">4.2 – </w:t>
      </w:r>
      <w:r w:rsidRPr="00B23BD8">
        <w:rPr>
          <w:rFonts w:ascii="Arial" w:hAnsi="Arial" w:cs="Arial"/>
          <w:sz w:val="24"/>
          <w:szCs w:val="24"/>
          <w:u w:val="single"/>
          <w:lang w:val="en-US"/>
        </w:rPr>
        <w:t>Empirical results</w:t>
      </w:r>
    </w:p>
    <w:p w:rsidR="00D57FDD" w:rsidRDefault="00881D4A" w:rsidP="008E2A20">
      <w:pPr>
        <w:spacing w:line="480" w:lineRule="auto"/>
        <w:ind w:firstLine="708"/>
        <w:jc w:val="both"/>
        <w:rPr>
          <w:rFonts w:ascii="Arial" w:hAnsi="Arial" w:cs="Arial"/>
          <w:sz w:val="24"/>
          <w:szCs w:val="24"/>
          <w:lang w:val="en-US" w:eastAsia="pt-BR"/>
        </w:rPr>
      </w:pPr>
      <w:r w:rsidRPr="00B23BD8">
        <w:rPr>
          <w:rFonts w:ascii="Arial" w:hAnsi="Arial" w:cs="Arial"/>
          <w:sz w:val="24"/>
          <w:szCs w:val="24"/>
          <w:lang w:val="en-US"/>
        </w:rPr>
        <w:t xml:space="preserve">The one-tailed tests for </w:t>
      </w:r>
      <w:r w:rsidR="006C339F">
        <w:rPr>
          <w:rFonts w:ascii="Arial" w:hAnsi="Arial" w:cs="Arial"/>
          <w:sz w:val="24"/>
          <w:szCs w:val="24"/>
          <w:lang w:val="en-US"/>
        </w:rPr>
        <w:t xml:space="preserve">the </w:t>
      </w:r>
      <w:r w:rsidRPr="00B23BD8">
        <w:rPr>
          <w:rFonts w:ascii="Arial" w:hAnsi="Arial" w:cs="Arial"/>
          <w:sz w:val="24"/>
          <w:szCs w:val="24"/>
          <w:lang w:val="en-US"/>
        </w:rPr>
        <w:t xml:space="preserve">difference in means related to the </w:t>
      </w:r>
      <w:r w:rsidR="006C339F">
        <w:rPr>
          <w:rFonts w:ascii="Arial" w:hAnsi="Arial" w:cs="Arial"/>
          <w:sz w:val="24"/>
          <w:szCs w:val="24"/>
          <w:lang w:val="en-US"/>
        </w:rPr>
        <w:t>different hypotheses listed in Table 1 are presented in T</w:t>
      </w:r>
      <w:r w:rsidRPr="00B23BD8">
        <w:rPr>
          <w:rFonts w:ascii="Arial" w:hAnsi="Arial" w:cs="Arial"/>
          <w:sz w:val="24"/>
          <w:szCs w:val="24"/>
          <w:lang w:val="en-US"/>
        </w:rPr>
        <w:t xml:space="preserve">able </w:t>
      </w:r>
      <w:r w:rsidR="0087589F">
        <w:rPr>
          <w:rFonts w:ascii="Arial" w:hAnsi="Arial" w:cs="Arial"/>
          <w:sz w:val="24"/>
          <w:szCs w:val="24"/>
          <w:lang w:val="en-US"/>
        </w:rPr>
        <w:t>8</w:t>
      </w:r>
      <w:r w:rsidRPr="00B23BD8">
        <w:rPr>
          <w:rFonts w:ascii="Arial" w:hAnsi="Arial" w:cs="Arial"/>
          <w:sz w:val="24"/>
          <w:szCs w:val="24"/>
          <w:lang w:val="en-US"/>
        </w:rPr>
        <w:t>.</w:t>
      </w:r>
      <w:r w:rsidR="004C650B">
        <w:rPr>
          <w:rFonts w:ascii="Arial" w:hAnsi="Arial" w:cs="Arial"/>
          <w:sz w:val="24"/>
          <w:szCs w:val="24"/>
          <w:lang w:val="en-US"/>
        </w:rPr>
        <w:t xml:space="preserve"> Due to data availability restrictions we were not able to test the previously mentioned hypotheses 6 and 9.</w:t>
      </w:r>
    </w:p>
    <w:tbl>
      <w:tblPr>
        <w:tblW w:w="9087" w:type="dxa"/>
        <w:tblInd w:w="55" w:type="dxa"/>
        <w:tblCellMar>
          <w:left w:w="70" w:type="dxa"/>
          <w:right w:w="70" w:type="dxa"/>
        </w:tblCellMar>
        <w:tblLook w:val="04A0" w:firstRow="1" w:lastRow="0" w:firstColumn="1" w:lastColumn="0" w:noHBand="0" w:noVBand="1"/>
      </w:tblPr>
      <w:tblGrid>
        <w:gridCol w:w="7843"/>
        <w:gridCol w:w="1244"/>
      </w:tblGrid>
      <w:tr w:rsidR="00474366" w:rsidRPr="00EF29FE" w:rsidTr="0001632F">
        <w:trPr>
          <w:trHeight w:val="360"/>
        </w:trPr>
        <w:tc>
          <w:tcPr>
            <w:tcW w:w="9087" w:type="dxa"/>
            <w:gridSpan w:val="2"/>
            <w:tcBorders>
              <w:top w:val="nil"/>
              <w:left w:val="nil"/>
              <w:bottom w:val="nil"/>
              <w:right w:val="nil"/>
            </w:tcBorders>
            <w:shd w:val="clear" w:color="auto" w:fill="auto"/>
            <w:noWrap/>
            <w:vAlign w:val="bottom"/>
            <w:hideMark/>
          </w:tcPr>
          <w:p w:rsidR="00474366" w:rsidRPr="00EF29FE" w:rsidRDefault="00474366" w:rsidP="006C339F">
            <w:pPr>
              <w:spacing w:after="0" w:line="240" w:lineRule="auto"/>
              <w:jc w:val="center"/>
              <w:rPr>
                <w:rFonts w:ascii="Arial" w:eastAsia="Times New Roman" w:hAnsi="Arial" w:cs="Arial"/>
                <w:bCs/>
                <w:color w:val="000000"/>
                <w:sz w:val="24"/>
                <w:szCs w:val="24"/>
                <w:lang w:eastAsia="pt-BR"/>
              </w:rPr>
            </w:pPr>
            <w:r>
              <w:rPr>
                <w:rFonts w:ascii="Arial" w:eastAsia="Times New Roman" w:hAnsi="Arial" w:cs="Arial"/>
                <w:bCs/>
                <w:color w:val="000000"/>
                <w:sz w:val="24"/>
                <w:szCs w:val="24"/>
                <w:lang w:eastAsia="pt-BR"/>
              </w:rPr>
              <w:t>INSERT TABLE 8 A</w:t>
            </w:r>
            <w:r w:rsidR="006C339F">
              <w:rPr>
                <w:rFonts w:ascii="Arial" w:eastAsia="Times New Roman" w:hAnsi="Arial" w:cs="Arial"/>
                <w:bCs/>
                <w:color w:val="000000"/>
                <w:sz w:val="24"/>
                <w:szCs w:val="24"/>
                <w:lang w:eastAsia="pt-BR"/>
              </w:rPr>
              <w:t>BOUT</w:t>
            </w:r>
            <w:r>
              <w:rPr>
                <w:rFonts w:ascii="Arial" w:eastAsia="Times New Roman" w:hAnsi="Arial" w:cs="Arial"/>
                <w:bCs/>
                <w:color w:val="000000"/>
                <w:sz w:val="24"/>
                <w:szCs w:val="24"/>
                <w:lang w:eastAsia="pt-BR"/>
              </w:rPr>
              <w:t xml:space="preserve"> HERE</w:t>
            </w:r>
            <w:r w:rsidRPr="00EF29FE">
              <w:rPr>
                <w:rFonts w:ascii="Arial" w:eastAsia="Times New Roman" w:hAnsi="Arial" w:cs="Arial"/>
                <w:bCs/>
                <w:color w:val="000000"/>
                <w:sz w:val="24"/>
                <w:szCs w:val="24"/>
                <w:lang w:eastAsia="pt-BR"/>
              </w:rPr>
              <w:t xml:space="preserve"> </w:t>
            </w:r>
          </w:p>
        </w:tc>
      </w:tr>
      <w:tr w:rsidR="00474366" w:rsidRPr="00EF29FE" w:rsidTr="0001632F">
        <w:trPr>
          <w:gridAfter w:val="1"/>
          <w:wAfter w:w="1244" w:type="dxa"/>
          <w:trHeight w:val="180"/>
        </w:trPr>
        <w:tc>
          <w:tcPr>
            <w:tcW w:w="7843" w:type="dxa"/>
            <w:tcBorders>
              <w:top w:val="nil"/>
              <w:left w:val="nil"/>
              <w:bottom w:val="nil"/>
              <w:right w:val="nil"/>
            </w:tcBorders>
            <w:shd w:val="clear" w:color="auto" w:fill="auto"/>
            <w:noWrap/>
            <w:vAlign w:val="bottom"/>
            <w:hideMark/>
          </w:tcPr>
          <w:p w:rsidR="00474366" w:rsidRPr="00EF29FE" w:rsidRDefault="00474366" w:rsidP="0001632F">
            <w:pPr>
              <w:spacing w:after="0" w:line="240" w:lineRule="auto"/>
              <w:jc w:val="center"/>
              <w:rPr>
                <w:rFonts w:ascii="Arial" w:eastAsia="Times New Roman" w:hAnsi="Arial" w:cs="Arial"/>
                <w:b/>
                <w:bCs/>
                <w:color w:val="000000"/>
                <w:sz w:val="24"/>
                <w:szCs w:val="24"/>
                <w:lang w:eastAsia="pt-BR"/>
              </w:rPr>
            </w:pPr>
          </w:p>
        </w:tc>
      </w:tr>
    </w:tbl>
    <w:p w:rsidR="00474366" w:rsidRDefault="00474366" w:rsidP="00BD2A10">
      <w:pPr>
        <w:spacing w:line="480" w:lineRule="auto"/>
        <w:ind w:firstLine="708"/>
        <w:jc w:val="both"/>
        <w:rPr>
          <w:rFonts w:ascii="Arial" w:hAnsi="Arial" w:cs="Arial"/>
          <w:sz w:val="24"/>
          <w:szCs w:val="24"/>
          <w:lang w:val="en-US"/>
        </w:rPr>
      </w:pPr>
    </w:p>
    <w:p w:rsidR="00881D4A" w:rsidRPr="00362909" w:rsidRDefault="00881D4A" w:rsidP="00BD2A10">
      <w:pPr>
        <w:spacing w:line="480" w:lineRule="auto"/>
        <w:ind w:firstLine="708"/>
        <w:jc w:val="both"/>
        <w:rPr>
          <w:rFonts w:ascii="Arial" w:hAnsi="Arial" w:cs="Arial"/>
          <w:sz w:val="24"/>
          <w:szCs w:val="24"/>
          <w:lang w:val="en-US"/>
        </w:rPr>
      </w:pPr>
      <w:r w:rsidRPr="00B23BD8">
        <w:rPr>
          <w:rFonts w:ascii="Arial" w:hAnsi="Arial" w:cs="Arial"/>
          <w:sz w:val="24"/>
          <w:szCs w:val="24"/>
          <w:lang w:val="en-US"/>
        </w:rPr>
        <w:lastRenderedPageBreak/>
        <w:t>Previous analogous tests</w:t>
      </w:r>
      <w:r w:rsidR="003D5532">
        <w:rPr>
          <w:rFonts w:ascii="Arial" w:hAnsi="Arial" w:cs="Arial"/>
          <w:sz w:val="24"/>
          <w:szCs w:val="24"/>
          <w:lang w:val="en-US"/>
        </w:rPr>
        <w:t>,</w:t>
      </w:r>
      <w:r w:rsidRPr="00B23BD8">
        <w:rPr>
          <w:rFonts w:ascii="Arial" w:hAnsi="Arial" w:cs="Arial"/>
          <w:sz w:val="24"/>
          <w:szCs w:val="24"/>
          <w:lang w:val="en-US"/>
        </w:rPr>
        <w:t xml:space="preserve"> implemented by Van Dijk (2000, 2002) for the Netherlands</w:t>
      </w:r>
      <w:r w:rsidR="008E2A20">
        <w:rPr>
          <w:rFonts w:ascii="Arial" w:hAnsi="Arial" w:cs="Arial"/>
          <w:sz w:val="24"/>
          <w:szCs w:val="24"/>
          <w:lang w:val="en-US"/>
        </w:rPr>
        <w:t>,</w:t>
      </w:r>
      <w:r w:rsidR="008E2A20" w:rsidRPr="00B23BD8">
        <w:rPr>
          <w:rFonts w:ascii="Arial" w:hAnsi="Arial" w:cs="Arial"/>
          <w:sz w:val="24"/>
          <w:szCs w:val="24"/>
          <w:lang w:val="en-US"/>
        </w:rPr>
        <w:t xml:space="preserve"> provided </w:t>
      </w:r>
      <w:r w:rsidRPr="00B23BD8">
        <w:rPr>
          <w:rFonts w:ascii="Arial" w:hAnsi="Arial" w:cs="Arial"/>
          <w:sz w:val="24"/>
          <w:szCs w:val="24"/>
          <w:lang w:val="en-US"/>
        </w:rPr>
        <w:t xml:space="preserve">strong support for the various hypotheses. However, </w:t>
      </w:r>
      <w:r w:rsidR="006C339F">
        <w:rPr>
          <w:rFonts w:ascii="Arial" w:hAnsi="Arial" w:cs="Arial"/>
          <w:sz w:val="24"/>
          <w:szCs w:val="24"/>
          <w:lang w:val="en-US"/>
        </w:rPr>
        <w:t xml:space="preserve">we </w:t>
      </w:r>
      <w:proofErr w:type="gramStart"/>
      <w:r w:rsidR="006C339F">
        <w:rPr>
          <w:rFonts w:ascii="Arial" w:hAnsi="Arial" w:cs="Arial"/>
          <w:sz w:val="24"/>
          <w:szCs w:val="24"/>
          <w:lang w:val="en-US"/>
        </w:rPr>
        <w:t xml:space="preserve">must </w:t>
      </w:r>
      <w:r w:rsidRPr="00B23BD8">
        <w:rPr>
          <w:rFonts w:ascii="Arial" w:hAnsi="Arial" w:cs="Arial"/>
          <w:sz w:val="24"/>
          <w:szCs w:val="24"/>
          <w:lang w:val="en-US"/>
        </w:rPr>
        <w:t xml:space="preserve"> be</w:t>
      </w:r>
      <w:proofErr w:type="gramEnd"/>
      <w:r w:rsidRPr="00B23BD8">
        <w:rPr>
          <w:rFonts w:ascii="Arial" w:hAnsi="Arial" w:cs="Arial"/>
          <w:sz w:val="24"/>
          <w:szCs w:val="24"/>
          <w:lang w:val="en-US"/>
        </w:rPr>
        <w:t xml:space="preserve"> cautions given that the classification</w:t>
      </w:r>
      <w:r w:rsidR="006C339F">
        <w:rPr>
          <w:rFonts w:ascii="Arial" w:hAnsi="Arial" w:cs="Arial"/>
          <w:sz w:val="24"/>
          <w:szCs w:val="24"/>
          <w:lang w:val="en-US"/>
        </w:rPr>
        <w:t>s</w:t>
      </w:r>
      <w:r w:rsidRPr="00B23BD8">
        <w:rPr>
          <w:rFonts w:ascii="Arial" w:hAnsi="Arial" w:cs="Arial"/>
          <w:sz w:val="24"/>
          <w:szCs w:val="24"/>
          <w:lang w:val="en-US"/>
        </w:rPr>
        <w:t xml:space="preserve"> us</w:t>
      </w:r>
      <w:r w:rsidR="006C339F">
        <w:rPr>
          <w:rFonts w:ascii="Arial" w:hAnsi="Arial" w:cs="Arial"/>
          <w:sz w:val="24"/>
          <w:szCs w:val="24"/>
          <w:lang w:val="en-US"/>
        </w:rPr>
        <w:t>ed in those studies were based o</w:t>
      </w:r>
      <w:r w:rsidRPr="00B23BD8">
        <w:rPr>
          <w:rFonts w:ascii="Arial" w:hAnsi="Arial" w:cs="Arial"/>
          <w:sz w:val="24"/>
          <w:szCs w:val="24"/>
          <w:lang w:val="en-US"/>
        </w:rPr>
        <w:t>n evidence obtained by Malerba et al. (1995) for a different country</w:t>
      </w:r>
      <w:r w:rsidR="00362909">
        <w:rPr>
          <w:rFonts w:ascii="Arial" w:hAnsi="Arial" w:cs="Arial"/>
          <w:sz w:val="24"/>
          <w:szCs w:val="24"/>
          <w:lang w:val="en-US"/>
        </w:rPr>
        <w:t xml:space="preserve">. </w:t>
      </w:r>
      <w:r w:rsidRPr="00B23BD8">
        <w:rPr>
          <w:rFonts w:ascii="Arial" w:hAnsi="Arial" w:cs="Arial"/>
          <w:sz w:val="24"/>
          <w:szCs w:val="24"/>
          <w:lang w:val="en-US"/>
        </w:rPr>
        <w:t>Thus</w:t>
      </w:r>
      <w:r w:rsidR="004C650B">
        <w:rPr>
          <w:rFonts w:ascii="Arial" w:hAnsi="Arial" w:cs="Arial"/>
          <w:sz w:val="24"/>
          <w:szCs w:val="24"/>
          <w:lang w:val="en-US"/>
        </w:rPr>
        <w:t>,</w:t>
      </w:r>
      <w:r w:rsidRPr="00B23BD8">
        <w:rPr>
          <w:rFonts w:ascii="Arial" w:hAnsi="Arial" w:cs="Arial"/>
          <w:sz w:val="24"/>
          <w:szCs w:val="24"/>
          <w:lang w:val="en-US"/>
        </w:rPr>
        <w:t xml:space="preserve"> the tests presen</w:t>
      </w:r>
      <w:r w:rsidR="00362909">
        <w:rPr>
          <w:rFonts w:ascii="Arial" w:hAnsi="Arial" w:cs="Arial"/>
          <w:sz w:val="24"/>
          <w:szCs w:val="24"/>
          <w:lang w:val="en-US"/>
        </w:rPr>
        <w:t>ted in this sub-section attempt</w:t>
      </w:r>
      <w:r w:rsidRPr="00B23BD8">
        <w:rPr>
          <w:rFonts w:ascii="Arial" w:hAnsi="Arial" w:cs="Arial"/>
          <w:sz w:val="24"/>
          <w:szCs w:val="24"/>
          <w:lang w:val="en-US"/>
        </w:rPr>
        <w:t xml:space="preserve"> to partially fill a gap in the literature in the context of an emerging economy</w:t>
      </w:r>
      <w:r w:rsidR="006E51BE" w:rsidRPr="00362909">
        <w:rPr>
          <w:rFonts w:ascii="Arial" w:hAnsi="Arial" w:cs="Arial"/>
          <w:sz w:val="24"/>
          <w:szCs w:val="24"/>
          <w:lang w:val="en-US"/>
        </w:rPr>
        <w:t>, and to advance the work</w:t>
      </w:r>
      <w:r w:rsidR="00796871" w:rsidRPr="00362909">
        <w:rPr>
          <w:rFonts w:ascii="Arial" w:hAnsi="Arial" w:cs="Arial"/>
          <w:sz w:val="24"/>
          <w:szCs w:val="24"/>
          <w:lang w:val="en-US"/>
        </w:rPr>
        <w:t>s</w:t>
      </w:r>
      <w:r w:rsidR="006E51BE" w:rsidRPr="00362909">
        <w:rPr>
          <w:rFonts w:ascii="Arial" w:hAnsi="Arial" w:cs="Arial"/>
          <w:sz w:val="24"/>
          <w:szCs w:val="24"/>
          <w:lang w:val="en-US"/>
        </w:rPr>
        <w:t xml:space="preserve"> of Van </w:t>
      </w:r>
      <w:proofErr w:type="spellStart"/>
      <w:r w:rsidR="006E51BE" w:rsidRPr="00362909">
        <w:rPr>
          <w:rFonts w:ascii="Arial" w:hAnsi="Arial" w:cs="Arial"/>
          <w:sz w:val="24"/>
          <w:szCs w:val="24"/>
          <w:lang w:val="en-US"/>
        </w:rPr>
        <w:t>Dijk</w:t>
      </w:r>
      <w:proofErr w:type="spellEnd"/>
      <w:r w:rsidR="006609CA">
        <w:rPr>
          <w:rFonts w:ascii="Arial" w:hAnsi="Arial" w:cs="Arial"/>
          <w:sz w:val="24"/>
          <w:szCs w:val="24"/>
          <w:lang w:val="en-US"/>
        </w:rPr>
        <w:t xml:space="preserve"> </w:t>
      </w:r>
      <w:r w:rsidR="006609CA">
        <w:rPr>
          <w:rFonts w:ascii="Arial" w:hAnsi="Arial" w:cs="Arial"/>
          <w:i/>
          <w:sz w:val="24"/>
          <w:szCs w:val="24"/>
          <w:lang w:val="en-US"/>
        </w:rPr>
        <w:t>op. cit.</w:t>
      </w:r>
      <w:r w:rsidR="00C62137" w:rsidRPr="00362909">
        <w:rPr>
          <w:rFonts w:ascii="Arial" w:hAnsi="Arial" w:cs="Arial"/>
          <w:sz w:val="24"/>
          <w:szCs w:val="24"/>
          <w:lang w:val="en-US"/>
        </w:rPr>
        <w:t xml:space="preserve">, </w:t>
      </w:r>
      <w:r w:rsidR="00362909" w:rsidRPr="00362909">
        <w:rPr>
          <w:rFonts w:ascii="Arial" w:hAnsi="Arial" w:cs="Arial"/>
          <w:sz w:val="24"/>
          <w:szCs w:val="24"/>
          <w:lang w:val="en-US"/>
        </w:rPr>
        <w:t>by</w:t>
      </w:r>
      <w:r w:rsidR="006E51BE" w:rsidRPr="00362909">
        <w:rPr>
          <w:rFonts w:ascii="Arial" w:hAnsi="Arial" w:cs="Arial"/>
          <w:sz w:val="24"/>
          <w:szCs w:val="24"/>
          <w:lang w:val="en-US"/>
        </w:rPr>
        <w:t xml:space="preserve"> </w:t>
      </w:r>
      <w:r w:rsidR="006C339F">
        <w:rPr>
          <w:rFonts w:ascii="Arial" w:hAnsi="Arial" w:cs="Arial"/>
          <w:sz w:val="24"/>
          <w:szCs w:val="24"/>
          <w:lang w:val="en-US"/>
        </w:rPr>
        <w:t>attempting</w:t>
      </w:r>
      <w:r w:rsidR="006E51BE" w:rsidRPr="00362909">
        <w:rPr>
          <w:rFonts w:ascii="Arial" w:hAnsi="Arial" w:cs="Arial"/>
          <w:sz w:val="24"/>
          <w:szCs w:val="24"/>
          <w:lang w:val="en-US"/>
        </w:rPr>
        <w:t xml:space="preserve"> to </w:t>
      </w:r>
      <w:r w:rsidR="00362909" w:rsidRPr="00362909">
        <w:rPr>
          <w:rFonts w:ascii="Arial" w:hAnsi="Arial" w:cs="Arial"/>
          <w:sz w:val="24"/>
          <w:szCs w:val="24"/>
          <w:lang w:val="en-US"/>
        </w:rPr>
        <w:t>implement</w:t>
      </w:r>
      <w:r w:rsidR="006E51BE" w:rsidRPr="00362909">
        <w:rPr>
          <w:rFonts w:ascii="Arial" w:hAnsi="Arial" w:cs="Arial"/>
          <w:sz w:val="24"/>
          <w:szCs w:val="24"/>
          <w:lang w:val="en-US"/>
        </w:rPr>
        <w:t xml:space="preserve"> a</w:t>
      </w:r>
      <w:r w:rsidR="006C339F">
        <w:rPr>
          <w:rFonts w:ascii="Arial" w:hAnsi="Arial" w:cs="Arial"/>
          <w:sz w:val="24"/>
          <w:szCs w:val="24"/>
          <w:lang w:val="en-US"/>
        </w:rPr>
        <w:t xml:space="preserve"> proper methodology to classify</w:t>
      </w:r>
      <w:r w:rsidR="006E51BE" w:rsidRPr="00362909">
        <w:rPr>
          <w:rFonts w:ascii="Arial" w:hAnsi="Arial" w:cs="Arial"/>
          <w:sz w:val="24"/>
          <w:szCs w:val="24"/>
          <w:lang w:val="en-US"/>
        </w:rPr>
        <w:t xml:space="preserve"> </w:t>
      </w:r>
      <w:r w:rsidR="006C339F">
        <w:rPr>
          <w:rFonts w:ascii="Arial" w:hAnsi="Arial" w:cs="Arial"/>
          <w:sz w:val="24"/>
          <w:szCs w:val="24"/>
          <w:lang w:val="en-US"/>
        </w:rPr>
        <w:t>the</w:t>
      </w:r>
      <w:r w:rsidR="006E51BE" w:rsidRPr="00362909">
        <w:rPr>
          <w:rFonts w:ascii="Arial" w:hAnsi="Arial" w:cs="Arial"/>
          <w:sz w:val="24"/>
          <w:szCs w:val="24"/>
          <w:lang w:val="en-US"/>
        </w:rPr>
        <w:t xml:space="preserve"> industrial sectors,</w:t>
      </w:r>
      <w:r w:rsidR="00362909" w:rsidRPr="00362909">
        <w:rPr>
          <w:rFonts w:ascii="Arial" w:hAnsi="Arial" w:cs="Arial"/>
          <w:sz w:val="24"/>
          <w:szCs w:val="24"/>
          <w:lang w:val="en-US"/>
        </w:rPr>
        <w:t xml:space="preserve"> </w:t>
      </w:r>
      <w:r w:rsidR="006C339F">
        <w:rPr>
          <w:rFonts w:ascii="Arial" w:hAnsi="Arial" w:cs="Arial"/>
          <w:sz w:val="24"/>
          <w:szCs w:val="24"/>
          <w:lang w:val="en-US"/>
        </w:rPr>
        <w:t>while</w:t>
      </w:r>
      <w:r w:rsidR="00362909" w:rsidRPr="00362909">
        <w:rPr>
          <w:rFonts w:ascii="Arial" w:hAnsi="Arial" w:cs="Arial"/>
          <w:sz w:val="24"/>
          <w:szCs w:val="24"/>
          <w:lang w:val="en-US"/>
        </w:rPr>
        <w:t xml:space="preserve"> </w:t>
      </w:r>
      <w:r w:rsidR="006E51BE" w:rsidRPr="00362909">
        <w:rPr>
          <w:rFonts w:ascii="Arial" w:hAnsi="Arial" w:cs="Arial"/>
          <w:sz w:val="24"/>
          <w:szCs w:val="24"/>
          <w:lang w:val="en-US"/>
        </w:rPr>
        <w:t>respect</w:t>
      </w:r>
      <w:r w:rsidR="006C339F">
        <w:rPr>
          <w:rFonts w:ascii="Arial" w:hAnsi="Arial" w:cs="Arial"/>
          <w:sz w:val="24"/>
          <w:szCs w:val="24"/>
          <w:lang w:val="en-US"/>
        </w:rPr>
        <w:t>ing</w:t>
      </w:r>
      <w:r w:rsidR="006E51BE" w:rsidRPr="00362909">
        <w:rPr>
          <w:rFonts w:ascii="Arial" w:hAnsi="Arial" w:cs="Arial"/>
          <w:sz w:val="24"/>
          <w:szCs w:val="24"/>
          <w:lang w:val="en-US"/>
        </w:rPr>
        <w:t xml:space="preserve"> the characteristics of the Brazilian industry.</w:t>
      </w:r>
    </w:p>
    <w:p w:rsidR="0087589F" w:rsidRDefault="00C62137" w:rsidP="00BD2A10">
      <w:pPr>
        <w:spacing w:line="480" w:lineRule="auto"/>
        <w:ind w:firstLine="708"/>
        <w:jc w:val="both"/>
        <w:rPr>
          <w:rFonts w:ascii="Arial" w:hAnsi="Arial" w:cs="Arial"/>
          <w:iCs/>
          <w:color w:val="FF0000"/>
          <w:sz w:val="24"/>
          <w:szCs w:val="24"/>
          <w:lang w:val="en-US"/>
        </w:rPr>
      </w:pPr>
      <w:r w:rsidRPr="002F66A3">
        <w:rPr>
          <w:rFonts w:ascii="Arial" w:hAnsi="Arial" w:cs="Arial"/>
          <w:sz w:val="24"/>
          <w:szCs w:val="24"/>
          <w:lang w:val="en-US"/>
        </w:rPr>
        <w:t>The test results show</w:t>
      </w:r>
      <w:r w:rsidR="00BC3EB2">
        <w:rPr>
          <w:rFonts w:ascii="Arial" w:hAnsi="Arial" w:cs="Arial"/>
          <w:sz w:val="24"/>
          <w:szCs w:val="24"/>
          <w:lang w:val="en-US"/>
        </w:rPr>
        <w:t>ed</w:t>
      </w:r>
      <w:r w:rsidRPr="002F66A3">
        <w:rPr>
          <w:rFonts w:ascii="Arial" w:hAnsi="Arial" w:cs="Arial"/>
          <w:sz w:val="24"/>
          <w:szCs w:val="24"/>
          <w:lang w:val="en-US"/>
        </w:rPr>
        <w:t xml:space="preserve"> that</w:t>
      </w:r>
      <w:r>
        <w:rPr>
          <w:rFonts w:ascii="Arial" w:hAnsi="Arial" w:cs="Arial"/>
          <w:sz w:val="24"/>
          <w:szCs w:val="24"/>
          <w:lang w:val="en-US"/>
        </w:rPr>
        <w:t xml:space="preserve"> i</w:t>
      </w:r>
      <w:r w:rsidR="00881D4A" w:rsidRPr="00B23BD8">
        <w:rPr>
          <w:rFonts w:ascii="Arial" w:hAnsi="Arial" w:cs="Arial"/>
          <w:sz w:val="24"/>
          <w:szCs w:val="24"/>
          <w:lang w:val="en-US"/>
        </w:rPr>
        <w:t xml:space="preserve">n the present </w:t>
      </w:r>
      <w:r w:rsidR="00BC3EB2">
        <w:rPr>
          <w:rFonts w:ascii="Arial" w:hAnsi="Arial" w:cs="Arial"/>
          <w:sz w:val="24"/>
          <w:szCs w:val="24"/>
          <w:lang w:val="en-US"/>
        </w:rPr>
        <w:t>study</w:t>
      </w:r>
      <w:r w:rsidR="00881D4A" w:rsidRPr="00B23BD8">
        <w:rPr>
          <w:rFonts w:ascii="Arial" w:hAnsi="Arial" w:cs="Arial"/>
          <w:sz w:val="24"/>
          <w:szCs w:val="24"/>
          <w:lang w:val="en-US"/>
        </w:rPr>
        <w:t xml:space="preserve">, the contrasts between SM-I and SM-II </w:t>
      </w:r>
      <w:r w:rsidR="00BC3EB2">
        <w:rPr>
          <w:rFonts w:ascii="Arial" w:hAnsi="Arial" w:cs="Arial"/>
          <w:sz w:val="24"/>
          <w:szCs w:val="24"/>
          <w:lang w:val="en-US"/>
        </w:rPr>
        <w:t>were</w:t>
      </w:r>
      <w:r w:rsidR="00881D4A" w:rsidRPr="00B23BD8">
        <w:rPr>
          <w:rFonts w:ascii="Arial" w:hAnsi="Arial" w:cs="Arial"/>
          <w:sz w:val="24"/>
          <w:szCs w:val="24"/>
          <w:lang w:val="en-US"/>
        </w:rPr>
        <w:t xml:space="preserve"> not overly sharp. In fact, significant differences </w:t>
      </w:r>
      <w:r w:rsidR="00BC3EB2">
        <w:rPr>
          <w:rFonts w:ascii="Arial" w:hAnsi="Arial" w:cs="Arial"/>
          <w:sz w:val="24"/>
          <w:szCs w:val="24"/>
          <w:lang w:val="en-US"/>
        </w:rPr>
        <w:t xml:space="preserve">could be observed for </w:t>
      </w:r>
      <w:r w:rsidR="00881D4A" w:rsidRPr="00B23BD8">
        <w:rPr>
          <w:rFonts w:ascii="Arial" w:hAnsi="Arial" w:cs="Arial"/>
          <w:sz w:val="24"/>
          <w:szCs w:val="24"/>
          <w:lang w:val="en-US"/>
        </w:rPr>
        <w:t xml:space="preserve">only two hypotheses. </w:t>
      </w:r>
      <w:r w:rsidR="00881D4A" w:rsidRPr="00B23BD8">
        <w:rPr>
          <w:rFonts w:ascii="Arial" w:hAnsi="Arial" w:cs="Arial"/>
          <w:iCs/>
          <w:sz w:val="24"/>
          <w:szCs w:val="24"/>
          <w:lang w:val="en-US"/>
        </w:rPr>
        <w:t xml:space="preserve">The share of small firms </w:t>
      </w:r>
      <w:r w:rsidR="00BC3EB2">
        <w:rPr>
          <w:rFonts w:ascii="Arial" w:hAnsi="Arial" w:cs="Arial"/>
          <w:iCs/>
          <w:sz w:val="24"/>
          <w:szCs w:val="24"/>
          <w:lang w:val="en-US"/>
        </w:rPr>
        <w:t>was</w:t>
      </w:r>
      <w:r w:rsidR="00881D4A" w:rsidRPr="00B23BD8">
        <w:rPr>
          <w:rFonts w:ascii="Arial" w:hAnsi="Arial" w:cs="Arial"/>
          <w:iCs/>
          <w:sz w:val="24"/>
          <w:szCs w:val="24"/>
          <w:lang w:val="en-US"/>
        </w:rPr>
        <w:t xml:space="preserve"> higher in SM-I industries than in SM-II industries (hip. 1) and profit rates </w:t>
      </w:r>
      <w:r w:rsidR="00BC3EB2">
        <w:rPr>
          <w:rFonts w:ascii="Arial" w:hAnsi="Arial" w:cs="Arial"/>
          <w:iCs/>
          <w:sz w:val="24"/>
          <w:szCs w:val="24"/>
          <w:lang w:val="en-US"/>
        </w:rPr>
        <w:t>were</w:t>
      </w:r>
      <w:r w:rsidR="00881D4A" w:rsidRPr="00B23BD8">
        <w:rPr>
          <w:rFonts w:ascii="Arial" w:hAnsi="Arial" w:cs="Arial"/>
          <w:iCs/>
          <w:sz w:val="24"/>
          <w:szCs w:val="24"/>
          <w:lang w:val="en-US"/>
        </w:rPr>
        <w:t xml:space="preserve"> lower</w:t>
      </w:r>
      <w:r w:rsidR="00BC3EB2">
        <w:rPr>
          <w:rFonts w:ascii="Arial" w:hAnsi="Arial" w:cs="Arial"/>
          <w:iCs/>
          <w:sz w:val="24"/>
          <w:szCs w:val="24"/>
          <w:lang w:val="en-US"/>
        </w:rPr>
        <w:t xml:space="preserve"> </w:t>
      </w:r>
      <w:r w:rsidR="00BC3EB2" w:rsidRPr="00B23BD8">
        <w:rPr>
          <w:rFonts w:ascii="Arial" w:hAnsi="Arial" w:cs="Arial"/>
          <w:iCs/>
          <w:sz w:val="24"/>
          <w:szCs w:val="24"/>
          <w:lang w:val="en-US"/>
        </w:rPr>
        <w:t>in SM-I industries</w:t>
      </w:r>
      <w:r w:rsidR="00881D4A" w:rsidRPr="00B23BD8">
        <w:rPr>
          <w:rFonts w:ascii="Arial" w:hAnsi="Arial" w:cs="Arial"/>
          <w:iCs/>
          <w:sz w:val="24"/>
          <w:szCs w:val="24"/>
          <w:lang w:val="en-US"/>
        </w:rPr>
        <w:t xml:space="preserve"> than in SM-II industries</w:t>
      </w:r>
      <w:r w:rsidR="00881D4A" w:rsidRPr="00BD19C7">
        <w:rPr>
          <w:rFonts w:ascii="Arial" w:hAnsi="Arial" w:cs="Arial"/>
          <w:iCs/>
          <w:color w:val="FF0000"/>
          <w:sz w:val="24"/>
          <w:szCs w:val="24"/>
          <w:lang w:val="en-US"/>
        </w:rPr>
        <w:t xml:space="preserve">. </w:t>
      </w:r>
    </w:p>
    <w:p w:rsidR="00106A28" w:rsidRDefault="00DE0906" w:rsidP="00BD2A10">
      <w:pPr>
        <w:spacing w:line="480" w:lineRule="auto"/>
        <w:ind w:firstLine="708"/>
        <w:jc w:val="both"/>
        <w:rPr>
          <w:rFonts w:ascii="Arial" w:hAnsi="Arial" w:cs="Arial"/>
          <w:iCs/>
          <w:color w:val="E36C0A"/>
          <w:sz w:val="24"/>
          <w:szCs w:val="24"/>
          <w:lang w:val="en-US"/>
        </w:rPr>
      </w:pPr>
      <w:r w:rsidRPr="00DE0906">
        <w:rPr>
          <w:rFonts w:ascii="Arial" w:hAnsi="Arial" w:cs="Arial"/>
          <w:iCs/>
          <w:sz w:val="24"/>
          <w:szCs w:val="24"/>
          <w:lang w:val="en-US"/>
        </w:rPr>
        <w:t>The somewhat weak results</w:t>
      </w:r>
      <w:r w:rsidR="00966231" w:rsidRPr="00DE0906">
        <w:rPr>
          <w:rFonts w:ascii="Arial" w:hAnsi="Arial" w:cs="Arial"/>
          <w:iCs/>
          <w:sz w:val="24"/>
          <w:szCs w:val="24"/>
          <w:lang w:val="en-US"/>
        </w:rPr>
        <w:t xml:space="preserve"> </w:t>
      </w:r>
      <w:r w:rsidRPr="00DE0906">
        <w:rPr>
          <w:rFonts w:ascii="Arial" w:hAnsi="Arial" w:cs="Arial"/>
          <w:iCs/>
          <w:sz w:val="24"/>
          <w:szCs w:val="24"/>
          <w:lang w:val="en-US"/>
        </w:rPr>
        <w:t xml:space="preserve">pertaining </w:t>
      </w:r>
      <w:r w:rsidR="009A76C9">
        <w:rPr>
          <w:rFonts w:ascii="Arial" w:hAnsi="Arial" w:cs="Arial"/>
          <w:iCs/>
          <w:sz w:val="24"/>
          <w:szCs w:val="24"/>
          <w:lang w:val="en-US"/>
        </w:rPr>
        <w:t xml:space="preserve">to </w:t>
      </w:r>
      <w:r w:rsidR="00966231" w:rsidRPr="00DE0906">
        <w:rPr>
          <w:rFonts w:ascii="Arial" w:hAnsi="Arial" w:cs="Arial"/>
          <w:iCs/>
          <w:sz w:val="24"/>
          <w:szCs w:val="24"/>
          <w:lang w:val="en-US"/>
        </w:rPr>
        <w:t xml:space="preserve">differences between SM-I and SM-II </w:t>
      </w:r>
      <w:r w:rsidR="009A76C9">
        <w:rPr>
          <w:rFonts w:ascii="Arial" w:hAnsi="Arial" w:cs="Arial"/>
          <w:iCs/>
          <w:sz w:val="24"/>
          <w:szCs w:val="24"/>
          <w:lang w:val="en-US"/>
        </w:rPr>
        <w:t xml:space="preserve">sectors </w:t>
      </w:r>
      <w:r w:rsidR="00966231" w:rsidRPr="00DE0906">
        <w:rPr>
          <w:rFonts w:ascii="Arial" w:hAnsi="Arial" w:cs="Arial"/>
          <w:iCs/>
          <w:sz w:val="24"/>
          <w:szCs w:val="24"/>
          <w:lang w:val="en-US"/>
        </w:rPr>
        <w:t xml:space="preserve">can be </w:t>
      </w:r>
      <w:proofErr w:type="spellStart"/>
      <w:r w:rsidR="00966231" w:rsidRPr="00DE0906">
        <w:rPr>
          <w:rFonts w:ascii="Arial" w:hAnsi="Arial" w:cs="Arial"/>
          <w:iCs/>
          <w:sz w:val="24"/>
          <w:szCs w:val="24"/>
          <w:lang w:val="en-US"/>
        </w:rPr>
        <w:t>analy</w:t>
      </w:r>
      <w:r w:rsidR="009A76C9">
        <w:rPr>
          <w:rFonts w:ascii="Arial" w:hAnsi="Arial" w:cs="Arial"/>
          <w:iCs/>
          <w:sz w:val="24"/>
          <w:szCs w:val="24"/>
          <w:lang w:val="en-US"/>
        </w:rPr>
        <w:t>s</w:t>
      </w:r>
      <w:r w:rsidR="00966231" w:rsidRPr="00DE0906">
        <w:rPr>
          <w:rFonts w:ascii="Arial" w:hAnsi="Arial" w:cs="Arial"/>
          <w:iCs/>
          <w:sz w:val="24"/>
          <w:szCs w:val="24"/>
          <w:lang w:val="en-US"/>
        </w:rPr>
        <w:t>ed</w:t>
      </w:r>
      <w:proofErr w:type="spellEnd"/>
      <w:r w:rsidR="00966231" w:rsidRPr="00DE0906">
        <w:rPr>
          <w:rFonts w:ascii="Arial" w:hAnsi="Arial" w:cs="Arial"/>
          <w:iCs/>
          <w:sz w:val="24"/>
          <w:szCs w:val="24"/>
          <w:lang w:val="en-US"/>
        </w:rPr>
        <w:t xml:space="preserve"> from two </w:t>
      </w:r>
      <w:r w:rsidR="009A76C9">
        <w:rPr>
          <w:rFonts w:ascii="Arial" w:hAnsi="Arial" w:cs="Arial"/>
          <w:iCs/>
          <w:sz w:val="24"/>
          <w:szCs w:val="24"/>
          <w:lang w:val="en-US"/>
        </w:rPr>
        <w:t>perspectives</w:t>
      </w:r>
      <w:r w:rsidR="00966231" w:rsidRPr="00966231">
        <w:rPr>
          <w:rFonts w:ascii="Arial" w:hAnsi="Arial" w:cs="Arial"/>
          <w:iCs/>
          <w:color w:val="E36C0A"/>
          <w:sz w:val="24"/>
          <w:szCs w:val="24"/>
          <w:lang w:val="en-US"/>
        </w:rPr>
        <w:t xml:space="preserve">. </w:t>
      </w:r>
      <w:r w:rsidR="009A76C9">
        <w:rPr>
          <w:rFonts w:ascii="Arial" w:hAnsi="Arial" w:cs="Arial"/>
          <w:iCs/>
          <w:sz w:val="24"/>
          <w:szCs w:val="24"/>
          <w:lang w:val="en-US"/>
        </w:rPr>
        <w:t>O</w:t>
      </w:r>
      <w:r w:rsidRPr="00DE0906">
        <w:rPr>
          <w:rFonts w:ascii="Arial" w:hAnsi="Arial" w:cs="Arial"/>
          <w:iCs/>
          <w:sz w:val="24"/>
          <w:szCs w:val="24"/>
          <w:lang w:val="en-US"/>
        </w:rPr>
        <w:t>n the empirical front, beyond improving the measurement of some variables it would be wort</w:t>
      </w:r>
      <w:r>
        <w:rPr>
          <w:rFonts w:ascii="Arial" w:hAnsi="Arial" w:cs="Arial"/>
          <w:iCs/>
          <w:sz w:val="24"/>
          <w:szCs w:val="24"/>
          <w:lang w:val="en-US"/>
        </w:rPr>
        <w:t>h exploring the relationship between technolog</w:t>
      </w:r>
      <w:r w:rsidRPr="00DE0906">
        <w:rPr>
          <w:rFonts w:ascii="Arial" w:hAnsi="Arial" w:cs="Arial"/>
          <w:iCs/>
          <w:sz w:val="24"/>
          <w:szCs w:val="24"/>
          <w:lang w:val="en-US"/>
        </w:rPr>
        <w:t>ical classes and industrial sectors</w:t>
      </w:r>
      <w:r>
        <w:rPr>
          <w:rFonts w:ascii="Arial" w:hAnsi="Arial" w:cs="Arial"/>
          <w:iCs/>
          <w:sz w:val="24"/>
          <w:szCs w:val="24"/>
          <w:lang w:val="en-US"/>
        </w:rPr>
        <w:t xml:space="preserve">. On the other hand, </w:t>
      </w:r>
      <w:r w:rsidR="009A76C9">
        <w:rPr>
          <w:rFonts w:ascii="Arial" w:hAnsi="Arial" w:cs="Arial"/>
          <w:iCs/>
          <w:sz w:val="24"/>
          <w:szCs w:val="24"/>
          <w:lang w:val="en-US"/>
        </w:rPr>
        <w:t>we</w:t>
      </w:r>
      <w:r>
        <w:rPr>
          <w:rFonts w:ascii="Arial" w:hAnsi="Arial" w:cs="Arial"/>
          <w:iCs/>
          <w:sz w:val="24"/>
          <w:szCs w:val="24"/>
          <w:lang w:val="en-US"/>
        </w:rPr>
        <w:t xml:space="preserve"> cannot rule out important specificities </w:t>
      </w:r>
      <w:r w:rsidR="009A76C9">
        <w:rPr>
          <w:rFonts w:ascii="Arial" w:hAnsi="Arial" w:cs="Arial"/>
          <w:iCs/>
          <w:sz w:val="24"/>
          <w:szCs w:val="24"/>
          <w:lang w:val="en-US"/>
        </w:rPr>
        <w:t>in</w:t>
      </w:r>
      <w:r w:rsidR="00C4190E" w:rsidRPr="00DE0906">
        <w:rPr>
          <w:rFonts w:ascii="Arial" w:hAnsi="Arial" w:cs="Arial"/>
          <w:iCs/>
          <w:sz w:val="24"/>
          <w:szCs w:val="24"/>
          <w:lang w:val="en-US"/>
        </w:rPr>
        <w:t xml:space="preserve"> </w:t>
      </w:r>
      <w:r w:rsidRPr="00DE0906">
        <w:rPr>
          <w:rFonts w:ascii="Arial" w:hAnsi="Arial" w:cs="Arial"/>
          <w:iCs/>
          <w:sz w:val="24"/>
          <w:szCs w:val="24"/>
          <w:lang w:val="en-US"/>
        </w:rPr>
        <w:t xml:space="preserve">the </w:t>
      </w:r>
      <w:r w:rsidR="00106A28" w:rsidRPr="00DE0906">
        <w:rPr>
          <w:rFonts w:ascii="Arial" w:hAnsi="Arial" w:cs="Arial"/>
          <w:iCs/>
          <w:sz w:val="24"/>
          <w:szCs w:val="24"/>
          <w:lang w:val="en-US"/>
        </w:rPr>
        <w:t>Brazilian industr</w:t>
      </w:r>
      <w:r w:rsidR="00C4190E" w:rsidRPr="00DE0906">
        <w:rPr>
          <w:rFonts w:ascii="Arial" w:hAnsi="Arial" w:cs="Arial"/>
          <w:iCs/>
          <w:sz w:val="24"/>
          <w:szCs w:val="24"/>
          <w:lang w:val="en-US"/>
        </w:rPr>
        <w:t xml:space="preserve">y </w:t>
      </w:r>
      <w:r w:rsidR="009A76C9">
        <w:rPr>
          <w:rFonts w:ascii="Arial" w:hAnsi="Arial" w:cs="Arial"/>
          <w:iCs/>
          <w:sz w:val="24"/>
          <w:szCs w:val="24"/>
          <w:lang w:val="en-US"/>
        </w:rPr>
        <w:t>that c</w:t>
      </w:r>
      <w:r w:rsidRPr="00DE0906">
        <w:rPr>
          <w:rFonts w:ascii="Arial" w:hAnsi="Arial" w:cs="Arial"/>
          <w:iCs/>
          <w:sz w:val="24"/>
          <w:szCs w:val="24"/>
          <w:lang w:val="en-US"/>
        </w:rPr>
        <w:t xml:space="preserve">ould lead to </w:t>
      </w:r>
      <w:proofErr w:type="spellStart"/>
      <w:r w:rsidR="009A76C9">
        <w:rPr>
          <w:rFonts w:ascii="Arial" w:hAnsi="Arial" w:cs="Arial"/>
          <w:iCs/>
          <w:sz w:val="24"/>
          <w:szCs w:val="24"/>
          <w:lang w:val="en-US"/>
        </w:rPr>
        <w:t>sector</w:t>
      </w:r>
      <w:r w:rsidR="0048436F" w:rsidRPr="00DE0906">
        <w:rPr>
          <w:rFonts w:ascii="Arial" w:hAnsi="Arial" w:cs="Arial"/>
          <w:iCs/>
          <w:sz w:val="24"/>
          <w:szCs w:val="24"/>
          <w:lang w:val="en-US"/>
        </w:rPr>
        <w:t>al</w:t>
      </w:r>
      <w:proofErr w:type="spellEnd"/>
      <w:r w:rsidR="00445301" w:rsidRPr="00DE0906">
        <w:rPr>
          <w:rFonts w:ascii="Arial" w:hAnsi="Arial" w:cs="Arial"/>
          <w:iCs/>
          <w:sz w:val="24"/>
          <w:szCs w:val="24"/>
          <w:lang w:val="en-US"/>
        </w:rPr>
        <w:t xml:space="preserve"> patterns of innovation </w:t>
      </w:r>
      <w:r w:rsidRPr="00DE0906">
        <w:rPr>
          <w:rFonts w:ascii="Arial" w:hAnsi="Arial" w:cs="Arial"/>
          <w:iCs/>
          <w:sz w:val="24"/>
          <w:szCs w:val="24"/>
          <w:lang w:val="en-US"/>
        </w:rPr>
        <w:t xml:space="preserve">that </w:t>
      </w:r>
      <w:r w:rsidR="00445301" w:rsidRPr="00DE0906">
        <w:rPr>
          <w:rFonts w:ascii="Arial" w:hAnsi="Arial" w:cs="Arial"/>
          <w:iCs/>
          <w:sz w:val="24"/>
          <w:szCs w:val="24"/>
          <w:lang w:val="en-US"/>
        </w:rPr>
        <w:t>do not reflect the same standards of developed countries</w:t>
      </w:r>
      <w:r w:rsidR="00445301" w:rsidRPr="00445301">
        <w:rPr>
          <w:rFonts w:ascii="Arial" w:hAnsi="Arial" w:cs="Arial"/>
          <w:iCs/>
          <w:color w:val="E36C0A"/>
          <w:sz w:val="24"/>
          <w:szCs w:val="24"/>
          <w:lang w:val="en-US"/>
        </w:rPr>
        <w:t>.</w:t>
      </w:r>
    </w:p>
    <w:p w:rsidR="00EB05CB" w:rsidRPr="003D5532" w:rsidRDefault="00445301" w:rsidP="00BD2A10">
      <w:pPr>
        <w:spacing w:line="480" w:lineRule="auto"/>
        <w:ind w:firstLine="708"/>
        <w:jc w:val="both"/>
        <w:rPr>
          <w:rFonts w:ascii="Arial" w:hAnsi="Arial" w:cs="Arial"/>
          <w:iCs/>
          <w:sz w:val="24"/>
          <w:szCs w:val="24"/>
          <w:lang w:val="en-US"/>
        </w:rPr>
      </w:pPr>
      <w:r w:rsidRPr="003D5532">
        <w:rPr>
          <w:rFonts w:ascii="Arial" w:hAnsi="Arial" w:cs="Arial"/>
          <w:iCs/>
          <w:sz w:val="24"/>
          <w:szCs w:val="24"/>
          <w:lang w:val="en-US"/>
        </w:rPr>
        <w:t xml:space="preserve">Guidolin (2007) </w:t>
      </w:r>
      <w:r w:rsidR="00EB05CB" w:rsidRPr="003D5532">
        <w:rPr>
          <w:rFonts w:ascii="Arial" w:hAnsi="Arial" w:cs="Arial"/>
          <w:iCs/>
          <w:sz w:val="24"/>
          <w:szCs w:val="24"/>
          <w:lang w:val="en-US"/>
        </w:rPr>
        <w:t>sought to classify Brazilian industry in</w:t>
      </w:r>
      <w:r w:rsidR="009A76C9">
        <w:rPr>
          <w:rFonts w:ascii="Arial" w:hAnsi="Arial" w:cs="Arial"/>
          <w:iCs/>
          <w:sz w:val="24"/>
          <w:szCs w:val="24"/>
          <w:lang w:val="en-US"/>
        </w:rPr>
        <w:t>to</w:t>
      </w:r>
      <w:r w:rsidR="00EB05CB" w:rsidRPr="003D5532">
        <w:rPr>
          <w:rFonts w:ascii="Arial" w:hAnsi="Arial" w:cs="Arial"/>
          <w:iCs/>
          <w:sz w:val="24"/>
          <w:szCs w:val="24"/>
          <w:lang w:val="en-US"/>
        </w:rPr>
        <w:t xml:space="preserve"> technological regimes as proposed by Marsali (200</w:t>
      </w:r>
      <w:r w:rsidR="006609CA" w:rsidRPr="003D5532">
        <w:rPr>
          <w:rFonts w:ascii="Arial" w:hAnsi="Arial" w:cs="Arial"/>
          <w:iCs/>
          <w:sz w:val="24"/>
          <w:szCs w:val="24"/>
          <w:lang w:val="en-US"/>
        </w:rPr>
        <w:t>2</w:t>
      </w:r>
      <w:r w:rsidR="009A76C9">
        <w:rPr>
          <w:rFonts w:ascii="Arial" w:hAnsi="Arial" w:cs="Arial"/>
          <w:iCs/>
          <w:sz w:val="24"/>
          <w:szCs w:val="24"/>
          <w:lang w:val="en-US"/>
        </w:rPr>
        <w:t>). In that</w:t>
      </w:r>
      <w:r w:rsidR="00EB05CB" w:rsidRPr="003D5532">
        <w:rPr>
          <w:rFonts w:ascii="Arial" w:hAnsi="Arial" w:cs="Arial"/>
          <w:iCs/>
          <w:sz w:val="24"/>
          <w:szCs w:val="24"/>
          <w:lang w:val="en-US"/>
        </w:rPr>
        <w:t xml:space="preserve"> study the author show</w:t>
      </w:r>
      <w:r w:rsidR="009A76C9">
        <w:rPr>
          <w:rFonts w:ascii="Arial" w:hAnsi="Arial" w:cs="Arial"/>
          <w:iCs/>
          <w:sz w:val="24"/>
          <w:szCs w:val="24"/>
          <w:lang w:val="en-US"/>
        </w:rPr>
        <w:t>ed</w:t>
      </w:r>
      <w:r w:rsidR="00EB05CB" w:rsidRPr="003D5532">
        <w:rPr>
          <w:rFonts w:ascii="Arial" w:hAnsi="Arial" w:cs="Arial"/>
          <w:iCs/>
          <w:sz w:val="24"/>
          <w:szCs w:val="24"/>
          <w:lang w:val="en-US"/>
        </w:rPr>
        <w:t xml:space="preserve"> that the technological regimes observed in Brazilian industry differ</w:t>
      </w:r>
      <w:r w:rsidR="009A76C9">
        <w:rPr>
          <w:rFonts w:ascii="Arial" w:hAnsi="Arial" w:cs="Arial"/>
          <w:iCs/>
          <w:sz w:val="24"/>
          <w:szCs w:val="24"/>
          <w:lang w:val="en-US"/>
        </w:rPr>
        <w:t>ed</w:t>
      </w:r>
      <w:r w:rsidR="00EB05CB" w:rsidRPr="003D5532">
        <w:rPr>
          <w:rFonts w:ascii="Arial" w:hAnsi="Arial" w:cs="Arial"/>
          <w:iCs/>
          <w:sz w:val="24"/>
          <w:szCs w:val="24"/>
          <w:lang w:val="en-US"/>
        </w:rPr>
        <w:t xml:space="preserve"> from those observed for developed </w:t>
      </w:r>
      <w:r w:rsidR="00EB05CB" w:rsidRPr="003D5532">
        <w:rPr>
          <w:rFonts w:ascii="Arial" w:hAnsi="Arial" w:cs="Arial"/>
          <w:iCs/>
          <w:sz w:val="24"/>
          <w:szCs w:val="24"/>
          <w:lang w:val="en-US"/>
        </w:rPr>
        <w:lastRenderedPageBreak/>
        <w:t xml:space="preserve">countries mainly </w:t>
      </w:r>
      <w:r w:rsidR="009A76C9">
        <w:rPr>
          <w:rFonts w:ascii="Arial" w:hAnsi="Arial" w:cs="Arial"/>
          <w:iCs/>
          <w:sz w:val="24"/>
          <w:szCs w:val="24"/>
          <w:lang w:val="en-US"/>
        </w:rPr>
        <w:t>because of</w:t>
      </w:r>
      <w:r w:rsidR="00EB05CB" w:rsidRPr="003D5532">
        <w:rPr>
          <w:rFonts w:ascii="Arial" w:hAnsi="Arial" w:cs="Arial"/>
          <w:iCs/>
          <w:sz w:val="24"/>
          <w:szCs w:val="24"/>
          <w:lang w:val="en-US"/>
        </w:rPr>
        <w:t xml:space="preserve"> the characteristics of Brazil</w:t>
      </w:r>
      <w:r w:rsidR="003D5532" w:rsidRPr="003D5532">
        <w:rPr>
          <w:rFonts w:ascii="Arial" w:hAnsi="Arial" w:cs="Arial"/>
          <w:iCs/>
          <w:sz w:val="24"/>
          <w:szCs w:val="24"/>
          <w:lang w:val="en-US"/>
        </w:rPr>
        <w:t xml:space="preserve">ian innovative process, which </w:t>
      </w:r>
      <w:r w:rsidR="009A76C9">
        <w:rPr>
          <w:rFonts w:ascii="Arial" w:hAnsi="Arial" w:cs="Arial"/>
          <w:iCs/>
          <w:sz w:val="24"/>
          <w:szCs w:val="24"/>
          <w:lang w:val="en-US"/>
        </w:rPr>
        <w:t>a</w:t>
      </w:r>
      <w:r w:rsidR="003D5532" w:rsidRPr="003D5532">
        <w:rPr>
          <w:rFonts w:ascii="Arial" w:hAnsi="Arial" w:cs="Arial"/>
          <w:iCs/>
          <w:sz w:val="24"/>
          <w:szCs w:val="24"/>
          <w:lang w:val="en-US"/>
        </w:rPr>
        <w:t>re</w:t>
      </w:r>
      <w:r w:rsidR="00EB05CB" w:rsidRPr="003D5532">
        <w:rPr>
          <w:rFonts w:ascii="Arial" w:hAnsi="Arial" w:cs="Arial"/>
          <w:iCs/>
          <w:sz w:val="24"/>
          <w:szCs w:val="24"/>
          <w:lang w:val="en-US"/>
        </w:rPr>
        <w:t xml:space="preserve"> different from </w:t>
      </w:r>
      <w:r w:rsidR="009A76C9">
        <w:rPr>
          <w:rFonts w:ascii="Arial" w:hAnsi="Arial" w:cs="Arial"/>
          <w:iCs/>
          <w:sz w:val="24"/>
          <w:szCs w:val="24"/>
          <w:lang w:val="en-US"/>
        </w:rPr>
        <w:t>those prevailing for</w:t>
      </w:r>
      <w:r w:rsidR="00EB05CB" w:rsidRPr="003D5532">
        <w:rPr>
          <w:rFonts w:ascii="Arial" w:hAnsi="Arial" w:cs="Arial"/>
          <w:iCs/>
          <w:sz w:val="24"/>
          <w:szCs w:val="24"/>
          <w:lang w:val="en-US"/>
        </w:rPr>
        <w:t xml:space="preserve"> developed countries. </w:t>
      </w:r>
    </w:p>
    <w:p w:rsidR="00B427E6" w:rsidRDefault="00B427E6" w:rsidP="00BD2A10">
      <w:pPr>
        <w:spacing w:line="480" w:lineRule="auto"/>
        <w:ind w:firstLine="708"/>
        <w:jc w:val="both"/>
        <w:rPr>
          <w:rFonts w:ascii="Arial" w:hAnsi="Arial" w:cs="Arial"/>
          <w:iCs/>
          <w:sz w:val="24"/>
          <w:szCs w:val="24"/>
          <w:lang w:val="en-US"/>
        </w:rPr>
      </w:pPr>
      <w:r w:rsidRPr="00EA05A0">
        <w:rPr>
          <w:rFonts w:ascii="Arial" w:hAnsi="Arial" w:cs="Arial"/>
          <w:iCs/>
          <w:sz w:val="24"/>
          <w:szCs w:val="24"/>
          <w:lang w:val="en-US"/>
        </w:rPr>
        <w:t xml:space="preserve">These results demonstrate significant differences between the types of analysis developed for the Brazilian industry and </w:t>
      </w:r>
      <w:r w:rsidR="00EA05A0" w:rsidRPr="00EA05A0">
        <w:rPr>
          <w:rFonts w:ascii="Arial" w:hAnsi="Arial" w:cs="Arial"/>
          <w:iCs/>
          <w:sz w:val="24"/>
          <w:szCs w:val="24"/>
          <w:lang w:val="en-US"/>
        </w:rPr>
        <w:t xml:space="preserve">those </w:t>
      </w:r>
      <w:r w:rsidR="00AB7710">
        <w:rPr>
          <w:rFonts w:ascii="Arial" w:hAnsi="Arial" w:cs="Arial"/>
          <w:iCs/>
          <w:sz w:val="24"/>
          <w:szCs w:val="24"/>
          <w:lang w:val="en-US"/>
        </w:rPr>
        <w:t xml:space="preserve">for </w:t>
      </w:r>
      <w:r w:rsidRPr="00EA05A0">
        <w:rPr>
          <w:rFonts w:ascii="Arial" w:hAnsi="Arial" w:cs="Arial"/>
          <w:iCs/>
          <w:sz w:val="24"/>
          <w:szCs w:val="24"/>
          <w:lang w:val="en-US"/>
        </w:rPr>
        <w:t xml:space="preserve">developed countries, </w:t>
      </w:r>
      <w:r w:rsidR="00AB7710">
        <w:rPr>
          <w:rFonts w:ascii="Arial" w:hAnsi="Arial" w:cs="Arial"/>
          <w:iCs/>
          <w:sz w:val="24"/>
          <w:szCs w:val="24"/>
          <w:lang w:val="en-US"/>
        </w:rPr>
        <w:t>because of</w:t>
      </w:r>
      <w:r w:rsidRPr="00EA05A0">
        <w:rPr>
          <w:rFonts w:ascii="Arial" w:hAnsi="Arial" w:cs="Arial"/>
          <w:iCs/>
          <w:sz w:val="24"/>
          <w:szCs w:val="24"/>
          <w:lang w:val="en-US"/>
        </w:rPr>
        <w:t xml:space="preserve"> the characteristics of the industry and more </w:t>
      </w:r>
      <w:r w:rsidR="007F7E30" w:rsidRPr="00EA05A0">
        <w:rPr>
          <w:rFonts w:ascii="Arial" w:hAnsi="Arial" w:cs="Arial"/>
          <w:iCs/>
          <w:sz w:val="24"/>
          <w:szCs w:val="24"/>
          <w:lang w:val="en-US"/>
        </w:rPr>
        <w:t>specifically to</w:t>
      </w:r>
      <w:r w:rsidR="00EA05A0" w:rsidRPr="00EA05A0">
        <w:rPr>
          <w:rFonts w:ascii="Arial" w:hAnsi="Arial" w:cs="Arial"/>
          <w:iCs/>
          <w:sz w:val="24"/>
          <w:szCs w:val="24"/>
          <w:lang w:val="en-US"/>
        </w:rPr>
        <w:t xml:space="preserve"> </w:t>
      </w:r>
      <w:r w:rsidRPr="00EA05A0">
        <w:rPr>
          <w:rFonts w:ascii="Arial" w:hAnsi="Arial" w:cs="Arial"/>
          <w:iCs/>
          <w:sz w:val="24"/>
          <w:szCs w:val="24"/>
          <w:lang w:val="en-US"/>
        </w:rPr>
        <w:t xml:space="preserve">the Brazilian </w:t>
      </w:r>
      <w:proofErr w:type="spellStart"/>
      <w:r w:rsidRPr="00EA05A0">
        <w:rPr>
          <w:rFonts w:ascii="Arial" w:hAnsi="Arial" w:cs="Arial"/>
          <w:iCs/>
          <w:sz w:val="24"/>
          <w:szCs w:val="24"/>
          <w:lang w:val="en-US"/>
        </w:rPr>
        <w:t>indust</w:t>
      </w:r>
      <w:r w:rsidR="00AB7710">
        <w:rPr>
          <w:rFonts w:ascii="Arial" w:hAnsi="Arial" w:cs="Arial"/>
          <w:iCs/>
          <w:sz w:val="24"/>
          <w:szCs w:val="24"/>
          <w:lang w:val="en-US"/>
        </w:rPr>
        <w:t>rialis</w:t>
      </w:r>
      <w:r w:rsidRPr="00EA05A0">
        <w:rPr>
          <w:rFonts w:ascii="Arial" w:hAnsi="Arial" w:cs="Arial"/>
          <w:iCs/>
          <w:sz w:val="24"/>
          <w:szCs w:val="24"/>
          <w:lang w:val="en-US"/>
        </w:rPr>
        <w:t>ation</w:t>
      </w:r>
      <w:proofErr w:type="spellEnd"/>
      <w:r w:rsidRPr="00EA05A0">
        <w:rPr>
          <w:rFonts w:ascii="Arial" w:hAnsi="Arial" w:cs="Arial"/>
          <w:iCs/>
          <w:sz w:val="24"/>
          <w:szCs w:val="24"/>
          <w:lang w:val="en-US"/>
        </w:rPr>
        <w:t xml:space="preserve"> process</w:t>
      </w:r>
      <w:r w:rsidRPr="00B427E6">
        <w:rPr>
          <w:rFonts w:ascii="Arial" w:hAnsi="Arial" w:cs="Arial"/>
          <w:iCs/>
          <w:color w:val="E36C0A"/>
          <w:sz w:val="24"/>
          <w:szCs w:val="24"/>
          <w:lang w:val="en-US"/>
        </w:rPr>
        <w:t xml:space="preserve">. </w:t>
      </w:r>
      <w:proofErr w:type="spellStart"/>
      <w:r w:rsidRPr="00EA05A0">
        <w:rPr>
          <w:rFonts w:ascii="Arial" w:hAnsi="Arial" w:cs="Arial"/>
          <w:iCs/>
          <w:sz w:val="24"/>
          <w:szCs w:val="24"/>
          <w:lang w:val="en-US"/>
        </w:rPr>
        <w:t>Viotti</w:t>
      </w:r>
      <w:proofErr w:type="spellEnd"/>
      <w:r w:rsidRPr="00EA05A0">
        <w:rPr>
          <w:rFonts w:ascii="Arial" w:hAnsi="Arial" w:cs="Arial"/>
          <w:iCs/>
          <w:sz w:val="24"/>
          <w:szCs w:val="24"/>
          <w:lang w:val="en-US"/>
        </w:rPr>
        <w:t xml:space="preserve"> (200</w:t>
      </w:r>
      <w:r w:rsidR="006609CA">
        <w:rPr>
          <w:rFonts w:ascii="Arial" w:hAnsi="Arial" w:cs="Arial"/>
          <w:iCs/>
          <w:sz w:val="24"/>
          <w:szCs w:val="24"/>
          <w:lang w:val="en-US"/>
        </w:rPr>
        <w:t>2</w:t>
      </w:r>
      <w:r w:rsidR="00AB7710">
        <w:rPr>
          <w:rFonts w:ascii="Arial" w:hAnsi="Arial" w:cs="Arial"/>
          <w:iCs/>
          <w:sz w:val="24"/>
          <w:szCs w:val="24"/>
          <w:lang w:val="en-US"/>
        </w:rPr>
        <w:t>) highlighted</w:t>
      </w:r>
      <w:r w:rsidRPr="00EA05A0">
        <w:rPr>
          <w:rFonts w:ascii="Arial" w:hAnsi="Arial" w:cs="Arial"/>
          <w:iCs/>
          <w:sz w:val="24"/>
          <w:szCs w:val="24"/>
          <w:lang w:val="en-US"/>
        </w:rPr>
        <w:t xml:space="preserve"> that </w:t>
      </w:r>
      <w:r w:rsidR="00EA05A0" w:rsidRPr="00EA05A0">
        <w:rPr>
          <w:rFonts w:ascii="Arial" w:hAnsi="Arial" w:cs="Arial"/>
          <w:iCs/>
          <w:sz w:val="24"/>
          <w:szCs w:val="24"/>
          <w:lang w:val="en-US"/>
        </w:rPr>
        <w:t>for</w:t>
      </w:r>
      <w:r w:rsidRPr="00EA05A0">
        <w:rPr>
          <w:rFonts w:ascii="Arial" w:hAnsi="Arial" w:cs="Arial"/>
          <w:iCs/>
          <w:sz w:val="24"/>
          <w:szCs w:val="24"/>
          <w:lang w:val="en-US"/>
        </w:rPr>
        <w:t xml:space="preserve"> </w:t>
      </w:r>
      <w:r w:rsidR="00AB7710">
        <w:rPr>
          <w:rFonts w:ascii="Arial" w:hAnsi="Arial" w:cs="Arial"/>
          <w:iCs/>
          <w:sz w:val="24"/>
          <w:szCs w:val="24"/>
          <w:lang w:val="en-US"/>
        </w:rPr>
        <w:t xml:space="preserve">the </w:t>
      </w:r>
      <w:r w:rsidR="007F7E30" w:rsidRPr="00EA05A0">
        <w:rPr>
          <w:rFonts w:ascii="Arial" w:hAnsi="Arial" w:cs="Arial"/>
          <w:iCs/>
          <w:sz w:val="24"/>
          <w:szCs w:val="24"/>
          <w:lang w:val="en-US"/>
        </w:rPr>
        <w:t>typical Brazilian industries there ha</w:t>
      </w:r>
      <w:r w:rsidR="00AB7710">
        <w:rPr>
          <w:rFonts w:ascii="Arial" w:hAnsi="Arial" w:cs="Arial"/>
          <w:iCs/>
          <w:sz w:val="24"/>
          <w:szCs w:val="24"/>
          <w:lang w:val="en-US"/>
        </w:rPr>
        <w:t>s</w:t>
      </w:r>
      <w:r w:rsidRPr="00EA05A0">
        <w:rPr>
          <w:rFonts w:ascii="Arial" w:hAnsi="Arial" w:cs="Arial"/>
          <w:iCs/>
          <w:sz w:val="24"/>
          <w:szCs w:val="24"/>
          <w:lang w:val="en-US"/>
        </w:rPr>
        <w:t xml:space="preserve"> been a strategic focus on the acquisition of technology via foreign direct investment, which may have inhibited the development of technology internally.</w:t>
      </w:r>
      <w:r w:rsidRPr="00B427E6">
        <w:rPr>
          <w:rFonts w:ascii="Arial" w:hAnsi="Arial" w:cs="Arial"/>
          <w:iCs/>
          <w:color w:val="E36C0A"/>
          <w:sz w:val="24"/>
          <w:szCs w:val="24"/>
          <w:lang w:val="en-US"/>
        </w:rPr>
        <w:t xml:space="preserve"> </w:t>
      </w:r>
      <w:r w:rsidRPr="00332B85">
        <w:rPr>
          <w:rFonts w:ascii="Arial" w:hAnsi="Arial" w:cs="Arial"/>
          <w:iCs/>
          <w:sz w:val="24"/>
          <w:szCs w:val="24"/>
          <w:lang w:val="en-US"/>
        </w:rPr>
        <w:t xml:space="preserve">These </w:t>
      </w:r>
      <w:r w:rsidR="00170EF1" w:rsidRPr="00332B85">
        <w:rPr>
          <w:rFonts w:ascii="Arial" w:hAnsi="Arial" w:cs="Arial"/>
          <w:iCs/>
          <w:sz w:val="24"/>
          <w:szCs w:val="24"/>
          <w:lang w:val="en-US"/>
        </w:rPr>
        <w:t xml:space="preserve">specific </w:t>
      </w:r>
      <w:r w:rsidRPr="00332B85">
        <w:rPr>
          <w:rFonts w:ascii="Arial" w:hAnsi="Arial" w:cs="Arial"/>
          <w:iCs/>
          <w:sz w:val="24"/>
          <w:szCs w:val="24"/>
          <w:lang w:val="en-US"/>
        </w:rPr>
        <w:t>characteristics make most attempts to classify the Brazilian industry according to pre-established standard</w:t>
      </w:r>
      <w:r w:rsidR="00AB7710">
        <w:rPr>
          <w:rFonts w:ascii="Arial" w:hAnsi="Arial" w:cs="Arial"/>
          <w:iCs/>
          <w:sz w:val="24"/>
          <w:szCs w:val="24"/>
          <w:lang w:val="en-US"/>
        </w:rPr>
        <w:t>s</w:t>
      </w:r>
      <w:r w:rsidRPr="00332B85">
        <w:rPr>
          <w:rFonts w:ascii="Arial" w:hAnsi="Arial" w:cs="Arial"/>
          <w:iCs/>
          <w:sz w:val="24"/>
          <w:szCs w:val="24"/>
          <w:lang w:val="en-US"/>
        </w:rPr>
        <w:t xml:space="preserve"> for developed countries </w:t>
      </w:r>
      <w:r w:rsidR="00332B85" w:rsidRPr="00332B85">
        <w:rPr>
          <w:rFonts w:ascii="Arial" w:hAnsi="Arial" w:cs="Arial"/>
          <w:iCs/>
          <w:sz w:val="24"/>
          <w:szCs w:val="24"/>
          <w:lang w:val="en-US"/>
        </w:rPr>
        <w:t>questionable</w:t>
      </w:r>
      <w:r w:rsidRPr="00332B85">
        <w:rPr>
          <w:rFonts w:ascii="Arial" w:hAnsi="Arial" w:cs="Arial"/>
          <w:iCs/>
          <w:sz w:val="24"/>
          <w:szCs w:val="24"/>
          <w:lang w:val="en-US"/>
        </w:rPr>
        <w:t>.</w:t>
      </w:r>
    </w:p>
    <w:p w:rsidR="00881D4A" w:rsidRPr="00BD19C7" w:rsidRDefault="00881D4A" w:rsidP="00A07C0D">
      <w:pPr>
        <w:spacing w:line="480" w:lineRule="auto"/>
        <w:jc w:val="both"/>
        <w:rPr>
          <w:rFonts w:ascii="Arial" w:hAnsi="Arial" w:cs="Arial"/>
          <w:sz w:val="24"/>
          <w:szCs w:val="24"/>
          <w:lang w:val="en-US"/>
        </w:rPr>
      </w:pPr>
      <w:r w:rsidRPr="00BD19C7">
        <w:rPr>
          <w:rFonts w:ascii="Arial" w:hAnsi="Arial" w:cs="Arial"/>
          <w:b/>
          <w:sz w:val="24"/>
          <w:szCs w:val="24"/>
          <w:lang w:val="en-US"/>
        </w:rPr>
        <w:t>5. Final Comments</w:t>
      </w:r>
    </w:p>
    <w:p w:rsidR="00881D4A" w:rsidRDefault="00DB7F69" w:rsidP="007F7E30">
      <w:pPr>
        <w:spacing w:line="480" w:lineRule="auto"/>
        <w:ind w:firstLine="708"/>
        <w:jc w:val="both"/>
        <w:rPr>
          <w:rFonts w:ascii="Arial" w:hAnsi="Arial" w:cs="Arial"/>
          <w:sz w:val="24"/>
          <w:szCs w:val="24"/>
          <w:lang w:val="en-US"/>
        </w:rPr>
      </w:pPr>
      <w:r>
        <w:rPr>
          <w:rFonts w:ascii="Arial" w:hAnsi="Arial" w:cs="Arial"/>
          <w:sz w:val="24"/>
          <w:szCs w:val="24"/>
          <w:lang w:val="en-US"/>
        </w:rPr>
        <w:t>This</w:t>
      </w:r>
      <w:r w:rsidR="00881D4A" w:rsidRPr="00BD19C7">
        <w:rPr>
          <w:rFonts w:ascii="Arial" w:hAnsi="Arial" w:cs="Arial"/>
          <w:sz w:val="24"/>
          <w:szCs w:val="24"/>
          <w:lang w:val="en-US"/>
        </w:rPr>
        <w:t xml:space="preserve"> paper aimed </w:t>
      </w:r>
      <w:r>
        <w:rPr>
          <w:rFonts w:ascii="Arial" w:hAnsi="Arial" w:cs="Arial"/>
          <w:sz w:val="24"/>
          <w:szCs w:val="24"/>
          <w:lang w:val="en-US"/>
        </w:rPr>
        <w:t>to</w:t>
      </w:r>
      <w:r w:rsidR="00881D4A" w:rsidRPr="00BD19C7">
        <w:rPr>
          <w:rFonts w:ascii="Arial" w:hAnsi="Arial" w:cs="Arial"/>
          <w:sz w:val="24"/>
          <w:szCs w:val="24"/>
          <w:lang w:val="en-US"/>
        </w:rPr>
        <w:t xml:space="preserve"> assess technological regimes in the context of the Brazilian </w:t>
      </w:r>
      <w:r w:rsidR="004C650B">
        <w:rPr>
          <w:rFonts w:ascii="Arial" w:hAnsi="Arial" w:cs="Arial"/>
          <w:sz w:val="24"/>
          <w:szCs w:val="24"/>
          <w:lang w:val="en-US"/>
        </w:rPr>
        <w:t xml:space="preserve">manufacturing </w:t>
      </w:r>
      <w:r w:rsidR="00881D4A" w:rsidRPr="00BD19C7">
        <w:rPr>
          <w:rFonts w:ascii="Arial" w:hAnsi="Arial" w:cs="Arial"/>
          <w:sz w:val="24"/>
          <w:szCs w:val="24"/>
          <w:lang w:val="en-US"/>
        </w:rPr>
        <w:t>industry</w:t>
      </w:r>
      <w:r w:rsidR="004C650B">
        <w:rPr>
          <w:rFonts w:ascii="Arial" w:hAnsi="Arial" w:cs="Arial"/>
          <w:sz w:val="24"/>
          <w:szCs w:val="24"/>
          <w:lang w:val="en-US"/>
        </w:rPr>
        <w:t>. The classification procedure for identifying SM-I and SM-II technological regimes followed the lead of Bres</w:t>
      </w:r>
      <w:r>
        <w:rPr>
          <w:rFonts w:ascii="Arial" w:hAnsi="Arial" w:cs="Arial"/>
          <w:sz w:val="24"/>
          <w:szCs w:val="24"/>
          <w:lang w:val="en-US"/>
        </w:rPr>
        <w:t xml:space="preserve">cia et al. (2000) though with </w:t>
      </w:r>
      <w:r w:rsidR="004C650B">
        <w:rPr>
          <w:rFonts w:ascii="Arial" w:hAnsi="Arial" w:cs="Arial"/>
          <w:sz w:val="24"/>
          <w:szCs w:val="24"/>
          <w:lang w:val="en-US"/>
        </w:rPr>
        <w:t xml:space="preserve">different </w:t>
      </w:r>
      <w:r>
        <w:rPr>
          <w:rFonts w:ascii="Arial" w:hAnsi="Arial" w:cs="Arial"/>
          <w:sz w:val="24"/>
          <w:szCs w:val="24"/>
          <w:lang w:val="en-US"/>
        </w:rPr>
        <w:t>criteria</w:t>
      </w:r>
      <w:r w:rsidR="004C650B">
        <w:rPr>
          <w:rFonts w:ascii="Arial" w:hAnsi="Arial" w:cs="Arial"/>
          <w:sz w:val="24"/>
          <w:szCs w:val="24"/>
          <w:lang w:val="en-US"/>
        </w:rPr>
        <w:t xml:space="preserve"> for defining innovating firms. The obtained results </w:t>
      </w:r>
      <w:r>
        <w:rPr>
          <w:rFonts w:ascii="Arial" w:hAnsi="Arial" w:cs="Arial"/>
          <w:sz w:val="24"/>
          <w:szCs w:val="24"/>
          <w:lang w:val="en-US"/>
        </w:rPr>
        <w:t>were</w:t>
      </w:r>
      <w:r w:rsidR="004C650B">
        <w:rPr>
          <w:rFonts w:ascii="Arial" w:hAnsi="Arial" w:cs="Arial"/>
          <w:sz w:val="24"/>
          <w:szCs w:val="24"/>
          <w:lang w:val="en-US"/>
        </w:rPr>
        <w:t xml:space="preserve"> somewhat intuitive in the majority of cases and some salient classification discrepancies with developed countries emerged in the cases of pharmaceuticals and </w:t>
      </w:r>
      <w:r>
        <w:rPr>
          <w:rFonts w:ascii="Arial" w:hAnsi="Arial" w:cs="Arial"/>
          <w:sz w:val="24"/>
          <w:szCs w:val="24"/>
          <w:lang w:val="en-US"/>
        </w:rPr>
        <w:t xml:space="preserve">the </w:t>
      </w:r>
      <w:r w:rsidR="004C650B">
        <w:rPr>
          <w:rFonts w:ascii="Arial" w:hAnsi="Arial" w:cs="Arial"/>
          <w:sz w:val="24"/>
          <w:szCs w:val="24"/>
          <w:lang w:val="en-US"/>
        </w:rPr>
        <w:t>paper and cellulose sectors. However, specific</w:t>
      </w:r>
      <w:r>
        <w:rPr>
          <w:rFonts w:ascii="Arial" w:hAnsi="Arial" w:cs="Arial"/>
          <w:sz w:val="24"/>
          <w:szCs w:val="24"/>
          <w:lang w:val="en-US"/>
        </w:rPr>
        <w:t xml:space="preserve"> attributes</w:t>
      </w:r>
      <w:r w:rsidR="004C650B">
        <w:rPr>
          <w:rFonts w:ascii="Arial" w:hAnsi="Arial" w:cs="Arial"/>
          <w:sz w:val="24"/>
          <w:szCs w:val="24"/>
          <w:lang w:val="en-US"/>
        </w:rPr>
        <w:t xml:space="preserve"> of those s</w:t>
      </w:r>
      <w:r>
        <w:rPr>
          <w:rFonts w:ascii="Arial" w:hAnsi="Arial" w:cs="Arial"/>
          <w:sz w:val="24"/>
          <w:szCs w:val="24"/>
          <w:lang w:val="en-US"/>
        </w:rPr>
        <w:t>ectors in the Brazilian case mad</w:t>
      </w:r>
      <w:r w:rsidR="004C650B">
        <w:rPr>
          <w:rFonts w:ascii="Arial" w:hAnsi="Arial" w:cs="Arial"/>
          <w:sz w:val="24"/>
          <w:szCs w:val="24"/>
          <w:lang w:val="en-US"/>
        </w:rPr>
        <w:t>e those contrasts as not surprising. The validation of the classification by means of discriminant analysis provided additional confidence in the obtained results.</w:t>
      </w:r>
    </w:p>
    <w:p w:rsidR="005D3A26" w:rsidRPr="00353E8C" w:rsidRDefault="004C650B" w:rsidP="005D3A26">
      <w:pPr>
        <w:spacing w:line="480" w:lineRule="auto"/>
        <w:ind w:firstLine="709"/>
        <w:jc w:val="both"/>
        <w:rPr>
          <w:rFonts w:ascii="Arial" w:hAnsi="Arial" w:cs="Arial"/>
          <w:iCs/>
          <w:sz w:val="24"/>
          <w:szCs w:val="24"/>
          <w:lang w:val="en-US"/>
        </w:rPr>
      </w:pPr>
      <w:r>
        <w:rPr>
          <w:rFonts w:ascii="Arial" w:hAnsi="Arial" w:cs="Arial"/>
          <w:sz w:val="24"/>
          <w:szCs w:val="24"/>
          <w:lang w:val="en-US"/>
        </w:rPr>
        <w:lastRenderedPageBreak/>
        <w:t xml:space="preserve">   Finally, </w:t>
      </w:r>
      <w:r w:rsidR="002F6BDC">
        <w:rPr>
          <w:rFonts w:ascii="Arial" w:hAnsi="Arial" w:cs="Arial"/>
          <w:sz w:val="24"/>
          <w:szCs w:val="24"/>
          <w:lang w:val="en-US"/>
        </w:rPr>
        <w:t>a</w:t>
      </w:r>
      <w:r w:rsidR="005D3A26">
        <w:rPr>
          <w:rFonts w:ascii="Arial" w:hAnsi="Arial" w:cs="Arial"/>
          <w:sz w:val="24"/>
          <w:szCs w:val="24"/>
          <w:lang w:val="en-US"/>
        </w:rPr>
        <w:t xml:space="preserve"> set of</w:t>
      </w:r>
      <w:r w:rsidR="002F6BDC">
        <w:rPr>
          <w:rFonts w:ascii="Arial" w:hAnsi="Arial" w:cs="Arial"/>
          <w:sz w:val="24"/>
          <w:szCs w:val="24"/>
          <w:lang w:val="en-US"/>
        </w:rPr>
        <w:t xml:space="preserve"> hypotheses advanced by Van Dijk (2000, 2002) </w:t>
      </w:r>
      <w:proofErr w:type="gramStart"/>
      <w:r w:rsidR="002F6BDC">
        <w:rPr>
          <w:rFonts w:ascii="Arial" w:hAnsi="Arial" w:cs="Arial"/>
          <w:sz w:val="24"/>
          <w:szCs w:val="24"/>
          <w:lang w:val="en-US"/>
        </w:rPr>
        <w:t>were</w:t>
      </w:r>
      <w:r w:rsidR="005D3A26">
        <w:rPr>
          <w:rFonts w:ascii="Arial" w:hAnsi="Arial" w:cs="Arial"/>
          <w:sz w:val="24"/>
          <w:szCs w:val="24"/>
          <w:lang w:val="en-US"/>
        </w:rPr>
        <w:t xml:space="preserve">  </w:t>
      </w:r>
      <w:r w:rsidR="00DB7F69">
        <w:rPr>
          <w:rFonts w:ascii="Arial" w:hAnsi="Arial" w:cs="Arial"/>
          <w:sz w:val="24"/>
          <w:szCs w:val="24"/>
          <w:lang w:val="en-US"/>
        </w:rPr>
        <w:t>made</w:t>
      </w:r>
      <w:proofErr w:type="gramEnd"/>
      <w:r w:rsidR="00DB7F69">
        <w:rPr>
          <w:rFonts w:ascii="Arial" w:hAnsi="Arial" w:cs="Arial"/>
          <w:sz w:val="24"/>
          <w:szCs w:val="24"/>
          <w:lang w:val="en-US"/>
        </w:rPr>
        <w:t xml:space="preserve"> to </w:t>
      </w:r>
      <w:r w:rsidR="005D3A26">
        <w:rPr>
          <w:rFonts w:ascii="Arial" w:hAnsi="Arial" w:cs="Arial"/>
          <w:sz w:val="24"/>
          <w:szCs w:val="24"/>
          <w:lang w:val="en-US"/>
        </w:rPr>
        <w:t>contrast</w:t>
      </w:r>
      <w:r w:rsidR="00DB7F69">
        <w:rPr>
          <w:rFonts w:ascii="Arial" w:hAnsi="Arial" w:cs="Arial"/>
          <w:sz w:val="24"/>
          <w:szCs w:val="24"/>
          <w:lang w:val="en-US"/>
        </w:rPr>
        <w:t xml:space="preserve"> </w:t>
      </w:r>
      <w:r w:rsidR="005D3A26">
        <w:rPr>
          <w:rFonts w:ascii="Arial" w:hAnsi="Arial" w:cs="Arial"/>
          <w:sz w:val="24"/>
          <w:szCs w:val="24"/>
          <w:lang w:val="en-US"/>
        </w:rPr>
        <w:t xml:space="preserve">SM-I and SM-II </w:t>
      </w:r>
      <w:r w:rsidR="002F6BDC">
        <w:rPr>
          <w:rFonts w:ascii="Arial" w:hAnsi="Arial" w:cs="Arial"/>
          <w:sz w:val="24"/>
          <w:szCs w:val="24"/>
          <w:lang w:val="en-US"/>
        </w:rPr>
        <w:t>sectors for the totality</w:t>
      </w:r>
      <w:r w:rsidR="005D3A26">
        <w:rPr>
          <w:rFonts w:ascii="Arial" w:hAnsi="Arial" w:cs="Arial"/>
          <w:sz w:val="24"/>
          <w:szCs w:val="24"/>
          <w:lang w:val="en-US"/>
        </w:rPr>
        <w:t xml:space="preserve"> of firms. The </w:t>
      </w:r>
      <w:r w:rsidR="008453B4">
        <w:rPr>
          <w:rFonts w:ascii="Arial" w:hAnsi="Arial" w:cs="Arial"/>
          <w:sz w:val="24"/>
          <w:szCs w:val="24"/>
          <w:lang w:val="en-US"/>
        </w:rPr>
        <w:t>results</w:t>
      </w:r>
      <w:r w:rsidR="005D3A26">
        <w:rPr>
          <w:rFonts w:ascii="Arial" w:hAnsi="Arial" w:cs="Arial"/>
          <w:sz w:val="24"/>
          <w:szCs w:val="24"/>
          <w:lang w:val="en-US"/>
        </w:rPr>
        <w:t xml:space="preserve"> obtain</w:t>
      </w:r>
      <w:r w:rsidR="002F6BDC">
        <w:rPr>
          <w:rFonts w:ascii="Arial" w:hAnsi="Arial" w:cs="Arial"/>
          <w:sz w:val="24"/>
          <w:szCs w:val="24"/>
          <w:lang w:val="en-US"/>
        </w:rPr>
        <w:t>ed were weaker than those obtained for the Netherlands</w:t>
      </w:r>
      <w:r w:rsidR="005D3A26">
        <w:rPr>
          <w:rFonts w:ascii="Arial" w:hAnsi="Arial" w:cs="Arial"/>
          <w:sz w:val="24"/>
          <w:szCs w:val="24"/>
          <w:lang w:val="en-US"/>
        </w:rPr>
        <w:t xml:space="preserve">. </w:t>
      </w:r>
      <w:r w:rsidR="005D3A26" w:rsidRPr="00353E8C">
        <w:rPr>
          <w:rFonts w:ascii="Arial" w:hAnsi="Arial" w:cs="Arial"/>
          <w:sz w:val="24"/>
          <w:szCs w:val="24"/>
          <w:lang w:val="en-US"/>
        </w:rPr>
        <w:t xml:space="preserve">Specifically, </w:t>
      </w:r>
      <w:r w:rsidR="005D3A26" w:rsidRPr="00353E8C">
        <w:rPr>
          <w:rFonts w:ascii="Arial" w:hAnsi="Arial" w:cs="Arial"/>
          <w:iCs/>
          <w:sz w:val="24"/>
          <w:szCs w:val="24"/>
          <w:lang w:val="en-US"/>
        </w:rPr>
        <w:t xml:space="preserve">the share of small firms </w:t>
      </w:r>
      <w:r w:rsidR="008453B4">
        <w:rPr>
          <w:rFonts w:ascii="Arial" w:hAnsi="Arial" w:cs="Arial"/>
          <w:iCs/>
          <w:sz w:val="24"/>
          <w:szCs w:val="24"/>
          <w:lang w:val="en-US"/>
        </w:rPr>
        <w:t>was</w:t>
      </w:r>
      <w:r w:rsidR="005D3A26" w:rsidRPr="00353E8C">
        <w:rPr>
          <w:rFonts w:ascii="Arial" w:hAnsi="Arial" w:cs="Arial"/>
          <w:iCs/>
          <w:sz w:val="24"/>
          <w:szCs w:val="24"/>
          <w:lang w:val="en-US"/>
        </w:rPr>
        <w:t xml:space="preserve"> higher in SM-I industries than in SM-II industries and in SM-I industries, </w:t>
      </w:r>
      <w:r w:rsidR="008453B4">
        <w:rPr>
          <w:rFonts w:ascii="Arial" w:hAnsi="Arial" w:cs="Arial"/>
          <w:iCs/>
          <w:sz w:val="24"/>
          <w:szCs w:val="24"/>
          <w:lang w:val="en-US"/>
        </w:rPr>
        <w:t xml:space="preserve">and in SM-I industries, </w:t>
      </w:r>
      <w:r w:rsidR="005D3A26" w:rsidRPr="00353E8C">
        <w:rPr>
          <w:rFonts w:ascii="Arial" w:hAnsi="Arial" w:cs="Arial"/>
          <w:iCs/>
          <w:sz w:val="24"/>
          <w:szCs w:val="24"/>
          <w:lang w:val="en-US"/>
        </w:rPr>
        <w:t xml:space="preserve">profit rates </w:t>
      </w:r>
      <w:r w:rsidR="008453B4">
        <w:rPr>
          <w:rFonts w:ascii="Arial" w:hAnsi="Arial" w:cs="Arial"/>
          <w:iCs/>
          <w:sz w:val="24"/>
          <w:szCs w:val="24"/>
          <w:lang w:val="en-US"/>
        </w:rPr>
        <w:t>were</w:t>
      </w:r>
      <w:r w:rsidR="005D3A26" w:rsidRPr="00353E8C">
        <w:rPr>
          <w:rFonts w:ascii="Arial" w:hAnsi="Arial" w:cs="Arial"/>
          <w:iCs/>
          <w:sz w:val="24"/>
          <w:szCs w:val="24"/>
          <w:lang w:val="en-US"/>
        </w:rPr>
        <w:t xml:space="preserve"> lower than in SM-II industries. Altogether, the evidence seem</w:t>
      </w:r>
      <w:r w:rsidR="008453B4">
        <w:rPr>
          <w:rFonts w:ascii="Arial" w:hAnsi="Arial" w:cs="Arial"/>
          <w:iCs/>
          <w:sz w:val="24"/>
          <w:szCs w:val="24"/>
          <w:lang w:val="en-US"/>
        </w:rPr>
        <w:t>ed</w:t>
      </w:r>
      <w:r w:rsidR="005D3A26" w:rsidRPr="00353E8C">
        <w:rPr>
          <w:rFonts w:ascii="Arial" w:hAnsi="Arial" w:cs="Arial"/>
          <w:iCs/>
          <w:sz w:val="24"/>
          <w:szCs w:val="24"/>
          <w:lang w:val="en-US"/>
        </w:rPr>
        <w:t xml:space="preserve"> to indicate less clear</w:t>
      </w:r>
      <w:r w:rsidR="008453B4">
        <w:rPr>
          <w:rFonts w:ascii="Arial" w:hAnsi="Arial" w:cs="Arial"/>
          <w:iCs/>
          <w:sz w:val="24"/>
          <w:szCs w:val="24"/>
          <w:lang w:val="en-US"/>
        </w:rPr>
        <w:t>-</w:t>
      </w:r>
      <w:r w:rsidR="005D3A26" w:rsidRPr="00353E8C">
        <w:rPr>
          <w:rFonts w:ascii="Arial" w:hAnsi="Arial" w:cs="Arial"/>
          <w:iCs/>
          <w:sz w:val="24"/>
          <w:szCs w:val="24"/>
          <w:lang w:val="en-US"/>
        </w:rPr>
        <w:t xml:space="preserve">cut contrasts between sectors under the two technological regimes </w:t>
      </w:r>
      <w:r w:rsidR="008453B4">
        <w:rPr>
          <w:rFonts w:ascii="Arial" w:hAnsi="Arial" w:cs="Arial"/>
          <w:iCs/>
          <w:sz w:val="24"/>
          <w:szCs w:val="24"/>
          <w:lang w:val="en-US"/>
        </w:rPr>
        <w:t>which</w:t>
      </w:r>
      <w:r w:rsidR="005D3A26" w:rsidRPr="00353E8C">
        <w:rPr>
          <w:rFonts w:ascii="Arial" w:hAnsi="Arial" w:cs="Arial"/>
          <w:iCs/>
          <w:sz w:val="24"/>
          <w:szCs w:val="24"/>
          <w:lang w:val="en-US"/>
        </w:rPr>
        <w:t xml:space="preserve"> in part reflect the low technological effort</w:t>
      </w:r>
      <w:r w:rsidR="008453B4">
        <w:rPr>
          <w:rFonts w:ascii="Arial" w:hAnsi="Arial" w:cs="Arial"/>
          <w:iCs/>
          <w:sz w:val="24"/>
          <w:szCs w:val="24"/>
          <w:lang w:val="en-US"/>
        </w:rPr>
        <w:t>s</w:t>
      </w:r>
      <w:r w:rsidR="005D3A26" w:rsidRPr="00353E8C">
        <w:rPr>
          <w:rFonts w:ascii="Arial" w:hAnsi="Arial" w:cs="Arial"/>
          <w:iCs/>
          <w:sz w:val="24"/>
          <w:szCs w:val="24"/>
          <w:lang w:val="en-US"/>
        </w:rPr>
        <w:t xml:space="preserve"> </w:t>
      </w:r>
      <w:r w:rsidR="008453B4">
        <w:rPr>
          <w:rFonts w:ascii="Arial" w:hAnsi="Arial" w:cs="Arial"/>
          <w:iCs/>
          <w:sz w:val="24"/>
          <w:szCs w:val="24"/>
          <w:lang w:val="en-US"/>
        </w:rPr>
        <w:t>undertaken</w:t>
      </w:r>
      <w:r w:rsidR="005D3A26" w:rsidRPr="00353E8C">
        <w:rPr>
          <w:rFonts w:ascii="Arial" w:hAnsi="Arial" w:cs="Arial"/>
          <w:iCs/>
          <w:sz w:val="24"/>
          <w:szCs w:val="24"/>
          <w:lang w:val="en-US"/>
        </w:rPr>
        <w:t xml:space="preserve"> </w:t>
      </w:r>
      <w:r w:rsidR="0048436F" w:rsidRPr="00353E8C">
        <w:rPr>
          <w:rFonts w:ascii="Arial" w:hAnsi="Arial" w:cs="Arial"/>
          <w:iCs/>
          <w:sz w:val="24"/>
          <w:szCs w:val="24"/>
          <w:lang w:val="en-US"/>
        </w:rPr>
        <w:t>in a</w:t>
      </w:r>
      <w:r w:rsidR="005D3A26" w:rsidRPr="00353E8C">
        <w:rPr>
          <w:rFonts w:ascii="Arial" w:hAnsi="Arial" w:cs="Arial"/>
          <w:iCs/>
          <w:sz w:val="24"/>
          <w:szCs w:val="24"/>
          <w:lang w:val="en-US"/>
        </w:rPr>
        <w:t xml:space="preserve"> large number of industrial sectors in Brazil.</w:t>
      </w:r>
    </w:p>
    <w:p w:rsidR="008453B4" w:rsidRDefault="003B0A6C" w:rsidP="005D3A26">
      <w:pPr>
        <w:spacing w:line="480" w:lineRule="auto"/>
        <w:ind w:firstLine="709"/>
        <w:jc w:val="both"/>
        <w:rPr>
          <w:rFonts w:ascii="Arial" w:hAnsi="Arial" w:cs="Arial"/>
          <w:sz w:val="24"/>
          <w:szCs w:val="24"/>
          <w:lang w:val="en-US" w:eastAsia="pt-BR"/>
        </w:rPr>
      </w:pPr>
      <w:r w:rsidRPr="00353E8C">
        <w:rPr>
          <w:rFonts w:ascii="Arial" w:hAnsi="Arial" w:cs="Arial"/>
          <w:iCs/>
          <w:sz w:val="24"/>
          <w:szCs w:val="24"/>
          <w:lang w:val="en-US"/>
        </w:rPr>
        <w:t xml:space="preserve">Possible avenues </w:t>
      </w:r>
      <w:r w:rsidR="008453B4">
        <w:rPr>
          <w:rFonts w:ascii="Arial" w:hAnsi="Arial" w:cs="Arial"/>
          <w:iCs/>
          <w:sz w:val="24"/>
          <w:szCs w:val="24"/>
          <w:lang w:val="en-US"/>
        </w:rPr>
        <w:t xml:space="preserve">for future research </w:t>
      </w:r>
      <w:r w:rsidRPr="00353E8C">
        <w:rPr>
          <w:rFonts w:ascii="Arial" w:hAnsi="Arial" w:cs="Arial"/>
          <w:iCs/>
          <w:sz w:val="24"/>
          <w:szCs w:val="24"/>
          <w:lang w:val="en-US"/>
        </w:rPr>
        <w:t xml:space="preserve">involve a fine tuning within technological regimes along the lines of </w:t>
      </w:r>
      <w:proofErr w:type="spellStart"/>
      <w:r w:rsidRPr="00353E8C">
        <w:rPr>
          <w:rFonts w:ascii="Arial" w:hAnsi="Arial" w:cs="Arial"/>
          <w:sz w:val="24"/>
          <w:szCs w:val="24"/>
          <w:lang w:val="en-US" w:eastAsia="pt-BR"/>
        </w:rPr>
        <w:t>Leiponen</w:t>
      </w:r>
      <w:proofErr w:type="spellEnd"/>
      <w:r>
        <w:rPr>
          <w:rFonts w:ascii="Arial" w:hAnsi="Arial" w:cs="Arial"/>
          <w:sz w:val="24"/>
          <w:szCs w:val="24"/>
          <w:lang w:val="en-US" w:eastAsia="pt-BR"/>
        </w:rPr>
        <w:t xml:space="preserve"> and </w:t>
      </w:r>
      <w:proofErr w:type="spellStart"/>
      <w:r>
        <w:rPr>
          <w:rFonts w:ascii="Arial" w:hAnsi="Arial" w:cs="Arial"/>
          <w:sz w:val="24"/>
          <w:szCs w:val="24"/>
          <w:lang w:val="en-US" w:eastAsia="pt-BR"/>
        </w:rPr>
        <w:t>Drejer</w:t>
      </w:r>
      <w:proofErr w:type="spellEnd"/>
      <w:r>
        <w:rPr>
          <w:rFonts w:ascii="Arial" w:hAnsi="Arial" w:cs="Arial"/>
          <w:sz w:val="24"/>
          <w:szCs w:val="24"/>
          <w:lang w:val="en-US" w:eastAsia="pt-BR"/>
        </w:rPr>
        <w:t xml:space="preserve"> (2007) and </w:t>
      </w:r>
      <w:r w:rsidR="008453B4">
        <w:rPr>
          <w:rFonts w:ascii="Arial" w:hAnsi="Arial" w:cs="Arial"/>
          <w:sz w:val="24"/>
          <w:szCs w:val="24"/>
          <w:lang w:val="en-US" w:eastAsia="pt-BR"/>
        </w:rPr>
        <w:t xml:space="preserve">such a study should be </w:t>
      </w:r>
      <w:r>
        <w:rPr>
          <w:rFonts w:ascii="Arial" w:hAnsi="Arial" w:cs="Arial"/>
          <w:sz w:val="24"/>
          <w:szCs w:val="24"/>
          <w:lang w:val="en-US" w:eastAsia="pt-BR"/>
        </w:rPr>
        <w:t>consider</w:t>
      </w:r>
      <w:r w:rsidR="008453B4">
        <w:rPr>
          <w:rFonts w:ascii="Arial" w:hAnsi="Arial" w:cs="Arial"/>
          <w:sz w:val="24"/>
          <w:szCs w:val="24"/>
          <w:lang w:val="en-US" w:eastAsia="pt-BR"/>
        </w:rPr>
        <w:t>ed</w:t>
      </w:r>
      <w:r>
        <w:rPr>
          <w:rFonts w:ascii="Arial" w:hAnsi="Arial" w:cs="Arial"/>
          <w:sz w:val="24"/>
          <w:szCs w:val="24"/>
          <w:lang w:val="en-US" w:eastAsia="pt-BR"/>
        </w:rPr>
        <w:t xml:space="preserve"> </w:t>
      </w:r>
      <w:r w:rsidR="008453B4">
        <w:rPr>
          <w:rFonts w:ascii="Arial" w:hAnsi="Arial" w:cs="Arial"/>
          <w:sz w:val="24"/>
          <w:szCs w:val="24"/>
          <w:lang w:val="en-US" w:eastAsia="pt-BR"/>
        </w:rPr>
        <w:t>if</w:t>
      </w:r>
      <w:r w:rsidRPr="00353E8C">
        <w:rPr>
          <w:rFonts w:ascii="Arial" w:hAnsi="Arial" w:cs="Arial"/>
          <w:sz w:val="24"/>
          <w:szCs w:val="24"/>
          <w:lang w:val="en-US" w:eastAsia="pt-BR"/>
        </w:rPr>
        <w:t xml:space="preserve"> the necessary data </w:t>
      </w:r>
      <w:r w:rsidR="008453B4">
        <w:rPr>
          <w:rFonts w:ascii="Arial" w:hAnsi="Arial" w:cs="Arial"/>
          <w:sz w:val="24"/>
          <w:szCs w:val="24"/>
          <w:lang w:val="en-US" w:eastAsia="pt-BR"/>
        </w:rPr>
        <w:t>is</w:t>
      </w:r>
      <w:r w:rsidRPr="00353E8C">
        <w:rPr>
          <w:rFonts w:ascii="Arial" w:hAnsi="Arial" w:cs="Arial"/>
          <w:sz w:val="24"/>
          <w:szCs w:val="24"/>
          <w:lang w:val="en-US" w:eastAsia="pt-BR"/>
        </w:rPr>
        <w:t xml:space="preserve"> available. </w:t>
      </w:r>
    </w:p>
    <w:p w:rsidR="005B0B9C" w:rsidRPr="00353E8C" w:rsidRDefault="008453B4" w:rsidP="005D3A26">
      <w:pPr>
        <w:spacing w:line="480" w:lineRule="auto"/>
        <w:ind w:firstLine="709"/>
        <w:jc w:val="both"/>
        <w:rPr>
          <w:rFonts w:ascii="Arial" w:hAnsi="Arial" w:cs="Arial"/>
          <w:sz w:val="24"/>
          <w:szCs w:val="24"/>
          <w:lang w:val="en-US"/>
        </w:rPr>
      </w:pPr>
      <w:r>
        <w:rPr>
          <w:rFonts w:ascii="Arial" w:hAnsi="Arial" w:cs="Arial"/>
          <w:sz w:val="24"/>
          <w:szCs w:val="24"/>
          <w:lang w:val="en-US" w:eastAsia="pt-BR"/>
        </w:rPr>
        <w:t>Future research could also involve</w:t>
      </w:r>
      <w:r w:rsidR="005B0B9C" w:rsidRPr="00353E8C">
        <w:rPr>
          <w:rFonts w:ascii="Arial" w:hAnsi="Arial" w:cs="Arial"/>
          <w:sz w:val="24"/>
          <w:szCs w:val="24"/>
          <w:lang w:val="en-US" w:eastAsia="pt-BR"/>
        </w:rPr>
        <w:t xml:space="preserve"> measurement</w:t>
      </w:r>
      <w:r>
        <w:rPr>
          <w:rFonts w:ascii="Arial" w:hAnsi="Arial" w:cs="Arial"/>
          <w:sz w:val="24"/>
          <w:szCs w:val="24"/>
          <w:lang w:val="en-US" w:eastAsia="pt-BR"/>
        </w:rPr>
        <w:t>s</w:t>
      </w:r>
      <w:r w:rsidR="005B0B9C" w:rsidRPr="00353E8C">
        <w:rPr>
          <w:rFonts w:ascii="Arial" w:hAnsi="Arial" w:cs="Arial"/>
          <w:sz w:val="24"/>
          <w:szCs w:val="24"/>
          <w:lang w:val="en-US" w:eastAsia="pt-BR"/>
        </w:rPr>
        <w:t xml:space="preserve"> for some </w:t>
      </w:r>
      <w:r>
        <w:rPr>
          <w:rFonts w:ascii="Arial" w:hAnsi="Arial" w:cs="Arial"/>
          <w:sz w:val="24"/>
          <w:szCs w:val="24"/>
          <w:lang w:val="en-US" w:eastAsia="pt-BR"/>
        </w:rPr>
        <w:t xml:space="preserve">of the </w:t>
      </w:r>
      <w:r w:rsidR="003B0A6C" w:rsidRPr="00353E8C">
        <w:rPr>
          <w:rFonts w:ascii="Arial" w:hAnsi="Arial" w:cs="Arial"/>
          <w:sz w:val="24"/>
          <w:szCs w:val="24"/>
          <w:lang w:val="en-US" w:eastAsia="pt-BR"/>
        </w:rPr>
        <w:t>variables,</w:t>
      </w:r>
      <w:r>
        <w:rPr>
          <w:rFonts w:ascii="Arial" w:hAnsi="Arial" w:cs="Arial"/>
          <w:sz w:val="24"/>
          <w:szCs w:val="24"/>
          <w:lang w:val="en-US" w:eastAsia="pt-BR"/>
        </w:rPr>
        <w:t xml:space="preserve"> </w:t>
      </w:r>
      <w:r w:rsidR="005B0B9C" w:rsidRPr="00353E8C">
        <w:rPr>
          <w:rFonts w:ascii="Arial" w:hAnsi="Arial" w:cs="Arial"/>
          <w:sz w:val="24"/>
          <w:szCs w:val="24"/>
          <w:lang w:val="en-US" w:eastAsia="pt-BR"/>
        </w:rPr>
        <w:t>for example in the case of productivity.</w:t>
      </w:r>
    </w:p>
    <w:p w:rsidR="005B0B9C" w:rsidRDefault="005B0B9C" w:rsidP="005B0B9C">
      <w:pPr>
        <w:jc w:val="center"/>
        <w:rPr>
          <w:rFonts w:ascii="Arial" w:hAnsi="Arial" w:cs="Arial"/>
          <w:sz w:val="24"/>
          <w:szCs w:val="24"/>
          <w:lang w:val="en-US" w:eastAsia="pt-BR"/>
        </w:rPr>
      </w:pPr>
    </w:p>
    <w:p w:rsidR="005B0B9C" w:rsidRDefault="005B0B9C" w:rsidP="005B0B9C">
      <w:pPr>
        <w:jc w:val="center"/>
        <w:rPr>
          <w:rFonts w:ascii="Arial" w:hAnsi="Arial" w:cs="Arial"/>
          <w:sz w:val="24"/>
          <w:szCs w:val="24"/>
          <w:lang w:val="en-US" w:eastAsia="pt-BR"/>
        </w:rPr>
      </w:pPr>
    </w:p>
    <w:p w:rsidR="005B0B9C" w:rsidRDefault="005B0B9C" w:rsidP="005B0B9C">
      <w:pPr>
        <w:jc w:val="center"/>
        <w:rPr>
          <w:rFonts w:ascii="Arial" w:hAnsi="Arial" w:cs="Arial"/>
          <w:sz w:val="24"/>
          <w:szCs w:val="24"/>
          <w:lang w:val="en-US" w:eastAsia="pt-BR"/>
        </w:rPr>
      </w:pPr>
    </w:p>
    <w:p w:rsidR="005B0B9C" w:rsidRDefault="005B0B9C" w:rsidP="005B0B9C">
      <w:pPr>
        <w:jc w:val="center"/>
        <w:rPr>
          <w:rFonts w:ascii="Arial" w:hAnsi="Arial" w:cs="Arial"/>
          <w:sz w:val="24"/>
          <w:szCs w:val="24"/>
          <w:lang w:val="en-US" w:eastAsia="pt-BR"/>
        </w:rPr>
      </w:pPr>
    </w:p>
    <w:p w:rsidR="00490190" w:rsidRPr="002718FA" w:rsidRDefault="00490190" w:rsidP="00490190">
      <w:pPr>
        <w:jc w:val="center"/>
        <w:rPr>
          <w:rFonts w:ascii="Arial" w:hAnsi="Arial" w:cs="Arial"/>
          <w:b/>
          <w:sz w:val="24"/>
          <w:szCs w:val="24"/>
          <w:lang w:val="en-US" w:eastAsia="pt-BR"/>
        </w:rPr>
      </w:pPr>
      <w:r w:rsidRPr="002718FA">
        <w:rPr>
          <w:rFonts w:ascii="Arial" w:hAnsi="Arial" w:cs="Arial"/>
          <w:b/>
          <w:sz w:val="24"/>
          <w:szCs w:val="24"/>
          <w:lang w:val="en-US" w:eastAsia="pt-BR"/>
        </w:rPr>
        <w:t>Appendix 1:  Perpetual Inventory Method</w:t>
      </w:r>
    </w:p>
    <w:p w:rsidR="0012545D" w:rsidRDefault="00490190" w:rsidP="00490190">
      <w:pPr>
        <w:spacing w:line="480" w:lineRule="auto"/>
        <w:jc w:val="both"/>
        <w:rPr>
          <w:rFonts w:ascii="Arial" w:hAnsi="Arial" w:cs="Arial"/>
          <w:sz w:val="24"/>
          <w:szCs w:val="24"/>
          <w:lang w:val="en-US" w:eastAsia="pt-BR"/>
        </w:rPr>
      </w:pPr>
      <w:r w:rsidRPr="007D5A1D">
        <w:rPr>
          <w:color w:val="F79646"/>
          <w:lang w:val="en-US" w:eastAsia="pt-BR"/>
        </w:rPr>
        <w:tab/>
      </w:r>
      <w:r w:rsidR="00194351" w:rsidRPr="0012545D">
        <w:rPr>
          <w:rFonts w:ascii="Arial" w:hAnsi="Arial" w:cs="Arial"/>
          <w:sz w:val="24"/>
          <w:szCs w:val="24"/>
          <w:lang w:val="en-US" w:eastAsia="pt-BR"/>
        </w:rPr>
        <w:t xml:space="preserve">The stock of </w:t>
      </w:r>
      <w:r w:rsidR="00AF4263">
        <w:rPr>
          <w:rFonts w:ascii="Arial" w:hAnsi="Arial" w:cs="Arial"/>
          <w:sz w:val="24"/>
          <w:szCs w:val="24"/>
          <w:lang w:val="en-US" w:eastAsia="pt-BR"/>
        </w:rPr>
        <w:t xml:space="preserve">the </w:t>
      </w:r>
      <w:r w:rsidR="00194351" w:rsidRPr="0012545D">
        <w:rPr>
          <w:rFonts w:ascii="Arial" w:hAnsi="Arial" w:cs="Arial"/>
          <w:sz w:val="24"/>
          <w:szCs w:val="24"/>
          <w:lang w:val="en-US" w:eastAsia="pt-BR"/>
        </w:rPr>
        <w:t xml:space="preserve">capital </w:t>
      </w:r>
      <w:r w:rsidRPr="0012545D">
        <w:rPr>
          <w:rFonts w:ascii="Arial" w:hAnsi="Arial" w:cs="Arial"/>
          <w:sz w:val="24"/>
          <w:szCs w:val="24"/>
          <w:lang w:val="en-US" w:eastAsia="pt-BR"/>
        </w:rPr>
        <w:t>variable</w:t>
      </w:r>
      <w:r w:rsidR="00194351" w:rsidRPr="0012545D">
        <w:rPr>
          <w:rFonts w:ascii="Arial" w:hAnsi="Arial" w:cs="Arial"/>
          <w:sz w:val="24"/>
          <w:szCs w:val="24"/>
          <w:lang w:val="en-US" w:eastAsia="pt-BR"/>
        </w:rPr>
        <w:t xml:space="preserve">, used as a component of the capital intensity variable, </w:t>
      </w:r>
      <w:r w:rsidRPr="0012545D">
        <w:rPr>
          <w:rFonts w:ascii="Arial" w:hAnsi="Arial" w:cs="Arial"/>
          <w:sz w:val="24"/>
          <w:szCs w:val="24"/>
          <w:lang w:val="en-US" w:eastAsia="pt-BR"/>
        </w:rPr>
        <w:t>was built using the perpetual inventory method</w:t>
      </w:r>
      <w:r w:rsidR="00DC0422" w:rsidRPr="0012545D">
        <w:rPr>
          <w:rFonts w:ascii="Arial" w:hAnsi="Arial" w:cs="Arial"/>
          <w:sz w:val="24"/>
          <w:szCs w:val="24"/>
          <w:lang w:val="en-US" w:eastAsia="pt-BR"/>
        </w:rPr>
        <w:t>. This method allows us to estimate the capital stock</w:t>
      </w:r>
      <w:r w:rsidR="00A7540D" w:rsidRPr="0012545D">
        <w:rPr>
          <w:rFonts w:ascii="Arial" w:hAnsi="Arial" w:cs="Arial"/>
          <w:sz w:val="24"/>
          <w:szCs w:val="24"/>
          <w:lang w:val="en-US" w:eastAsia="pt-BR"/>
        </w:rPr>
        <w:t>,</w:t>
      </w:r>
      <w:r w:rsidR="00DC0422" w:rsidRPr="0012545D">
        <w:rPr>
          <w:rFonts w:ascii="Arial" w:hAnsi="Arial" w:cs="Arial"/>
          <w:sz w:val="24"/>
          <w:szCs w:val="24"/>
          <w:lang w:val="en-US" w:eastAsia="pt-BR"/>
        </w:rPr>
        <w:t xml:space="preserve"> </w:t>
      </w:r>
      <w:r w:rsidR="00A7540D" w:rsidRPr="0012545D">
        <w:rPr>
          <w:rFonts w:ascii="Arial" w:hAnsi="Arial" w:cs="Arial"/>
          <w:sz w:val="24"/>
          <w:szCs w:val="24"/>
          <w:lang w:val="en-US" w:eastAsia="pt-BR"/>
        </w:rPr>
        <w:t xml:space="preserve">starting </w:t>
      </w:r>
      <w:r w:rsidR="00DC0422" w:rsidRPr="0012545D">
        <w:rPr>
          <w:rFonts w:ascii="Arial" w:hAnsi="Arial" w:cs="Arial"/>
          <w:sz w:val="24"/>
          <w:szCs w:val="24"/>
          <w:lang w:val="en-US" w:eastAsia="pt-BR"/>
        </w:rPr>
        <w:t xml:space="preserve">from an initial </w:t>
      </w:r>
      <w:r w:rsidR="00AF4263" w:rsidRPr="0012545D">
        <w:rPr>
          <w:rFonts w:ascii="Arial" w:hAnsi="Arial" w:cs="Arial"/>
          <w:sz w:val="24"/>
          <w:szCs w:val="24"/>
          <w:lang w:val="en-US" w:eastAsia="pt-BR"/>
        </w:rPr>
        <w:t xml:space="preserve">depreciated </w:t>
      </w:r>
      <w:r w:rsidR="00DC0422" w:rsidRPr="0012545D">
        <w:rPr>
          <w:rFonts w:ascii="Arial" w:hAnsi="Arial" w:cs="Arial"/>
          <w:sz w:val="24"/>
          <w:szCs w:val="24"/>
          <w:lang w:val="en-US" w:eastAsia="pt-BR"/>
        </w:rPr>
        <w:t xml:space="preserve">capital stock </w:t>
      </w:r>
      <w:r w:rsidR="00A7540D" w:rsidRPr="0012545D">
        <w:rPr>
          <w:rFonts w:ascii="Arial" w:hAnsi="Arial" w:cs="Arial"/>
          <w:sz w:val="24"/>
          <w:szCs w:val="24"/>
          <w:lang w:val="en-US" w:eastAsia="pt-BR"/>
        </w:rPr>
        <w:t xml:space="preserve">and then summing </w:t>
      </w:r>
      <w:r w:rsidR="00DC0422" w:rsidRPr="0012545D">
        <w:rPr>
          <w:rFonts w:ascii="Arial" w:hAnsi="Arial" w:cs="Arial"/>
          <w:sz w:val="24"/>
          <w:szCs w:val="24"/>
          <w:lang w:val="en-US" w:eastAsia="pt-BR"/>
        </w:rPr>
        <w:t>t</w:t>
      </w:r>
      <w:r w:rsidR="00A7540D" w:rsidRPr="0012545D">
        <w:rPr>
          <w:rFonts w:ascii="Arial" w:hAnsi="Arial" w:cs="Arial"/>
          <w:sz w:val="24"/>
          <w:szCs w:val="24"/>
          <w:lang w:val="en-US" w:eastAsia="pt-BR"/>
        </w:rPr>
        <w:t xml:space="preserve">he </w:t>
      </w:r>
      <w:r w:rsidR="00DC0422" w:rsidRPr="0012545D">
        <w:rPr>
          <w:rFonts w:ascii="Arial" w:hAnsi="Arial" w:cs="Arial"/>
          <w:sz w:val="24"/>
          <w:szCs w:val="24"/>
          <w:lang w:val="en-US" w:eastAsia="pt-BR"/>
        </w:rPr>
        <w:t>acquisitions (</w:t>
      </w:r>
      <w:r w:rsidR="00A7540D" w:rsidRPr="0012545D">
        <w:rPr>
          <w:rFonts w:ascii="Arial" w:hAnsi="Arial" w:cs="Arial"/>
          <w:sz w:val="24"/>
          <w:szCs w:val="24"/>
          <w:lang w:val="en-US" w:eastAsia="pt-BR"/>
        </w:rPr>
        <w:t>investments</w:t>
      </w:r>
      <w:r w:rsidR="00DC0422" w:rsidRPr="0012545D">
        <w:rPr>
          <w:rFonts w:ascii="Arial" w:hAnsi="Arial" w:cs="Arial"/>
          <w:sz w:val="24"/>
          <w:szCs w:val="24"/>
          <w:lang w:val="en-US" w:eastAsia="pt-BR"/>
        </w:rPr>
        <w:t xml:space="preserve">) in machinery and equipment and </w:t>
      </w:r>
      <w:r w:rsidR="00AF4263">
        <w:rPr>
          <w:rFonts w:ascii="Arial" w:hAnsi="Arial" w:cs="Arial"/>
          <w:sz w:val="24"/>
          <w:szCs w:val="24"/>
          <w:lang w:val="en-US" w:eastAsia="pt-BR"/>
        </w:rPr>
        <w:t>subtracting</w:t>
      </w:r>
      <w:r w:rsidR="00DC0422" w:rsidRPr="0012545D">
        <w:rPr>
          <w:rFonts w:ascii="Arial" w:hAnsi="Arial" w:cs="Arial"/>
          <w:sz w:val="24"/>
          <w:szCs w:val="24"/>
          <w:lang w:val="en-US" w:eastAsia="pt-BR"/>
        </w:rPr>
        <w:t xml:space="preserve"> the losses of fixed assets.</w:t>
      </w:r>
      <w:r w:rsidR="00AF4263">
        <w:rPr>
          <w:rFonts w:ascii="Arial" w:hAnsi="Arial" w:cs="Arial"/>
          <w:sz w:val="24"/>
          <w:szCs w:val="24"/>
          <w:lang w:val="en-US" w:eastAsia="pt-BR"/>
        </w:rPr>
        <w:t xml:space="preserve"> This method can be </w:t>
      </w:r>
      <w:proofErr w:type="spellStart"/>
      <w:r w:rsidR="00AF4263">
        <w:rPr>
          <w:rFonts w:ascii="Arial" w:hAnsi="Arial" w:cs="Arial"/>
          <w:sz w:val="24"/>
          <w:szCs w:val="24"/>
          <w:lang w:val="en-US" w:eastAsia="pt-BR"/>
        </w:rPr>
        <w:t>summaris</w:t>
      </w:r>
      <w:r w:rsidR="00A7540D" w:rsidRPr="0012545D">
        <w:rPr>
          <w:rFonts w:ascii="Arial" w:hAnsi="Arial" w:cs="Arial"/>
          <w:sz w:val="24"/>
          <w:szCs w:val="24"/>
          <w:lang w:val="en-US" w:eastAsia="pt-BR"/>
        </w:rPr>
        <w:t>ed</w:t>
      </w:r>
      <w:proofErr w:type="spellEnd"/>
      <w:r w:rsidR="00A7540D" w:rsidRPr="0012545D">
        <w:rPr>
          <w:rFonts w:ascii="Arial" w:hAnsi="Arial" w:cs="Arial"/>
          <w:sz w:val="24"/>
          <w:szCs w:val="24"/>
          <w:lang w:val="en-US" w:eastAsia="pt-BR"/>
        </w:rPr>
        <w:t xml:space="preserve"> </w:t>
      </w:r>
      <w:r w:rsidR="0012545D">
        <w:rPr>
          <w:rFonts w:ascii="Arial" w:hAnsi="Arial" w:cs="Arial"/>
          <w:sz w:val="24"/>
          <w:szCs w:val="24"/>
          <w:lang w:val="en-US" w:eastAsia="pt-BR"/>
        </w:rPr>
        <w:t xml:space="preserve">in terms of the </w:t>
      </w:r>
      <w:r w:rsidR="00A7540D" w:rsidRPr="0012545D">
        <w:rPr>
          <w:rFonts w:ascii="Arial" w:hAnsi="Arial" w:cs="Arial"/>
          <w:sz w:val="24"/>
          <w:szCs w:val="24"/>
          <w:lang w:val="en-US" w:eastAsia="pt-BR"/>
        </w:rPr>
        <w:t>follow</w:t>
      </w:r>
      <w:r w:rsidR="0012545D">
        <w:rPr>
          <w:rFonts w:ascii="Arial" w:hAnsi="Arial" w:cs="Arial"/>
          <w:sz w:val="24"/>
          <w:szCs w:val="24"/>
          <w:lang w:val="en-US" w:eastAsia="pt-BR"/>
        </w:rPr>
        <w:t>ing expression</w:t>
      </w:r>
      <w:r w:rsidR="00A7540D" w:rsidRPr="0012545D">
        <w:rPr>
          <w:rFonts w:ascii="Arial" w:hAnsi="Arial" w:cs="Arial"/>
          <w:sz w:val="24"/>
          <w:szCs w:val="24"/>
          <w:lang w:val="en-US" w:eastAsia="pt-BR"/>
        </w:rPr>
        <w:t>:</w:t>
      </w:r>
    </w:p>
    <w:p w:rsidR="005A185A" w:rsidRDefault="005A185A" w:rsidP="005A185A">
      <w:pPr>
        <w:spacing w:line="480" w:lineRule="auto"/>
        <w:jc w:val="center"/>
        <w:rPr>
          <w:rFonts w:ascii="Arial" w:hAnsi="Arial" w:cs="Arial"/>
          <w:sz w:val="24"/>
          <w:szCs w:val="24"/>
          <w:lang w:val="en-US" w:eastAsia="pt-BR"/>
        </w:rPr>
      </w:pPr>
      <w:r>
        <w:rPr>
          <w:noProof/>
          <w:lang w:eastAsia="pt-BR"/>
        </w:rPr>
        <w:lastRenderedPageBreak/>
        <w:drawing>
          <wp:inline distT="0" distB="0" distL="0" distR="0" wp14:anchorId="5C4A6A84" wp14:editId="2DE52C69">
            <wp:extent cx="1893570" cy="23431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3570" cy="234315"/>
                    </a:xfrm>
                    <a:prstGeom prst="rect">
                      <a:avLst/>
                    </a:prstGeom>
                    <a:noFill/>
                    <a:ln>
                      <a:noFill/>
                    </a:ln>
                  </pic:spPr>
                </pic:pic>
              </a:graphicData>
            </a:graphic>
          </wp:inline>
        </w:drawing>
      </w:r>
    </w:p>
    <w:p w:rsidR="00490190" w:rsidRDefault="00490190" w:rsidP="00AF4263">
      <w:pPr>
        <w:spacing w:line="480" w:lineRule="auto"/>
        <w:jc w:val="both"/>
        <w:rPr>
          <w:rFonts w:ascii="Arial" w:hAnsi="Arial" w:cs="Arial"/>
          <w:sz w:val="24"/>
          <w:szCs w:val="24"/>
          <w:lang w:val="en-US" w:eastAsia="pt-BR"/>
        </w:rPr>
      </w:pPr>
      <w:r w:rsidRPr="003D0986">
        <w:rPr>
          <w:rFonts w:ascii="Arial" w:hAnsi="Arial" w:cs="Arial"/>
          <w:sz w:val="24"/>
          <w:szCs w:val="24"/>
          <w:lang w:val="en-US"/>
        </w:rPr>
        <w:t xml:space="preserve">where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jt+1</m:t>
            </m:r>
          </m:sub>
        </m:sSub>
      </m:oMath>
      <w:r w:rsidRPr="003D0986">
        <w:rPr>
          <w:rFonts w:ascii="Arial" w:hAnsi="Arial" w:cs="Arial"/>
          <w:sz w:val="24"/>
          <w:szCs w:val="24"/>
          <w:lang w:val="en-US"/>
        </w:rPr>
        <w:t xml:space="preserve"> and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jt</m:t>
            </m:r>
          </m:sub>
        </m:sSub>
      </m:oMath>
      <w:r w:rsidRPr="003D0986">
        <w:rPr>
          <w:rFonts w:ascii="Arial" w:hAnsi="Arial" w:cs="Arial"/>
          <w:sz w:val="24"/>
          <w:szCs w:val="24"/>
          <w:lang w:val="en-US" w:eastAsia="pt-BR"/>
        </w:rPr>
        <w:t xml:space="preserve">, </w:t>
      </w:r>
      <w:r w:rsidR="0012545D">
        <w:rPr>
          <w:rFonts w:ascii="Arial" w:hAnsi="Arial" w:cs="Arial"/>
          <w:sz w:val="24"/>
          <w:szCs w:val="24"/>
          <w:lang w:val="en-US" w:eastAsia="pt-BR"/>
        </w:rPr>
        <w:t>denote</w:t>
      </w:r>
      <w:r w:rsidR="003D5532">
        <w:rPr>
          <w:rFonts w:ascii="Arial" w:hAnsi="Arial" w:cs="Arial"/>
          <w:sz w:val="24"/>
          <w:szCs w:val="24"/>
          <w:lang w:val="en-US" w:eastAsia="pt-BR"/>
        </w:rPr>
        <w:t xml:space="preserve">,  the capital stock of </w:t>
      </w:r>
      <w:r w:rsidRPr="003D0986">
        <w:rPr>
          <w:rFonts w:ascii="Arial" w:hAnsi="Arial" w:cs="Arial"/>
          <w:sz w:val="24"/>
          <w:szCs w:val="24"/>
          <w:lang w:val="en-US" w:eastAsia="pt-BR"/>
        </w:rPr>
        <w:t xml:space="preserve">sector </w:t>
      </w:r>
      <w:r w:rsidRPr="003D0986">
        <w:rPr>
          <w:rFonts w:ascii="Arial" w:hAnsi="Arial" w:cs="Arial"/>
          <w:i/>
          <w:sz w:val="24"/>
          <w:szCs w:val="24"/>
          <w:lang w:val="en-US" w:eastAsia="pt-BR"/>
        </w:rPr>
        <w:t xml:space="preserve">j </w:t>
      </w:r>
      <w:r w:rsidRPr="003D0986">
        <w:rPr>
          <w:rFonts w:ascii="Arial" w:hAnsi="Arial" w:cs="Arial"/>
          <w:sz w:val="24"/>
          <w:szCs w:val="24"/>
          <w:lang w:val="en-US" w:eastAsia="pt-BR"/>
        </w:rPr>
        <w:t xml:space="preserve"> in the </w:t>
      </w:r>
      <w:r w:rsidRPr="003D0986">
        <w:rPr>
          <w:rFonts w:ascii="Arial" w:hAnsi="Arial" w:cs="Arial"/>
          <w:i/>
          <w:sz w:val="24"/>
          <w:szCs w:val="24"/>
          <w:lang w:val="en-US" w:eastAsia="pt-BR"/>
        </w:rPr>
        <w:t xml:space="preserve">t+1 </w:t>
      </w:r>
      <w:r w:rsidRPr="003D0986">
        <w:rPr>
          <w:rFonts w:ascii="Arial" w:hAnsi="Arial" w:cs="Arial"/>
          <w:sz w:val="24"/>
          <w:szCs w:val="24"/>
          <w:lang w:val="en-US" w:eastAsia="pt-BR"/>
        </w:rPr>
        <w:t xml:space="preserve">and </w:t>
      </w:r>
      <w:r w:rsidRPr="003D0986">
        <w:rPr>
          <w:rFonts w:ascii="Arial" w:hAnsi="Arial" w:cs="Arial"/>
          <w:i/>
          <w:sz w:val="24"/>
          <w:szCs w:val="24"/>
          <w:lang w:val="en-US" w:eastAsia="pt-BR"/>
        </w:rPr>
        <w:t xml:space="preserve">t </w:t>
      </w:r>
      <w:r w:rsidRPr="003D0986">
        <w:rPr>
          <w:rFonts w:ascii="Arial" w:hAnsi="Arial" w:cs="Arial"/>
          <w:sz w:val="24"/>
          <w:szCs w:val="24"/>
          <w:lang w:val="en-US" w:eastAsia="pt-BR"/>
        </w:rPr>
        <w:t>period</w:t>
      </w:r>
      <w:r w:rsidR="003D5532">
        <w:rPr>
          <w:rFonts w:ascii="Arial" w:hAnsi="Arial" w:cs="Arial"/>
          <w:sz w:val="24"/>
          <w:szCs w:val="24"/>
          <w:lang w:val="en-US" w:eastAsia="pt-BR"/>
        </w:rPr>
        <w:t>s</w:t>
      </w:r>
      <w:r w:rsidR="00AF4263">
        <w:rPr>
          <w:rFonts w:ascii="Arial" w:hAnsi="Arial" w:cs="Arial"/>
          <w:sz w:val="24"/>
          <w:szCs w:val="24"/>
          <w:lang w:val="en-US" w:eastAsia="pt-BR"/>
        </w:rPr>
        <w:t xml:space="preserve"> </w:t>
      </w:r>
      <w:r w:rsidR="00AF4263" w:rsidRPr="003D0986">
        <w:rPr>
          <w:rFonts w:ascii="Arial" w:hAnsi="Arial" w:cs="Arial"/>
          <w:sz w:val="24"/>
          <w:szCs w:val="24"/>
          <w:lang w:val="en-US" w:eastAsia="pt-BR"/>
        </w:rPr>
        <w:t>re</w:t>
      </w:r>
      <w:r w:rsidR="00AF4263">
        <w:rPr>
          <w:rFonts w:ascii="Arial" w:hAnsi="Arial" w:cs="Arial"/>
          <w:sz w:val="24"/>
          <w:szCs w:val="24"/>
          <w:lang w:val="en-US" w:eastAsia="pt-BR"/>
        </w:rPr>
        <w:t>spectively</w:t>
      </w:r>
      <w:r w:rsidRPr="003D0986">
        <w:rPr>
          <w:rFonts w:ascii="Arial" w:hAnsi="Arial" w:cs="Arial"/>
          <w:sz w:val="24"/>
          <w:szCs w:val="24"/>
          <w:lang w:val="en-US" w:eastAsia="pt-BR"/>
        </w:rPr>
        <w:t xml:space="preserv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jt</m:t>
            </m:r>
          </m:sub>
        </m:sSub>
      </m:oMath>
      <w:r w:rsidRPr="003D0986">
        <w:rPr>
          <w:rFonts w:ascii="Arial" w:hAnsi="Arial" w:cs="Arial"/>
          <w:sz w:val="24"/>
          <w:szCs w:val="24"/>
          <w:lang w:val="en-US" w:eastAsia="pt-BR"/>
        </w:rPr>
        <w:t xml:space="preserve"> is the</w:t>
      </w:r>
      <w:r w:rsidR="00196454">
        <w:rPr>
          <w:rFonts w:ascii="Arial" w:hAnsi="Arial" w:cs="Arial"/>
          <w:sz w:val="24"/>
          <w:szCs w:val="24"/>
          <w:lang w:val="en-US" w:eastAsia="pt-BR"/>
        </w:rPr>
        <w:t xml:space="preserve"> </w:t>
      </w:r>
      <w:r w:rsidRPr="003D0986">
        <w:rPr>
          <w:rFonts w:ascii="Arial" w:hAnsi="Arial" w:cs="Arial"/>
          <w:sz w:val="24"/>
          <w:szCs w:val="24"/>
          <w:lang w:val="en-US" w:eastAsia="pt-BR"/>
        </w:rPr>
        <w:t xml:space="preserve">investment of sector </w:t>
      </w:r>
      <w:r w:rsidRPr="003D0986">
        <w:rPr>
          <w:rFonts w:ascii="Arial" w:hAnsi="Arial" w:cs="Arial"/>
          <w:i/>
          <w:sz w:val="24"/>
          <w:szCs w:val="24"/>
          <w:lang w:val="en-US" w:eastAsia="pt-BR"/>
        </w:rPr>
        <w:t xml:space="preserve">j </w:t>
      </w:r>
      <w:r w:rsidRPr="003D0986">
        <w:rPr>
          <w:rFonts w:ascii="Arial" w:hAnsi="Arial" w:cs="Arial"/>
          <w:sz w:val="24"/>
          <w:szCs w:val="24"/>
          <w:lang w:val="en-US" w:eastAsia="pt-BR"/>
        </w:rPr>
        <w:t xml:space="preserve">in period </w:t>
      </w:r>
      <w:r w:rsidRPr="003D0986">
        <w:rPr>
          <w:rFonts w:ascii="Arial" w:hAnsi="Arial" w:cs="Arial"/>
          <w:i/>
          <w:sz w:val="24"/>
          <w:szCs w:val="24"/>
          <w:lang w:val="en-US" w:eastAsia="pt-BR"/>
        </w:rPr>
        <w:t>t</w:t>
      </w:r>
      <w:r w:rsidRPr="003D0986">
        <w:rPr>
          <w:rFonts w:ascii="Arial" w:hAnsi="Arial" w:cs="Arial"/>
          <w:sz w:val="24"/>
          <w:szCs w:val="24"/>
          <w:lang w:val="en-US" w:eastAsia="pt-BR"/>
        </w:rPr>
        <w:t xml:space="preserve">; </w:t>
      </w:r>
      <w:proofErr w:type="spellStart"/>
      <w:r w:rsidR="0012545D" w:rsidRPr="006238DB">
        <w:rPr>
          <w:lang w:val="en-US"/>
        </w:rPr>
        <w:t>S</w:t>
      </w:r>
      <w:r w:rsidR="0012545D" w:rsidRPr="006238DB">
        <w:rPr>
          <w:vertAlign w:val="subscript"/>
          <w:lang w:val="en-US"/>
        </w:rPr>
        <w:t>j,t</w:t>
      </w:r>
      <w:proofErr w:type="spellEnd"/>
      <w:r w:rsidR="00D51DBA" w:rsidRPr="007D5A1D">
        <w:rPr>
          <w:rFonts w:ascii="Arial" w:hAnsi="Arial" w:cs="Arial"/>
          <w:color w:val="984806"/>
          <w:sz w:val="24"/>
          <w:szCs w:val="24"/>
          <w:lang w:val="en-US" w:eastAsia="pt-BR"/>
        </w:rPr>
        <w:t xml:space="preserve"> </w:t>
      </w:r>
      <w:r w:rsidR="00AF4263">
        <w:rPr>
          <w:rFonts w:ascii="Arial" w:hAnsi="Arial" w:cs="Arial"/>
          <w:sz w:val="24"/>
          <w:szCs w:val="24"/>
          <w:lang w:val="en-US" w:eastAsia="pt-BR"/>
        </w:rPr>
        <w:t>re</w:t>
      </w:r>
      <w:r w:rsidR="00AF4263" w:rsidRPr="00AF4263">
        <w:rPr>
          <w:rFonts w:ascii="Arial" w:hAnsi="Arial" w:cs="Arial"/>
          <w:sz w:val="24"/>
          <w:szCs w:val="24"/>
          <w:lang w:val="en-US" w:eastAsia="pt-BR"/>
        </w:rPr>
        <w:t>presents</w:t>
      </w:r>
      <w:r w:rsidR="0012545D" w:rsidRPr="0012545D">
        <w:rPr>
          <w:rFonts w:ascii="Arial" w:hAnsi="Arial" w:cs="Arial"/>
          <w:sz w:val="24"/>
          <w:szCs w:val="24"/>
          <w:lang w:val="en-US" w:eastAsia="pt-BR"/>
        </w:rPr>
        <w:t xml:space="preserve">  the scrapping of capital stock</w:t>
      </w:r>
      <w:r w:rsidR="00D51DBA" w:rsidRPr="007D5A1D">
        <w:rPr>
          <w:rFonts w:ascii="Arial" w:hAnsi="Arial" w:cs="Arial"/>
          <w:color w:val="984806"/>
          <w:sz w:val="24"/>
          <w:szCs w:val="24"/>
          <w:lang w:val="en-US" w:eastAsia="pt-BR"/>
        </w:rPr>
        <w:t>,</w:t>
      </w:r>
      <w:r w:rsidR="00AF4263">
        <w:rPr>
          <w:rFonts w:ascii="Arial" w:hAnsi="Arial" w:cs="Arial"/>
          <w:color w:val="984806"/>
          <w:sz w:val="24"/>
          <w:szCs w:val="24"/>
          <w:lang w:val="en-US" w:eastAsia="pt-BR"/>
        </w:rPr>
        <w:t xml:space="preserve"> </w:t>
      </w:r>
      <w:r w:rsidR="00AF4263" w:rsidRPr="00AF4263">
        <w:rPr>
          <w:rFonts w:ascii="Arial" w:hAnsi="Arial" w:cs="Arial"/>
          <w:sz w:val="24"/>
          <w:szCs w:val="24"/>
          <w:lang w:val="en-US" w:eastAsia="pt-BR"/>
        </w:rPr>
        <w:t>and</w:t>
      </w:r>
      <w:r w:rsidR="00AF4263">
        <w:rPr>
          <w:rFonts w:ascii="Arial" w:hAnsi="Arial" w:cs="Arial"/>
          <w:color w:val="984806"/>
          <w:sz w:val="24"/>
          <w:szCs w:val="24"/>
          <w:lang w:val="en-US" w:eastAsia="pt-BR"/>
        </w:rPr>
        <w:t xml:space="preserve"> </w:t>
      </w:r>
      <w:r w:rsidR="00D51DBA" w:rsidRPr="003D0986">
        <w:rPr>
          <w:rFonts w:ascii="Arial" w:hAnsi="Arial" w:cs="Arial"/>
          <w:sz w:val="24"/>
          <w:szCs w:val="24"/>
          <w:lang w:val="en-US" w:eastAsia="pt-BR"/>
        </w:rPr>
        <w:t xml:space="preserve"> </w:t>
      </w:r>
      <m:oMath>
        <m:r>
          <w:rPr>
            <w:rFonts w:ascii="Cambria Math" w:hAnsi="Cambria Math"/>
            <w:sz w:val="24"/>
            <w:szCs w:val="24"/>
          </w:rPr>
          <m:t>δ</m:t>
        </m:r>
      </m:oMath>
      <w:r w:rsidRPr="003D0986">
        <w:rPr>
          <w:rFonts w:ascii="Arial" w:hAnsi="Arial" w:cs="Arial"/>
          <w:sz w:val="24"/>
          <w:szCs w:val="24"/>
          <w:lang w:val="en-US" w:eastAsia="pt-BR"/>
        </w:rPr>
        <w:t xml:space="preserve"> is the average rate of depreciation, which we assumed</w:t>
      </w:r>
      <w:r w:rsidR="00AF4263">
        <w:rPr>
          <w:rFonts w:ascii="Arial" w:hAnsi="Arial" w:cs="Arial"/>
          <w:sz w:val="24"/>
          <w:szCs w:val="24"/>
          <w:lang w:val="en-US" w:eastAsia="pt-BR"/>
        </w:rPr>
        <w:t xml:space="preserve"> to be equal to </w:t>
      </w:r>
      <w:r w:rsidR="00AF4263" w:rsidRPr="003D0986">
        <w:rPr>
          <w:rFonts w:ascii="Arial" w:hAnsi="Arial" w:cs="Arial"/>
          <w:sz w:val="24"/>
          <w:szCs w:val="24"/>
          <w:lang w:val="en-US" w:eastAsia="pt-BR"/>
        </w:rPr>
        <w:t xml:space="preserve">9%.   </w:t>
      </w:r>
      <w:r w:rsidRPr="003D0986">
        <w:rPr>
          <w:rFonts w:ascii="Arial" w:hAnsi="Arial" w:cs="Arial"/>
          <w:sz w:val="24"/>
          <w:szCs w:val="24"/>
          <w:lang w:val="en-US" w:eastAsia="pt-BR"/>
        </w:rPr>
        <w:t>, based on studies of Alves and Silva (2008)</w:t>
      </w:r>
      <w:r w:rsidR="00AF4263">
        <w:rPr>
          <w:rFonts w:ascii="Arial" w:hAnsi="Arial" w:cs="Arial"/>
          <w:sz w:val="24"/>
          <w:szCs w:val="24"/>
          <w:lang w:val="en-US" w:eastAsia="pt-BR"/>
        </w:rPr>
        <w:t xml:space="preserve"> and Ferreira &amp; </w:t>
      </w:r>
      <w:proofErr w:type="spellStart"/>
      <w:r w:rsidR="00AF4263">
        <w:rPr>
          <w:rFonts w:ascii="Arial" w:hAnsi="Arial" w:cs="Arial"/>
          <w:sz w:val="24"/>
          <w:szCs w:val="24"/>
          <w:lang w:val="en-US" w:eastAsia="pt-BR"/>
        </w:rPr>
        <w:t>Guillién</w:t>
      </w:r>
      <w:proofErr w:type="spellEnd"/>
      <w:r w:rsidR="00AF4263">
        <w:rPr>
          <w:rFonts w:ascii="Arial" w:hAnsi="Arial" w:cs="Arial"/>
          <w:sz w:val="24"/>
          <w:szCs w:val="24"/>
          <w:lang w:val="en-US" w:eastAsia="pt-BR"/>
        </w:rPr>
        <w:t xml:space="preserve"> (2004).</w:t>
      </w:r>
      <w:r w:rsidRPr="003D0986">
        <w:rPr>
          <w:rFonts w:ascii="Arial" w:hAnsi="Arial" w:cs="Arial"/>
          <w:sz w:val="24"/>
          <w:szCs w:val="24"/>
          <w:lang w:val="en-US" w:eastAsia="pt-BR"/>
        </w:rPr>
        <w:t xml:space="preserve"> </w:t>
      </w:r>
    </w:p>
    <w:p w:rsidR="00E55259" w:rsidRPr="006238DB" w:rsidRDefault="001048A4" w:rsidP="001048A4">
      <w:pPr>
        <w:spacing w:line="480" w:lineRule="auto"/>
        <w:jc w:val="both"/>
        <w:rPr>
          <w:rFonts w:ascii="Arial" w:hAnsi="Arial" w:cs="Arial"/>
          <w:color w:val="FF0000"/>
          <w:sz w:val="24"/>
          <w:szCs w:val="24"/>
          <w:lang w:val="en-US" w:eastAsia="pt-BR"/>
        </w:rPr>
      </w:pPr>
      <w:r w:rsidRPr="007D5A1D">
        <w:rPr>
          <w:rFonts w:ascii="Arial" w:hAnsi="Arial" w:cs="Arial"/>
          <w:color w:val="984806"/>
          <w:sz w:val="24"/>
          <w:szCs w:val="24"/>
          <w:lang w:val="en-US" w:eastAsia="pt-BR"/>
        </w:rPr>
        <w:tab/>
      </w:r>
      <w:r w:rsidR="00253AB8" w:rsidRPr="0012545D">
        <w:rPr>
          <w:rFonts w:ascii="Arial" w:hAnsi="Arial" w:cs="Arial"/>
          <w:sz w:val="24"/>
          <w:szCs w:val="24"/>
          <w:lang w:val="en-US" w:eastAsia="pt-BR"/>
        </w:rPr>
        <w:t>As show</w:t>
      </w:r>
      <w:r w:rsidR="00AF4263">
        <w:rPr>
          <w:rFonts w:ascii="Arial" w:hAnsi="Arial" w:cs="Arial"/>
          <w:sz w:val="24"/>
          <w:szCs w:val="24"/>
          <w:lang w:val="en-US" w:eastAsia="pt-BR"/>
        </w:rPr>
        <w:t>n</w:t>
      </w:r>
      <w:r w:rsidR="00253AB8" w:rsidRPr="0012545D">
        <w:rPr>
          <w:rFonts w:ascii="Arial" w:hAnsi="Arial" w:cs="Arial"/>
          <w:sz w:val="24"/>
          <w:szCs w:val="24"/>
          <w:lang w:val="en-US" w:eastAsia="pt-BR"/>
        </w:rPr>
        <w:t xml:space="preserve"> by the above equation</w:t>
      </w:r>
      <w:r w:rsidR="00433B32">
        <w:rPr>
          <w:rFonts w:ascii="Arial" w:hAnsi="Arial" w:cs="Arial"/>
          <w:sz w:val="24"/>
          <w:szCs w:val="24"/>
          <w:lang w:val="en-US" w:eastAsia="pt-BR"/>
        </w:rPr>
        <w:t xml:space="preserve"> it</w:t>
      </w:r>
      <w:r w:rsidR="00253AB8" w:rsidRPr="0012545D">
        <w:rPr>
          <w:rFonts w:ascii="Arial" w:hAnsi="Arial" w:cs="Arial"/>
          <w:sz w:val="24"/>
          <w:szCs w:val="24"/>
          <w:lang w:val="en-US" w:eastAsia="pt-BR"/>
        </w:rPr>
        <w:t xml:space="preserve"> </w:t>
      </w:r>
      <w:r w:rsidR="00AF4263">
        <w:rPr>
          <w:rFonts w:ascii="Arial" w:hAnsi="Arial" w:cs="Arial"/>
          <w:sz w:val="24"/>
          <w:szCs w:val="24"/>
          <w:lang w:val="en-US" w:eastAsia="pt-BR"/>
        </w:rPr>
        <w:t>was</w:t>
      </w:r>
      <w:r w:rsidR="00253AB8" w:rsidRPr="0012545D">
        <w:rPr>
          <w:rFonts w:ascii="Arial" w:hAnsi="Arial" w:cs="Arial"/>
          <w:sz w:val="24"/>
          <w:szCs w:val="24"/>
          <w:lang w:val="en-US" w:eastAsia="pt-BR"/>
        </w:rPr>
        <w:t xml:space="preserve"> necessary</w:t>
      </w:r>
      <w:r w:rsidR="00014CFC" w:rsidRPr="0012545D">
        <w:rPr>
          <w:rFonts w:ascii="Arial" w:hAnsi="Arial" w:cs="Arial"/>
          <w:sz w:val="24"/>
          <w:szCs w:val="24"/>
          <w:lang w:val="en-US" w:eastAsia="pt-BR"/>
        </w:rPr>
        <w:t xml:space="preserve"> to</w:t>
      </w:r>
      <w:r w:rsidR="00253AB8" w:rsidRPr="0012545D">
        <w:rPr>
          <w:rFonts w:ascii="Arial" w:hAnsi="Arial" w:cs="Arial"/>
          <w:sz w:val="24"/>
          <w:szCs w:val="24"/>
          <w:lang w:val="en-US" w:eastAsia="pt-BR"/>
        </w:rPr>
        <w:t xml:space="preserve"> define a</w:t>
      </w:r>
      <w:r w:rsidR="00972600" w:rsidRPr="0012545D">
        <w:rPr>
          <w:rFonts w:ascii="Arial" w:hAnsi="Arial" w:cs="Arial"/>
          <w:sz w:val="24"/>
          <w:szCs w:val="24"/>
          <w:lang w:val="en-US" w:eastAsia="pt-BR"/>
        </w:rPr>
        <w:t>n</w:t>
      </w:r>
      <w:r w:rsidR="00253AB8" w:rsidRPr="0012545D">
        <w:rPr>
          <w:rFonts w:ascii="Arial" w:hAnsi="Arial" w:cs="Arial"/>
          <w:sz w:val="24"/>
          <w:szCs w:val="24"/>
          <w:lang w:val="en-US" w:eastAsia="pt-BR"/>
        </w:rPr>
        <w:t xml:space="preserve"> initial </w:t>
      </w:r>
      <w:r w:rsidR="00014CFC" w:rsidRPr="0012545D">
        <w:rPr>
          <w:rFonts w:ascii="Arial" w:hAnsi="Arial" w:cs="Arial"/>
          <w:sz w:val="24"/>
          <w:szCs w:val="24"/>
          <w:lang w:val="en-US" w:eastAsia="pt-BR"/>
        </w:rPr>
        <w:t xml:space="preserve">stock of </w:t>
      </w:r>
      <w:r w:rsidR="00253AB8" w:rsidRPr="0012545D">
        <w:rPr>
          <w:rFonts w:ascii="Arial" w:hAnsi="Arial" w:cs="Arial"/>
          <w:sz w:val="24"/>
          <w:szCs w:val="24"/>
          <w:lang w:val="en-US" w:eastAsia="pt-BR"/>
        </w:rPr>
        <w:t xml:space="preserve">capital </w:t>
      </w:r>
      <w:r w:rsidR="00AF4263">
        <w:rPr>
          <w:rFonts w:ascii="Arial" w:hAnsi="Arial" w:cs="Arial"/>
          <w:sz w:val="24"/>
          <w:szCs w:val="24"/>
          <w:lang w:val="en-US" w:eastAsia="pt-BR"/>
        </w:rPr>
        <w:t xml:space="preserve">to </w:t>
      </w:r>
      <w:r w:rsidR="00253AB8" w:rsidRPr="0012545D">
        <w:rPr>
          <w:rFonts w:ascii="Arial" w:hAnsi="Arial" w:cs="Arial"/>
          <w:sz w:val="24"/>
          <w:szCs w:val="24"/>
          <w:lang w:val="en-US" w:eastAsia="pt-BR"/>
        </w:rPr>
        <w:t>enabl</w:t>
      </w:r>
      <w:r w:rsidR="00AF4263">
        <w:rPr>
          <w:rFonts w:ascii="Arial" w:hAnsi="Arial" w:cs="Arial"/>
          <w:sz w:val="24"/>
          <w:szCs w:val="24"/>
          <w:lang w:val="en-US" w:eastAsia="pt-BR"/>
        </w:rPr>
        <w:t>e</w:t>
      </w:r>
      <w:r w:rsidR="00253AB8" w:rsidRPr="0012545D">
        <w:rPr>
          <w:rFonts w:ascii="Arial" w:hAnsi="Arial" w:cs="Arial"/>
          <w:sz w:val="24"/>
          <w:szCs w:val="24"/>
          <w:lang w:val="en-US" w:eastAsia="pt-BR"/>
        </w:rPr>
        <w:t xml:space="preserve"> us to estimate the remaining periods </w:t>
      </w:r>
      <w:r w:rsidR="00AF4263">
        <w:rPr>
          <w:rFonts w:ascii="Arial" w:hAnsi="Arial" w:cs="Arial"/>
          <w:sz w:val="24"/>
          <w:szCs w:val="24"/>
          <w:lang w:val="en-US" w:eastAsia="pt-BR"/>
        </w:rPr>
        <w:t>in</w:t>
      </w:r>
      <w:r w:rsidR="00253AB8" w:rsidRPr="0012545D">
        <w:rPr>
          <w:rFonts w:ascii="Arial" w:hAnsi="Arial" w:cs="Arial"/>
          <w:sz w:val="24"/>
          <w:szCs w:val="24"/>
          <w:lang w:val="en-US" w:eastAsia="pt-BR"/>
        </w:rPr>
        <w:t xml:space="preserve"> the sample</w:t>
      </w:r>
      <w:r w:rsidR="00972600" w:rsidRPr="0012545D">
        <w:rPr>
          <w:rFonts w:ascii="Arial" w:hAnsi="Arial" w:cs="Arial"/>
          <w:sz w:val="24"/>
          <w:szCs w:val="24"/>
          <w:lang w:val="en-US" w:eastAsia="pt-BR"/>
        </w:rPr>
        <w:t>. The 1995 stock of capital was set as the initial point</w:t>
      </w:r>
      <w:r w:rsidR="00171589" w:rsidRPr="0012545D">
        <w:rPr>
          <w:rFonts w:ascii="Arial" w:hAnsi="Arial" w:cs="Arial"/>
          <w:sz w:val="24"/>
          <w:szCs w:val="24"/>
          <w:lang w:val="en-US" w:eastAsia="pt-BR"/>
        </w:rPr>
        <w:t xml:space="preserve"> because t</w:t>
      </w:r>
      <w:r w:rsidR="00AF4263">
        <w:rPr>
          <w:rFonts w:ascii="Arial" w:hAnsi="Arial" w:cs="Arial"/>
          <w:sz w:val="24"/>
          <w:szCs w:val="24"/>
          <w:lang w:val="en-US" w:eastAsia="pt-BR"/>
        </w:rPr>
        <w:t>hat</w:t>
      </w:r>
      <w:r w:rsidR="00972600" w:rsidRPr="0012545D">
        <w:rPr>
          <w:rFonts w:ascii="Arial" w:hAnsi="Arial" w:cs="Arial"/>
          <w:sz w:val="24"/>
          <w:szCs w:val="24"/>
          <w:lang w:val="en-US" w:eastAsia="pt-BR"/>
        </w:rPr>
        <w:t xml:space="preserve"> year </w:t>
      </w:r>
      <w:r w:rsidR="00AF4263">
        <w:rPr>
          <w:rFonts w:ascii="Arial" w:hAnsi="Arial" w:cs="Arial"/>
          <w:sz w:val="24"/>
          <w:szCs w:val="24"/>
          <w:lang w:val="en-US" w:eastAsia="pt-BR"/>
        </w:rPr>
        <w:t>was</w:t>
      </w:r>
      <w:r w:rsidR="00972600" w:rsidRPr="0012545D">
        <w:rPr>
          <w:rFonts w:ascii="Arial" w:hAnsi="Arial" w:cs="Arial"/>
          <w:sz w:val="24"/>
          <w:szCs w:val="24"/>
          <w:lang w:val="en-US" w:eastAsia="pt-BR"/>
        </w:rPr>
        <w:t xml:space="preserve"> the last </w:t>
      </w:r>
      <w:r w:rsidR="00AF4263">
        <w:rPr>
          <w:rFonts w:ascii="Arial" w:hAnsi="Arial" w:cs="Arial"/>
          <w:sz w:val="24"/>
          <w:szCs w:val="24"/>
          <w:lang w:val="en-US" w:eastAsia="pt-BR"/>
        </w:rPr>
        <w:t>in which</w:t>
      </w:r>
      <w:r w:rsidR="00171589" w:rsidRPr="0012545D">
        <w:rPr>
          <w:rFonts w:ascii="Arial" w:hAnsi="Arial" w:cs="Arial"/>
          <w:sz w:val="24"/>
          <w:szCs w:val="24"/>
          <w:lang w:val="en-US" w:eastAsia="pt-BR"/>
        </w:rPr>
        <w:t xml:space="preserve"> </w:t>
      </w:r>
      <w:r w:rsidR="00972600" w:rsidRPr="0012545D">
        <w:rPr>
          <w:rFonts w:ascii="Arial" w:hAnsi="Arial" w:cs="Arial"/>
          <w:sz w:val="24"/>
          <w:szCs w:val="24"/>
          <w:lang w:val="en-US" w:eastAsia="pt-BR"/>
        </w:rPr>
        <w:t>the IBGE disclose</w:t>
      </w:r>
      <w:r w:rsidR="0012545D" w:rsidRPr="0012545D">
        <w:rPr>
          <w:rFonts w:ascii="Arial" w:hAnsi="Arial" w:cs="Arial"/>
          <w:sz w:val="24"/>
          <w:szCs w:val="24"/>
          <w:lang w:val="en-US" w:eastAsia="pt-BR"/>
        </w:rPr>
        <w:t>d</w:t>
      </w:r>
      <w:r w:rsidR="00AF4263">
        <w:rPr>
          <w:rFonts w:ascii="Arial" w:hAnsi="Arial" w:cs="Arial"/>
          <w:sz w:val="24"/>
          <w:szCs w:val="24"/>
          <w:lang w:val="en-US" w:eastAsia="pt-BR"/>
        </w:rPr>
        <w:t xml:space="preserve"> an estimated</w:t>
      </w:r>
      <w:r w:rsidR="00972600" w:rsidRPr="0012545D">
        <w:rPr>
          <w:rFonts w:ascii="Arial" w:hAnsi="Arial" w:cs="Arial"/>
          <w:sz w:val="24"/>
          <w:szCs w:val="24"/>
          <w:lang w:val="en-US" w:eastAsia="pt-BR"/>
        </w:rPr>
        <w:t xml:space="preserve"> </w:t>
      </w:r>
      <w:r w:rsidR="00171589" w:rsidRPr="0012545D">
        <w:rPr>
          <w:rFonts w:ascii="Arial" w:hAnsi="Arial" w:cs="Arial"/>
          <w:sz w:val="24"/>
          <w:szCs w:val="24"/>
          <w:lang w:val="en-US" w:eastAsia="pt-BR"/>
        </w:rPr>
        <w:t>stock of capital</w:t>
      </w:r>
      <w:r w:rsidR="0012545D" w:rsidRPr="0012545D">
        <w:rPr>
          <w:rFonts w:ascii="Arial" w:hAnsi="Arial" w:cs="Arial"/>
          <w:sz w:val="24"/>
          <w:szCs w:val="24"/>
          <w:lang w:val="en-US" w:eastAsia="pt-BR"/>
        </w:rPr>
        <w:t xml:space="preserve"> </w:t>
      </w:r>
      <w:r w:rsidR="0012545D">
        <w:rPr>
          <w:rFonts w:ascii="Arial" w:hAnsi="Arial" w:cs="Arial"/>
          <w:sz w:val="24"/>
          <w:szCs w:val="24"/>
          <w:lang w:val="en-US" w:eastAsia="pt-BR"/>
        </w:rPr>
        <w:t>a</w:t>
      </w:r>
      <w:r w:rsidR="0012545D" w:rsidRPr="0012545D">
        <w:rPr>
          <w:rFonts w:ascii="Arial" w:hAnsi="Arial" w:cs="Arial"/>
          <w:sz w:val="24"/>
          <w:szCs w:val="24"/>
          <w:lang w:val="en-US" w:eastAsia="pt-BR"/>
        </w:rPr>
        <w:t>s measured by total fixed assets</w:t>
      </w:r>
      <w:r w:rsidR="00AF4263">
        <w:rPr>
          <w:rFonts w:ascii="Arial" w:hAnsi="Arial" w:cs="Arial"/>
          <w:sz w:val="24"/>
          <w:szCs w:val="24"/>
          <w:lang w:val="en-US" w:eastAsia="pt-BR"/>
        </w:rPr>
        <w:t>.</w:t>
      </w:r>
      <w:r w:rsidR="00171589" w:rsidRPr="0012545D">
        <w:rPr>
          <w:rFonts w:ascii="Arial" w:hAnsi="Arial" w:cs="Arial"/>
          <w:sz w:val="24"/>
          <w:szCs w:val="24"/>
          <w:lang w:val="en-US" w:eastAsia="pt-BR"/>
        </w:rPr>
        <w:t xml:space="preserve"> </w:t>
      </w:r>
      <w:r w:rsidR="00433B32">
        <w:rPr>
          <w:rFonts w:ascii="Arial" w:hAnsi="Arial" w:cs="Arial"/>
          <w:sz w:val="24"/>
          <w:szCs w:val="24"/>
          <w:lang w:val="en-US" w:eastAsia="pt-BR"/>
        </w:rPr>
        <w:t>Consequently, after 1995</w:t>
      </w:r>
      <w:r w:rsidR="00AB3935" w:rsidRPr="0012545D">
        <w:rPr>
          <w:rFonts w:ascii="Arial" w:hAnsi="Arial" w:cs="Arial"/>
          <w:sz w:val="24"/>
          <w:szCs w:val="24"/>
          <w:lang w:val="en-US" w:eastAsia="pt-BR"/>
        </w:rPr>
        <w:t xml:space="preserve"> the capital stock data </w:t>
      </w:r>
      <w:r w:rsidR="00AF4263">
        <w:rPr>
          <w:rFonts w:ascii="Arial" w:hAnsi="Arial" w:cs="Arial"/>
          <w:sz w:val="24"/>
          <w:szCs w:val="24"/>
          <w:lang w:val="en-US" w:eastAsia="pt-BR"/>
        </w:rPr>
        <w:t>were</w:t>
      </w:r>
      <w:r w:rsidR="003E439F" w:rsidRPr="0012545D">
        <w:rPr>
          <w:rFonts w:ascii="Arial" w:hAnsi="Arial" w:cs="Arial"/>
          <w:sz w:val="24"/>
          <w:szCs w:val="24"/>
          <w:lang w:val="en-US" w:eastAsia="pt-BR"/>
        </w:rPr>
        <w:t xml:space="preserve"> </w:t>
      </w:r>
      <w:r w:rsidR="00AB3935" w:rsidRPr="0012545D">
        <w:rPr>
          <w:rFonts w:ascii="Arial" w:hAnsi="Arial" w:cs="Arial"/>
          <w:sz w:val="24"/>
          <w:szCs w:val="24"/>
          <w:lang w:val="en-US" w:eastAsia="pt-BR"/>
        </w:rPr>
        <w:t xml:space="preserve">obtained recursively </w:t>
      </w:r>
      <w:r w:rsidR="00AF4263">
        <w:rPr>
          <w:rFonts w:ascii="Arial" w:hAnsi="Arial" w:cs="Arial"/>
          <w:sz w:val="24"/>
          <w:szCs w:val="24"/>
          <w:lang w:val="en-US" w:eastAsia="pt-BR"/>
        </w:rPr>
        <w:t xml:space="preserve">by </w:t>
      </w:r>
      <w:r w:rsidR="00AB3935" w:rsidRPr="0012545D">
        <w:rPr>
          <w:rFonts w:ascii="Arial" w:hAnsi="Arial" w:cs="Arial"/>
          <w:sz w:val="24"/>
          <w:szCs w:val="24"/>
          <w:lang w:val="en-US" w:eastAsia="pt-BR"/>
        </w:rPr>
        <w:t xml:space="preserve">adding </w:t>
      </w:r>
      <w:r w:rsidR="00DD7073" w:rsidRPr="00433B32">
        <w:rPr>
          <w:rFonts w:ascii="Arial" w:hAnsi="Arial" w:cs="Arial"/>
          <w:sz w:val="24"/>
          <w:szCs w:val="24"/>
          <w:lang w:val="en-US" w:eastAsia="pt-BR"/>
        </w:rPr>
        <w:t>the net investments made in the current</w:t>
      </w:r>
      <w:r w:rsidR="00DD7073">
        <w:rPr>
          <w:rFonts w:ascii="Arial" w:hAnsi="Arial" w:cs="Arial"/>
          <w:sz w:val="24"/>
          <w:szCs w:val="24"/>
          <w:lang w:val="en-US" w:eastAsia="pt-BR"/>
        </w:rPr>
        <w:t xml:space="preserve"> year </w:t>
      </w:r>
      <w:r w:rsidR="00DD7073" w:rsidRPr="00433B32">
        <w:rPr>
          <w:rFonts w:ascii="Arial" w:hAnsi="Arial" w:cs="Arial"/>
          <w:sz w:val="24"/>
          <w:szCs w:val="24"/>
          <w:lang w:val="en-US" w:eastAsia="pt-BR"/>
        </w:rPr>
        <w:t xml:space="preserve">(investments in machinery and equipment less scrapping of fixed assets) </w:t>
      </w:r>
      <w:r w:rsidR="00AB3935" w:rsidRPr="0012545D">
        <w:rPr>
          <w:rFonts w:ascii="Arial" w:hAnsi="Arial" w:cs="Arial"/>
          <w:sz w:val="24"/>
          <w:szCs w:val="24"/>
          <w:lang w:val="en-US" w:eastAsia="pt-BR"/>
        </w:rPr>
        <w:t>to the</w:t>
      </w:r>
      <w:r w:rsidR="00AB3935" w:rsidRPr="007D5A1D">
        <w:rPr>
          <w:rFonts w:ascii="Arial" w:hAnsi="Arial" w:cs="Arial"/>
          <w:color w:val="984806"/>
          <w:sz w:val="24"/>
          <w:szCs w:val="24"/>
          <w:lang w:val="en-US" w:eastAsia="pt-BR"/>
        </w:rPr>
        <w:t xml:space="preserve"> </w:t>
      </w:r>
      <w:r w:rsidR="00AB3935" w:rsidRPr="00433B32">
        <w:rPr>
          <w:rFonts w:ascii="Arial" w:hAnsi="Arial" w:cs="Arial"/>
          <w:sz w:val="24"/>
          <w:szCs w:val="24"/>
          <w:lang w:val="en-US" w:eastAsia="pt-BR"/>
        </w:rPr>
        <w:t xml:space="preserve">previous </w:t>
      </w:r>
      <w:r w:rsidR="003E439F" w:rsidRPr="00433B32">
        <w:rPr>
          <w:rFonts w:ascii="Arial" w:hAnsi="Arial" w:cs="Arial"/>
          <w:sz w:val="24"/>
          <w:szCs w:val="24"/>
          <w:lang w:val="en-US" w:eastAsia="pt-BR"/>
        </w:rPr>
        <w:t>year</w:t>
      </w:r>
      <w:r w:rsidR="00433B32" w:rsidRPr="00433B32">
        <w:rPr>
          <w:rFonts w:ascii="Arial" w:hAnsi="Arial" w:cs="Arial"/>
          <w:sz w:val="24"/>
          <w:szCs w:val="24"/>
          <w:lang w:val="en-US" w:eastAsia="pt-BR"/>
        </w:rPr>
        <w:t>´s deflated</w:t>
      </w:r>
      <w:r w:rsidR="003E439F" w:rsidRPr="00433B32">
        <w:rPr>
          <w:rFonts w:ascii="Arial" w:hAnsi="Arial" w:cs="Arial"/>
          <w:sz w:val="24"/>
          <w:szCs w:val="24"/>
          <w:lang w:val="en-US" w:eastAsia="pt-BR"/>
        </w:rPr>
        <w:t xml:space="preserve"> </w:t>
      </w:r>
      <w:r w:rsidR="00AB3935" w:rsidRPr="00433B32">
        <w:rPr>
          <w:rFonts w:ascii="Arial" w:hAnsi="Arial" w:cs="Arial"/>
          <w:sz w:val="24"/>
          <w:szCs w:val="24"/>
          <w:lang w:val="en-US" w:eastAsia="pt-BR"/>
        </w:rPr>
        <w:t>capital</w:t>
      </w:r>
      <w:r w:rsidR="00433B32" w:rsidRPr="00433B32">
        <w:rPr>
          <w:rFonts w:ascii="Arial" w:hAnsi="Arial" w:cs="Arial"/>
          <w:sz w:val="24"/>
          <w:szCs w:val="24"/>
          <w:lang w:val="en-US" w:eastAsia="pt-BR"/>
        </w:rPr>
        <w:t xml:space="preserve"> stock,</w:t>
      </w:r>
      <w:r w:rsidR="00AB3935" w:rsidRPr="00433B32">
        <w:rPr>
          <w:rFonts w:ascii="Arial" w:hAnsi="Arial" w:cs="Arial"/>
          <w:sz w:val="24"/>
          <w:szCs w:val="24"/>
          <w:lang w:val="en-US" w:eastAsia="pt-BR"/>
        </w:rPr>
        <w:t xml:space="preserve"> </w:t>
      </w:r>
      <w:r w:rsidR="003E439F" w:rsidRPr="00433B32">
        <w:rPr>
          <w:rFonts w:ascii="Arial" w:hAnsi="Arial" w:cs="Arial"/>
          <w:sz w:val="24"/>
          <w:szCs w:val="24"/>
          <w:lang w:val="en-US" w:eastAsia="pt-BR"/>
        </w:rPr>
        <w:t>year</w:t>
      </w:r>
      <w:r w:rsidR="00AB3935" w:rsidRPr="00433B32">
        <w:rPr>
          <w:rFonts w:ascii="Arial" w:hAnsi="Arial" w:cs="Arial"/>
          <w:sz w:val="24"/>
          <w:szCs w:val="24"/>
          <w:lang w:val="en-US" w:eastAsia="pt-BR"/>
        </w:rPr>
        <w:t>.</w:t>
      </w:r>
      <w:r w:rsidR="00804EB0" w:rsidRPr="00433B32">
        <w:rPr>
          <w:rFonts w:ascii="Arial" w:hAnsi="Arial" w:cs="Arial"/>
          <w:sz w:val="24"/>
          <w:szCs w:val="24"/>
          <w:lang w:val="en-US" w:eastAsia="pt-BR"/>
        </w:rPr>
        <w:t xml:space="preserve"> The application of this method allow</w:t>
      </w:r>
      <w:r w:rsidR="00DD7073">
        <w:rPr>
          <w:rFonts w:ascii="Arial" w:hAnsi="Arial" w:cs="Arial"/>
          <w:sz w:val="24"/>
          <w:szCs w:val="24"/>
          <w:lang w:val="en-US" w:eastAsia="pt-BR"/>
        </w:rPr>
        <w:t>ed</w:t>
      </w:r>
      <w:r w:rsidR="00804EB0" w:rsidRPr="00433B32">
        <w:rPr>
          <w:rFonts w:ascii="Arial" w:hAnsi="Arial" w:cs="Arial"/>
          <w:sz w:val="24"/>
          <w:szCs w:val="24"/>
          <w:lang w:val="en-US" w:eastAsia="pt-BR"/>
        </w:rPr>
        <w:t xml:space="preserve"> </w:t>
      </w:r>
      <w:proofErr w:type="gramStart"/>
      <w:r w:rsidR="00804EB0" w:rsidRPr="00433B32">
        <w:rPr>
          <w:rFonts w:ascii="Arial" w:hAnsi="Arial" w:cs="Arial"/>
          <w:sz w:val="24"/>
          <w:szCs w:val="24"/>
          <w:lang w:val="en-US" w:eastAsia="pt-BR"/>
        </w:rPr>
        <w:t>to estimate</w:t>
      </w:r>
      <w:proofErr w:type="gramEnd"/>
      <w:r w:rsidR="00804EB0" w:rsidRPr="00433B32">
        <w:rPr>
          <w:rFonts w:ascii="Arial" w:hAnsi="Arial" w:cs="Arial"/>
          <w:sz w:val="24"/>
          <w:szCs w:val="24"/>
          <w:lang w:val="en-US" w:eastAsia="pt-BR"/>
        </w:rPr>
        <w:t xml:space="preserve"> the stock of capital </w:t>
      </w:r>
      <w:r w:rsidR="00DD7073">
        <w:rPr>
          <w:rFonts w:ascii="Arial" w:hAnsi="Arial" w:cs="Arial"/>
          <w:sz w:val="24"/>
          <w:szCs w:val="24"/>
          <w:lang w:val="en-US" w:eastAsia="pt-BR"/>
        </w:rPr>
        <w:t>for</w:t>
      </w:r>
      <w:r w:rsidR="00804EB0" w:rsidRPr="00433B32">
        <w:rPr>
          <w:rFonts w:ascii="Arial" w:hAnsi="Arial" w:cs="Arial"/>
          <w:sz w:val="24"/>
          <w:szCs w:val="24"/>
          <w:lang w:val="en-US" w:eastAsia="pt-BR"/>
        </w:rPr>
        <w:t xml:space="preserve"> the period </w:t>
      </w:r>
      <w:r w:rsidR="00DD7073">
        <w:rPr>
          <w:rFonts w:ascii="Arial" w:hAnsi="Arial" w:cs="Arial"/>
          <w:sz w:val="24"/>
          <w:szCs w:val="24"/>
          <w:lang w:val="en-US" w:eastAsia="pt-BR"/>
        </w:rPr>
        <w:t xml:space="preserve">from </w:t>
      </w:r>
      <w:r w:rsidR="00804EB0" w:rsidRPr="00433B32">
        <w:rPr>
          <w:rFonts w:ascii="Arial" w:hAnsi="Arial" w:cs="Arial"/>
          <w:sz w:val="24"/>
          <w:szCs w:val="24"/>
          <w:lang w:val="en-US" w:eastAsia="pt-BR"/>
        </w:rPr>
        <w:t>1995 to 2005, enabling us to build the capita</w:t>
      </w:r>
      <w:r w:rsidR="002550E0" w:rsidRPr="00433B32">
        <w:rPr>
          <w:rFonts w:ascii="Arial" w:hAnsi="Arial" w:cs="Arial"/>
          <w:sz w:val="24"/>
          <w:szCs w:val="24"/>
          <w:lang w:val="en-US" w:eastAsia="pt-BR"/>
        </w:rPr>
        <w:t>l intensity variable</w:t>
      </w:r>
      <w:r w:rsidR="002550E0" w:rsidRPr="007D5A1D">
        <w:rPr>
          <w:rFonts w:ascii="Arial" w:hAnsi="Arial" w:cs="Arial"/>
          <w:color w:val="984806"/>
          <w:sz w:val="24"/>
          <w:szCs w:val="24"/>
          <w:lang w:val="en-US" w:eastAsia="pt-BR"/>
        </w:rPr>
        <w:t>.</w:t>
      </w:r>
    </w:p>
    <w:p w:rsidR="00433B32" w:rsidRPr="006238DB" w:rsidRDefault="00433B32" w:rsidP="005B0B9C">
      <w:pPr>
        <w:jc w:val="center"/>
        <w:rPr>
          <w:rFonts w:ascii="Arial" w:hAnsi="Arial" w:cs="Arial"/>
          <w:b/>
          <w:sz w:val="24"/>
          <w:szCs w:val="24"/>
          <w:lang w:val="en-US" w:eastAsia="pt-BR"/>
        </w:rPr>
      </w:pPr>
    </w:p>
    <w:p w:rsidR="00433B32" w:rsidRPr="006238DB" w:rsidRDefault="00433B32" w:rsidP="005B0B9C">
      <w:pPr>
        <w:jc w:val="center"/>
        <w:rPr>
          <w:rFonts w:ascii="Arial" w:hAnsi="Arial" w:cs="Arial"/>
          <w:b/>
          <w:sz w:val="24"/>
          <w:szCs w:val="24"/>
          <w:lang w:val="en-US" w:eastAsia="pt-BR"/>
        </w:rPr>
      </w:pPr>
    </w:p>
    <w:p w:rsidR="00433B32" w:rsidRPr="006238DB" w:rsidRDefault="00433B32" w:rsidP="005B0B9C">
      <w:pPr>
        <w:jc w:val="center"/>
        <w:rPr>
          <w:rFonts w:ascii="Arial" w:hAnsi="Arial" w:cs="Arial"/>
          <w:b/>
          <w:sz w:val="24"/>
          <w:szCs w:val="24"/>
          <w:lang w:val="en-US" w:eastAsia="pt-BR"/>
        </w:rPr>
      </w:pPr>
    </w:p>
    <w:p w:rsidR="00474366" w:rsidRDefault="00474366" w:rsidP="009A0960">
      <w:pPr>
        <w:spacing w:line="240" w:lineRule="auto"/>
        <w:jc w:val="center"/>
        <w:rPr>
          <w:rFonts w:ascii="Arial" w:hAnsi="Arial" w:cs="Arial"/>
          <w:b/>
          <w:sz w:val="24"/>
          <w:szCs w:val="24"/>
          <w:lang w:val="en-US" w:eastAsia="pt-BR"/>
        </w:rPr>
      </w:pPr>
    </w:p>
    <w:p w:rsidR="00474366" w:rsidRDefault="00474366" w:rsidP="009A0960">
      <w:pPr>
        <w:spacing w:line="240" w:lineRule="auto"/>
        <w:jc w:val="center"/>
        <w:rPr>
          <w:rFonts w:ascii="Arial" w:hAnsi="Arial" w:cs="Arial"/>
          <w:b/>
          <w:sz w:val="24"/>
          <w:szCs w:val="24"/>
          <w:lang w:val="en-US" w:eastAsia="pt-BR"/>
        </w:rPr>
      </w:pPr>
    </w:p>
    <w:p w:rsidR="00474366" w:rsidRDefault="00474366" w:rsidP="009A0960">
      <w:pPr>
        <w:spacing w:line="240" w:lineRule="auto"/>
        <w:jc w:val="center"/>
        <w:rPr>
          <w:rFonts w:ascii="Arial" w:hAnsi="Arial" w:cs="Arial"/>
          <w:b/>
          <w:sz w:val="24"/>
          <w:szCs w:val="24"/>
          <w:lang w:val="en-US" w:eastAsia="pt-BR"/>
        </w:rPr>
      </w:pPr>
    </w:p>
    <w:p w:rsidR="00474366" w:rsidRDefault="00474366" w:rsidP="009A0960">
      <w:pPr>
        <w:spacing w:line="240" w:lineRule="auto"/>
        <w:jc w:val="center"/>
        <w:rPr>
          <w:rFonts w:ascii="Arial" w:hAnsi="Arial" w:cs="Arial"/>
          <w:b/>
          <w:sz w:val="24"/>
          <w:szCs w:val="24"/>
          <w:lang w:val="en-US" w:eastAsia="pt-BR"/>
        </w:rPr>
      </w:pPr>
    </w:p>
    <w:p w:rsidR="00474366" w:rsidRDefault="00474366" w:rsidP="009A0960">
      <w:pPr>
        <w:spacing w:line="240" w:lineRule="auto"/>
        <w:jc w:val="center"/>
        <w:rPr>
          <w:rFonts w:ascii="Arial" w:hAnsi="Arial" w:cs="Arial"/>
          <w:b/>
          <w:sz w:val="24"/>
          <w:szCs w:val="24"/>
          <w:lang w:val="en-US" w:eastAsia="pt-BR"/>
        </w:rPr>
      </w:pPr>
    </w:p>
    <w:p w:rsidR="00474366" w:rsidRDefault="00474366" w:rsidP="009A0960">
      <w:pPr>
        <w:spacing w:line="240" w:lineRule="auto"/>
        <w:jc w:val="center"/>
        <w:rPr>
          <w:rFonts w:ascii="Arial" w:hAnsi="Arial" w:cs="Arial"/>
          <w:b/>
          <w:sz w:val="24"/>
          <w:szCs w:val="24"/>
          <w:lang w:val="en-US" w:eastAsia="pt-BR"/>
        </w:rPr>
      </w:pPr>
    </w:p>
    <w:p w:rsidR="00474366" w:rsidRDefault="00474366" w:rsidP="009A0960">
      <w:pPr>
        <w:spacing w:line="240" w:lineRule="auto"/>
        <w:jc w:val="center"/>
        <w:rPr>
          <w:rFonts w:ascii="Arial" w:hAnsi="Arial" w:cs="Arial"/>
          <w:b/>
          <w:sz w:val="24"/>
          <w:szCs w:val="24"/>
          <w:lang w:val="en-US" w:eastAsia="pt-BR"/>
        </w:rPr>
      </w:pPr>
    </w:p>
    <w:p w:rsidR="00474366" w:rsidRDefault="00474366" w:rsidP="009A0960">
      <w:pPr>
        <w:spacing w:line="240" w:lineRule="auto"/>
        <w:jc w:val="center"/>
        <w:rPr>
          <w:rFonts w:ascii="Arial" w:hAnsi="Arial" w:cs="Arial"/>
          <w:b/>
          <w:sz w:val="24"/>
          <w:szCs w:val="24"/>
          <w:lang w:val="en-US" w:eastAsia="pt-BR"/>
        </w:rPr>
      </w:pPr>
    </w:p>
    <w:p w:rsidR="00474366" w:rsidRDefault="00474366" w:rsidP="009A0960">
      <w:pPr>
        <w:spacing w:line="240" w:lineRule="auto"/>
        <w:jc w:val="center"/>
        <w:rPr>
          <w:rFonts w:ascii="Arial" w:hAnsi="Arial" w:cs="Arial"/>
          <w:b/>
          <w:sz w:val="24"/>
          <w:szCs w:val="24"/>
          <w:lang w:val="en-US" w:eastAsia="pt-BR"/>
        </w:rPr>
      </w:pPr>
    </w:p>
    <w:p w:rsidR="00474366" w:rsidRDefault="00474366" w:rsidP="009A0960">
      <w:pPr>
        <w:spacing w:line="240" w:lineRule="auto"/>
        <w:jc w:val="center"/>
        <w:rPr>
          <w:rFonts w:ascii="Arial" w:hAnsi="Arial" w:cs="Arial"/>
          <w:b/>
          <w:sz w:val="24"/>
          <w:szCs w:val="24"/>
          <w:lang w:val="en-US" w:eastAsia="pt-BR"/>
        </w:rPr>
      </w:pPr>
    </w:p>
    <w:p w:rsidR="00474366" w:rsidRDefault="00474366" w:rsidP="009A0960">
      <w:pPr>
        <w:spacing w:line="240" w:lineRule="auto"/>
        <w:jc w:val="center"/>
        <w:rPr>
          <w:rFonts w:ascii="Arial" w:hAnsi="Arial" w:cs="Arial"/>
          <w:b/>
          <w:sz w:val="24"/>
          <w:szCs w:val="24"/>
          <w:lang w:val="en-US" w:eastAsia="pt-BR"/>
        </w:rPr>
      </w:pPr>
    </w:p>
    <w:p w:rsidR="00474366" w:rsidRDefault="00474366" w:rsidP="009A0960">
      <w:pPr>
        <w:spacing w:line="240" w:lineRule="auto"/>
        <w:jc w:val="center"/>
        <w:rPr>
          <w:rFonts w:ascii="Arial" w:hAnsi="Arial" w:cs="Arial"/>
          <w:b/>
          <w:sz w:val="24"/>
          <w:szCs w:val="24"/>
          <w:lang w:val="en-US" w:eastAsia="pt-BR"/>
        </w:rPr>
      </w:pPr>
    </w:p>
    <w:p w:rsidR="00474366" w:rsidRDefault="00474366" w:rsidP="009A0960">
      <w:pPr>
        <w:spacing w:line="240" w:lineRule="auto"/>
        <w:jc w:val="center"/>
        <w:rPr>
          <w:rFonts w:ascii="Arial" w:hAnsi="Arial" w:cs="Arial"/>
          <w:b/>
          <w:sz w:val="24"/>
          <w:szCs w:val="24"/>
          <w:lang w:val="en-US" w:eastAsia="pt-BR"/>
        </w:rPr>
      </w:pPr>
    </w:p>
    <w:p w:rsidR="00474366" w:rsidRDefault="00474366" w:rsidP="009A0960">
      <w:pPr>
        <w:spacing w:line="240" w:lineRule="auto"/>
        <w:jc w:val="center"/>
        <w:rPr>
          <w:rFonts w:ascii="Arial" w:hAnsi="Arial" w:cs="Arial"/>
          <w:b/>
          <w:sz w:val="24"/>
          <w:szCs w:val="24"/>
          <w:lang w:val="en-US" w:eastAsia="pt-BR"/>
        </w:rPr>
      </w:pPr>
    </w:p>
    <w:p w:rsidR="00474366" w:rsidRDefault="00474366" w:rsidP="009A0960">
      <w:pPr>
        <w:spacing w:line="240" w:lineRule="auto"/>
        <w:jc w:val="center"/>
        <w:rPr>
          <w:rFonts w:ascii="Arial" w:hAnsi="Arial" w:cs="Arial"/>
          <w:b/>
          <w:sz w:val="24"/>
          <w:szCs w:val="24"/>
          <w:lang w:val="en-US" w:eastAsia="pt-BR"/>
        </w:rPr>
      </w:pPr>
    </w:p>
    <w:p w:rsidR="00474366" w:rsidRDefault="00474366" w:rsidP="009A0960">
      <w:pPr>
        <w:spacing w:line="240" w:lineRule="auto"/>
        <w:jc w:val="center"/>
        <w:rPr>
          <w:rFonts w:ascii="Arial" w:hAnsi="Arial" w:cs="Arial"/>
          <w:b/>
          <w:sz w:val="24"/>
          <w:szCs w:val="24"/>
          <w:lang w:val="en-US" w:eastAsia="pt-BR"/>
        </w:rPr>
      </w:pPr>
    </w:p>
    <w:p w:rsidR="001B7730" w:rsidRDefault="001B7730" w:rsidP="009A0960">
      <w:pPr>
        <w:spacing w:line="240" w:lineRule="auto"/>
        <w:jc w:val="center"/>
        <w:rPr>
          <w:rFonts w:ascii="Arial" w:hAnsi="Arial" w:cs="Arial"/>
          <w:b/>
          <w:sz w:val="24"/>
          <w:szCs w:val="24"/>
          <w:lang w:val="en-US" w:eastAsia="pt-BR"/>
        </w:rPr>
      </w:pPr>
    </w:p>
    <w:p w:rsidR="009A0960" w:rsidRDefault="005B0B9C" w:rsidP="009A0960">
      <w:pPr>
        <w:spacing w:line="240" w:lineRule="auto"/>
        <w:jc w:val="center"/>
        <w:rPr>
          <w:rFonts w:ascii="Arial" w:hAnsi="Arial" w:cs="Arial"/>
          <w:b/>
          <w:sz w:val="24"/>
          <w:szCs w:val="24"/>
          <w:lang w:val="en-US" w:eastAsia="pt-BR"/>
        </w:rPr>
      </w:pPr>
      <w:r w:rsidRPr="00490190">
        <w:rPr>
          <w:rFonts w:ascii="Arial" w:hAnsi="Arial" w:cs="Arial"/>
          <w:b/>
          <w:sz w:val="24"/>
          <w:szCs w:val="24"/>
          <w:lang w:val="en-US" w:eastAsia="pt-BR"/>
        </w:rPr>
        <w:t>Appendix</w:t>
      </w:r>
      <w:r w:rsidR="00490190" w:rsidRPr="00490190">
        <w:rPr>
          <w:rFonts w:ascii="Arial" w:hAnsi="Arial" w:cs="Arial"/>
          <w:b/>
          <w:sz w:val="24"/>
          <w:szCs w:val="24"/>
          <w:lang w:val="en-US" w:eastAsia="pt-BR"/>
        </w:rPr>
        <w:t xml:space="preserve"> 2</w:t>
      </w:r>
    </w:p>
    <w:p w:rsidR="00474366" w:rsidRDefault="00474366" w:rsidP="009A0960">
      <w:pPr>
        <w:spacing w:line="240" w:lineRule="auto"/>
        <w:jc w:val="center"/>
        <w:rPr>
          <w:rFonts w:ascii="Arial" w:hAnsi="Arial" w:cs="Arial"/>
          <w:sz w:val="24"/>
          <w:szCs w:val="24"/>
          <w:lang w:val="en-US" w:eastAsia="pt-BR"/>
        </w:rPr>
      </w:pPr>
      <w:r>
        <w:rPr>
          <w:rFonts w:ascii="Arial" w:hAnsi="Arial" w:cs="Arial"/>
          <w:sz w:val="24"/>
          <w:szCs w:val="24"/>
          <w:lang w:val="en-US" w:eastAsia="pt-BR"/>
        </w:rPr>
        <w:t>INSERT APPENDIX 2 A</w:t>
      </w:r>
      <w:r w:rsidR="00582034">
        <w:rPr>
          <w:rFonts w:ascii="Arial" w:hAnsi="Arial" w:cs="Arial"/>
          <w:sz w:val="24"/>
          <w:szCs w:val="24"/>
          <w:lang w:val="en-US" w:eastAsia="pt-BR"/>
        </w:rPr>
        <w:t>BOUT</w:t>
      </w:r>
      <w:r>
        <w:rPr>
          <w:rFonts w:ascii="Arial" w:hAnsi="Arial" w:cs="Arial"/>
          <w:sz w:val="24"/>
          <w:szCs w:val="24"/>
          <w:lang w:val="en-US" w:eastAsia="pt-BR"/>
        </w:rPr>
        <w:t xml:space="preserve"> HERE</w:t>
      </w:r>
    </w:p>
    <w:p w:rsidR="004C650B" w:rsidRPr="00BD19C7" w:rsidRDefault="004C650B" w:rsidP="004C650B">
      <w:pPr>
        <w:spacing w:line="480" w:lineRule="auto"/>
        <w:jc w:val="both"/>
        <w:rPr>
          <w:rFonts w:ascii="Arial" w:hAnsi="Arial" w:cs="Arial"/>
          <w:sz w:val="24"/>
          <w:szCs w:val="24"/>
          <w:lang w:val="en-US"/>
        </w:rPr>
      </w:pPr>
    </w:p>
    <w:p w:rsidR="00713255" w:rsidRPr="001321DB" w:rsidRDefault="006A288F" w:rsidP="00490190">
      <w:pPr>
        <w:spacing w:line="480" w:lineRule="auto"/>
        <w:rPr>
          <w:rFonts w:ascii="Arial" w:hAnsi="Arial" w:cs="Arial"/>
          <w:b/>
          <w:sz w:val="24"/>
          <w:szCs w:val="24"/>
        </w:rPr>
      </w:pPr>
      <w:r w:rsidRPr="00437E26">
        <w:rPr>
          <w:rFonts w:ascii="Arial" w:hAnsi="Arial" w:cs="Arial"/>
          <w:b/>
          <w:sz w:val="24"/>
          <w:szCs w:val="24"/>
        </w:rPr>
        <w:br w:type="page"/>
      </w:r>
      <w:r w:rsidR="00713255" w:rsidRPr="001321DB">
        <w:rPr>
          <w:rFonts w:ascii="Arial" w:hAnsi="Arial" w:cs="Arial"/>
          <w:b/>
          <w:sz w:val="24"/>
          <w:szCs w:val="24"/>
        </w:rPr>
        <w:lastRenderedPageBreak/>
        <w:t>References</w:t>
      </w:r>
    </w:p>
    <w:p w:rsidR="00713255" w:rsidRPr="001321DB" w:rsidRDefault="00713255" w:rsidP="00B5007D">
      <w:pPr>
        <w:autoSpaceDE w:val="0"/>
        <w:autoSpaceDN w:val="0"/>
        <w:adjustRightInd w:val="0"/>
        <w:spacing w:line="480" w:lineRule="auto"/>
        <w:jc w:val="both"/>
        <w:rPr>
          <w:rFonts w:ascii="Arial" w:hAnsi="Arial" w:cs="Arial"/>
          <w:i/>
          <w:sz w:val="24"/>
          <w:szCs w:val="24"/>
          <w:lang w:eastAsia="pt-BR"/>
        </w:rPr>
      </w:pPr>
      <w:r w:rsidRPr="001321DB">
        <w:rPr>
          <w:rFonts w:ascii="Arial" w:hAnsi="Arial" w:cs="Arial"/>
          <w:sz w:val="24"/>
          <w:szCs w:val="24"/>
          <w:lang w:eastAsia="pt-BR"/>
        </w:rPr>
        <w:t xml:space="preserve">Alves, P., Silva, A. M. (2008), Estimativa do estoque de capital das empresas industriais brasileiras, </w:t>
      </w:r>
      <w:r w:rsidRPr="001321DB">
        <w:rPr>
          <w:rFonts w:ascii="Arial" w:hAnsi="Arial" w:cs="Arial"/>
          <w:i/>
          <w:sz w:val="24"/>
          <w:szCs w:val="24"/>
          <w:lang w:eastAsia="pt-BR"/>
        </w:rPr>
        <w:t>Texto para Discussão No. 1325, IPEA</w:t>
      </w:r>
    </w:p>
    <w:p w:rsidR="00713255" w:rsidRPr="001321DB" w:rsidRDefault="00713255" w:rsidP="00B5007D">
      <w:pPr>
        <w:autoSpaceDE w:val="0"/>
        <w:autoSpaceDN w:val="0"/>
        <w:adjustRightInd w:val="0"/>
        <w:spacing w:line="480" w:lineRule="auto"/>
        <w:jc w:val="both"/>
        <w:rPr>
          <w:rFonts w:ascii="Arial" w:hAnsi="Arial" w:cs="Arial"/>
          <w:sz w:val="24"/>
          <w:szCs w:val="24"/>
          <w:lang w:val="en-US" w:eastAsia="pt-BR"/>
        </w:rPr>
      </w:pPr>
      <w:r w:rsidRPr="001321DB">
        <w:rPr>
          <w:rFonts w:ascii="Arial" w:hAnsi="Arial" w:cs="Arial"/>
          <w:sz w:val="24"/>
          <w:szCs w:val="24"/>
          <w:lang w:val="en-US" w:eastAsia="pt-BR"/>
        </w:rPr>
        <w:t xml:space="preserve">Breschi, S., Malerba, F., Orsenigo, L. (2000), Technological regimes and schumpeterian patterns of innovation, </w:t>
      </w:r>
      <w:r w:rsidRPr="001321DB">
        <w:rPr>
          <w:rFonts w:ascii="Arial" w:hAnsi="Arial" w:cs="Arial"/>
          <w:i/>
          <w:sz w:val="24"/>
          <w:szCs w:val="24"/>
          <w:lang w:val="en-US" w:eastAsia="pt-BR"/>
        </w:rPr>
        <w:t>Economic Journal</w:t>
      </w:r>
      <w:r w:rsidRPr="001321DB">
        <w:rPr>
          <w:rFonts w:ascii="Arial" w:hAnsi="Arial" w:cs="Arial"/>
          <w:sz w:val="24"/>
          <w:szCs w:val="24"/>
          <w:lang w:val="en-US" w:eastAsia="pt-BR"/>
        </w:rPr>
        <w:t>, 110, 388-410</w:t>
      </w:r>
    </w:p>
    <w:p w:rsidR="00713255" w:rsidRPr="001321DB" w:rsidRDefault="00713255" w:rsidP="00B5007D">
      <w:pPr>
        <w:pStyle w:val="Default"/>
        <w:spacing w:after="200" w:line="480" w:lineRule="auto"/>
        <w:jc w:val="both"/>
        <w:rPr>
          <w:rFonts w:ascii="Arial" w:hAnsi="Arial" w:cs="Arial"/>
          <w:color w:val="auto"/>
          <w:lang w:val="en-US" w:eastAsia="pt-BR"/>
        </w:rPr>
      </w:pPr>
      <w:r w:rsidRPr="001321DB">
        <w:rPr>
          <w:rFonts w:ascii="Arial" w:hAnsi="Arial" w:cs="Arial"/>
          <w:color w:val="auto"/>
          <w:lang w:val="en-US" w:eastAsia="pt-BR"/>
        </w:rPr>
        <w:t xml:space="preserve">Brown, M. B., (1974), </w:t>
      </w:r>
      <w:proofErr w:type="gramStart"/>
      <w:r w:rsidRPr="001321DB">
        <w:rPr>
          <w:rFonts w:ascii="Arial" w:hAnsi="Arial" w:cs="Arial"/>
          <w:color w:val="auto"/>
          <w:lang w:val="en-US" w:eastAsia="pt-BR"/>
        </w:rPr>
        <w:t>Robust</w:t>
      </w:r>
      <w:proofErr w:type="gramEnd"/>
      <w:r w:rsidRPr="001321DB">
        <w:rPr>
          <w:rFonts w:ascii="Arial" w:hAnsi="Arial" w:cs="Arial"/>
          <w:color w:val="auto"/>
          <w:lang w:val="en-US" w:eastAsia="pt-BR"/>
        </w:rPr>
        <w:t xml:space="preserve"> tests for the equality of variances, </w:t>
      </w:r>
      <w:r w:rsidRPr="001321DB">
        <w:rPr>
          <w:rFonts w:ascii="Arial" w:hAnsi="Arial" w:cs="Arial"/>
          <w:i/>
          <w:color w:val="auto"/>
          <w:lang w:val="en-US" w:eastAsia="pt-BR"/>
        </w:rPr>
        <w:t>Journal of the American Statistical Association</w:t>
      </w:r>
      <w:r w:rsidRPr="001321DB">
        <w:rPr>
          <w:rFonts w:ascii="Arial" w:hAnsi="Arial" w:cs="Arial"/>
          <w:color w:val="auto"/>
          <w:lang w:val="en-US" w:eastAsia="pt-BR"/>
        </w:rPr>
        <w:t xml:space="preserve">, 69, 364-367 </w:t>
      </w:r>
    </w:p>
    <w:p w:rsidR="00112A74" w:rsidRPr="00EA09A8" w:rsidRDefault="00112A74" w:rsidP="00EA09A8">
      <w:pPr>
        <w:pStyle w:val="Ttulo2"/>
        <w:spacing w:before="0" w:line="480" w:lineRule="auto"/>
        <w:jc w:val="both"/>
        <w:textAlignment w:val="center"/>
        <w:rPr>
          <w:rFonts w:ascii="Arial" w:eastAsia="Calibri" w:hAnsi="Arial" w:cs="Arial"/>
          <w:b w:val="0"/>
          <w:bCs w:val="0"/>
          <w:color w:val="auto"/>
          <w:sz w:val="24"/>
          <w:szCs w:val="24"/>
          <w:lang w:eastAsia="pt-BR"/>
        </w:rPr>
      </w:pPr>
      <w:r w:rsidRPr="00EA09A8">
        <w:rPr>
          <w:rFonts w:ascii="Arial" w:eastAsia="Calibri" w:hAnsi="Arial" w:cs="Arial"/>
          <w:b w:val="0"/>
          <w:bCs w:val="0"/>
          <w:color w:val="auto"/>
          <w:sz w:val="24"/>
          <w:szCs w:val="24"/>
          <w:lang w:eastAsia="pt-BR"/>
        </w:rPr>
        <w:t xml:space="preserve">Dores, A. M. B., Chagas, F. B., Grion de Matos, R. L., Gonçalves, R. M. (2007), </w:t>
      </w:r>
      <w:bookmarkStart w:id="1" w:name="salto"/>
      <w:r w:rsidRPr="00E95CF1">
        <w:rPr>
          <w:rFonts w:ascii="Arial" w:eastAsia="Calibri" w:hAnsi="Arial" w:cs="Arial"/>
          <w:b w:val="0"/>
          <w:bCs w:val="0"/>
          <w:i/>
          <w:color w:val="auto"/>
          <w:sz w:val="24"/>
          <w:szCs w:val="24"/>
          <w:lang w:eastAsia="pt-BR"/>
        </w:rPr>
        <w:t>Panorama Setorial: Setor Florestal, Celulose e Papel</w:t>
      </w:r>
      <w:bookmarkEnd w:id="1"/>
      <w:r w:rsidR="00A10A75" w:rsidRPr="00EA09A8">
        <w:rPr>
          <w:rFonts w:ascii="Arial" w:eastAsia="Calibri" w:hAnsi="Arial" w:cs="Arial"/>
          <w:b w:val="0"/>
          <w:bCs w:val="0"/>
          <w:color w:val="auto"/>
          <w:sz w:val="24"/>
          <w:szCs w:val="24"/>
          <w:lang w:eastAsia="pt-BR"/>
        </w:rPr>
        <w:t xml:space="preserve">, </w:t>
      </w:r>
      <w:r w:rsidR="00A10A75" w:rsidRPr="00E95CF1">
        <w:rPr>
          <w:rFonts w:ascii="Arial" w:eastAsia="Calibri" w:hAnsi="Arial" w:cs="Arial"/>
          <w:b w:val="0"/>
          <w:bCs w:val="0"/>
          <w:color w:val="auto"/>
          <w:sz w:val="24"/>
          <w:szCs w:val="24"/>
          <w:lang w:eastAsia="pt-BR"/>
        </w:rPr>
        <w:t>Banco Nacional de Desenvolvimento (BNDES)</w:t>
      </w:r>
      <w:r w:rsidR="00A10A75" w:rsidRPr="00EA09A8">
        <w:rPr>
          <w:rFonts w:ascii="Arial" w:eastAsia="Calibri" w:hAnsi="Arial" w:cs="Arial"/>
          <w:b w:val="0"/>
          <w:bCs w:val="0"/>
          <w:color w:val="auto"/>
          <w:sz w:val="24"/>
          <w:szCs w:val="24"/>
          <w:lang w:eastAsia="pt-BR"/>
        </w:rPr>
        <w:t>.</w:t>
      </w:r>
    </w:p>
    <w:p w:rsidR="00224A38" w:rsidRPr="001321DB" w:rsidRDefault="00224A38" w:rsidP="00B5007D">
      <w:pPr>
        <w:autoSpaceDE w:val="0"/>
        <w:autoSpaceDN w:val="0"/>
        <w:adjustRightInd w:val="0"/>
        <w:spacing w:line="480" w:lineRule="auto"/>
        <w:jc w:val="both"/>
        <w:rPr>
          <w:rFonts w:ascii="Arial" w:hAnsi="Arial" w:cs="Arial"/>
          <w:sz w:val="24"/>
          <w:szCs w:val="24"/>
          <w:lang w:eastAsia="pt-BR"/>
        </w:rPr>
      </w:pPr>
      <w:r w:rsidRPr="001321DB">
        <w:rPr>
          <w:rFonts w:ascii="Arial" w:hAnsi="Arial" w:cs="Arial"/>
          <w:sz w:val="24"/>
          <w:szCs w:val="24"/>
          <w:lang w:eastAsia="pt-BR"/>
        </w:rPr>
        <w:t>Ferreira</w:t>
      </w:r>
      <w:r w:rsidR="00EA09A8">
        <w:rPr>
          <w:rFonts w:ascii="Arial" w:hAnsi="Arial" w:cs="Arial"/>
          <w:sz w:val="24"/>
          <w:szCs w:val="24"/>
          <w:lang w:eastAsia="pt-BR"/>
        </w:rPr>
        <w:t>, P. C., Guillén, O. T. C. (2004</w:t>
      </w:r>
      <w:r w:rsidRPr="001321DB">
        <w:rPr>
          <w:rFonts w:ascii="Arial" w:hAnsi="Arial" w:cs="Arial"/>
          <w:sz w:val="24"/>
          <w:szCs w:val="24"/>
          <w:lang w:eastAsia="pt-BR"/>
        </w:rPr>
        <w:t xml:space="preserve">), Estrutura competitiva, produtividade industrial e liberalização comercial no Brasil, </w:t>
      </w:r>
      <w:r w:rsidR="00EA09A8" w:rsidRPr="00EA09A8">
        <w:rPr>
          <w:rFonts w:ascii="Arial" w:hAnsi="Arial" w:cs="Arial"/>
          <w:i/>
          <w:sz w:val="24"/>
          <w:szCs w:val="24"/>
          <w:lang w:eastAsia="pt-BR"/>
        </w:rPr>
        <w:t>Revista Brasileira de Economia</w:t>
      </w:r>
      <w:r w:rsidR="00EA09A8">
        <w:rPr>
          <w:rFonts w:ascii="Arial" w:hAnsi="Arial" w:cs="Arial"/>
          <w:sz w:val="24"/>
          <w:szCs w:val="24"/>
          <w:lang w:eastAsia="pt-BR"/>
        </w:rPr>
        <w:t>, 58, 507-</w:t>
      </w:r>
      <w:proofErr w:type="gramStart"/>
      <w:r w:rsidR="00EA09A8">
        <w:rPr>
          <w:rFonts w:ascii="Arial" w:hAnsi="Arial" w:cs="Arial"/>
          <w:sz w:val="24"/>
          <w:szCs w:val="24"/>
          <w:lang w:eastAsia="pt-BR"/>
        </w:rPr>
        <w:t>532</w:t>
      </w:r>
      <w:proofErr w:type="gramEnd"/>
    </w:p>
    <w:p w:rsidR="00ED3C37" w:rsidRPr="001321DB" w:rsidRDefault="00ED3C37" w:rsidP="00B5007D">
      <w:pPr>
        <w:autoSpaceDE w:val="0"/>
        <w:autoSpaceDN w:val="0"/>
        <w:adjustRightInd w:val="0"/>
        <w:spacing w:line="480" w:lineRule="auto"/>
        <w:jc w:val="both"/>
        <w:rPr>
          <w:rFonts w:ascii="Arial" w:hAnsi="Arial" w:cs="Arial"/>
          <w:sz w:val="24"/>
          <w:szCs w:val="24"/>
          <w:lang w:val="en-US" w:eastAsia="pt-BR"/>
        </w:rPr>
      </w:pPr>
      <w:r w:rsidRPr="001321DB">
        <w:rPr>
          <w:rFonts w:ascii="Arial" w:hAnsi="Arial" w:cs="Arial"/>
          <w:sz w:val="24"/>
          <w:szCs w:val="24"/>
          <w:lang w:val="en-US" w:eastAsia="pt-BR"/>
        </w:rPr>
        <w:t>Forsythe, A. B., Brown, M. B. (1974), Robust test for the equality of variances,</w:t>
      </w:r>
      <w:r w:rsidRPr="001321DB">
        <w:rPr>
          <w:rFonts w:ascii="Arial" w:hAnsi="Arial" w:cs="Arial"/>
          <w:b/>
          <w:sz w:val="24"/>
          <w:szCs w:val="24"/>
          <w:lang w:val="en-US" w:eastAsia="pt-BR"/>
        </w:rPr>
        <w:t xml:space="preserve"> </w:t>
      </w:r>
      <w:r w:rsidRPr="001321DB">
        <w:rPr>
          <w:rFonts w:ascii="Arial" w:hAnsi="Arial" w:cs="Arial"/>
          <w:i/>
          <w:sz w:val="24"/>
          <w:szCs w:val="24"/>
          <w:lang w:val="en-US" w:eastAsia="pt-BR"/>
        </w:rPr>
        <w:t>Journal of the American Statistical Association</w:t>
      </w:r>
      <w:r w:rsidRPr="001321DB">
        <w:rPr>
          <w:rFonts w:ascii="Arial" w:hAnsi="Arial" w:cs="Arial"/>
          <w:sz w:val="24"/>
          <w:szCs w:val="24"/>
          <w:lang w:val="en-US" w:eastAsia="pt-BR"/>
        </w:rPr>
        <w:t>, 69, 364-367</w:t>
      </w:r>
    </w:p>
    <w:p w:rsidR="00ED3C37" w:rsidRPr="001321DB" w:rsidRDefault="00ED3C37" w:rsidP="00B5007D">
      <w:pPr>
        <w:autoSpaceDE w:val="0"/>
        <w:autoSpaceDN w:val="0"/>
        <w:adjustRightInd w:val="0"/>
        <w:spacing w:line="480" w:lineRule="auto"/>
        <w:jc w:val="both"/>
        <w:rPr>
          <w:rFonts w:ascii="Arial" w:hAnsi="Arial" w:cs="Arial"/>
          <w:sz w:val="24"/>
          <w:szCs w:val="24"/>
          <w:lang w:eastAsia="pt-BR"/>
        </w:rPr>
      </w:pPr>
      <w:r w:rsidRPr="001321DB">
        <w:rPr>
          <w:rFonts w:ascii="Arial" w:hAnsi="Arial" w:cs="Arial"/>
          <w:sz w:val="24"/>
          <w:szCs w:val="24"/>
          <w:lang w:eastAsia="pt-BR"/>
        </w:rPr>
        <w:t>Gonçalves, E</w:t>
      </w:r>
      <w:proofErr w:type="gramStart"/>
      <w:r w:rsidRPr="001321DB">
        <w:rPr>
          <w:rFonts w:ascii="Arial" w:hAnsi="Arial" w:cs="Arial"/>
          <w:sz w:val="24"/>
          <w:szCs w:val="24"/>
          <w:lang w:eastAsia="pt-BR"/>
        </w:rPr>
        <w:t>.,</w:t>
      </w:r>
      <w:proofErr w:type="gramEnd"/>
      <w:r w:rsidRPr="001321DB">
        <w:rPr>
          <w:rFonts w:ascii="Arial" w:hAnsi="Arial" w:cs="Arial"/>
          <w:sz w:val="24"/>
          <w:szCs w:val="24"/>
          <w:lang w:eastAsia="pt-BR"/>
        </w:rPr>
        <w:t xml:space="preserve"> Simões, R. (2005),  Padrões de esforço tecnológico da industria brasileira: uma análise setorial a partir de técnicas multivariadas, </w:t>
      </w:r>
      <w:r w:rsidRPr="001321DB">
        <w:rPr>
          <w:rFonts w:ascii="Arial" w:hAnsi="Arial" w:cs="Arial"/>
          <w:i/>
          <w:sz w:val="24"/>
          <w:szCs w:val="24"/>
          <w:lang w:eastAsia="pt-BR"/>
        </w:rPr>
        <w:t>Revista de Economia</w:t>
      </w:r>
      <w:r w:rsidRPr="001321DB">
        <w:rPr>
          <w:rFonts w:ascii="Arial" w:hAnsi="Arial" w:cs="Arial"/>
          <w:sz w:val="24"/>
          <w:szCs w:val="24"/>
          <w:lang w:eastAsia="pt-BR"/>
        </w:rPr>
        <w:t xml:space="preserve">, 6,  391–433 </w:t>
      </w:r>
    </w:p>
    <w:p w:rsidR="00ED3C37" w:rsidRPr="003B0A6C" w:rsidRDefault="00ED3C37" w:rsidP="003B0A6C">
      <w:pPr>
        <w:spacing w:line="480" w:lineRule="auto"/>
        <w:jc w:val="both"/>
        <w:rPr>
          <w:rFonts w:ascii="Arial" w:hAnsi="Arial" w:cs="Arial"/>
          <w:sz w:val="24"/>
          <w:szCs w:val="24"/>
          <w:lang w:eastAsia="pt-BR"/>
        </w:rPr>
      </w:pPr>
      <w:r w:rsidRPr="001321DB">
        <w:rPr>
          <w:rFonts w:ascii="Arial" w:hAnsi="Arial" w:cs="Arial"/>
          <w:sz w:val="24"/>
          <w:szCs w:val="24"/>
          <w:lang w:eastAsia="pt-BR"/>
        </w:rPr>
        <w:t xml:space="preserve">Guidolin, </w:t>
      </w:r>
      <w:proofErr w:type="gramStart"/>
      <w:r w:rsidRPr="001321DB">
        <w:rPr>
          <w:rFonts w:ascii="Arial" w:hAnsi="Arial" w:cs="Arial"/>
          <w:sz w:val="24"/>
          <w:szCs w:val="24"/>
          <w:lang w:eastAsia="pt-BR"/>
        </w:rPr>
        <w:t>S.M.</w:t>
      </w:r>
      <w:proofErr w:type="gramEnd"/>
      <w:r w:rsidRPr="001321DB">
        <w:rPr>
          <w:rFonts w:ascii="Arial" w:hAnsi="Arial" w:cs="Arial"/>
          <w:sz w:val="24"/>
          <w:szCs w:val="24"/>
          <w:lang w:eastAsia="pt-BR"/>
        </w:rPr>
        <w:t>(2007), Inovação, estrutura e dinâmica industrial: um mapeamento empírico dos regimes tecnológicos da indústria brasileira, U</w:t>
      </w:r>
      <w:r w:rsidR="004D635D" w:rsidRPr="001321DB">
        <w:rPr>
          <w:rFonts w:ascii="Arial" w:hAnsi="Arial" w:cs="Arial"/>
          <w:sz w:val="24"/>
          <w:szCs w:val="24"/>
          <w:lang w:eastAsia="pt-BR"/>
        </w:rPr>
        <w:t xml:space="preserve">niversidade Federal do Rio Grande do Sul, M,Sc. </w:t>
      </w:r>
      <w:r w:rsidR="004D635D" w:rsidRPr="003B0A6C">
        <w:rPr>
          <w:rFonts w:ascii="Arial" w:hAnsi="Arial" w:cs="Arial"/>
          <w:sz w:val="24"/>
          <w:szCs w:val="24"/>
          <w:lang w:eastAsia="pt-BR"/>
        </w:rPr>
        <w:t>Dissertation</w:t>
      </w:r>
    </w:p>
    <w:p w:rsidR="004D635D" w:rsidRPr="001321DB" w:rsidRDefault="004D635D" w:rsidP="003906CF">
      <w:pPr>
        <w:autoSpaceDE w:val="0"/>
        <w:autoSpaceDN w:val="0"/>
        <w:adjustRightInd w:val="0"/>
        <w:spacing w:line="480" w:lineRule="auto"/>
        <w:jc w:val="both"/>
        <w:rPr>
          <w:rFonts w:ascii="Arial" w:hAnsi="Arial" w:cs="Arial"/>
          <w:sz w:val="24"/>
          <w:szCs w:val="24"/>
          <w:lang w:val="en-US" w:eastAsia="pt-BR"/>
        </w:rPr>
      </w:pPr>
      <w:r w:rsidRPr="001321DB">
        <w:rPr>
          <w:rFonts w:ascii="Arial" w:hAnsi="Arial" w:cs="Arial"/>
          <w:sz w:val="24"/>
          <w:szCs w:val="24"/>
          <w:lang w:val="en-US" w:eastAsia="pt-BR"/>
        </w:rPr>
        <w:lastRenderedPageBreak/>
        <w:t>Kannebley Jr, S., Porto, G.S., Pazello, E. T. (2005), Characteristics of Brazilian innovative firms: an empirical analysis based on PINTEC-industrial research on technological innovation</w:t>
      </w:r>
      <w:r w:rsidRPr="001321DB">
        <w:rPr>
          <w:rFonts w:ascii="Arial" w:hAnsi="Arial" w:cs="Arial"/>
          <w:b/>
          <w:sz w:val="24"/>
          <w:szCs w:val="24"/>
          <w:lang w:val="en-US" w:eastAsia="pt-BR"/>
        </w:rPr>
        <w:t xml:space="preserve">, </w:t>
      </w:r>
      <w:r w:rsidRPr="001321DB">
        <w:rPr>
          <w:rFonts w:ascii="Arial" w:hAnsi="Arial" w:cs="Arial"/>
          <w:i/>
          <w:sz w:val="24"/>
          <w:szCs w:val="24"/>
          <w:lang w:val="en-US" w:eastAsia="pt-BR"/>
        </w:rPr>
        <w:t>Research Policy</w:t>
      </w:r>
      <w:r w:rsidRPr="001321DB">
        <w:rPr>
          <w:rFonts w:ascii="Arial" w:hAnsi="Arial" w:cs="Arial"/>
          <w:sz w:val="24"/>
          <w:szCs w:val="24"/>
          <w:lang w:val="en-US" w:eastAsia="pt-BR"/>
        </w:rPr>
        <w:t>, 34, 872-893.</w:t>
      </w:r>
    </w:p>
    <w:p w:rsidR="0053671F" w:rsidRPr="001321DB" w:rsidRDefault="0053671F" w:rsidP="003906CF">
      <w:pPr>
        <w:autoSpaceDE w:val="0"/>
        <w:autoSpaceDN w:val="0"/>
        <w:adjustRightInd w:val="0"/>
        <w:spacing w:line="480" w:lineRule="auto"/>
        <w:jc w:val="both"/>
        <w:rPr>
          <w:rFonts w:ascii="Arial" w:hAnsi="Arial" w:cs="Arial"/>
          <w:sz w:val="24"/>
          <w:szCs w:val="24"/>
          <w:lang w:val="en-US" w:eastAsia="pt-BR"/>
        </w:rPr>
      </w:pPr>
      <w:r w:rsidRPr="001321DB">
        <w:rPr>
          <w:rFonts w:ascii="Arial" w:hAnsi="Arial" w:cs="Arial"/>
          <w:sz w:val="24"/>
          <w:szCs w:val="24"/>
          <w:lang w:val="en-US" w:eastAsia="pt-BR"/>
        </w:rPr>
        <w:t xml:space="preserve">Leiponen, A., Drejer, I. (2007), </w:t>
      </w:r>
      <w:proofErr w:type="gramStart"/>
      <w:r w:rsidRPr="001321DB">
        <w:rPr>
          <w:rFonts w:ascii="Arial" w:hAnsi="Arial" w:cs="Arial"/>
          <w:sz w:val="24"/>
          <w:szCs w:val="24"/>
          <w:lang w:val="en-US" w:eastAsia="pt-BR"/>
        </w:rPr>
        <w:t>What</w:t>
      </w:r>
      <w:proofErr w:type="gramEnd"/>
      <w:r w:rsidRPr="001321DB">
        <w:rPr>
          <w:rFonts w:ascii="Arial" w:hAnsi="Arial" w:cs="Arial"/>
          <w:sz w:val="24"/>
          <w:szCs w:val="24"/>
          <w:lang w:val="en-US" w:eastAsia="pt-BR"/>
        </w:rPr>
        <w:t xml:space="preserve"> exactly are technological regimes? Intra-industry heterogeneity in the organization of innovation activities, </w:t>
      </w:r>
      <w:r w:rsidRPr="001321DB">
        <w:rPr>
          <w:rFonts w:ascii="Arial" w:hAnsi="Arial" w:cs="Arial"/>
          <w:i/>
          <w:sz w:val="24"/>
          <w:szCs w:val="24"/>
          <w:lang w:val="en-US" w:eastAsia="pt-BR"/>
        </w:rPr>
        <w:t>Research Policy</w:t>
      </w:r>
      <w:r w:rsidRPr="001321DB">
        <w:rPr>
          <w:rFonts w:ascii="Arial" w:hAnsi="Arial" w:cs="Arial"/>
          <w:sz w:val="24"/>
          <w:szCs w:val="24"/>
          <w:lang w:val="en-US" w:eastAsia="pt-BR"/>
        </w:rPr>
        <w:t>, 36, 1221-1228</w:t>
      </w:r>
    </w:p>
    <w:p w:rsidR="004D635D" w:rsidRPr="001321DB" w:rsidRDefault="004D635D" w:rsidP="003906CF">
      <w:pPr>
        <w:autoSpaceDE w:val="0"/>
        <w:autoSpaceDN w:val="0"/>
        <w:adjustRightInd w:val="0"/>
        <w:spacing w:line="480" w:lineRule="auto"/>
        <w:jc w:val="both"/>
        <w:rPr>
          <w:rFonts w:ascii="Arial" w:hAnsi="Arial" w:cs="Arial"/>
          <w:sz w:val="24"/>
          <w:szCs w:val="24"/>
          <w:lang w:val="en-US" w:eastAsia="pt-BR"/>
        </w:rPr>
      </w:pPr>
      <w:proofErr w:type="gramStart"/>
      <w:r w:rsidRPr="001321DB">
        <w:rPr>
          <w:rFonts w:ascii="Arial" w:hAnsi="Arial" w:cs="Arial"/>
          <w:sz w:val="24"/>
          <w:szCs w:val="24"/>
          <w:lang w:val="en-US" w:eastAsia="pt-BR"/>
        </w:rPr>
        <w:t>Malerba, F., Orsenigo, L. (1990).</w:t>
      </w:r>
      <w:proofErr w:type="gramEnd"/>
      <w:r w:rsidRPr="001321DB">
        <w:rPr>
          <w:rFonts w:ascii="Arial" w:hAnsi="Arial" w:cs="Arial"/>
          <w:sz w:val="24"/>
          <w:szCs w:val="24"/>
          <w:lang w:val="en-US" w:eastAsia="pt-BR"/>
        </w:rPr>
        <w:t xml:space="preserve"> Technological regimes and patterns of innovation: a theoretical and empirical investigation of the Italian case, In A. Heertje and M. Perlman, (eds.)</w:t>
      </w:r>
      <w:proofErr w:type="gramStart"/>
      <w:r w:rsidRPr="001321DB">
        <w:rPr>
          <w:rFonts w:ascii="Arial" w:hAnsi="Arial" w:cs="Arial"/>
          <w:sz w:val="24"/>
          <w:szCs w:val="24"/>
          <w:lang w:val="en-US" w:eastAsia="pt-BR"/>
        </w:rPr>
        <w:t xml:space="preserve">,  </w:t>
      </w:r>
      <w:r w:rsidRPr="001321DB">
        <w:rPr>
          <w:rFonts w:ascii="Arial" w:hAnsi="Arial" w:cs="Arial"/>
          <w:i/>
          <w:sz w:val="24"/>
          <w:szCs w:val="24"/>
          <w:lang w:val="en-US" w:eastAsia="pt-BR"/>
        </w:rPr>
        <w:t>Evolving</w:t>
      </w:r>
      <w:proofErr w:type="gramEnd"/>
      <w:r w:rsidRPr="001321DB">
        <w:rPr>
          <w:rFonts w:ascii="Arial" w:hAnsi="Arial" w:cs="Arial"/>
          <w:i/>
          <w:sz w:val="24"/>
          <w:szCs w:val="24"/>
          <w:lang w:val="en-US" w:eastAsia="pt-BR"/>
        </w:rPr>
        <w:t xml:space="preserve"> Technologies and Market Structure</w:t>
      </w:r>
      <w:r w:rsidRPr="001321DB">
        <w:rPr>
          <w:rFonts w:ascii="Arial" w:hAnsi="Arial" w:cs="Arial"/>
          <w:sz w:val="24"/>
          <w:szCs w:val="24"/>
          <w:lang w:val="en-US" w:eastAsia="pt-BR"/>
        </w:rPr>
        <w:t>, , Ann Arbor: Michigan University Press, 283-306</w:t>
      </w:r>
    </w:p>
    <w:p w:rsidR="004D635D" w:rsidRPr="001321DB" w:rsidRDefault="004D635D" w:rsidP="003906CF">
      <w:pPr>
        <w:autoSpaceDE w:val="0"/>
        <w:autoSpaceDN w:val="0"/>
        <w:adjustRightInd w:val="0"/>
        <w:spacing w:line="480" w:lineRule="auto"/>
        <w:jc w:val="both"/>
        <w:rPr>
          <w:rFonts w:ascii="Arial" w:hAnsi="Arial" w:cs="Arial"/>
          <w:sz w:val="24"/>
          <w:szCs w:val="24"/>
          <w:lang w:val="en-US" w:eastAsia="pt-BR"/>
        </w:rPr>
      </w:pPr>
      <w:r w:rsidRPr="001321DB">
        <w:rPr>
          <w:rFonts w:ascii="Arial" w:hAnsi="Arial" w:cs="Arial"/>
          <w:sz w:val="24"/>
          <w:szCs w:val="24"/>
          <w:lang w:val="en-US" w:eastAsia="pt-BR"/>
        </w:rPr>
        <w:t xml:space="preserve">Malerba, F., Orsenigo, L. (1993), Technological regimes and firm behavior, </w:t>
      </w:r>
      <w:r w:rsidRPr="001321DB">
        <w:rPr>
          <w:rFonts w:ascii="Arial" w:hAnsi="Arial" w:cs="Arial"/>
          <w:i/>
          <w:sz w:val="24"/>
          <w:szCs w:val="24"/>
          <w:lang w:val="en-US" w:eastAsia="pt-BR"/>
        </w:rPr>
        <w:t>Industrial and Corporate Change</w:t>
      </w:r>
      <w:r w:rsidRPr="001321DB">
        <w:rPr>
          <w:rFonts w:ascii="Arial" w:hAnsi="Arial" w:cs="Arial"/>
          <w:sz w:val="24"/>
          <w:szCs w:val="24"/>
          <w:lang w:val="en-US" w:eastAsia="pt-BR"/>
        </w:rPr>
        <w:t>, 2</w:t>
      </w:r>
      <w:proofErr w:type="gramStart"/>
      <w:r w:rsidRPr="001321DB">
        <w:rPr>
          <w:rFonts w:ascii="Arial" w:hAnsi="Arial" w:cs="Arial"/>
          <w:sz w:val="24"/>
          <w:szCs w:val="24"/>
          <w:lang w:val="en-US" w:eastAsia="pt-BR"/>
        </w:rPr>
        <w:t>,  45</w:t>
      </w:r>
      <w:proofErr w:type="gramEnd"/>
      <w:r w:rsidRPr="001321DB">
        <w:rPr>
          <w:rFonts w:ascii="Arial" w:hAnsi="Arial" w:cs="Arial"/>
          <w:sz w:val="24"/>
          <w:szCs w:val="24"/>
          <w:lang w:val="en-US" w:eastAsia="pt-BR"/>
        </w:rPr>
        <w:t>-71.</w:t>
      </w:r>
      <w:r w:rsidR="00622430" w:rsidRPr="001321DB">
        <w:rPr>
          <w:rFonts w:ascii="Arial" w:hAnsi="Arial" w:cs="Arial"/>
          <w:sz w:val="24"/>
          <w:szCs w:val="24"/>
          <w:lang w:val="en-US" w:eastAsia="pt-BR"/>
        </w:rPr>
        <w:t xml:space="preserve"> </w:t>
      </w:r>
    </w:p>
    <w:p w:rsidR="004D635D" w:rsidRPr="001321DB" w:rsidRDefault="004D635D" w:rsidP="003906CF">
      <w:pPr>
        <w:autoSpaceDE w:val="0"/>
        <w:autoSpaceDN w:val="0"/>
        <w:adjustRightInd w:val="0"/>
        <w:spacing w:line="480" w:lineRule="auto"/>
        <w:jc w:val="both"/>
        <w:rPr>
          <w:rFonts w:ascii="Arial" w:hAnsi="Arial" w:cs="Arial"/>
          <w:sz w:val="24"/>
          <w:szCs w:val="24"/>
          <w:lang w:val="en-US" w:eastAsia="pt-BR"/>
        </w:rPr>
      </w:pPr>
      <w:r w:rsidRPr="001321DB">
        <w:rPr>
          <w:rFonts w:ascii="Arial" w:hAnsi="Arial" w:cs="Arial"/>
          <w:sz w:val="24"/>
          <w:szCs w:val="24"/>
          <w:lang w:val="en-US" w:eastAsia="pt-BR"/>
        </w:rPr>
        <w:t xml:space="preserve">Malerba, F., Orsenigo, L. </w:t>
      </w:r>
      <w:r w:rsidR="00622430" w:rsidRPr="001321DB">
        <w:rPr>
          <w:rFonts w:ascii="Arial" w:hAnsi="Arial" w:cs="Arial"/>
          <w:sz w:val="24"/>
          <w:szCs w:val="24"/>
          <w:lang w:val="en-US" w:eastAsia="pt-BR"/>
        </w:rPr>
        <w:t>(1995</w:t>
      </w:r>
      <w:r w:rsidRPr="001321DB">
        <w:rPr>
          <w:rFonts w:ascii="Arial" w:hAnsi="Arial" w:cs="Arial"/>
          <w:sz w:val="24"/>
          <w:szCs w:val="24"/>
          <w:lang w:val="en-US" w:eastAsia="pt-BR"/>
        </w:rPr>
        <w:t xml:space="preserve">), Schumpeterian patterns of innovation, </w:t>
      </w:r>
      <w:r w:rsidRPr="001321DB">
        <w:rPr>
          <w:rFonts w:ascii="Arial" w:hAnsi="Arial" w:cs="Arial"/>
          <w:i/>
          <w:sz w:val="24"/>
          <w:szCs w:val="24"/>
          <w:lang w:val="en-US" w:eastAsia="pt-BR"/>
        </w:rPr>
        <w:t>Cambridge Journal of Economics</w:t>
      </w:r>
      <w:r w:rsidRPr="001321DB">
        <w:rPr>
          <w:rFonts w:ascii="Arial" w:hAnsi="Arial" w:cs="Arial"/>
          <w:b/>
          <w:sz w:val="24"/>
          <w:szCs w:val="24"/>
          <w:lang w:val="en-US" w:eastAsia="pt-BR"/>
        </w:rPr>
        <w:t>,</w:t>
      </w:r>
      <w:r w:rsidRPr="001321DB">
        <w:rPr>
          <w:rFonts w:ascii="Arial" w:hAnsi="Arial" w:cs="Arial"/>
          <w:sz w:val="24"/>
          <w:szCs w:val="24"/>
          <w:lang w:val="en-US" w:eastAsia="pt-BR"/>
        </w:rPr>
        <w:t xml:space="preserve"> 19, 47-65</w:t>
      </w:r>
    </w:p>
    <w:p w:rsidR="004D635D" w:rsidRDefault="004D635D" w:rsidP="003906CF">
      <w:pPr>
        <w:autoSpaceDE w:val="0"/>
        <w:autoSpaceDN w:val="0"/>
        <w:adjustRightInd w:val="0"/>
        <w:spacing w:line="480" w:lineRule="auto"/>
        <w:jc w:val="both"/>
        <w:rPr>
          <w:rFonts w:ascii="Arial" w:hAnsi="Arial" w:cs="Arial"/>
          <w:iCs/>
          <w:sz w:val="24"/>
          <w:szCs w:val="24"/>
          <w:lang w:val="en-US" w:eastAsia="pt-BR"/>
        </w:rPr>
      </w:pPr>
      <w:r w:rsidRPr="001321DB">
        <w:rPr>
          <w:rFonts w:ascii="Arial" w:hAnsi="Arial" w:cs="Arial"/>
          <w:sz w:val="24"/>
          <w:szCs w:val="24"/>
          <w:lang w:val="en-US" w:eastAsia="pt-BR"/>
        </w:rPr>
        <w:t xml:space="preserve">Malerba, F., Orsenigo, L. (1997), </w:t>
      </w:r>
      <w:r w:rsidRPr="001321DB">
        <w:rPr>
          <w:rFonts w:ascii="Arial" w:hAnsi="Arial" w:cs="Arial"/>
          <w:iCs/>
          <w:sz w:val="24"/>
          <w:szCs w:val="24"/>
          <w:lang w:val="en-US" w:eastAsia="pt-BR"/>
        </w:rPr>
        <w:t xml:space="preserve">Technological regimes and </w:t>
      </w:r>
      <w:proofErr w:type="spellStart"/>
      <w:r w:rsidR="008201F4">
        <w:rPr>
          <w:rFonts w:ascii="Arial" w:hAnsi="Arial" w:cs="Arial"/>
          <w:iCs/>
          <w:sz w:val="24"/>
          <w:szCs w:val="24"/>
          <w:lang w:val="en-US" w:eastAsia="pt-BR"/>
        </w:rPr>
        <w:t>sector</w:t>
      </w:r>
      <w:r w:rsidR="0048436F" w:rsidRPr="001321DB">
        <w:rPr>
          <w:rFonts w:ascii="Arial" w:hAnsi="Arial" w:cs="Arial"/>
          <w:iCs/>
          <w:sz w:val="24"/>
          <w:szCs w:val="24"/>
          <w:lang w:val="en-US" w:eastAsia="pt-BR"/>
        </w:rPr>
        <w:t>al</w:t>
      </w:r>
      <w:proofErr w:type="spellEnd"/>
      <w:r w:rsidRPr="001321DB">
        <w:rPr>
          <w:rFonts w:ascii="Arial" w:hAnsi="Arial" w:cs="Arial"/>
          <w:iCs/>
          <w:sz w:val="24"/>
          <w:szCs w:val="24"/>
          <w:lang w:val="en-US" w:eastAsia="pt-BR"/>
        </w:rPr>
        <w:t xml:space="preserve"> patterns of innovative activities, </w:t>
      </w:r>
      <w:r w:rsidRPr="001321DB">
        <w:rPr>
          <w:rFonts w:ascii="Arial" w:hAnsi="Arial" w:cs="Arial"/>
          <w:i/>
          <w:sz w:val="24"/>
          <w:szCs w:val="24"/>
          <w:lang w:val="en-US" w:eastAsia="pt-BR"/>
        </w:rPr>
        <w:t>Industrial and Corporate Change</w:t>
      </w:r>
      <w:r w:rsidRPr="001321DB">
        <w:rPr>
          <w:rFonts w:ascii="Arial" w:hAnsi="Arial" w:cs="Arial"/>
          <w:iCs/>
          <w:sz w:val="24"/>
          <w:szCs w:val="24"/>
          <w:lang w:val="en-US" w:eastAsia="pt-BR"/>
        </w:rPr>
        <w:t>, 6, 83-117</w:t>
      </w:r>
    </w:p>
    <w:p w:rsidR="00B95370" w:rsidRDefault="00B95370" w:rsidP="00B95370">
      <w:pPr>
        <w:autoSpaceDE w:val="0"/>
        <w:autoSpaceDN w:val="0"/>
        <w:adjustRightInd w:val="0"/>
        <w:spacing w:after="0" w:line="240" w:lineRule="auto"/>
        <w:jc w:val="both"/>
        <w:rPr>
          <w:rFonts w:ascii="Arial" w:hAnsi="Arial" w:cs="Arial"/>
          <w:sz w:val="24"/>
          <w:szCs w:val="24"/>
          <w:lang w:val="en-US" w:eastAsia="pt-BR"/>
        </w:rPr>
      </w:pPr>
      <w:r>
        <w:rPr>
          <w:rFonts w:ascii="Arial" w:hAnsi="Arial" w:cs="Arial"/>
          <w:sz w:val="24"/>
          <w:szCs w:val="24"/>
          <w:lang w:val="en-US" w:eastAsia="pt-BR"/>
        </w:rPr>
        <w:t>Manly, B. F. J. (1994),</w:t>
      </w:r>
      <w:r w:rsidRPr="00B95370">
        <w:rPr>
          <w:rFonts w:ascii="Arial" w:hAnsi="Arial" w:cs="Arial"/>
          <w:sz w:val="24"/>
          <w:szCs w:val="24"/>
          <w:lang w:val="en-US" w:eastAsia="pt-BR"/>
        </w:rPr>
        <w:t xml:space="preserve"> </w:t>
      </w:r>
      <w:r w:rsidRPr="00B95370">
        <w:rPr>
          <w:rFonts w:ascii="Arial" w:hAnsi="Arial" w:cs="Arial"/>
          <w:i/>
          <w:sz w:val="24"/>
          <w:szCs w:val="24"/>
          <w:lang w:val="en-US" w:eastAsia="pt-BR"/>
        </w:rPr>
        <w:t xml:space="preserve">Multivariate </w:t>
      </w:r>
      <w:r>
        <w:rPr>
          <w:rFonts w:ascii="Arial" w:hAnsi="Arial" w:cs="Arial"/>
          <w:i/>
          <w:sz w:val="24"/>
          <w:szCs w:val="24"/>
          <w:lang w:val="en-US" w:eastAsia="pt-BR"/>
        </w:rPr>
        <w:t>Statistical M</w:t>
      </w:r>
      <w:r w:rsidRPr="00B95370">
        <w:rPr>
          <w:rFonts w:ascii="Arial" w:hAnsi="Arial" w:cs="Arial"/>
          <w:i/>
          <w:sz w:val="24"/>
          <w:szCs w:val="24"/>
          <w:lang w:val="en-US" w:eastAsia="pt-BR"/>
        </w:rPr>
        <w:t>ethods</w:t>
      </w:r>
      <w:r>
        <w:rPr>
          <w:rFonts w:ascii="Arial" w:hAnsi="Arial" w:cs="Arial"/>
          <w:sz w:val="24"/>
          <w:szCs w:val="24"/>
          <w:lang w:val="en-US" w:eastAsia="pt-BR"/>
        </w:rPr>
        <w:t>,</w:t>
      </w:r>
      <w:r w:rsidRPr="00B95370">
        <w:rPr>
          <w:rFonts w:ascii="Arial" w:hAnsi="Arial" w:cs="Arial"/>
          <w:sz w:val="24"/>
          <w:szCs w:val="24"/>
          <w:lang w:val="en-US" w:eastAsia="pt-BR"/>
        </w:rPr>
        <w:t xml:space="preserve"> London: Chapman &amp; Hall.</w:t>
      </w:r>
    </w:p>
    <w:p w:rsidR="00900EBB" w:rsidRPr="00B95370" w:rsidRDefault="00900EBB" w:rsidP="00B95370">
      <w:pPr>
        <w:autoSpaceDE w:val="0"/>
        <w:autoSpaceDN w:val="0"/>
        <w:adjustRightInd w:val="0"/>
        <w:spacing w:after="0" w:line="240" w:lineRule="auto"/>
        <w:jc w:val="both"/>
        <w:rPr>
          <w:rFonts w:ascii="Arial" w:hAnsi="Arial" w:cs="Arial"/>
          <w:sz w:val="24"/>
          <w:szCs w:val="24"/>
          <w:lang w:val="en-US" w:eastAsia="pt-BR"/>
        </w:rPr>
      </w:pPr>
    </w:p>
    <w:p w:rsidR="00B95370" w:rsidRPr="00B95370" w:rsidRDefault="00B95370" w:rsidP="00B95370">
      <w:pPr>
        <w:autoSpaceDE w:val="0"/>
        <w:autoSpaceDN w:val="0"/>
        <w:adjustRightInd w:val="0"/>
        <w:spacing w:after="0" w:line="240" w:lineRule="auto"/>
        <w:jc w:val="both"/>
        <w:rPr>
          <w:rFonts w:ascii="Arial" w:hAnsi="Arial" w:cs="Arial"/>
          <w:sz w:val="24"/>
          <w:szCs w:val="24"/>
          <w:lang w:val="en-US" w:eastAsia="pt-BR"/>
        </w:rPr>
      </w:pPr>
    </w:p>
    <w:p w:rsidR="00D31446" w:rsidRPr="001321DB" w:rsidRDefault="00D31446" w:rsidP="003906CF">
      <w:pPr>
        <w:autoSpaceDE w:val="0"/>
        <w:autoSpaceDN w:val="0"/>
        <w:adjustRightInd w:val="0"/>
        <w:spacing w:line="480" w:lineRule="auto"/>
        <w:jc w:val="both"/>
        <w:rPr>
          <w:rFonts w:ascii="Arial" w:hAnsi="Arial" w:cs="Arial"/>
          <w:sz w:val="24"/>
          <w:szCs w:val="24"/>
          <w:lang w:val="en-US" w:eastAsia="pt-BR"/>
        </w:rPr>
      </w:pPr>
      <w:r w:rsidRPr="001321DB">
        <w:rPr>
          <w:rFonts w:ascii="Arial" w:hAnsi="Arial" w:cs="Arial"/>
          <w:sz w:val="24"/>
          <w:szCs w:val="24"/>
          <w:lang w:val="en-US" w:eastAsia="pt-BR"/>
        </w:rPr>
        <w:t xml:space="preserve">Marsalli, O. (1999), Technological regimes: theory and evidence, </w:t>
      </w:r>
      <w:r w:rsidRPr="001321DB">
        <w:rPr>
          <w:rFonts w:ascii="Arial" w:hAnsi="Arial" w:cs="Arial"/>
          <w:i/>
          <w:sz w:val="24"/>
          <w:szCs w:val="24"/>
          <w:lang w:val="en-US" w:eastAsia="pt-BR"/>
        </w:rPr>
        <w:t>DYNACOM Working Paper, available</w:t>
      </w:r>
      <w:r w:rsidR="00394117" w:rsidRPr="001321DB">
        <w:rPr>
          <w:rFonts w:ascii="Arial" w:hAnsi="Arial" w:cs="Arial"/>
          <w:i/>
          <w:sz w:val="24"/>
          <w:szCs w:val="24"/>
          <w:lang w:val="en-US" w:eastAsia="pt-BR"/>
        </w:rPr>
        <w:t xml:space="preserve"> in</w:t>
      </w:r>
      <w:r w:rsidRPr="001321DB">
        <w:rPr>
          <w:rFonts w:ascii="Arial" w:hAnsi="Arial" w:cs="Arial"/>
          <w:i/>
          <w:sz w:val="24"/>
          <w:szCs w:val="24"/>
          <w:lang w:val="en-US" w:eastAsia="pt-BR"/>
        </w:rPr>
        <w:t xml:space="preserve"> &lt;</w:t>
      </w:r>
      <w:hyperlink r:id="rId15" w:history="1">
        <w:r w:rsidRPr="001321DB">
          <w:rPr>
            <w:rFonts w:ascii="Arial" w:hAnsi="Arial" w:cs="Arial"/>
            <w:i/>
            <w:sz w:val="24"/>
            <w:szCs w:val="24"/>
            <w:lang w:val="en-US" w:eastAsia="pt-BR"/>
          </w:rPr>
          <w:t>http://www.lem.sssup.it/Dynacom/files/D20_0.pdf</w:t>
        </w:r>
      </w:hyperlink>
      <w:r w:rsidRPr="001321DB">
        <w:rPr>
          <w:rFonts w:ascii="Arial" w:hAnsi="Arial" w:cs="Arial"/>
          <w:i/>
          <w:sz w:val="24"/>
          <w:szCs w:val="24"/>
          <w:lang w:val="en-US" w:eastAsia="pt-BR"/>
        </w:rPr>
        <w:t>&gt;. Ac</w:t>
      </w:r>
      <w:r w:rsidR="00394117" w:rsidRPr="001321DB">
        <w:rPr>
          <w:rFonts w:ascii="Arial" w:hAnsi="Arial" w:cs="Arial"/>
          <w:i/>
          <w:sz w:val="24"/>
          <w:szCs w:val="24"/>
          <w:lang w:val="en-US" w:eastAsia="pt-BR"/>
        </w:rPr>
        <w:t>cess in</w:t>
      </w:r>
      <w:r w:rsidRPr="001321DB">
        <w:rPr>
          <w:rFonts w:ascii="Arial" w:hAnsi="Arial" w:cs="Arial"/>
          <w:i/>
          <w:sz w:val="24"/>
          <w:szCs w:val="24"/>
          <w:lang w:val="en-US" w:eastAsia="pt-BR"/>
        </w:rPr>
        <w:t xml:space="preserve"> 14/10/2011</w:t>
      </w:r>
      <w:r w:rsidRPr="001321DB">
        <w:rPr>
          <w:rFonts w:ascii="Arial" w:hAnsi="Arial" w:cs="Arial"/>
          <w:sz w:val="24"/>
          <w:szCs w:val="24"/>
          <w:lang w:val="en-US" w:eastAsia="pt-BR"/>
        </w:rPr>
        <w:t>.</w:t>
      </w:r>
    </w:p>
    <w:p w:rsidR="00394117" w:rsidRPr="001321DB" w:rsidRDefault="00394117" w:rsidP="003906CF">
      <w:pPr>
        <w:autoSpaceDE w:val="0"/>
        <w:autoSpaceDN w:val="0"/>
        <w:adjustRightInd w:val="0"/>
        <w:spacing w:line="480" w:lineRule="auto"/>
        <w:jc w:val="both"/>
        <w:rPr>
          <w:rFonts w:ascii="Arial" w:hAnsi="Arial" w:cs="Arial"/>
          <w:sz w:val="24"/>
          <w:szCs w:val="24"/>
          <w:lang w:val="en-US" w:eastAsia="pt-BR"/>
        </w:rPr>
      </w:pPr>
      <w:r w:rsidRPr="001321DB">
        <w:rPr>
          <w:rFonts w:ascii="Arial" w:hAnsi="Arial" w:cs="Arial"/>
          <w:sz w:val="24"/>
          <w:szCs w:val="24"/>
          <w:lang w:val="en-US" w:eastAsia="pt-BR"/>
        </w:rPr>
        <w:lastRenderedPageBreak/>
        <w:t xml:space="preserve">Marsalli, O., Verspagen, B. (2001), Technological regimes and innovation: looking for regularities in Dutch manufacturing; </w:t>
      </w:r>
      <w:r w:rsidRPr="009A2C9C">
        <w:rPr>
          <w:rFonts w:ascii="Arial" w:hAnsi="Arial" w:cs="Arial"/>
          <w:sz w:val="24"/>
          <w:szCs w:val="24"/>
          <w:lang w:val="en-US" w:eastAsia="pt-BR"/>
        </w:rPr>
        <w:t>mimeo</w:t>
      </w:r>
      <w:r w:rsidRPr="001321DB">
        <w:rPr>
          <w:rFonts w:ascii="Arial" w:hAnsi="Arial" w:cs="Arial"/>
          <w:sz w:val="24"/>
          <w:szCs w:val="24"/>
          <w:lang w:val="en-US" w:eastAsia="pt-BR"/>
        </w:rPr>
        <w:t>, Eindhoven University of Technology</w:t>
      </w:r>
    </w:p>
    <w:p w:rsidR="00394117" w:rsidRPr="001321DB" w:rsidRDefault="00394117" w:rsidP="003906CF">
      <w:pPr>
        <w:autoSpaceDE w:val="0"/>
        <w:autoSpaceDN w:val="0"/>
        <w:adjustRightInd w:val="0"/>
        <w:spacing w:line="480" w:lineRule="auto"/>
        <w:rPr>
          <w:rFonts w:ascii="Arial" w:hAnsi="Arial" w:cs="Arial"/>
          <w:sz w:val="24"/>
          <w:szCs w:val="24"/>
          <w:lang w:eastAsia="pt-BR"/>
        </w:rPr>
      </w:pPr>
      <w:r w:rsidRPr="001321DB">
        <w:rPr>
          <w:rFonts w:ascii="Arial" w:hAnsi="Arial" w:cs="Arial"/>
          <w:sz w:val="24"/>
          <w:szCs w:val="24"/>
          <w:lang w:eastAsia="pt-BR"/>
        </w:rPr>
        <w:t xml:space="preserve">Mesa, A. </w:t>
      </w:r>
      <w:r w:rsidR="0048436F" w:rsidRPr="001321DB">
        <w:rPr>
          <w:rFonts w:ascii="Arial" w:hAnsi="Arial" w:cs="Arial"/>
          <w:sz w:val="24"/>
          <w:szCs w:val="24"/>
          <w:lang w:eastAsia="pt-BR"/>
        </w:rPr>
        <w:t>F.,</w:t>
      </w:r>
      <w:r w:rsidRPr="001321DB">
        <w:rPr>
          <w:rFonts w:ascii="Arial" w:hAnsi="Arial" w:cs="Arial"/>
          <w:sz w:val="24"/>
          <w:szCs w:val="24"/>
          <w:lang w:eastAsia="pt-BR"/>
        </w:rPr>
        <w:t xml:space="preserve"> Gayo, I. G. (1999),</w:t>
      </w:r>
      <w:r w:rsidRPr="0048436F">
        <w:rPr>
          <w:rFonts w:ascii="Arial" w:hAnsi="Arial" w:cs="Arial"/>
          <w:sz w:val="24"/>
          <w:szCs w:val="24"/>
          <w:lang w:eastAsia="pt-BR"/>
        </w:rPr>
        <w:t xml:space="preserve"> Innovacion</w:t>
      </w:r>
      <w:r w:rsidRPr="001321DB">
        <w:rPr>
          <w:rFonts w:ascii="Arial" w:hAnsi="Arial" w:cs="Arial"/>
          <w:sz w:val="24"/>
          <w:szCs w:val="24"/>
          <w:lang w:eastAsia="pt-BR"/>
        </w:rPr>
        <w:t xml:space="preserve"> y tecnologia: uma constrastacion empirica de los regimenes tecnologicos Schumpeterianos, </w:t>
      </w:r>
      <w:r w:rsidRPr="001321DB">
        <w:rPr>
          <w:rFonts w:ascii="Arial" w:hAnsi="Arial" w:cs="Arial"/>
          <w:i/>
          <w:sz w:val="24"/>
          <w:szCs w:val="24"/>
          <w:lang w:eastAsia="pt-BR"/>
        </w:rPr>
        <w:t>Cambio Tecnologico Y Competitividad, no. 781,</w:t>
      </w:r>
      <w:proofErr w:type="gramStart"/>
      <w:r w:rsidR="00EF23B2" w:rsidRPr="001321DB">
        <w:rPr>
          <w:rFonts w:ascii="Arial" w:hAnsi="Arial" w:cs="Arial"/>
          <w:sz w:val="24"/>
          <w:szCs w:val="24"/>
          <w:lang w:eastAsia="pt-BR"/>
        </w:rPr>
        <w:t xml:space="preserve">  </w:t>
      </w:r>
      <w:proofErr w:type="gramEnd"/>
      <w:r w:rsidRPr="001321DB">
        <w:rPr>
          <w:rFonts w:ascii="Arial" w:hAnsi="Arial" w:cs="Arial"/>
          <w:sz w:val="24"/>
          <w:szCs w:val="24"/>
          <w:lang w:eastAsia="pt-BR"/>
        </w:rPr>
        <w:t>27-43.</w:t>
      </w:r>
    </w:p>
    <w:p w:rsidR="00394117" w:rsidRPr="001321DB" w:rsidRDefault="00394117" w:rsidP="003906CF">
      <w:pPr>
        <w:pStyle w:val="Default"/>
        <w:spacing w:after="200" w:line="480" w:lineRule="auto"/>
        <w:jc w:val="both"/>
        <w:rPr>
          <w:rFonts w:ascii="Arial" w:hAnsi="Arial" w:cs="Arial"/>
          <w:color w:val="auto"/>
          <w:lang w:val="en-US" w:eastAsia="pt-BR"/>
        </w:rPr>
      </w:pPr>
      <w:r w:rsidRPr="001321DB">
        <w:rPr>
          <w:rFonts w:ascii="Arial" w:hAnsi="Arial" w:cs="Arial"/>
          <w:color w:val="auto"/>
          <w:lang w:val="en-US" w:eastAsia="pt-BR"/>
        </w:rPr>
        <w:t xml:space="preserve">Morrison, D. G. (1969), </w:t>
      </w:r>
      <w:proofErr w:type="gramStart"/>
      <w:r w:rsidRPr="001321DB">
        <w:rPr>
          <w:rFonts w:ascii="Arial" w:hAnsi="Arial" w:cs="Arial"/>
          <w:color w:val="auto"/>
          <w:lang w:val="en-US" w:eastAsia="pt-BR"/>
        </w:rPr>
        <w:t>On</w:t>
      </w:r>
      <w:proofErr w:type="gramEnd"/>
      <w:r w:rsidRPr="001321DB">
        <w:rPr>
          <w:rFonts w:ascii="Arial" w:hAnsi="Arial" w:cs="Arial"/>
          <w:color w:val="auto"/>
          <w:lang w:val="en-US" w:eastAsia="pt-BR"/>
        </w:rPr>
        <w:t xml:space="preserve"> the interpretation of discriminant analysis, </w:t>
      </w:r>
      <w:r w:rsidRPr="001321DB">
        <w:rPr>
          <w:rFonts w:ascii="Arial" w:hAnsi="Arial" w:cs="Arial"/>
          <w:i/>
          <w:color w:val="auto"/>
          <w:lang w:val="en-US" w:eastAsia="pt-BR"/>
        </w:rPr>
        <w:t>Journal of Marketing Research</w:t>
      </w:r>
      <w:r w:rsidRPr="001321DB">
        <w:rPr>
          <w:rFonts w:ascii="Arial" w:hAnsi="Arial" w:cs="Arial"/>
          <w:color w:val="auto"/>
          <w:lang w:val="en-US" w:eastAsia="pt-BR"/>
        </w:rPr>
        <w:t>, 6, 156-163</w:t>
      </w:r>
    </w:p>
    <w:p w:rsidR="00394117" w:rsidRPr="001321DB" w:rsidRDefault="00394117" w:rsidP="003906CF">
      <w:pPr>
        <w:autoSpaceDE w:val="0"/>
        <w:autoSpaceDN w:val="0"/>
        <w:adjustRightInd w:val="0"/>
        <w:spacing w:line="480" w:lineRule="auto"/>
        <w:jc w:val="both"/>
        <w:rPr>
          <w:rFonts w:ascii="Arial" w:hAnsi="Arial" w:cs="Arial"/>
          <w:sz w:val="24"/>
          <w:szCs w:val="24"/>
          <w:lang w:val="en-US" w:eastAsia="pt-BR"/>
        </w:rPr>
      </w:pPr>
      <w:r w:rsidRPr="001321DB">
        <w:rPr>
          <w:rFonts w:ascii="Arial" w:hAnsi="Arial" w:cs="Arial"/>
          <w:sz w:val="24"/>
          <w:szCs w:val="24"/>
          <w:lang w:val="en-US" w:eastAsia="pt-BR"/>
        </w:rPr>
        <w:t xml:space="preserve">Schumpeter, J. A. (1912), </w:t>
      </w:r>
      <w:proofErr w:type="gramStart"/>
      <w:r w:rsidRPr="001321DB">
        <w:rPr>
          <w:rFonts w:ascii="Arial" w:hAnsi="Arial" w:cs="Arial"/>
          <w:i/>
          <w:sz w:val="24"/>
          <w:szCs w:val="24"/>
          <w:lang w:val="en-US" w:eastAsia="pt-BR"/>
        </w:rPr>
        <w:t>The</w:t>
      </w:r>
      <w:proofErr w:type="gramEnd"/>
      <w:r w:rsidRPr="001321DB">
        <w:rPr>
          <w:rFonts w:ascii="Arial" w:hAnsi="Arial" w:cs="Arial"/>
          <w:i/>
          <w:sz w:val="24"/>
          <w:szCs w:val="24"/>
          <w:lang w:val="en-US" w:eastAsia="pt-BR"/>
        </w:rPr>
        <w:t xml:space="preserve"> Theory of Economic Development</w:t>
      </w:r>
      <w:r w:rsidRPr="001321DB">
        <w:rPr>
          <w:rFonts w:ascii="Arial" w:hAnsi="Arial" w:cs="Arial"/>
          <w:sz w:val="24"/>
          <w:szCs w:val="24"/>
          <w:lang w:val="en-US" w:eastAsia="pt-BR"/>
        </w:rPr>
        <w:t>, Oxford:  Oxford University Press</w:t>
      </w:r>
    </w:p>
    <w:p w:rsidR="00394117" w:rsidRPr="001321DB" w:rsidRDefault="00394117" w:rsidP="003906CF">
      <w:pPr>
        <w:autoSpaceDE w:val="0"/>
        <w:autoSpaceDN w:val="0"/>
        <w:adjustRightInd w:val="0"/>
        <w:spacing w:line="480" w:lineRule="auto"/>
        <w:jc w:val="both"/>
        <w:rPr>
          <w:rFonts w:ascii="Arial" w:hAnsi="Arial" w:cs="Arial"/>
          <w:sz w:val="24"/>
          <w:szCs w:val="24"/>
          <w:lang w:val="en-US" w:eastAsia="pt-BR"/>
        </w:rPr>
      </w:pPr>
      <w:r w:rsidRPr="001321DB">
        <w:rPr>
          <w:rFonts w:ascii="Arial" w:hAnsi="Arial" w:cs="Arial"/>
          <w:sz w:val="24"/>
          <w:szCs w:val="24"/>
          <w:lang w:val="en-US" w:eastAsia="pt-BR"/>
        </w:rPr>
        <w:t xml:space="preserve">Schumpeter, J. A.  (1942), </w:t>
      </w:r>
      <w:r w:rsidRPr="001321DB">
        <w:rPr>
          <w:rFonts w:ascii="Arial" w:hAnsi="Arial" w:cs="Arial"/>
          <w:i/>
          <w:sz w:val="24"/>
          <w:szCs w:val="24"/>
          <w:lang w:val="en-US" w:eastAsia="pt-BR"/>
        </w:rPr>
        <w:t>Capitalism, Socialism and Democracy</w:t>
      </w:r>
      <w:r w:rsidRPr="001321DB">
        <w:rPr>
          <w:rFonts w:ascii="Arial" w:hAnsi="Arial" w:cs="Arial"/>
          <w:sz w:val="24"/>
          <w:szCs w:val="24"/>
          <w:lang w:val="en-US" w:eastAsia="pt-BR"/>
        </w:rPr>
        <w:t>, New York:  Harper</w:t>
      </w:r>
    </w:p>
    <w:p w:rsidR="00394117" w:rsidRPr="001321DB" w:rsidRDefault="00394117" w:rsidP="003906CF">
      <w:pPr>
        <w:autoSpaceDE w:val="0"/>
        <w:autoSpaceDN w:val="0"/>
        <w:adjustRightInd w:val="0"/>
        <w:spacing w:line="480" w:lineRule="auto"/>
        <w:jc w:val="both"/>
        <w:rPr>
          <w:rFonts w:ascii="Arial" w:hAnsi="Arial" w:cs="Arial"/>
          <w:sz w:val="24"/>
          <w:szCs w:val="24"/>
          <w:lang w:val="en-US" w:eastAsia="pt-BR"/>
        </w:rPr>
      </w:pPr>
      <w:r w:rsidRPr="001321DB">
        <w:rPr>
          <w:rFonts w:ascii="Arial" w:hAnsi="Arial" w:cs="Arial"/>
          <w:sz w:val="24"/>
          <w:szCs w:val="24"/>
          <w:lang w:val="en-US" w:eastAsia="pt-BR"/>
        </w:rPr>
        <w:t>Van Dijk, M.  (20</w:t>
      </w:r>
      <w:r w:rsidR="00766821" w:rsidRPr="001321DB">
        <w:rPr>
          <w:rFonts w:ascii="Arial" w:hAnsi="Arial" w:cs="Arial"/>
          <w:sz w:val="24"/>
          <w:szCs w:val="24"/>
          <w:lang w:val="en-US" w:eastAsia="pt-BR"/>
        </w:rPr>
        <w:t>00), Technological regimes and i</w:t>
      </w:r>
      <w:r w:rsidRPr="001321DB">
        <w:rPr>
          <w:rFonts w:ascii="Arial" w:hAnsi="Arial" w:cs="Arial"/>
          <w:sz w:val="24"/>
          <w:szCs w:val="24"/>
          <w:lang w:val="en-US" w:eastAsia="pt-BR"/>
        </w:rPr>
        <w:t>ndustrial dynamics: the evidence from Dutch manufacturing</w:t>
      </w:r>
      <w:r w:rsidRPr="001321DB">
        <w:rPr>
          <w:rFonts w:ascii="Arial" w:hAnsi="Arial" w:cs="Arial"/>
          <w:b/>
          <w:sz w:val="24"/>
          <w:szCs w:val="24"/>
          <w:lang w:val="en-US" w:eastAsia="pt-BR"/>
        </w:rPr>
        <w:t xml:space="preserve">, </w:t>
      </w:r>
      <w:r w:rsidRPr="001321DB">
        <w:rPr>
          <w:rFonts w:ascii="Arial" w:hAnsi="Arial" w:cs="Arial"/>
          <w:i/>
          <w:sz w:val="24"/>
          <w:szCs w:val="24"/>
          <w:lang w:val="en-US" w:eastAsia="pt-BR"/>
        </w:rPr>
        <w:t>Industrial and Corporate Change</w:t>
      </w:r>
      <w:r w:rsidR="00766821" w:rsidRPr="001321DB">
        <w:rPr>
          <w:rFonts w:ascii="Arial" w:hAnsi="Arial" w:cs="Arial"/>
          <w:sz w:val="24"/>
          <w:szCs w:val="24"/>
          <w:lang w:val="en-US" w:eastAsia="pt-BR"/>
        </w:rPr>
        <w:t>, 9, 173-194</w:t>
      </w:r>
    </w:p>
    <w:p w:rsidR="00394117" w:rsidRDefault="00394117" w:rsidP="003906CF">
      <w:pPr>
        <w:autoSpaceDE w:val="0"/>
        <w:autoSpaceDN w:val="0"/>
        <w:adjustRightInd w:val="0"/>
        <w:spacing w:line="480" w:lineRule="auto"/>
        <w:jc w:val="both"/>
        <w:rPr>
          <w:rFonts w:ascii="Arial" w:hAnsi="Arial" w:cs="Arial"/>
          <w:sz w:val="24"/>
          <w:szCs w:val="24"/>
          <w:lang w:val="en-US" w:eastAsia="pt-BR"/>
        </w:rPr>
      </w:pPr>
      <w:r w:rsidRPr="001321DB">
        <w:rPr>
          <w:rFonts w:ascii="Arial" w:hAnsi="Arial" w:cs="Arial"/>
          <w:sz w:val="24"/>
          <w:szCs w:val="24"/>
          <w:lang w:val="en-US" w:eastAsia="pt-BR"/>
        </w:rPr>
        <w:t xml:space="preserve">Van Dijk, M.  (2002), </w:t>
      </w:r>
      <w:r w:rsidRPr="001321DB">
        <w:rPr>
          <w:rFonts w:ascii="Arial" w:hAnsi="Arial" w:cs="Arial"/>
          <w:i/>
          <w:sz w:val="24"/>
          <w:szCs w:val="24"/>
          <w:lang w:val="en-US" w:eastAsia="pt-BR"/>
        </w:rPr>
        <w:t>Technological Change and the Dynamics of Industries</w:t>
      </w:r>
      <w:r w:rsidRPr="001321DB">
        <w:rPr>
          <w:rFonts w:ascii="Arial" w:hAnsi="Arial" w:cs="Arial"/>
          <w:sz w:val="24"/>
          <w:szCs w:val="24"/>
          <w:lang w:val="en-US" w:eastAsia="pt-BR"/>
        </w:rPr>
        <w:t>, Amsterdam: North-Holland</w:t>
      </w:r>
    </w:p>
    <w:p w:rsidR="00BB1E1B" w:rsidRDefault="002E1257" w:rsidP="007F7E30">
      <w:pPr>
        <w:autoSpaceDE w:val="0"/>
        <w:autoSpaceDN w:val="0"/>
        <w:adjustRightInd w:val="0"/>
        <w:spacing w:line="480" w:lineRule="auto"/>
        <w:jc w:val="both"/>
        <w:rPr>
          <w:rFonts w:ascii="Arial" w:hAnsi="Arial" w:cs="Arial"/>
          <w:sz w:val="24"/>
          <w:szCs w:val="24"/>
          <w:lang w:val="en-US" w:eastAsia="pt-BR"/>
        </w:rPr>
      </w:pPr>
      <w:r w:rsidRPr="002E1257">
        <w:rPr>
          <w:rFonts w:ascii="Arial" w:hAnsi="Arial" w:cs="Arial"/>
          <w:sz w:val="24"/>
          <w:szCs w:val="24"/>
          <w:lang w:val="en-US" w:eastAsia="pt-BR"/>
        </w:rPr>
        <w:t>Viotti</w:t>
      </w:r>
      <w:r>
        <w:rPr>
          <w:rFonts w:ascii="Arial" w:hAnsi="Arial" w:cs="Arial"/>
          <w:sz w:val="24"/>
          <w:szCs w:val="24"/>
          <w:lang w:val="en-US" w:eastAsia="pt-BR"/>
        </w:rPr>
        <w:t>, E. B. (200</w:t>
      </w:r>
      <w:r w:rsidR="00900EBB">
        <w:rPr>
          <w:rFonts w:ascii="Arial" w:hAnsi="Arial" w:cs="Arial"/>
          <w:sz w:val="24"/>
          <w:szCs w:val="24"/>
          <w:lang w:val="en-US" w:eastAsia="pt-BR"/>
        </w:rPr>
        <w:t>1</w:t>
      </w:r>
      <w:r>
        <w:rPr>
          <w:rFonts w:ascii="Arial" w:hAnsi="Arial" w:cs="Arial"/>
          <w:sz w:val="24"/>
          <w:szCs w:val="24"/>
          <w:lang w:val="en-US" w:eastAsia="pt-BR"/>
        </w:rPr>
        <w:t>), National learning system: a new approach on technological change in late i</w:t>
      </w:r>
      <w:r w:rsidRPr="002E1257">
        <w:rPr>
          <w:rFonts w:ascii="Arial" w:hAnsi="Arial" w:cs="Arial"/>
          <w:sz w:val="24"/>
          <w:szCs w:val="24"/>
          <w:lang w:val="en-US" w:eastAsia="pt-BR"/>
        </w:rPr>
        <w:t xml:space="preserve">ndustrializing </w:t>
      </w:r>
      <w:r>
        <w:rPr>
          <w:rFonts w:ascii="Arial" w:hAnsi="Arial" w:cs="Arial"/>
          <w:sz w:val="24"/>
          <w:szCs w:val="24"/>
          <w:lang w:val="en-US" w:eastAsia="pt-BR"/>
        </w:rPr>
        <w:t>e</w:t>
      </w:r>
      <w:r w:rsidRPr="002E1257">
        <w:rPr>
          <w:rFonts w:ascii="Arial" w:hAnsi="Arial" w:cs="Arial"/>
          <w:sz w:val="24"/>
          <w:szCs w:val="24"/>
          <w:lang w:val="en-US" w:eastAsia="pt-BR"/>
        </w:rPr>
        <w:t xml:space="preserve">conomics and </w:t>
      </w:r>
      <w:r>
        <w:rPr>
          <w:rFonts w:ascii="Arial" w:hAnsi="Arial" w:cs="Arial"/>
          <w:sz w:val="24"/>
          <w:szCs w:val="24"/>
          <w:lang w:val="en-US" w:eastAsia="pt-BR"/>
        </w:rPr>
        <w:t>e</w:t>
      </w:r>
      <w:r w:rsidRPr="002E1257">
        <w:rPr>
          <w:rFonts w:ascii="Arial" w:hAnsi="Arial" w:cs="Arial"/>
          <w:sz w:val="24"/>
          <w:szCs w:val="24"/>
          <w:lang w:val="en-US" w:eastAsia="pt-BR"/>
        </w:rPr>
        <w:t xml:space="preserve">vidences from the cases of Brazil and South Korea, </w:t>
      </w:r>
      <w:r w:rsidRPr="002E1257">
        <w:rPr>
          <w:rFonts w:ascii="Arial" w:hAnsi="Arial" w:cs="Arial"/>
          <w:i/>
          <w:sz w:val="24"/>
          <w:szCs w:val="24"/>
          <w:lang w:val="en-US" w:eastAsia="pt-BR"/>
        </w:rPr>
        <w:t>Technological Forecasting and Social Change</w:t>
      </w:r>
      <w:r>
        <w:rPr>
          <w:rFonts w:ascii="Arial" w:hAnsi="Arial" w:cs="Arial"/>
          <w:sz w:val="24"/>
          <w:szCs w:val="24"/>
          <w:lang w:val="en-US" w:eastAsia="pt-BR"/>
        </w:rPr>
        <w:t xml:space="preserve">, 69, </w:t>
      </w:r>
      <w:r w:rsidRPr="002E1257">
        <w:rPr>
          <w:rFonts w:ascii="Arial" w:hAnsi="Arial" w:cs="Arial"/>
          <w:sz w:val="24"/>
          <w:szCs w:val="24"/>
          <w:lang w:val="en-US" w:eastAsia="pt-BR"/>
        </w:rPr>
        <w:t>653-680</w:t>
      </w:r>
    </w:p>
    <w:p w:rsidR="00582034" w:rsidRDefault="00582034" w:rsidP="007F7E30">
      <w:pPr>
        <w:autoSpaceDE w:val="0"/>
        <w:autoSpaceDN w:val="0"/>
        <w:adjustRightInd w:val="0"/>
        <w:spacing w:line="480" w:lineRule="auto"/>
        <w:jc w:val="both"/>
        <w:rPr>
          <w:rFonts w:ascii="Arial" w:hAnsi="Arial" w:cs="Arial"/>
          <w:sz w:val="24"/>
          <w:szCs w:val="24"/>
          <w:lang w:val="en-US" w:eastAsia="pt-BR"/>
        </w:rPr>
      </w:pPr>
    </w:p>
    <w:p w:rsidR="00582034" w:rsidRDefault="00582034" w:rsidP="007F7E30">
      <w:pPr>
        <w:autoSpaceDE w:val="0"/>
        <w:autoSpaceDN w:val="0"/>
        <w:adjustRightInd w:val="0"/>
        <w:spacing w:line="480" w:lineRule="auto"/>
        <w:jc w:val="both"/>
        <w:rPr>
          <w:rFonts w:ascii="Arial" w:hAnsi="Arial" w:cs="Arial"/>
          <w:sz w:val="24"/>
          <w:szCs w:val="24"/>
          <w:lang w:val="en-US" w:eastAsia="pt-BR"/>
        </w:rPr>
      </w:pPr>
    </w:p>
    <w:p w:rsidR="00582034" w:rsidRDefault="00582034" w:rsidP="007F7E30">
      <w:pPr>
        <w:autoSpaceDE w:val="0"/>
        <w:autoSpaceDN w:val="0"/>
        <w:adjustRightInd w:val="0"/>
        <w:spacing w:line="480" w:lineRule="auto"/>
        <w:jc w:val="both"/>
        <w:rPr>
          <w:rFonts w:ascii="Arial" w:hAnsi="Arial" w:cs="Arial"/>
          <w:sz w:val="24"/>
          <w:szCs w:val="24"/>
          <w:lang w:val="en-US" w:eastAsia="pt-BR"/>
        </w:rPr>
      </w:pPr>
    </w:p>
    <w:p w:rsidR="00582034" w:rsidRDefault="00582034" w:rsidP="007F7E30">
      <w:pPr>
        <w:autoSpaceDE w:val="0"/>
        <w:autoSpaceDN w:val="0"/>
        <w:adjustRightInd w:val="0"/>
        <w:spacing w:line="480" w:lineRule="auto"/>
        <w:jc w:val="both"/>
        <w:rPr>
          <w:rFonts w:ascii="Arial" w:hAnsi="Arial" w:cs="Arial"/>
          <w:sz w:val="24"/>
          <w:szCs w:val="24"/>
          <w:lang w:val="en-US" w:eastAsia="pt-BR"/>
        </w:rPr>
      </w:pPr>
    </w:p>
    <w:p w:rsidR="00582034" w:rsidRPr="00490190" w:rsidRDefault="00582034" w:rsidP="00582034">
      <w:pPr>
        <w:jc w:val="center"/>
        <w:rPr>
          <w:rFonts w:ascii="Arial" w:hAnsi="Arial" w:cs="Arial"/>
          <w:b/>
          <w:sz w:val="24"/>
          <w:szCs w:val="24"/>
          <w:lang w:val="en-US" w:eastAsia="pt-BR"/>
        </w:rPr>
      </w:pPr>
      <w:r w:rsidRPr="00490190">
        <w:rPr>
          <w:rFonts w:ascii="Arial" w:hAnsi="Arial" w:cs="Arial"/>
          <w:b/>
          <w:sz w:val="24"/>
          <w:szCs w:val="24"/>
          <w:lang w:val="en-US" w:eastAsia="pt-BR"/>
        </w:rPr>
        <w:t>Appendix 2</w:t>
      </w:r>
    </w:p>
    <w:p w:rsidR="00582034" w:rsidRPr="000B23B3" w:rsidRDefault="00582034" w:rsidP="00582034">
      <w:pPr>
        <w:jc w:val="center"/>
        <w:rPr>
          <w:lang w:val="en-US" w:eastAsia="pt-BR"/>
        </w:rPr>
      </w:pPr>
      <w:r w:rsidRPr="00013083">
        <w:rPr>
          <w:rFonts w:ascii="Arial" w:hAnsi="Arial" w:cs="Arial"/>
          <w:sz w:val="24"/>
          <w:szCs w:val="24"/>
          <w:lang w:val="en-US" w:eastAsia="pt-BR"/>
        </w:rPr>
        <w:t>Industrial sectors classified according to their technological regimes</w:t>
      </w:r>
    </w:p>
    <w:tbl>
      <w:tblPr>
        <w:tblW w:w="8246" w:type="dxa"/>
        <w:jc w:val="center"/>
        <w:tblCellMar>
          <w:left w:w="70" w:type="dxa"/>
          <w:right w:w="70" w:type="dxa"/>
        </w:tblCellMar>
        <w:tblLook w:val="04A0" w:firstRow="1" w:lastRow="0" w:firstColumn="1" w:lastColumn="0" w:noHBand="0" w:noVBand="1"/>
      </w:tblPr>
      <w:tblGrid>
        <w:gridCol w:w="722"/>
        <w:gridCol w:w="6517"/>
        <w:gridCol w:w="1007"/>
      </w:tblGrid>
      <w:tr w:rsidR="00582034" w:rsidRPr="004F142B" w:rsidTr="00527254">
        <w:trPr>
          <w:trHeight w:val="270"/>
          <w:jc w:val="center"/>
        </w:trPr>
        <w:tc>
          <w:tcPr>
            <w:tcW w:w="722" w:type="dxa"/>
            <w:tcBorders>
              <w:top w:val="single" w:sz="4" w:space="0" w:color="auto"/>
              <w:left w:val="single" w:sz="4" w:space="0" w:color="auto"/>
              <w:bottom w:val="nil"/>
              <w:right w:val="single" w:sz="8" w:space="0" w:color="auto"/>
            </w:tcBorders>
            <w:shd w:val="clear" w:color="auto" w:fill="C0C0C0"/>
            <w:noWrap/>
            <w:vAlign w:val="center"/>
            <w:hideMark/>
          </w:tcPr>
          <w:p w:rsidR="00582034" w:rsidRPr="00013083" w:rsidRDefault="00582034" w:rsidP="00527254">
            <w:pPr>
              <w:spacing w:after="0" w:line="240" w:lineRule="auto"/>
              <w:jc w:val="center"/>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CNAE</w:t>
            </w:r>
          </w:p>
        </w:tc>
        <w:tc>
          <w:tcPr>
            <w:tcW w:w="6517" w:type="dxa"/>
            <w:tcBorders>
              <w:top w:val="single" w:sz="4" w:space="0" w:color="auto"/>
              <w:left w:val="nil"/>
              <w:bottom w:val="nil"/>
              <w:right w:val="single" w:sz="8" w:space="0" w:color="auto"/>
            </w:tcBorders>
            <w:shd w:val="clear" w:color="auto" w:fill="C0C0C0"/>
            <w:vAlign w:val="center"/>
            <w:hideMark/>
          </w:tcPr>
          <w:p w:rsidR="00582034" w:rsidRPr="00013083" w:rsidRDefault="00582034" w:rsidP="00527254">
            <w:pPr>
              <w:spacing w:after="0" w:line="240" w:lineRule="auto"/>
              <w:jc w:val="center"/>
              <w:rPr>
                <w:rFonts w:ascii="Arial" w:eastAsia="Times New Roman" w:hAnsi="Arial" w:cs="Arial"/>
                <w:b/>
                <w:bCs/>
                <w:sz w:val="16"/>
                <w:szCs w:val="16"/>
                <w:lang w:eastAsia="pt-BR"/>
              </w:rPr>
            </w:pPr>
            <w:proofErr w:type="spellStart"/>
            <w:r w:rsidRPr="00013083">
              <w:rPr>
                <w:rFonts w:ascii="Arial" w:eastAsia="Times New Roman" w:hAnsi="Arial" w:cs="Arial"/>
                <w:b/>
                <w:bCs/>
                <w:sz w:val="16"/>
                <w:szCs w:val="16"/>
                <w:lang w:eastAsia="pt-BR"/>
              </w:rPr>
              <w:t>Sectors</w:t>
            </w:r>
            <w:proofErr w:type="spellEnd"/>
          </w:p>
        </w:tc>
        <w:tc>
          <w:tcPr>
            <w:tcW w:w="1007" w:type="dxa"/>
            <w:tcBorders>
              <w:top w:val="single" w:sz="4" w:space="0" w:color="auto"/>
              <w:left w:val="nil"/>
              <w:bottom w:val="nil"/>
              <w:right w:val="single" w:sz="4" w:space="0" w:color="auto"/>
            </w:tcBorders>
            <w:shd w:val="clear" w:color="auto" w:fill="BFBFBF"/>
            <w:noWrap/>
            <w:vAlign w:val="center"/>
            <w:hideMark/>
          </w:tcPr>
          <w:p w:rsidR="00582034" w:rsidRPr="00013083" w:rsidRDefault="00582034" w:rsidP="00527254">
            <w:pPr>
              <w:spacing w:after="0" w:line="240" w:lineRule="auto"/>
              <w:jc w:val="center"/>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SCHUMP</w:t>
            </w:r>
          </w:p>
        </w:tc>
      </w:tr>
      <w:tr w:rsidR="00582034" w:rsidRPr="00013083" w:rsidTr="00527254">
        <w:trPr>
          <w:trHeight w:val="270"/>
          <w:jc w:val="center"/>
        </w:trPr>
        <w:tc>
          <w:tcPr>
            <w:tcW w:w="8246" w:type="dxa"/>
            <w:gridSpan w:val="3"/>
            <w:tcBorders>
              <w:top w:val="single" w:sz="8" w:space="0" w:color="auto"/>
              <w:left w:val="single" w:sz="4" w:space="0" w:color="auto"/>
              <w:bottom w:val="single" w:sz="8" w:space="0" w:color="auto"/>
              <w:right w:val="single" w:sz="4" w:space="0" w:color="000000"/>
            </w:tcBorders>
            <w:shd w:val="clear" w:color="auto" w:fill="C0C0C0"/>
            <w:noWrap/>
            <w:vAlign w:val="center"/>
            <w:hideMark/>
          </w:tcPr>
          <w:p w:rsidR="00582034" w:rsidRPr="00013083" w:rsidRDefault="00582034" w:rsidP="00527254">
            <w:pPr>
              <w:spacing w:after="0" w:line="240" w:lineRule="auto"/>
              <w:jc w:val="center"/>
              <w:rPr>
                <w:rFonts w:ascii="Arial" w:eastAsia="Times New Roman" w:hAnsi="Arial" w:cs="Arial"/>
                <w:b/>
                <w:bCs/>
                <w:i/>
                <w:iCs/>
                <w:sz w:val="16"/>
                <w:szCs w:val="16"/>
                <w:lang w:eastAsia="pt-BR"/>
              </w:rPr>
            </w:pPr>
            <w:proofErr w:type="spellStart"/>
            <w:r w:rsidRPr="00013083">
              <w:rPr>
                <w:rFonts w:ascii="Arial" w:eastAsia="Times New Roman" w:hAnsi="Arial" w:cs="Arial"/>
                <w:b/>
                <w:bCs/>
                <w:i/>
                <w:iCs/>
                <w:sz w:val="16"/>
                <w:szCs w:val="16"/>
                <w:lang w:eastAsia="pt-BR"/>
              </w:rPr>
              <w:t>Schumpeter</w:t>
            </w:r>
            <w:proofErr w:type="spellEnd"/>
            <w:r w:rsidRPr="00013083">
              <w:rPr>
                <w:rFonts w:ascii="Arial" w:eastAsia="Times New Roman" w:hAnsi="Arial" w:cs="Arial"/>
                <w:b/>
                <w:bCs/>
                <w:i/>
                <w:iCs/>
                <w:sz w:val="16"/>
                <w:szCs w:val="16"/>
                <w:lang w:eastAsia="pt-BR"/>
              </w:rPr>
              <w:t xml:space="preserve"> Mark I</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152</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PROCESSING, PRESERVATION AND PRODUCTION OF CANNED FRUITS, VEGETABLES AND OTHER VEGETABLES</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-0,113</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154</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eastAsia="pt-BR"/>
              </w:rPr>
            </w:pPr>
            <w:r w:rsidRPr="00013083">
              <w:rPr>
                <w:rFonts w:ascii="Arial" w:eastAsia="Times New Roman" w:hAnsi="Arial" w:cs="Arial"/>
                <w:sz w:val="16"/>
                <w:szCs w:val="16"/>
                <w:lang w:eastAsia="pt-BR"/>
              </w:rPr>
              <w:t>DAIRY *</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-0,114</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155</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GRIND, starch products MANUFACTURING AND BALANCED DIETS FOR ANIMALS</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-0,123</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158</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MANUFACTURE OF OTHER FOOD PRODUCTS *</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-0,047</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176</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MANUFACTURE OF ARTIFACTS FROM TEXTILE FABRIC - EXCEPT APPAREL - TEXTILE AND OTHER ITEMS</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-0,043</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212</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MANUFACTURE OF PAPER, PLAIN CARDBOARD, CARDBOARD AND CARD</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-0,031</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222</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PRINTING AND RELATED SERVICES FOR THIRD</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-0,066</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242</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eastAsia="pt-BR"/>
              </w:rPr>
            </w:pPr>
            <w:r w:rsidRPr="00013083">
              <w:rPr>
                <w:rFonts w:ascii="Arial" w:eastAsia="Times New Roman" w:hAnsi="Arial" w:cs="Arial"/>
                <w:sz w:val="16"/>
                <w:szCs w:val="16"/>
                <w:lang w:eastAsia="pt-BR"/>
              </w:rPr>
              <w:t>ORGANIC CHEMICALS MANUFACTURING *</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-0,018</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245</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eastAsia="pt-BR"/>
              </w:rPr>
            </w:pPr>
            <w:r w:rsidRPr="00013083">
              <w:rPr>
                <w:rFonts w:ascii="Arial" w:eastAsia="Times New Roman" w:hAnsi="Arial" w:cs="Arial"/>
                <w:sz w:val="16"/>
                <w:szCs w:val="16"/>
                <w:lang w:eastAsia="pt-BR"/>
              </w:rPr>
              <w:t>MANUFACTURE OF PHARMACEUTICAL PRODUCTS</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-0,16</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246</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eastAsia="pt-BR"/>
              </w:rPr>
            </w:pPr>
            <w:r w:rsidRPr="00013083">
              <w:rPr>
                <w:rFonts w:ascii="Arial" w:eastAsia="Times New Roman" w:hAnsi="Arial" w:cs="Arial"/>
                <w:sz w:val="16"/>
                <w:szCs w:val="16"/>
                <w:lang w:eastAsia="pt-BR"/>
              </w:rPr>
              <w:t>MANUFACTURE OF AGRICULTURAL DEFENSIVE</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-0,007</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247</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MANUFACTURE OF SOAPS, DETERGENT, CLEANING PRODUCTS AND ARTICLES OF PERFUME *</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-0,042</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248</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MANUFACTURE OF PAINTS, VARNISH, ENAMELS, LAKES AND RELATED PRODUCTS</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-0,072</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249</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MANUFACTURE OF CHEMICALS AND PREPARATIONS MISCELLANEOUS</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-0,166</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251</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eastAsia="pt-BR"/>
              </w:rPr>
            </w:pPr>
            <w:r w:rsidRPr="00013083">
              <w:rPr>
                <w:rFonts w:ascii="Arial" w:eastAsia="Times New Roman" w:hAnsi="Arial" w:cs="Arial"/>
                <w:sz w:val="16"/>
                <w:szCs w:val="16"/>
                <w:lang w:eastAsia="pt-BR"/>
              </w:rPr>
              <w:t>MANUFACTURE OF RUBBER</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-0,04</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264</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eastAsia="pt-BR"/>
              </w:rPr>
            </w:pPr>
            <w:r w:rsidRPr="00013083">
              <w:rPr>
                <w:rFonts w:ascii="Arial" w:eastAsia="Times New Roman" w:hAnsi="Arial" w:cs="Arial"/>
                <w:sz w:val="16"/>
                <w:szCs w:val="16"/>
                <w:lang w:eastAsia="pt-BR"/>
              </w:rPr>
              <w:t>MANUFACTURE OF CERAMIC *</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-0,01</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271</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PRODUCTION OF PIG IRON and ferroalloy *</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-0,056</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275</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eastAsia="pt-BR"/>
              </w:rPr>
            </w:pPr>
            <w:r w:rsidRPr="00013083">
              <w:rPr>
                <w:rFonts w:ascii="Arial" w:eastAsia="Times New Roman" w:hAnsi="Arial" w:cs="Arial"/>
                <w:sz w:val="16"/>
                <w:szCs w:val="16"/>
                <w:lang w:eastAsia="pt-BR"/>
              </w:rPr>
              <w:t>FOUNDRY</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-0,118</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282</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FABRICATION OF TANKS, BOILERS AND METAL RESERVOIRS</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-0,143</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283</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Forging, STAMPING, POWDER METALLURGY AND METAL PROCESSING SERVICES *</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-0,105</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289</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eastAsia="pt-BR"/>
              </w:rPr>
            </w:pPr>
            <w:r w:rsidRPr="00013083">
              <w:rPr>
                <w:rFonts w:ascii="Arial" w:eastAsia="Times New Roman" w:hAnsi="Arial" w:cs="Arial"/>
                <w:sz w:val="16"/>
                <w:szCs w:val="16"/>
                <w:lang w:eastAsia="pt-BR"/>
              </w:rPr>
              <w:t>MANUFACTURE OF MISCELLANEOUS METAL</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-0,096</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291</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MANUFACTURE OF ENGINES, PUMPS, COMPRESSORS AND TRANSMISSION EQUIPMENT</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-0,103</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292</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MANUFACTURE OF MACHINERY AND EQUIPMENT FOR GENERAL USE</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-0,147</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293</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MANUFACTURE OF TRACTOR AND MACHINERY AND EQUIPMENT FOR AGRICULTURE, AND POULTRY PRODUCTS PROCUREMENT OF ANIMALS *</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-0,128</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296</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MANUFACTURE OF MACHINERY AND EQUIPMENT OTHER SPECIFIC USE</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-0,086</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302</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MANUFACTURE OF MACHINERY AND EQUIPMENT FOR ELECTRONIC SYSTEMS DATA PROCESSING</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-0,062</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313</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MANUFACTURE OF WIRES, CABLES AND ELECTRIC LEADS ISOLATED</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-0,08</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315</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MANUFACTURE OF LAMPS AND LIGHTING EQUIPMENT</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-0,092</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316</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MANUFACTURE OF ELECTRICAL EQUIPMENT FOR VEHICLES - EXCEPT BATTERIES</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-0,036</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321</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MANUFACTURE OF BASIC ELECTRONIC MATERIAL *</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-0,005</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323</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MANUFACTURE OF RADIO AND TELEVISION RECEIVERS AND PLAYBACK, RECORDING OR AMPLIFICATION OF SOUND AND VIDEO *</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-0,095</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331</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MANUFACTURING EQUIPMENT AND TOOLS FOR MEDICAL USES-HOSPITAL, AND DENTAL LABORATORIES AND APPARATUS ORTHOPEDIC</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-0,131</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332</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MANUFACTURING EQUIPMENT AND MEASURING INSTRUMENTS, AND CONTROL TEST - CONTROL EQUIPMENT EXCEPT INDUSTRIAL PROCESSES</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-0,109</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333</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MANUFACTURE OF MACHINERY AND EQUIPMENT ELECTRONIC SYSTEMS INDUSTRIAL AUTOMATION AND DEDICATED TO CONTROL THE PRODUCTION PROCESS</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-0,117</w:t>
            </w:r>
          </w:p>
        </w:tc>
      </w:tr>
      <w:tr w:rsidR="00582034" w:rsidRPr="00013083" w:rsidTr="00527254">
        <w:trPr>
          <w:cantSplit/>
          <w:jc w:val="center"/>
        </w:trPr>
        <w:tc>
          <w:tcPr>
            <w:tcW w:w="722" w:type="dxa"/>
            <w:tcBorders>
              <w:top w:val="nil"/>
              <w:left w:val="single" w:sz="4" w:space="0" w:color="auto"/>
              <w:bottom w:val="nil"/>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334</w:t>
            </w:r>
          </w:p>
        </w:tc>
        <w:tc>
          <w:tcPr>
            <w:tcW w:w="6517" w:type="dxa"/>
            <w:tcBorders>
              <w:top w:val="nil"/>
              <w:left w:val="nil"/>
              <w:bottom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MANUFACTURING EQUIPMENT, MATERIALS AND OPTICAL INSTRUMENTS, PHOTOGRAPHIC AND FILM</w:t>
            </w:r>
          </w:p>
        </w:tc>
        <w:tc>
          <w:tcPr>
            <w:tcW w:w="1007" w:type="dxa"/>
            <w:tcBorders>
              <w:top w:val="nil"/>
              <w:left w:val="nil"/>
              <w:bottom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-0,054</w:t>
            </w:r>
          </w:p>
        </w:tc>
      </w:tr>
      <w:tr w:rsidR="00582034" w:rsidRPr="00013083" w:rsidTr="00527254">
        <w:trPr>
          <w:cantSplit/>
          <w:jc w:val="center"/>
        </w:trPr>
        <w:tc>
          <w:tcPr>
            <w:tcW w:w="722" w:type="dxa"/>
            <w:tcBorders>
              <w:top w:val="nil"/>
              <w:left w:val="single" w:sz="4" w:space="0" w:color="auto"/>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343</w:t>
            </w:r>
          </w:p>
        </w:tc>
        <w:tc>
          <w:tcPr>
            <w:tcW w:w="6517" w:type="dxa"/>
            <w:tcBorders>
              <w:top w:val="nil"/>
              <w:left w:val="nil"/>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MANUFACTURE OF CABINS, CARTS AND TRAILERS</w:t>
            </w:r>
          </w:p>
        </w:tc>
        <w:tc>
          <w:tcPr>
            <w:tcW w:w="1007" w:type="dxa"/>
            <w:tcBorders>
              <w:top w:val="nil"/>
              <w:left w:val="nil"/>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-0,06</w:t>
            </w:r>
            <w:r>
              <w:rPr>
                <w:rFonts w:ascii="Arial" w:eastAsia="Times New Roman" w:hAnsi="Arial" w:cs="Arial"/>
                <w:sz w:val="16"/>
                <w:szCs w:val="16"/>
                <w:lang w:eastAsia="pt-BR"/>
              </w:rPr>
              <w:t>0</w:t>
            </w:r>
          </w:p>
        </w:tc>
      </w:tr>
      <w:tr w:rsidR="00582034" w:rsidRPr="00013083" w:rsidTr="00527254">
        <w:trPr>
          <w:cantSplit/>
          <w:jc w:val="center"/>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582034" w:rsidRPr="00013083" w:rsidRDefault="00582034" w:rsidP="00527254">
            <w:pPr>
              <w:spacing w:after="0" w:line="240" w:lineRule="auto"/>
              <w:rPr>
                <w:rFonts w:ascii="Arial" w:eastAsia="Times New Roman" w:hAnsi="Arial" w:cs="Arial"/>
                <w:b/>
                <w:bCs/>
                <w:sz w:val="16"/>
                <w:szCs w:val="16"/>
                <w:lang w:eastAsia="pt-BR"/>
              </w:rPr>
            </w:pPr>
            <w:r w:rsidRPr="00013083">
              <w:rPr>
                <w:rFonts w:ascii="Arial" w:eastAsia="Times New Roman" w:hAnsi="Arial" w:cs="Arial"/>
                <w:b/>
                <w:bCs/>
                <w:sz w:val="16"/>
                <w:szCs w:val="16"/>
                <w:lang w:eastAsia="pt-BR"/>
              </w:rPr>
              <w:t>344</w:t>
            </w:r>
          </w:p>
        </w:tc>
        <w:tc>
          <w:tcPr>
            <w:tcW w:w="6517" w:type="dxa"/>
            <w:tcBorders>
              <w:top w:val="nil"/>
              <w:left w:val="nil"/>
              <w:bottom w:val="single" w:sz="4" w:space="0" w:color="auto"/>
              <w:right w:val="single" w:sz="4" w:space="0" w:color="auto"/>
            </w:tcBorders>
            <w:shd w:val="clear" w:color="auto" w:fill="auto"/>
            <w:vAlign w:val="center"/>
            <w:hideMark/>
          </w:tcPr>
          <w:p w:rsidR="00582034" w:rsidRPr="00013083" w:rsidRDefault="00582034" w:rsidP="00527254">
            <w:pPr>
              <w:spacing w:after="0" w:line="240" w:lineRule="auto"/>
              <w:rPr>
                <w:rFonts w:ascii="Arial" w:eastAsia="Times New Roman" w:hAnsi="Arial" w:cs="Arial"/>
                <w:sz w:val="16"/>
                <w:szCs w:val="16"/>
                <w:lang w:val="en-US" w:eastAsia="pt-BR"/>
              </w:rPr>
            </w:pPr>
            <w:r w:rsidRPr="00013083">
              <w:rPr>
                <w:rFonts w:ascii="Arial" w:eastAsia="Times New Roman" w:hAnsi="Arial" w:cs="Arial"/>
                <w:sz w:val="16"/>
                <w:szCs w:val="16"/>
                <w:lang w:val="en-US" w:eastAsia="pt-BR"/>
              </w:rPr>
              <w:t>MANUFACTURE OF PARTS AND ACCESSORIES FOR AUTOMOTIVE VEHICLES</w:t>
            </w:r>
          </w:p>
        </w:tc>
        <w:tc>
          <w:tcPr>
            <w:tcW w:w="1007" w:type="dxa"/>
            <w:tcBorders>
              <w:top w:val="nil"/>
              <w:left w:val="nil"/>
              <w:bottom w:val="single" w:sz="4" w:space="0" w:color="auto"/>
              <w:right w:val="single" w:sz="4" w:space="0" w:color="auto"/>
            </w:tcBorders>
            <w:shd w:val="clear" w:color="auto" w:fill="auto"/>
            <w:noWrap/>
            <w:vAlign w:val="center"/>
            <w:hideMark/>
          </w:tcPr>
          <w:p w:rsidR="00582034" w:rsidRPr="00013083" w:rsidRDefault="00582034" w:rsidP="00527254">
            <w:pPr>
              <w:spacing w:after="0" w:line="240" w:lineRule="auto"/>
              <w:jc w:val="center"/>
              <w:rPr>
                <w:rFonts w:ascii="Arial" w:eastAsia="Times New Roman" w:hAnsi="Arial" w:cs="Arial"/>
                <w:sz w:val="16"/>
                <w:szCs w:val="16"/>
                <w:lang w:eastAsia="pt-BR"/>
              </w:rPr>
            </w:pPr>
            <w:r w:rsidRPr="00013083">
              <w:rPr>
                <w:rFonts w:ascii="Arial" w:eastAsia="Times New Roman" w:hAnsi="Arial" w:cs="Arial"/>
                <w:sz w:val="16"/>
                <w:szCs w:val="16"/>
                <w:lang w:eastAsia="pt-BR"/>
              </w:rPr>
              <w:t>-0,111</w:t>
            </w:r>
          </w:p>
        </w:tc>
      </w:tr>
      <w:tr w:rsidR="00582034" w:rsidRPr="00013083" w:rsidTr="00527254">
        <w:trPr>
          <w:cantSplit/>
          <w:jc w:val="center"/>
        </w:trPr>
        <w:tc>
          <w:tcPr>
            <w:tcW w:w="8246" w:type="dxa"/>
            <w:gridSpan w:val="3"/>
            <w:tcBorders>
              <w:top w:val="single" w:sz="4" w:space="0" w:color="auto"/>
            </w:tcBorders>
            <w:shd w:val="clear" w:color="auto" w:fill="auto"/>
            <w:noWrap/>
            <w:vAlign w:val="center"/>
          </w:tcPr>
          <w:p w:rsidR="00582034" w:rsidRPr="00013083" w:rsidRDefault="00582034" w:rsidP="00527254">
            <w:pPr>
              <w:spacing w:after="0" w:line="240" w:lineRule="auto"/>
              <w:rPr>
                <w:rFonts w:ascii="Arial" w:eastAsia="Times New Roman" w:hAnsi="Arial" w:cs="Arial"/>
                <w:b/>
                <w:bCs/>
                <w:i/>
                <w:iCs/>
                <w:sz w:val="16"/>
                <w:szCs w:val="16"/>
                <w:lang w:eastAsia="pt-BR"/>
              </w:rPr>
            </w:pPr>
          </w:p>
        </w:tc>
      </w:tr>
      <w:tr w:rsidR="00582034" w:rsidRPr="00013083" w:rsidTr="00527254">
        <w:trPr>
          <w:cantSplit/>
          <w:jc w:val="center"/>
        </w:trPr>
        <w:tc>
          <w:tcPr>
            <w:tcW w:w="8246" w:type="dxa"/>
            <w:gridSpan w:val="3"/>
            <w:shd w:val="clear" w:color="auto" w:fill="auto"/>
            <w:noWrap/>
            <w:vAlign w:val="center"/>
          </w:tcPr>
          <w:p w:rsidR="00582034" w:rsidRPr="00013083" w:rsidRDefault="00582034" w:rsidP="00527254">
            <w:pPr>
              <w:spacing w:after="0" w:line="240" w:lineRule="auto"/>
              <w:rPr>
                <w:rFonts w:ascii="Arial" w:eastAsia="Times New Roman" w:hAnsi="Arial" w:cs="Arial"/>
                <w:b/>
                <w:bCs/>
                <w:i/>
                <w:iCs/>
                <w:sz w:val="16"/>
                <w:szCs w:val="16"/>
                <w:lang w:eastAsia="pt-BR"/>
              </w:rPr>
            </w:pPr>
          </w:p>
        </w:tc>
      </w:tr>
    </w:tbl>
    <w:p w:rsidR="00582034" w:rsidRDefault="00582034" w:rsidP="00582034">
      <w:pPr>
        <w:spacing w:after="0" w:line="240" w:lineRule="auto"/>
        <w:rPr>
          <w:rFonts w:ascii="Arial" w:hAnsi="Arial" w:cs="Arial"/>
          <w:bCs/>
          <w:sz w:val="24"/>
          <w:szCs w:val="24"/>
          <w:lang w:val="en-US"/>
        </w:rPr>
      </w:pPr>
    </w:p>
    <w:p w:rsidR="00582034" w:rsidRDefault="00582034" w:rsidP="007F7E30">
      <w:pPr>
        <w:autoSpaceDE w:val="0"/>
        <w:autoSpaceDN w:val="0"/>
        <w:adjustRightInd w:val="0"/>
        <w:spacing w:line="480" w:lineRule="auto"/>
        <w:jc w:val="both"/>
        <w:rPr>
          <w:rFonts w:ascii="Arial" w:hAnsi="Arial" w:cs="Arial"/>
          <w:sz w:val="24"/>
          <w:szCs w:val="24"/>
          <w:lang w:val="en-US" w:eastAsia="pt-BR"/>
        </w:rPr>
      </w:pPr>
    </w:p>
    <w:p w:rsidR="00582034" w:rsidRPr="001321DB" w:rsidRDefault="00582034" w:rsidP="00582034">
      <w:pPr>
        <w:autoSpaceDE w:val="0"/>
        <w:autoSpaceDN w:val="0"/>
        <w:adjustRightInd w:val="0"/>
        <w:spacing w:line="240" w:lineRule="auto"/>
        <w:ind w:firstLine="709"/>
        <w:jc w:val="center"/>
        <w:rPr>
          <w:rFonts w:ascii="Arial" w:hAnsi="Arial" w:cs="Arial"/>
          <w:bCs/>
          <w:sz w:val="24"/>
          <w:szCs w:val="24"/>
          <w:lang w:val="en-US"/>
        </w:rPr>
      </w:pPr>
      <w:r>
        <w:rPr>
          <w:rFonts w:ascii="Arial" w:hAnsi="Arial" w:cs="Arial"/>
          <w:bCs/>
          <w:sz w:val="24"/>
          <w:szCs w:val="24"/>
          <w:lang w:val="en-US"/>
        </w:rPr>
        <w:lastRenderedPageBreak/>
        <w:t>T</w:t>
      </w:r>
      <w:r w:rsidRPr="001321DB">
        <w:rPr>
          <w:rFonts w:ascii="Arial" w:hAnsi="Arial" w:cs="Arial"/>
          <w:bCs/>
          <w:sz w:val="24"/>
          <w:szCs w:val="24"/>
          <w:lang w:val="en-US"/>
        </w:rPr>
        <w:t>able 1</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8364"/>
      </w:tblGrid>
      <w:tr w:rsidR="00582034" w:rsidRPr="001F65BD" w:rsidTr="00527254">
        <w:tc>
          <w:tcPr>
            <w:tcW w:w="8897" w:type="dxa"/>
            <w:gridSpan w:val="2"/>
            <w:tcBorders>
              <w:top w:val="nil"/>
              <w:left w:val="nil"/>
              <w:right w:val="nil"/>
            </w:tcBorders>
            <w:shd w:val="clear" w:color="auto" w:fill="auto"/>
          </w:tcPr>
          <w:p w:rsidR="00582034" w:rsidRPr="00CE0BA8" w:rsidRDefault="00582034" w:rsidP="00527254">
            <w:pPr>
              <w:autoSpaceDE w:val="0"/>
              <w:autoSpaceDN w:val="0"/>
              <w:adjustRightInd w:val="0"/>
              <w:spacing w:line="240" w:lineRule="auto"/>
              <w:ind w:firstLine="709"/>
              <w:jc w:val="center"/>
              <w:rPr>
                <w:rFonts w:ascii="Arial" w:hAnsi="Arial" w:cs="Arial"/>
                <w:bCs/>
                <w:sz w:val="24"/>
                <w:szCs w:val="24"/>
              </w:rPr>
            </w:pPr>
            <w:r w:rsidRPr="001321DB">
              <w:rPr>
                <w:rFonts w:ascii="Arial" w:hAnsi="Arial" w:cs="Arial"/>
                <w:bCs/>
                <w:sz w:val="24"/>
                <w:szCs w:val="24"/>
                <w:lang w:val="en-US"/>
              </w:rPr>
              <w:t>Technological regimes: general contrasts</w:t>
            </w:r>
            <w:r>
              <w:rPr>
                <w:rFonts w:ascii="Arial" w:hAnsi="Arial" w:cs="Arial"/>
                <w:bCs/>
                <w:sz w:val="24"/>
                <w:szCs w:val="24"/>
                <w:lang w:val="en-US"/>
              </w:rPr>
              <w:t xml:space="preserve"> - </w:t>
            </w:r>
            <w:proofErr w:type="spellStart"/>
            <w:r>
              <w:rPr>
                <w:rFonts w:ascii="Arial" w:hAnsi="Arial" w:cs="Arial"/>
                <w:bCs/>
                <w:sz w:val="24"/>
                <w:szCs w:val="24"/>
              </w:rPr>
              <w:t>h</w:t>
            </w:r>
            <w:r w:rsidRPr="00CE0BA8">
              <w:rPr>
                <w:rFonts w:ascii="Arial" w:hAnsi="Arial" w:cs="Arial"/>
                <w:bCs/>
                <w:sz w:val="24"/>
                <w:szCs w:val="24"/>
              </w:rPr>
              <w:t>ypotheses</w:t>
            </w:r>
            <w:proofErr w:type="spellEnd"/>
          </w:p>
        </w:tc>
      </w:tr>
      <w:tr w:rsidR="00582034" w:rsidRPr="00FD4225" w:rsidTr="00527254">
        <w:trPr>
          <w:cantSplit/>
          <w:trHeight w:val="20"/>
        </w:trPr>
        <w:tc>
          <w:tcPr>
            <w:tcW w:w="533" w:type="dxa"/>
            <w:shd w:val="clear" w:color="auto" w:fill="auto"/>
            <w:vAlign w:val="center"/>
          </w:tcPr>
          <w:p w:rsidR="00582034" w:rsidRPr="00FD4225" w:rsidRDefault="00582034" w:rsidP="00527254">
            <w:pPr>
              <w:autoSpaceDE w:val="0"/>
              <w:autoSpaceDN w:val="0"/>
              <w:adjustRightInd w:val="0"/>
              <w:spacing w:line="480" w:lineRule="auto"/>
              <w:rPr>
                <w:rFonts w:ascii="Arial" w:hAnsi="Arial" w:cs="Arial"/>
                <w:b/>
                <w:bCs/>
                <w:sz w:val="20"/>
                <w:szCs w:val="20"/>
              </w:rPr>
            </w:pPr>
            <w:proofErr w:type="gramStart"/>
            <w:r w:rsidRPr="00FD4225">
              <w:rPr>
                <w:rFonts w:ascii="Arial" w:hAnsi="Arial" w:cs="Arial"/>
                <w:b/>
                <w:bCs/>
                <w:sz w:val="20"/>
                <w:szCs w:val="20"/>
              </w:rPr>
              <w:t>1</w:t>
            </w:r>
            <w:proofErr w:type="gramEnd"/>
          </w:p>
        </w:tc>
        <w:tc>
          <w:tcPr>
            <w:tcW w:w="8364" w:type="dxa"/>
            <w:shd w:val="clear" w:color="auto" w:fill="auto"/>
            <w:vAlign w:val="center"/>
          </w:tcPr>
          <w:p w:rsidR="00582034" w:rsidRPr="00FD4225" w:rsidRDefault="00582034" w:rsidP="00527254">
            <w:pPr>
              <w:autoSpaceDE w:val="0"/>
              <w:autoSpaceDN w:val="0"/>
              <w:adjustRightInd w:val="0"/>
              <w:spacing w:line="240" w:lineRule="auto"/>
              <w:jc w:val="both"/>
              <w:rPr>
                <w:rFonts w:ascii="Arial" w:hAnsi="Arial" w:cs="Arial"/>
                <w:bCs/>
                <w:sz w:val="20"/>
                <w:szCs w:val="20"/>
                <w:lang w:val="en-US"/>
              </w:rPr>
            </w:pPr>
            <w:r w:rsidRPr="00FD4225">
              <w:rPr>
                <w:rFonts w:ascii="Arial" w:hAnsi="Arial" w:cs="Arial"/>
                <w:iCs/>
                <w:sz w:val="20"/>
                <w:szCs w:val="20"/>
                <w:lang w:val="en-US"/>
              </w:rPr>
              <w:t>The share of small firms is higher in SM-I industries than in SM-II industries</w:t>
            </w:r>
          </w:p>
        </w:tc>
      </w:tr>
      <w:tr w:rsidR="00582034" w:rsidRPr="00FD4225" w:rsidTr="00527254">
        <w:trPr>
          <w:cantSplit/>
          <w:trHeight w:val="20"/>
        </w:trPr>
        <w:tc>
          <w:tcPr>
            <w:tcW w:w="533" w:type="dxa"/>
            <w:shd w:val="clear" w:color="auto" w:fill="auto"/>
            <w:vAlign w:val="center"/>
          </w:tcPr>
          <w:p w:rsidR="00582034" w:rsidRPr="00FD4225" w:rsidRDefault="00582034" w:rsidP="00527254">
            <w:pPr>
              <w:autoSpaceDE w:val="0"/>
              <w:autoSpaceDN w:val="0"/>
              <w:adjustRightInd w:val="0"/>
              <w:spacing w:line="480" w:lineRule="auto"/>
              <w:rPr>
                <w:rFonts w:ascii="Arial" w:hAnsi="Arial" w:cs="Arial"/>
                <w:b/>
                <w:bCs/>
                <w:sz w:val="20"/>
                <w:szCs w:val="20"/>
              </w:rPr>
            </w:pPr>
            <w:proofErr w:type="gramStart"/>
            <w:r w:rsidRPr="00FD4225">
              <w:rPr>
                <w:rFonts w:ascii="Arial" w:hAnsi="Arial" w:cs="Arial"/>
                <w:b/>
                <w:bCs/>
                <w:sz w:val="20"/>
                <w:szCs w:val="20"/>
              </w:rPr>
              <w:t>2</w:t>
            </w:r>
            <w:proofErr w:type="gramEnd"/>
          </w:p>
        </w:tc>
        <w:tc>
          <w:tcPr>
            <w:tcW w:w="8364" w:type="dxa"/>
            <w:shd w:val="clear" w:color="auto" w:fill="auto"/>
            <w:vAlign w:val="center"/>
          </w:tcPr>
          <w:p w:rsidR="00582034" w:rsidRPr="00FD4225" w:rsidRDefault="00582034" w:rsidP="00527254">
            <w:pPr>
              <w:autoSpaceDE w:val="0"/>
              <w:autoSpaceDN w:val="0"/>
              <w:adjustRightInd w:val="0"/>
              <w:spacing w:line="240" w:lineRule="auto"/>
              <w:jc w:val="both"/>
              <w:rPr>
                <w:rFonts w:ascii="Arial" w:hAnsi="Arial" w:cs="Arial"/>
                <w:iCs/>
                <w:sz w:val="20"/>
                <w:szCs w:val="20"/>
                <w:lang w:val="en-US"/>
              </w:rPr>
            </w:pPr>
            <w:r w:rsidRPr="00FD4225">
              <w:rPr>
                <w:rFonts w:ascii="Arial" w:hAnsi="Arial" w:cs="Arial"/>
                <w:iCs/>
                <w:sz w:val="20"/>
                <w:szCs w:val="20"/>
                <w:lang w:val="en-US"/>
              </w:rPr>
              <w:t>Concentration levels are lower SM-I industries than in SM-II industries</w:t>
            </w:r>
          </w:p>
        </w:tc>
      </w:tr>
      <w:tr w:rsidR="00582034" w:rsidRPr="00FD4225" w:rsidTr="00527254">
        <w:trPr>
          <w:cantSplit/>
          <w:trHeight w:val="20"/>
        </w:trPr>
        <w:tc>
          <w:tcPr>
            <w:tcW w:w="533" w:type="dxa"/>
            <w:shd w:val="clear" w:color="auto" w:fill="auto"/>
            <w:vAlign w:val="center"/>
          </w:tcPr>
          <w:p w:rsidR="00582034" w:rsidRPr="00FD4225" w:rsidRDefault="00582034" w:rsidP="00527254">
            <w:pPr>
              <w:autoSpaceDE w:val="0"/>
              <w:autoSpaceDN w:val="0"/>
              <w:adjustRightInd w:val="0"/>
              <w:spacing w:line="480" w:lineRule="auto"/>
              <w:rPr>
                <w:rFonts w:ascii="Arial" w:hAnsi="Arial" w:cs="Arial"/>
                <w:b/>
                <w:bCs/>
                <w:sz w:val="20"/>
                <w:szCs w:val="20"/>
              </w:rPr>
            </w:pPr>
            <w:proofErr w:type="gramStart"/>
            <w:r w:rsidRPr="00FD4225">
              <w:rPr>
                <w:rFonts w:ascii="Arial" w:hAnsi="Arial" w:cs="Arial"/>
                <w:b/>
                <w:bCs/>
                <w:sz w:val="20"/>
                <w:szCs w:val="20"/>
              </w:rPr>
              <w:t>3</w:t>
            </w:r>
            <w:proofErr w:type="gramEnd"/>
          </w:p>
        </w:tc>
        <w:tc>
          <w:tcPr>
            <w:tcW w:w="8364" w:type="dxa"/>
            <w:shd w:val="clear" w:color="auto" w:fill="auto"/>
            <w:vAlign w:val="center"/>
          </w:tcPr>
          <w:p w:rsidR="00582034" w:rsidRPr="00FD4225" w:rsidRDefault="00582034" w:rsidP="00527254">
            <w:pPr>
              <w:autoSpaceDE w:val="0"/>
              <w:autoSpaceDN w:val="0"/>
              <w:adjustRightInd w:val="0"/>
              <w:spacing w:line="240" w:lineRule="auto"/>
              <w:ind w:right="-250"/>
              <w:jc w:val="both"/>
              <w:rPr>
                <w:rFonts w:ascii="Arial" w:hAnsi="Arial" w:cs="Arial"/>
                <w:iCs/>
                <w:sz w:val="20"/>
                <w:szCs w:val="20"/>
                <w:lang w:val="en-US"/>
              </w:rPr>
            </w:pPr>
            <w:r w:rsidRPr="00FD4225">
              <w:rPr>
                <w:rFonts w:ascii="Arial" w:hAnsi="Arial" w:cs="Arial"/>
                <w:iCs/>
                <w:sz w:val="20"/>
                <w:szCs w:val="20"/>
                <w:lang w:val="en-US"/>
              </w:rPr>
              <w:t>Entry barriers are lower in SM-I industries than in SM-II industries</w:t>
            </w:r>
          </w:p>
        </w:tc>
      </w:tr>
      <w:tr w:rsidR="00582034" w:rsidRPr="00FD4225" w:rsidTr="00527254">
        <w:trPr>
          <w:cantSplit/>
          <w:trHeight w:val="20"/>
        </w:trPr>
        <w:tc>
          <w:tcPr>
            <w:tcW w:w="533" w:type="dxa"/>
            <w:shd w:val="clear" w:color="auto" w:fill="auto"/>
            <w:vAlign w:val="center"/>
          </w:tcPr>
          <w:p w:rsidR="00582034" w:rsidRPr="00FD4225" w:rsidRDefault="00582034" w:rsidP="00527254">
            <w:pPr>
              <w:autoSpaceDE w:val="0"/>
              <w:autoSpaceDN w:val="0"/>
              <w:adjustRightInd w:val="0"/>
              <w:spacing w:line="480" w:lineRule="auto"/>
              <w:rPr>
                <w:rFonts w:ascii="Arial" w:hAnsi="Arial" w:cs="Arial"/>
                <w:b/>
                <w:bCs/>
                <w:sz w:val="20"/>
                <w:szCs w:val="20"/>
              </w:rPr>
            </w:pPr>
            <w:proofErr w:type="gramStart"/>
            <w:r w:rsidRPr="00FD4225">
              <w:rPr>
                <w:rFonts w:ascii="Arial" w:hAnsi="Arial" w:cs="Arial"/>
                <w:b/>
                <w:bCs/>
                <w:sz w:val="20"/>
                <w:szCs w:val="20"/>
              </w:rPr>
              <w:t>4</w:t>
            </w:r>
            <w:proofErr w:type="gramEnd"/>
          </w:p>
        </w:tc>
        <w:tc>
          <w:tcPr>
            <w:tcW w:w="8364" w:type="dxa"/>
            <w:shd w:val="clear" w:color="auto" w:fill="auto"/>
            <w:vAlign w:val="center"/>
          </w:tcPr>
          <w:p w:rsidR="00582034" w:rsidRPr="00FD4225" w:rsidRDefault="00582034" w:rsidP="00527254">
            <w:pPr>
              <w:autoSpaceDE w:val="0"/>
              <w:autoSpaceDN w:val="0"/>
              <w:adjustRightInd w:val="0"/>
              <w:spacing w:line="240" w:lineRule="auto"/>
              <w:jc w:val="both"/>
              <w:rPr>
                <w:rFonts w:ascii="Arial" w:hAnsi="Arial" w:cs="Arial"/>
                <w:iCs/>
                <w:sz w:val="20"/>
                <w:szCs w:val="20"/>
                <w:lang w:val="en-US"/>
              </w:rPr>
            </w:pPr>
            <w:r w:rsidRPr="00FD4225">
              <w:rPr>
                <w:rFonts w:ascii="Arial" w:hAnsi="Arial" w:cs="Arial"/>
                <w:iCs/>
                <w:sz w:val="20"/>
                <w:szCs w:val="20"/>
                <w:lang w:val="en-US"/>
              </w:rPr>
              <w:t>Capital intensity is lower in SM-I industries than in SM-II industries</w:t>
            </w:r>
          </w:p>
        </w:tc>
      </w:tr>
      <w:tr w:rsidR="00582034" w:rsidRPr="00FD4225" w:rsidTr="00527254">
        <w:trPr>
          <w:cantSplit/>
          <w:trHeight w:val="20"/>
        </w:trPr>
        <w:tc>
          <w:tcPr>
            <w:tcW w:w="533" w:type="dxa"/>
            <w:shd w:val="clear" w:color="auto" w:fill="auto"/>
            <w:vAlign w:val="center"/>
          </w:tcPr>
          <w:p w:rsidR="00582034" w:rsidRPr="00FD4225" w:rsidRDefault="00582034" w:rsidP="00527254">
            <w:pPr>
              <w:autoSpaceDE w:val="0"/>
              <w:autoSpaceDN w:val="0"/>
              <w:adjustRightInd w:val="0"/>
              <w:spacing w:line="480" w:lineRule="auto"/>
              <w:rPr>
                <w:rFonts w:ascii="Arial" w:hAnsi="Arial" w:cs="Arial"/>
                <w:b/>
                <w:bCs/>
                <w:sz w:val="20"/>
                <w:szCs w:val="20"/>
              </w:rPr>
            </w:pPr>
            <w:proofErr w:type="gramStart"/>
            <w:r w:rsidRPr="00FD4225">
              <w:rPr>
                <w:rFonts w:ascii="Arial" w:hAnsi="Arial" w:cs="Arial"/>
                <w:b/>
                <w:bCs/>
                <w:sz w:val="20"/>
                <w:szCs w:val="20"/>
              </w:rPr>
              <w:t>5</w:t>
            </w:r>
            <w:proofErr w:type="gramEnd"/>
          </w:p>
        </w:tc>
        <w:tc>
          <w:tcPr>
            <w:tcW w:w="8364" w:type="dxa"/>
            <w:shd w:val="clear" w:color="auto" w:fill="auto"/>
            <w:vAlign w:val="center"/>
          </w:tcPr>
          <w:p w:rsidR="00582034" w:rsidRPr="00FD4225" w:rsidRDefault="00582034" w:rsidP="00527254">
            <w:pPr>
              <w:autoSpaceDE w:val="0"/>
              <w:autoSpaceDN w:val="0"/>
              <w:adjustRightInd w:val="0"/>
              <w:spacing w:line="240" w:lineRule="auto"/>
              <w:jc w:val="both"/>
              <w:rPr>
                <w:rFonts w:ascii="Arial" w:hAnsi="Arial" w:cs="Arial"/>
                <w:iCs/>
                <w:sz w:val="20"/>
                <w:szCs w:val="20"/>
                <w:lang w:val="en-US"/>
              </w:rPr>
            </w:pPr>
            <w:r w:rsidRPr="00FD4225">
              <w:rPr>
                <w:rFonts w:ascii="Arial" w:hAnsi="Arial" w:cs="Arial"/>
                <w:iCs/>
                <w:sz w:val="20"/>
                <w:szCs w:val="20"/>
                <w:lang w:val="en-US"/>
              </w:rPr>
              <w:t>In SM-I industries, profit rates are lower than in SM-II industries</w:t>
            </w:r>
          </w:p>
        </w:tc>
      </w:tr>
      <w:tr w:rsidR="00582034" w:rsidRPr="00FD4225" w:rsidTr="00527254">
        <w:trPr>
          <w:cantSplit/>
          <w:trHeight w:val="20"/>
        </w:trPr>
        <w:tc>
          <w:tcPr>
            <w:tcW w:w="533" w:type="dxa"/>
            <w:shd w:val="clear" w:color="auto" w:fill="auto"/>
            <w:vAlign w:val="center"/>
          </w:tcPr>
          <w:p w:rsidR="00582034" w:rsidRPr="00FD4225" w:rsidRDefault="00582034" w:rsidP="00527254">
            <w:pPr>
              <w:autoSpaceDE w:val="0"/>
              <w:autoSpaceDN w:val="0"/>
              <w:adjustRightInd w:val="0"/>
              <w:spacing w:line="480" w:lineRule="auto"/>
              <w:rPr>
                <w:rFonts w:ascii="Arial" w:hAnsi="Arial" w:cs="Arial"/>
                <w:b/>
                <w:bCs/>
                <w:sz w:val="20"/>
                <w:szCs w:val="20"/>
              </w:rPr>
            </w:pPr>
            <w:proofErr w:type="gramStart"/>
            <w:r w:rsidRPr="00FD4225">
              <w:rPr>
                <w:rFonts w:ascii="Arial" w:hAnsi="Arial" w:cs="Arial"/>
                <w:b/>
                <w:bCs/>
                <w:sz w:val="20"/>
                <w:szCs w:val="20"/>
              </w:rPr>
              <w:t>6</w:t>
            </w:r>
            <w:proofErr w:type="gramEnd"/>
          </w:p>
        </w:tc>
        <w:tc>
          <w:tcPr>
            <w:tcW w:w="8364" w:type="dxa"/>
            <w:shd w:val="clear" w:color="auto" w:fill="auto"/>
            <w:vAlign w:val="center"/>
          </w:tcPr>
          <w:p w:rsidR="00582034" w:rsidRPr="00FD4225" w:rsidRDefault="00582034" w:rsidP="00527254">
            <w:pPr>
              <w:autoSpaceDE w:val="0"/>
              <w:autoSpaceDN w:val="0"/>
              <w:adjustRightInd w:val="0"/>
              <w:spacing w:line="240" w:lineRule="auto"/>
              <w:jc w:val="both"/>
              <w:rPr>
                <w:rFonts w:ascii="Arial" w:hAnsi="Arial" w:cs="Arial"/>
                <w:iCs/>
                <w:sz w:val="20"/>
                <w:szCs w:val="20"/>
                <w:lang w:val="en-US"/>
              </w:rPr>
            </w:pPr>
            <w:r w:rsidRPr="00FD4225">
              <w:rPr>
                <w:rFonts w:ascii="Arial" w:hAnsi="Arial" w:cs="Arial"/>
                <w:iCs/>
                <w:sz w:val="20"/>
                <w:szCs w:val="20"/>
                <w:lang w:val="en-US"/>
              </w:rPr>
              <w:t>In SM-I industries, entrants are more productive than incumbents, whereas in SM-II industries incumbents are more productive than entrants</w:t>
            </w:r>
          </w:p>
        </w:tc>
      </w:tr>
      <w:tr w:rsidR="00582034" w:rsidRPr="00FD4225" w:rsidTr="00527254">
        <w:trPr>
          <w:cantSplit/>
          <w:trHeight w:val="20"/>
        </w:trPr>
        <w:tc>
          <w:tcPr>
            <w:tcW w:w="533" w:type="dxa"/>
            <w:shd w:val="clear" w:color="auto" w:fill="auto"/>
            <w:vAlign w:val="center"/>
          </w:tcPr>
          <w:p w:rsidR="00582034" w:rsidRPr="00FD4225" w:rsidRDefault="00582034" w:rsidP="00527254">
            <w:pPr>
              <w:autoSpaceDE w:val="0"/>
              <w:autoSpaceDN w:val="0"/>
              <w:adjustRightInd w:val="0"/>
              <w:spacing w:line="480" w:lineRule="auto"/>
              <w:rPr>
                <w:rFonts w:ascii="Arial" w:hAnsi="Arial" w:cs="Arial"/>
                <w:b/>
                <w:bCs/>
                <w:sz w:val="20"/>
                <w:szCs w:val="20"/>
              </w:rPr>
            </w:pPr>
            <w:proofErr w:type="gramStart"/>
            <w:r w:rsidRPr="00FD4225">
              <w:rPr>
                <w:rFonts w:ascii="Arial" w:hAnsi="Arial" w:cs="Arial"/>
                <w:b/>
                <w:bCs/>
                <w:sz w:val="20"/>
                <w:szCs w:val="20"/>
              </w:rPr>
              <w:t>7</w:t>
            </w:r>
            <w:proofErr w:type="gramEnd"/>
          </w:p>
        </w:tc>
        <w:tc>
          <w:tcPr>
            <w:tcW w:w="8364" w:type="dxa"/>
            <w:shd w:val="clear" w:color="auto" w:fill="auto"/>
            <w:vAlign w:val="center"/>
          </w:tcPr>
          <w:p w:rsidR="00582034" w:rsidRPr="00FD4225" w:rsidRDefault="00582034" w:rsidP="00527254">
            <w:pPr>
              <w:autoSpaceDE w:val="0"/>
              <w:autoSpaceDN w:val="0"/>
              <w:adjustRightInd w:val="0"/>
              <w:spacing w:line="240" w:lineRule="auto"/>
              <w:jc w:val="both"/>
              <w:rPr>
                <w:rFonts w:ascii="Arial" w:hAnsi="Arial" w:cs="Arial"/>
                <w:iCs/>
                <w:sz w:val="20"/>
                <w:szCs w:val="20"/>
                <w:lang w:val="en-US"/>
              </w:rPr>
            </w:pPr>
            <w:r w:rsidRPr="00FD4225">
              <w:rPr>
                <w:rFonts w:ascii="Arial" w:hAnsi="Arial" w:cs="Arial"/>
                <w:iCs/>
                <w:sz w:val="20"/>
                <w:szCs w:val="20"/>
                <w:lang w:val="en-US"/>
              </w:rPr>
              <w:t>In SM-I industries, the amount of turnover due to entry and exit is higher than in SM-II industries</w:t>
            </w:r>
          </w:p>
        </w:tc>
      </w:tr>
      <w:tr w:rsidR="00582034" w:rsidRPr="00FD4225" w:rsidTr="00527254">
        <w:trPr>
          <w:cantSplit/>
          <w:trHeight w:val="20"/>
        </w:trPr>
        <w:tc>
          <w:tcPr>
            <w:tcW w:w="533" w:type="dxa"/>
            <w:shd w:val="clear" w:color="auto" w:fill="auto"/>
            <w:vAlign w:val="center"/>
          </w:tcPr>
          <w:p w:rsidR="00582034" w:rsidRPr="00FD4225" w:rsidRDefault="00582034" w:rsidP="00527254">
            <w:pPr>
              <w:autoSpaceDE w:val="0"/>
              <w:autoSpaceDN w:val="0"/>
              <w:adjustRightInd w:val="0"/>
              <w:spacing w:line="480" w:lineRule="auto"/>
              <w:rPr>
                <w:rFonts w:ascii="Arial" w:hAnsi="Arial" w:cs="Arial"/>
                <w:b/>
                <w:bCs/>
                <w:sz w:val="20"/>
                <w:szCs w:val="20"/>
              </w:rPr>
            </w:pPr>
            <w:proofErr w:type="gramStart"/>
            <w:r w:rsidRPr="00FD4225">
              <w:rPr>
                <w:rFonts w:ascii="Arial" w:hAnsi="Arial" w:cs="Arial"/>
                <w:b/>
                <w:bCs/>
                <w:sz w:val="20"/>
                <w:szCs w:val="20"/>
              </w:rPr>
              <w:t>8</w:t>
            </w:r>
            <w:proofErr w:type="gramEnd"/>
          </w:p>
        </w:tc>
        <w:tc>
          <w:tcPr>
            <w:tcW w:w="8364" w:type="dxa"/>
            <w:shd w:val="clear" w:color="auto" w:fill="auto"/>
            <w:vAlign w:val="center"/>
          </w:tcPr>
          <w:p w:rsidR="00582034" w:rsidRPr="00FD4225" w:rsidRDefault="00582034" w:rsidP="00527254">
            <w:pPr>
              <w:autoSpaceDE w:val="0"/>
              <w:autoSpaceDN w:val="0"/>
              <w:adjustRightInd w:val="0"/>
              <w:spacing w:line="240" w:lineRule="auto"/>
              <w:jc w:val="both"/>
              <w:rPr>
                <w:rFonts w:ascii="Arial" w:hAnsi="Arial" w:cs="Arial"/>
                <w:iCs/>
                <w:sz w:val="20"/>
                <w:szCs w:val="20"/>
                <w:lang w:val="en-US"/>
              </w:rPr>
            </w:pPr>
            <w:r w:rsidRPr="00FD4225">
              <w:rPr>
                <w:rFonts w:ascii="Arial" w:hAnsi="Arial" w:cs="Arial"/>
                <w:iCs/>
                <w:sz w:val="20"/>
                <w:szCs w:val="20"/>
                <w:lang w:val="en-US"/>
              </w:rPr>
              <w:t>The turbulence within the group of incumbent firms is higher in SM-I industries than in SM-II industries</w:t>
            </w:r>
          </w:p>
        </w:tc>
      </w:tr>
      <w:tr w:rsidR="00582034" w:rsidRPr="00FD4225" w:rsidTr="00527254">
        <w:trPr>
          <w:cantSplit/>
          <w:trHeight w:val="20"/>
        </w:trPr>
        <w:tc>
          <w:tcPr>
            <w:tcW w:w="533" w:type="dxa"/>
            <w:shd w:val="clear" w:color="auto" w:fill="auto"/>
            <w:vAlign w:val="center"/>
          </w:tcPr>
          <w:p w:rsidR="00582034" w:rsidRPr="00FD4225" w:rsidRDefault="00582034" w:rsidP="00527254">
            <w:pPr>
              <w:autoSpaceDE w:val="0"/>
              <w:autoSpaceDN w:val="0"/>
              <w:adjustRightInd w:val="0"/>
              <w:spacing w:line="480" w:lineRule="auto"/>
              <w:rPr>
                <w:rFonts w:ascii="Arial" w:hAnsi="Arial" w:cs="Arial"/>
                <w:b/>
                <w:bCs/>
                <w:sz w:val="20"/>
                <w:szCs w:val="20"/>
              </w:rPr>
            </w:pPr>
            <w:proofErr w:type="gramStart"/>
            <w:r w:rsidRPr="00FD4225">
              <w:rPr>
                <w:rFonts w:ascii="Arial" w:hAnsi="Arial" w:cs="Arial"/>
                <w:b/>
                <w:bCs/>
                <w:sz w:val="20"/>
                <w:szCs w:val="20"/>
              </w:rPr>
              <w:t>9</w:t>
            </w:r>
            <w:proofErr w:type="gramEnd"/>
          </w:p>
        </w:tc>
        <w:tc>
          <w:tcPr>
            <w:tcW w:w="8364" w:type="dxa"/>
            <w:shd w:val="clear" w:color="auto" w:fill="auto"/>
            <w:vAlign w:val="center"/>
          </w:tcPr>
          <w:p w:rsidR="00582034" w:rsidRPr="00FD4225" w:rsidRDefault="00582034" w:rsidP="00527254">
            <w:pPr>
              <w:autoSpaceDE w:val="0"/>
              <w:autoSpaceDN w:val="0"/>
              <w:adjustRightInd w:val="0"/>
              <w:spacing w:line="240" w:lineRule="auto"/>
              <w:jc w:val="both"/>
              <w:rPr>
                <w:rFonts w:ascii="Arial" w:hAnsi="Arial" w:cs="Arial"/>
                <w:iCs/>
                <w:sz w:val="20"/>
                <w:szCs w:val="20"/>
                <w:lang w:val="en-US"/>
              </w:rPr>
            </w:pPr>
            <w:r w:rsidRPr="00FD4225">
              <w:rPr>
                <w:rFonts w:ascii="Arial" w:hAnsi="Arial" w:cs="Arial"/>
                <w:iCs/>
                <w:sz w:val="20"/>
                <w:szCs w:val="20"/>
                <w:lang w:val="en-US"/>
              </w:rPr>
              <w:t>The contribution of the entry and exit process to productivity growth is higher in SM-I industries than in SM-II industries, and vice versa for incumbents’ contributions</w:t>
            </w:r>
          </w:p>
        </w:tc>
      </w:tr>
    </w:tbl>
    <w:p w:rsidR="00582034" w:rsidRPr="001321DB" w:rsidRDefault="00582034" w:rsidP="00582034">
      <w:pPr>
        <w:autoSpaceDE w:val="0"/>
        <w:autoSpaceDN w:val="0"/>
        <w:adjustRightInd w:val="0"/>
        <w:spacing w:line="480" w:lineRule="auto"/>
        <w:rPr>
          <w:rFonts w:ascii="Arial" w:hAnsi="Arial" w:cs="Arial"/>
          <w:bCs/>
          <w:sz w:val="24"/>
          <w:szCs w:val="24"/>
          <w:lang w:val="en-US"/>
        </w:rPr>
      </w:pPr>
      <w:r w:rsidRPr="001321DB">
        <w:rPr>
          <w:rFonts w:ascii="Arial" w:hAnsi="Arial" w:cs="Arial"/>
          <w:bCs/>
          <w:sz w:val="24"/>
          <w:szCs w:val="24"/>
          <w:lang w:val="en-US"/>
        </w:rPr>
        <w:t xml:space="preserve"> Source: Van </w:t>
      </w:r>
      <w:proofErr w:type="spellStart"/>
      <w:r w:rsidRPr="001321DB">
        <w:rPr>
          <w:rFonts w:ascii="Arial" w:hAnsi="Arial" w:cs="Arial"/>
          <w:bCs/>
          <w:sz w:val="24"/>
          <w:szCs w:val="24"/>
          <w:lang w:val="en-US"/>
        </w:rPr>
        <w:t>Dijk</w:t>
      </w:r>
      <w:proofErr w:type="spellEnd"/>
      <w:r w:rsidRPr="001321DB">
        <w:rPr>
          <w:rFonts w:ascii="Arial" w:hAnsi="Arial" w:cs="Arial"/>
          <w:bCs/>
          <w:sz w:val="24"/>
          <w:szCs w:val="24"/>
          <w:lang w:val="en-US"/>
        </w:rPr>
        <w:t xml:space="preserve"> (2002)</w:t>
      </w:r>
    </w:p>
    <w:p w:rsidR="00582034" w:rsidRDefault="00582034" w:rsidP="00582034"/>
    <w:p w:rsidR="00582034" w:rsidRDefault="00582034" w:rsidP="007F7E30">
      <w:pPr>
        <w:autoSpaceDE w:val="0"/>
        <w:autoSpaceDN w:val="0"/>
        <w:adjustRightInd w:val="0"/>
        <w:spacing w:line="480" w:lineRule="auto"/>
        <w:jc w:val="both"/>
        <w:rPr>
          <w:rFonts w:ascii="Arial" w:hAnsi="Arial" w:cs="Arial"/>
          <w:sz w:val="24"/>
          <w:szCs w:val="24"/>
          <w:lang w:val="en-US" w:eastAsia="pt-BR"/>
        </w:rPr>
      </w:pPr>
    </w:p>
    <w:p w:rsidR="00582034" w:rsidRDefault="00582034" w:rsidP="007F7E30">
      <w:pPr>
        <w:autoSpaceDE w:val="0"/>
        <w:autoSpaceDN w:val="0"/>
        <w:adjustRightInd w:val="0"/>
        <w:spacing w:line="480" w:lineRule="auto"/>
        <w:jc w:val="both"/>
        <w:rPr>
          <w:rFonts w:ascii="Arial" w:hAnsi="Arial" w:cs="Arial"/>
          <w:sz w:val="24"/>
          <w:szCs w:val="24"/>
          <w:lang w:val="en-US" w:eastAsia="pt-BR"/>
        </w:rPr>
      </w:pPr>
    </w:p>
    <w:p w:rsidR="00582034" w:rsidRDefault="00582034" w:rsidP="007F7E30">
      <w:pPr>
        <w:autoSpaceDE w:val="0"/>
        <w:autoSpaceDN w:val="0"/>
        <w:adjustRightInd w:val="0"/>
        <w:spacing w:line="480" w:lineRule="auto"/>
        <w:jc w:val="both"/>
        <w:rPr>
          <w:rFonts w:ascii="Arial" w:hAnsi="Arial" w:cs="Arial"/>
          <w:sz w:val="24"/>
          <w:szCs w:val="24"/>
          <w:lang w:val="en-US" w:eastAsia="pt-BR"/>
        </w:rPr>
      </w:pPr>
    </w:p>
    <w:p w:rsidR="00582034" w:rsidRDefault="00582034" w:rsidP="007F7E30">
      <w:pPr>
        <w:autoSpaceDE w:val="0"/>
        <w:autoSpaceDN w:val="0"/>
        <w:adjustRightInd w:val="0"/>
        <w:spacing w:line="480" w:lineRule="auto"/>
        <w:jc w:val="both"/>
        <w:rPr>
          <w:rFonts w:ascii="Arial" w:hAnsi="Arial" w:cs="Arial"/>
          <w:sz w:val="24"/>
          <w:szCs w:val="24"/>
          <w:lang w:val="en-US" w:eastAsia="pt-BR"/>
        </w:rPr>
      </w:pPr>
    </w:p>
    <w:p w:rsidR="00582034" w:rsidRDefault="00582034" w:rsidP="007F7E30">
      <w:pPr>
        <w:autoSpaceDE w:val="0"/>
        <w:autoSpaceDN w:val="0"/>
        <w:adjustRightInd w:val="0"/>
        <w:spacing w:line="480" w:lineRule="auto"/>
        <w:jc w:val="both"/>
        <w:rPr>
          <w:rFonts w:ascii="Arial" w:hAnsi="Arial" w:cs="Arial"/>
          <w:sz w:val="24"/>
          <w:szCs w:val="24"/>
          <w:lang w:val="en-US" w:eastAsia="pt-BR"/>
        </w:rPr>
      </w:pPr>
    </w:p>
    <w:p w:rsidR="00582034" w:rsidRDefault="00582034" w:rsidP="007F7E30">
      <w:pPr>
        <w:autoSpaceDE w:val="0"/>
        <w:autoSpaceDN w:val="0"/>
        <w:adjustRightInd w:val="0"/>
        <w:spacing w:line="480" w:lineRule="auto"/>
        <w:jc w:val="both"/>
        <w:rPr>
          <w:rFonts w:ascii="Arial" w:hAnsi="Arial" w:cs="Arial"/>
          <w:sz w:val="24"/>
          <w:szCs w:val="24"/>
          <w:lang w:val="en-US" w:eastAsia="pt-BR"/>
        </w:rPr>
      </w:pPr>
    </w:p>
    <w:p w:rsidR="00582034" w:rsidRDefault="00582034" w:rsidP="007F7E30">
      <w:pPr>
        <w:autoSpaceDE w:val="0"/>
        <w:autoSpaceDN w:val="0"/>
        <w:adjustRightInd w:val="0"/>
        <w:spacing w:line="480" w:lineRule="auto"/>
        <w:jc w:val="both"/>
        <w:rPr>
          <w:rFonts w:ascii="Arial" w:hAnsi="Arial" w:cs="Arial"/>
          <w:sz w:val="24"/>
          <w:szCs w:val="24"/>
          <w:lang w:val="en-US" w:eastAsia="pt-BR"/>
        </w:rPr>
      </w:pPr>
    </w:p>
    <w:p w:rsidR="00582034" w:rsidRPr="002965B3" w:rsidRDefault="00582034" w:rsidP="00582034">
      <w:pPr>
        <w:spacing w:after="0" w:line="240" w:lineRule="auto"/>
        <w:jc w:val="center"/>
        <w:rPr>
          <w:rFonts w:ascii="Arial" w:eastAsia="Times New Roman" w:hAnsi="Arial" w:cs="Arial"/>
          <w:bCs/>
          <w:color w:val="000000"/>
          <w:sz w:val="24"/>
          <w:szCs w:val="24"/>
          <w:lang w:val="en-US" w:eastAsia="pt-BR"/>
        </w:rPr>
      </w:pPr>
      <w:r w:rsidRPr="002965B3">
        <w:rPr>
          <w:rFonts w:ascii="Arial" w:eastAsia="Times New Roman" w:hAnsi="Arial" w:cs="Arial"/>
          <w:bCs/>
          <w:color w:val="000000"/>
          <w:sz w:val="24"/>
          <w:szCs w:val="24"/>
          <w:lang w:val="en-US" w:eastAsia="pt-BR"/>
        </w:rPr>
        <w:lastRenderedPageBreak/>
        <w:t>Table 2</w:t>
      </w:r>
    </w:p>
    <w:p w:rsidR="00582034" w:rsidRPr="002965B3" w:rsidRDefault="00582034" w:rsidP="00582034">
      <w:pPr>
        <w:spacing w:after="0" w:line="240" w:lineRule="auto"/>
        <w:jc w:val="center"/>
        <w:rPr>
          <w:rFonts w:ascii="Arial" w:eastAsia="Times New Roman" w:hAnsi="Arial" w:cs="Arial"/>
          <w:bCs/>
          <w:color w:val="000000"/>
          <w:sz w:val="24"/>
          <w:szCs w:val="24"/>
          <w:lang w:val="en-US" w:eastAsia="pt-BR"/>
        </w:rPr>
      </w:pPr>
      <w:r w:rsidRPr="002965B3">
        <w:rPr>
          <w:rFonts w:ascii="Arial" w:eastAsia="Times New Roman" w:hAnsi="Arial" w:cs="Arial"/>
          <w:bCs/>
          <w:color w:val="000000"/>
          <w:sz w:val="24"/>
          <w:szCs w:val="24"/>
          <w:lang w:val="en-US" w:eastAsia="pt-BR"/>
        </w:rPr>
        <w:t>Summary statistics – indicators for regime classification</w:t>
      </w:r>
    </w:p>
    <w:p w:rsidR="00582034" w:rsidRPr="002965B3" w:rsidRDefault="00582034" w:rsidP="00582034">
      <w:pPr>
        <w:spacing w:after="0" w:line="240" w:lineRule="auto"/>
        <w:jc w:val="center"/>
        <w:rPr>
          <w:rFonts w:ascii="Arial" w:eastAsia="Times New Roman" w:hAnsi="Arial" w:cs="Arial"/>
          <w:bCs/>
          <w:color w:val="000000"/>
          <w:sz w:val="24"/>
          <w:szCs w:val="24"/>
          <w:lang w:val="en-US" w:eastAsia="pt-BR"/>
        </w:rPr>
      </w:pPr>
    </w:p>
    <w:tbl>
      <w:tblPr>
        <w:tblW w:w="5760" w:type="dxa"/>
        <w:jc w:val="center"/>
        <w:tblInd w:w="55" w:type="dxa"/>
        <w:tblCellMar>
          <w:left w:w="70" w:type="dxa"/>
          <w:right w:w="70" w:type="dxa"/>
        </w:tblCellMar>
        <w:tblLook w:val="04A0" w:firstRow="1" w:lastRow="0" w:firstColumn="1" w:lastColumn="0" w:noHBand="0" w:noVBand="1"/>
      </w:tblPr>
      <w:tblGrid>
        <w:gridCol w:w="960"/>
        <w:gridCol w:w="960"/>
        <w:gridCol w:w="960"/>
        <w:gridCol w:w="1277"/>
        <w:gridCol w:w="643"/>
        <w:gridCol w:w="960"/>
      </w:tblGrid>
      <w:tr w:rsidR="00582034" w:rsidRPr="003D7E01" w:rsidTr="00527254">
        <w:trPr>
          <w:trHeight w:val="255"/>
          <w:jc w:val="center"/>
        </w:trPr>
        <w:tc>
          <w:tcPr>
            <w:tcW w:w="960" w:type="dxa"/>
            <w:tcBorders>
              <w:top w:val="nil"/>
              <w:left w:val="nil"/>
              <w:bottom w:val="single" w:sz="4" w:space="0" w:color="auto"/>
              <w:right w:val="single" w:sz="4" w:space="0" w:color="auto"/>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b/>
                <w:bCs/>
                <w:sz w:val="20"/>
                <w:szCs w:val="20"/>
                <w:lang w:eastAsia="pt-BR"/>
              </w:rPr>
            </w:pPr>
            <w:proofErr w:type="spellStart"/>
            <w:r w:rsidRPr="003D7E01">
              <w:rPr>
                <w:rFonts w:ascii="Arial" w:eastAsia="Times New Roman" w:hAnsi="Arial" w:cs="Arial"/>
                <w:b/>
                <w:bCs/>
                <w:sz w:val="20"/>
                <w:szCs w:val="20"/>
                <w:lang w:eastAsia="pt-BR"/>
              </w:rPr>
              <w:t>Variable</w:t>
            </w:r>
            <w:proofErr w:type="spellEnd"/>
          </w:p>
        </w:tc>
        <w:tc>
          <w:tcPr>
            <w:tcW w:w="960" w:type="dxa"/>
            <w:tcBorders>
              <w:top w:val="nil"/>
              <w:left w:val="nil"/>
              <w:bottom w:val="single" w:sz="4" w:space="0" w:color="auto"/>
              <w:right w:val="nil"/>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b/>
                <w:bCs/>
                <w:sz w:val="20"/>
                <w:szCs w:val="20"/>
                <w:lang w:eastAsia="pt-BR"/>
              </w:rPr>
            </w:pPr>
            <w:proofErr w:type="spellStart"/>
            <w:r w:rsidRPr="003D7E01">
              <w:rPr>
                <w:rFonts w:ascii="Arial" w:eastAsia="Times New Roman" w:hAnsi="Arial" w:cs="Arial"/>
                <w:b/>
                <w:bCs/>
                <w:sz w:val="20"/>
                <w:szCs w:val="20"/>
                <w:lang w:eastAsia="pt-BR"/>
              </w:rPr>
              <w:t>Obs</w:t>
            </w:r>
            <w:proofErr w:type="spellEnd"/>
          </w:p>
        </w:tc>
        <w:tc>
          <w:tcPr>
            <w:tcW w:w="960" w:type="dxa"/>
            <w:tcBorders>
              <w:top w:val="nil"/>
              <w:left w:val="nil"/>
              <w:bottom w:val="single" w:sz="4" w:space="0" w:color="auto"/>
              <w:right w:val="nil"/>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b/>
                <w:bCs/>
                <w:sz w:val="20"/>
                <w:szCs w:val="20"/>
                <w:lang w:eastAsia="pt-BR"/>
              </w:rPr>
            </w:pPr>
            <w:proofErr w:type="spellStart"/>
            <w:r w:rsidRPr="003D7E01">
              <w:rPr>
                <w:rFonts w:ascii="Arial" w:eastAsia="Times New Roman" w:hAnsi="Arial" w:cs="Arial"/>
                <w:b/>
                <w:bCs/>
                <w:sz w:val="20"/>
                <w:szCs w:val="20"/>
                <w:lang w:eastAsia="pt-BR"/>
              </w:rPr>
              <w:t>Mean</w:t>
            </w:r>
            <w:proofErr w:type="spellEnd"/>
          </w:p>
        </w:tc>
        <w:tc>
          <w:tcPr>
            <w:tcW w:w="1277" w:type="dxa"/>
            <w:tcBorders>
              <w:top w:val="nil"/>
              <w:left w:val="nil"/>
              <w:bottom w:val="single" w:sz="4" w:space="0" w:color="auto"/>
              <w:right w:val="nil"/>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b/>
                <w:bCs/>
                <w:sz w:val="20"/>
                <w:szCs w:val="20"/>
                <w:lang w:eastAsia="pt-BR"/>
              </w:rPr>
            </w:pPr>
            <w:proofErr w:type="spellStart"/>
            <w:r w:rsidRPr="003D7E01">
              <w:rPr>
                <w:rFonts w:ascii="Arial" w:eastAsia="Times New Roman" w:hAnsi="Arial" w:cs="Arial"/>
                <w:b/>
                <w:bCs/>
                <w:sz w:val="20"/>
                <w:szCs w:val="20"/>
                <w:lang w:eastAsia="pt-BR"/>
              </w:rPr>
              <w:t>Std</w:t>
            </w:r>
            <w:proofErr w:type="spellEnd"/>
            <w:r w:rsidRPr="003D7E01">
              <w:rPr>
                <w:rFonts w:ascii="Arial" w:eastAsia="Times New Roman" w:hAnsi="Arial" w:cs="Arial"/>
                <w:b/>
                <w:bCs/>
                <w:sz w:val="20"/>
                <w:szCs w:val="20"/>
                <w:lang w:eastAsia="pt-BR"/>
              </w:rPr>
              <w:t>. Dev.</w:t>
            </w:r>
          </w:p>
        </w:tc>
        <w:tc>
          <w:tcPr>
            <w:tcW w:w="643" w:type="dxa"/>
            <w:tcBorders>
              <w:top w:val="nil"/>
              <w:left w:val="nil"/>
              <w:bottom w:val="single" w:sz="4" w:space="0" w:color="auto"/>
              <w:right w:val="nil"/>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b/>
                <w:bCs/>
                <w:sz w:val="20"/>
                <w:szCs w:val="20"/>
                <w:lang w:eastAsia="pt-BR"/>
              </w:rPr>
            </w:pPr>
            <w:r w:rsidRPr="003D7E01">
              <w:rPr>
                <w:rFonts w:ascii="Arial" w:eastAsia="Times New Roman" w:hAnsi="Arial" w:cs="Arial"/>
                <w:b/>
                <w:bCs/>
                <w:sz w:val="20"/>
                <w:szCs w:val="20"/>
                <w:lang w:eastAsia="pt-BR"/>
              </w:rPr>
              <w:t>Min</w:t>
            </w:r>
          </w:p>
        </w:tc>
        <w:tc>
          <w:tcPr>
            <w:tcW w:w="960" w:type="dxa"/>
            <w:tcBorders>
              <w:top w:val="nil"/>
              <w:left w:val="nil"/>
              <w:bottom w:val="single" w:sz="4" w:space="0" w:color="auto"/>
              <w:right w:val="nil"/>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b/>
                <w:bCs/>
                <w:sz w:val="20"/>
                <w:szCs w:val="20"/>
                <w:lang w:eastAsia="pt-BR"/>
              </w:rPr>
            </w:pPr>
            <w:r w:rsidRPr="003D7E01">
              <w:rPr>
                <w:rFonts w:ascii="Arial" w:eastAsia="Times New Roman" w:hAnsi="Arial" w:cs="Arial"/>
                <w:b/>
                <w:bCs/>
                <w:sz w:val="20"/>
                <w:szCs w:val="20"/>
                <w:lang w:eastAsia="pt-BR"/>
              </w:rPr>
              <w:t>Max</w:t>
            </w:r>
          </w:p>
        </w:tc>
      </w:tr>
      <w:tr w:rsidR="00582034" w:rsidRPr="003D7E01" w:rsidTr="00527254">
        <w:trPr>
          <w:trHeight w:val="255"/>
          <w:jc w:val="center"/>
        </w:trPr>
        <w:tc>
          <w:tcPr>
            <w:tcW w:w="960" w:type="dxa"/>
            <w:tcBorders>
              <w:top w:val="nil"/>
              <w:left w:val="nil"/>
              <w:bottom w:val="nil"/>
              <w:right w:val="single" w:sz="4" w:space="0" w:color="auto"/>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b/>
                <w:bCs/>
                <w:sz w:val="20"/>
                <w:szCs w:val="20"/>
                <w:lang w:eastAsia="pt-BR"/>
              </w:rPr>
            </w:pPr>
            <w:proofErr w:type="spellStart"/>
            <w:proofErr w:type="gramStart"/>
            <w:r w:rsidRPr="003D7E01">
              <w:rPr>
                <w:rFonts w:ascii="Arial" w:eastAsia="Times New Roman" w:hAnsi="Arial" w:cs="Arial"/>
                <w:b/>
                <w:bCs/>
                <w:sz w:val="20"/>
                <w:szCs w:val="20"/>
                <w:lang w:eastAsia="pt-BR"/>
              </w:rPr>
              <w:t>stab</w:t>
            </w:r>
            <w:proofErr w:type="spellEnd"/>
            <w:proofErr w:type="gramEnd"/>
          </w:p>
        </w:tc>
        <w:tc>
          <w:tcPr>
            <w:tcW w:w="960" w:type="dxa"/>
            <w:tcBorders>
              <w:top w:val="nil"/>
              <w:left w:val="nil"/>
              <w:bottom w:val="nil"/>
              <w:right w:val="nil"/>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sz w:val="20"/>
                <w:szCs w:val="20"/>
                <w:lang w:eastAsia="pt-BR"/>
              </w:rPr>
            </w:pPr>
            <w:r w:rsidRPr="003D7E01">
              <w:rPr>
                <w:rFonts w:ascii="Arial" w:eastAsia="Times New Roman" w:hAnsi="Arial" w:cs="Arial"/>
                <w:sz w:val="20"/>
                <w:szCs w:val="20"/>
                <w:lang w:eastAsia="pt-BR"/>
              </w:rPr>
              <w:t>69</w:t>
            </w:r>
          </w:p>
        </w:tc>
        <w:tc>
          <w:tcPr>
            <w:tcW w:w="960" w:type="dxa"/>
            <w:tcBorders>
              <w:top w:val="nil"/>
              <w:left w:val="nil"/>
              <w:bottom w:val="nil"/>
              <w:right w:val="nil"/>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sz w:val="20"/>
                <w:szCs w:val="20"/>
                <w:lang w:eastAsia="pt-BR"/>
              </w:rPr>
            </w:pPr>
            <w:r w:rsidRPr="003D7E01">
              <w:rPr>
                <w:rFonts w:ascii="Arial" w:eastAsia="Times New Roman" w:hAnsi="Arial" w:cs="Arial"/>
                <w:sz w:val="20"/>
                <w:szCs w:val="20"/>
                <w:lang w:eastAsia="pt-BR"/>
              </w:rPr>
              <w:t>0,225</w:t>
            </w:r>
          </w:p>
        </w:tc>
        <w:tc>
          <w:tcPr>
            <w:tcW w:w="1277" w:type="dxa"/>
            <w:tcBorders>
              <w:top w:val="nil"/>
              <w:left w:val="nil"/>
              <w:bottom w:val="nil"/>
              <w:right w:val="nil"/>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sz w:val="20"/>
                <w:szCs w:val="20"/>
                <w:lang w:eastAsia="pt-BR"/>
              </w:rPr>
            </w:pPr>
            <w:r w:rsidRPr="003D7E01">
              <w:rPr>
                <w:rFonts w:ascii="Arial" w:eastAsia="Times New Roman" w:hAnsi="Arial" w:cs="Arial"/>
                <w:sz w:val="20"/>
                <w:szCs w:val="20"/>
                <w:lang w:eastAsia="pt-BR"/>
              </w:rPr>
              <w:t>0,143</w:t>
            </w:r>
          </w:p>
        </w:tc>
        <w:tc>
          <w:tcPr>
            <w:tcW w:w="643" w:type="dxa"/>
            <w:tcBorders>
              <w:top w:val="nil"/>
              <w:left w:val="nil"/>
              <w:bottom w:val="nil"/>
              <w:right w:val="nil"/>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sz w:val="20"/>
                <w:szCs w:val="20"/>
                <w:lang w:eastAsia="pt-BR"/>
              </w:rPr>
            </w:pPr>
            <w:r w:rsidRPr="003D7E01">
              <w:rPr>
                <w:rFonts w:ascii="Arial" w:eastAsia="Times New Roman" w:hAnsi="Arial" w:cs="Arial"/>
                <w:sz w:val="20"/>
                <w:szCs w:val="20"/>
                <w:lang w:eastAsia="pt-BR"/>
              </w:rPr>
              <w:t>0,016</w:t>
            </w:r>
          </w:p>
        </w:tc>
        <w:tc>
          <w:tcPr>
            <w:tcW w:w="960" w:type="dxa"/>
            <w:tcBorders>
              <w:top w:val="nil"/>
              <w:left w:val="nil"/>
              <w:bottom w:val="nil"/>
              <w:right w:val="nil"/>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sz w:val="20"/>
                <w:szCs w:val="20"/>
                <w:lang w:eastAsia="pt-BR"/>
              </w:rPr>
            </w:pPr>
            <w:r w:rsidRPr="003D7E01">
              <w:rPr>
                <w:rFonts w:ascii="Arial" w:eastAsia="Times New Roman" w:hAnsi="Arial" w:cs="Arial"/>
                <w:sz w:val="20"/>
                <w:szCs w:val="20"/>
                <w:lang w:eastAsia="pt-BR"/>
              </w:rPr>
              <w:t>0,775</w:t>
            </w:r>
          </w:p>
        </w:tc>
      </w:tr>
      <w:tr w:rsidR="00582034" w:rsidRPr="003D7E01" w:rsidTr="00527254">
        <w:trPr>
          <w:trHeight w:val="255"/>
          <w:jc w:val="center"/>
        </w:trPr>
        <w:tc>
          <w:tcPr>
            <w:tcW w:w="960" w:type="dxa"/>
            <w:tcBorders>
              <w:top w:val="nil"/>
              <w:left w:val="nil"/>
              <w:bottom w:val="nil"/>
              <w:right w:val="single" w:sz="4" w:space="0" w:color="auto"/>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b/>
                <w:bCs/>
                <w:sz w:val="20"/>
                <w:szCs w:val="20"/>
                <w:lang w:eastAsia="pt-BR"/>
              </w:rPr>
            </w:pPr>
            <w:proofErr w:type="spellStart"/>
            <w:proofErr w:type="gramStart"/>
            <w:r w:rsidRPr="003D7E01">
              <w:rPr>
                <w:rFonts w:ascii="Arial" w:eastAsia="Times New Roman" w:hAnsi="Arial" w:cs="Arial"/>
                <w:b/>
                <w:bCs/>
                <w:sz w:val="20"/>
                <w:szCs w:val="20"/>
                <w:lang w:eastAsia="pt-BR"/>
              </w:rPr>
              <w:t>entry</w:t>
            </w:r>
            <w:proofErr w:type="spellEnd"/>
            <w:proofErr w:type="gramEnd"/>
          </w:p>
        </w:tc>
        <w:tc>
          <w:tcPr>
            <w:tcW w:w="960" w:type="dxa"/>
            <w:tcBorders>
              <w:top w:val="nil"/>
              <w:left w:val="nil"/>
              <w:bottom w:val="nil"/>
              <w:right w:val="nil"/>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sz w:val="20"/>
                <w:szCs w:val="20"/>
                <w:lang w:eastAsia="pt-BR"/>
              </w:rPr>
            </w:pPr>
            <w:r w:rsidRPr="003D7E01">
              <w:rPr>
                <w:rFonts w:ascii="Arial" w:eastAsia="Times New Roman" w:hAnsi="Arial" w:cs="Arial"/>
                <w:sz w:val="20"/>
                <w:szCs w:val="20"/>
                <w:lang w:eastAsia="pt-BR"/>
              </w:rPr>
              <w:t>69</w:t>
            </w:r>
          </w:p>
        </w:tc>
        <w:tc>
          <w:tcPr>
            <w:tcW w:w="960" w:type="dxa"/>
            <w:tcBorders>
              <w:top w:val="nil"/>
              <w:left w:val="nil"/>
              <w:bottom w:val="nil"/>
              <w:right w:val="nil"/>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sz w:val="20"/>
                <w:szCs w:val="20"/>
                <w:lang w:eastAsia="pt-BR"/>
              </w:rPr>
            </w:pPr>
            <w:r w:rsidRPr="003D7E01">
              <w:rPr>
                <w:rFonts w:ascii="Arial" w:eastAsia="Times New Roman" w:hAnsi="Arial" w:cs="Arial"/>
                <w:sz w:val="20"/>
                <w:szCs w:val="20"/>
                <w:lang w:eastAsia="pt-BR"/>
              </w:rPr>
              <w:t>0,278</w:t>
            </w:r>
          </w:p>
        </w:tc>
        <w:tc>
          <w:tcPr>
            <w:tcW w:w="1277" w:type="dxa"/>
            <w:tcBorders>
              <w:top w:val="nil"/>
              <w:left w:val="nil"/>
              <w:bottom w:val="nil"/>
              <w:right w:val="nil"/>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sz w:val="20"/>
                <w:szCs w:val="20"/>
                <w:lang w:eastAsia="pt-BR"/>
              </w:rPr>
            </w:pPr>
            <w:r w:rsidRPr="003D7E01">
              <w:rPr>
                <w:rFonts w:ascii="Arial" w:eastAsia="Times New Roman" w:hAnsi="Arial" w:cs="Arial"/>
                <w:sz w:val="20"/>
                <w:szCs w:val="20"/>
                <w:lang w:eastAsia="pt-BR"/>
              </w:rPr>
              <w:t>0,077</w:t>
            </w:r>
          </w:p>
        </w:tc>
        <w:tc>
          <w:tcPr>
            <w:tcW w:w="643" w:type="dxa"/>
            <w:tcBorders>
              <w:top w:val="nil"/>
              <w:left w:val="nil"/>
              <w:bottom w:val="nil"/>
              <w:right w:val="nil"/>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sz w:val="20"/>
                <w:szCs w:val="20"/>
                <w:lang w:eastAsia="pt-BR"/>
              </w:rPr>
            </w:pPr>
            <w:r w:rsidRPr="003D7E01">
              <w:rPr>
                <w:rFonts w:ascii="Arial" w:eastAsia="Times New Roman" w:hAnsi="Arial" w:cs="Arial"/>
                <w:sz w:val="20"/>
                <w:szCs w:val="20"/>
                <w:lang w:eastAsia="pt-BR"/>
              </w:rPr>
              <w:t>0,091</w:t>
            </w:r>
          </w:p>
        </w:tc>
        <w:tc>
          <w:tcPr>
            <w:tcW w:w="960" w:type="dxa"/>
            <w:tcBorders>
              <w:top w:val="nil"/>
              <w:left w:val="nil"/>
              <w:bottom w:val="nil"/>
              <w:right w:val="nil"/>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sz w:val="20"/>
                <w:szCs w:val="20"/>
                <w:lang w:eastAsia="pt-BR"/>
              </w:rPr>
            </w:pPr>
            <w:r w:rsidRPr="003D7E01">
              <w:rPr>
                <w:rFonts w:ascii="Arial" w:eastAsia="Times New Roman" w:hAnsi="Arial" w:cs="Arial"/>
                <w:sz w:val="20"/>
                <w:szCs w:val="20"/>
                <w:lang w:eastAsia="pt-BR"/>
              </w:rPr>
              <w:t>0,435</w:t>
            </w:r>
          </w:p>
        </w:tc>
      </w:tr>
      <w:tr w:rsidR="00582034" w:rsidRPr="003D7E01" w:rsidTr="00527254">
        <w:trPr>
          <w:trHeight w:val="255"/>
          <w:jc w:val="center"/>
        </w:trPr>
        <w:tc>
          <w:tcPr>
            <w:tcW w:w="960" w:type="dxa"/>
            <w:tcBorders>
              <w:top w:val="nil"/>
              <w:left w:val="nil"/>
              <w:bottom w:val="nil"/>
              <w:right w:val="single" w:sz="4" w:space="0" w:color="auto"/>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b/>
                <w:bCs/>
                <w:sz w:val="20"/>
                <w:szCs w:val="20"/>
                <w:lang w:eastAsia="pt-BR"/>
              </w:rPr>
            </w:pPr>
            <w:proofErr w:type="spellStart"/>
            <w:proofErr w:type="gramStart"/>
            <w:r w:rsidRPr="003D7E01">
              <w:rPr>
                <w:rFonts w:ascii="Arial" w:eastAsia="Times New Roman" w:hAnsi="Arial" w:cs="Arial"/>
                <w:b/>
                <w:bCs/>
                <w:sz w:val="20"/>
                <w:szCs w:val="20"/>
                <w:lang w:eastAsia="pt-BR"/>
              </w:rPr>
              <w:t>conc</w:t>
            </w:r>
            <w:proofErr w:type="spellEnd"/>
            <w:proofErr w:type="gramEnd"/>
          </w:p>
        </w:tc>
        <w:tc>
          <w:tcPr>
            <w:tcW w:w="960" w:type="dxa"/>
            <w:tcBorders>
              <w:top w:val="nil"/>
              <w:left w:val="nil"/>
              <w:bottom w:val="nil"/>
              <w:right w:val="nil"/>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sz w:val="20"/>
                <w:szCs w:val="20"/>
                <w:lang w:eastAsia="pt-BR"/>
              </w:rPr>
            </w:pPr>
            <w:r w:rsidRPr="003D7E01">
              <w:rPr>
                <w:rFonts w:ascii="Arial" w:eastAsia="Times New Roman" w:hAnsi="Arial" w:cs="Arial"/>
                <w:sz w:val="20"/>
                <w:szCs w:val="20"/>
                <w:lang w:eastAsia="pt-BR"/>
              </w:rPr>
              <w:t>69</w:t>
            </w:r>
          </w:p>
        </w:tc>
        <w:tc>
          <w:tcPr>
            <w:tcW w:w="960" w:type="dxa"/>
            <w:tcBorders>
              <w:top w:val="nil"/>
              <w:left w:val="nil"/>
              <w:bottom w:val="nil"/>
              <w:right w:val="nil"/>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sz w:val="20"/>
                <w:szCs w:val="20"/>
                <w:lang w:eastAsia="pt-BR"/>
              </w:rPr>
            </w:pPr>
            <w:r w:rsidRPr="003D7E01">
              <w:rPr>
                <w:rFonts w:ascii="Arial" w:eastAsia="Times New Roman" w:hAnsi="Arial" w:cs="Arial"/>
                <w:sz w:val="20"/>
                <w:szCs w:val="20"/>
                <w:lang w:eastAsia="pt-BR"/>
              </w:rPr>
              <w:t>0,337</w:t>
            </w:r>
          </w:p>
        </w:tc>
        <w:tc>
          <w:tcPr>
            <w:tcW w:w="1277" w:type="dxa"/>
            <w:tcBorders>
              <w:top w:val="nil"/>
              <w:left w:val="nil"/>
              <w:bottom w:val="nil"/>
              <w:right w:val="nil"/>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sz w:val="20"/>
                <w:szCs w:val="20"/>
                <w:lang w:eastAsia="pt-BR"/>
              </w:rPr>
            </w:pPr>
            <w:r w:rsidRPr="003D7E01">
              <w:rPr>
                <w:rFonts w:ascii="Arial" w:eastAsia="Times New Roman" w:hAnsi="Arial" w:cs="Arial"/>
                <w:sz w:val="20"/>
                <w:szCs w:val="20"/>
                <w:lang w:eastAsia="pt-BR"/>
              </w:rPr>
              <w:t>0,250</w:t>
            </w:r>
          </w:p>
        </w:tc>
        <w:tc>
          <w:tcPr>
            <w:tcW w:w="643" w:type="dxa"/>
            <w:tcBorders>
              <w:top w:val="nil"/>
              <w:left w:val="nil"/>
              <w:bottom w:val="nil"/>
              <w:right w:val="nil"/>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sz w:val="20"/>
                <w:szCs w:val="20"/>
                <w:lang w:eastAsia="pt-BR"/>
              </w:rPr>
            </w:pPr>
            <w:r w:rsidRPr="003D7E01">
              <w:rPr>
                <w:rFonts w:ascii="Arial" w:eastAsia="Times New Roman" w:hAnsi="Arial" w:cs="Arial"/>
                <w:sz w:val="20"/>
                <w:szCs w:val="20"/>
                <w:lang w:eastAsia="pt-BR"/>
              </w:rPr>
              <w:t>0,062</w:t>
            </w:r>
          </w:p>
        </w:tc>
        <w:tc>
          <w:tcPr>
            <w:tcW w:w="960" w:type="dxa"/>
            <w:tcBorders>
              <w:top w:val="nil"/>
              <w:left w:val="nil"/>
              <w:bottom w:val="nil"/>
              <w:right w:val="nil"/>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sz w:val="20"/>
                <w:szCs w:val="20"/>
                <w:lang w:eastAsia="pt-BR"/>
              </w:rPr>
            </w:pPr>
            <w:r w:rsidRPr="003D7E01">
              <w:rPr>
                <w:rFonts w:ascii="Arial" w:eastAsia="Times New Roman" w:hAnsi="Arial" w:cs="Arial"/>
                <w:sz w:val="20"/>
                <w:szCs w:val="20"/>
                <w:lang w:eastAsia="pt-BR"/>
              </w:rPr>
              <w:t>1,000</w:t>
            </w:r>
          </w:p>
        </w:tc>
      </w:tr>
      <w:tr w:rsidR="00582034" w:rsidRPr="003D7E01" w:rsidTr="00527254">
        <w:trPr>
          <w:trHeight w:val="255"/>
          <w:jc w:val="center"/>
        </w:trPr>
        <w:tc>
          <w:tcPr>
            <w:tcW w:w="960" w:type="dxa"/>
            <w:tcBorders>
              <w:top w:val="nil"/>
              <w:left w:val="nil"/>
              <w:bottom w:val="nil"/>
              <w:right w:val="single" w:sz="4" w:space="0" w:color="auto"/>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b/>
                <w:bCs/>
                <w:sz w:val="20"/>
                <w:szCs w:val="20"/>
                <w:lang w:eastAsia="pt-BR"/>
              </w:rPr>
            </w:pPr>
            <w:proofErr w:type="spellStart"/>
            <w:proofErr w:type="gramStart"/>
            <w:r w:rsidRPr="003D7E01">
              <w:rPr>
                <w:rFonts w:ascii="Arial" w:eastAsia="Times New Roman" w:hAnsi="Arial" w:cs="Arial"/>
                <w:b/>
                <w:bCs/>
                <w:sz w:val="20"/>
                <w:szCs w:val="20"/>
                <w:lang w:eastAsia="pt-BR"/>
              </w:rPr>
              <w:t>schmp</w:t>
            </w:r>
            <w:proofErr w:type="spellEnd"/>
            <w:proofErr w:type="gramEnd"/>
          </w:p>
        </w:tc>
        <w:tc>
          <w:tcPr>
            <w:tcW w:w="960" w:type="dxa"/>
            <w:tcBorders>
              <w:top w:val="nil"/>
              <w:left w:val="nil"/>
              <w:bottom w:val="nil"/>
              <w:right w:val="nil"/>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sz w:val="20"/>
                <w:szCs w:val="20"/>
                <w:lang w:eastAsia="pt-BR"/>
              </w:rPr>
            </w:pPr>
            <w:r w:rsidRPr="003D7E01">
              <w:rPr>
                <w:rFonts w:ascii="Arial" w:eastAsia="Times New Roman" w:hAnsi="Arial" w:cs="Arial"/>
                <w:sz w:val="20"/>
                <w:szCs w:val="20"/>
                <w:lang w:eastAsia="pt-BR"/>
              </w:rPr>
              <w:t>69</w:t>
            </w:r>
          </w:p>
        </w:tc>
        <w:tc>
          <w:tcPr>
            <w:tcW w:w="960" w:type="dxa"/>
            <w:tcBorders>
              <w:top w:val="nil"/>
              <w:left w:val="nil"/>
              <w:bottom w:val="nil"/>
              <w:right w:val="nil"/>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sz w:val="20"/>
                <w:szCs w:val="20"/>
                <w:lang w:eastAsia="pt-BR"/>
              </w:rPr>
            </w:pPr>
            <w:r w:rsidRPr="003D7E01">
              <w:rPr>
                <w:rFonts w:ascii="Arial" w:eastAsia="Times New Roman" w:hAnsi="Arial" w:cs="Arial"/>
                <w:sz w:val="20"/>
                <w:szCs w:val="20"/>
                <w:lang w:eastAsia="pt-BR"/>
              </w:rPr>
              <w:t>0,042</w:t>
            </w:r>
          </w:p>
        </w:tc>
        <w:tc>
          <w:tcPr>
            <w:tcW w:w="1277" w:type="dxa"/>
            <w:tcBorders>
              <w:top w:val="nil"/>
              <w:left w:val="nil"/>
              <w:bottom w:val="nil"/>
              <w:right w:val="nil"/>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sz w:val="20"/>
                <w:szCs w:val="20"/>
                <w:lang w:eastAsia="pt-BR"/>
              </w:rPr>
            </w:pPr>
            <w:r w:rsidRPr="003D7E01">
              <w:rPr>
                <w:rFonts w:ascii="Arial" w:eastAsia="Times New Roman" w:hAnsi="Arial" w:cs="Arial"/>
                <w:sz w:val="20"/>
                <w:szCs w:val="20"/>
                <w:lang w:eastAsia="pt-BR"/>
              </w:rPr>
              <w:t>0,189</w:t>
            </w:r>
          </w:p>
        </w:tc>
        <w:tc>
          <w:tcPr>
            <w:tcW w:w="643" w:type="dxa"/>
            <w:tcBorders>
              <w:top w:val="nil"/>
              <w:left w:val="nil"/>
              <w:bottom w:val="nil"/>
              <w:right w:val="nil"/>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sz w:val="20"/>
                <w:szCs w:val="20"/>
                <w:lang w:eastAsia="pt-BR"/>
              </w:rPr>
            </w:pPr>
            <w:r w:rsidRPr="003D7E01">
              <w:rPr>
                <w:rFonts w:ascii="Arial" w:eastAsia="Times New Roman" w:hAnsi="Arial" w:cs="Arial"/>
                <w:sz w:val="20"/>
                <w:szCs w:val="20"/>
                <w:lang w:eastAsia="pt-BR"/>
              </w:rPr>
              <w:t>0,168</w:t>
            </w:r>
          </w:p>
        </w:tc>
        <w:tc>
          <w:tcPr>
            <w:tcW w:w="960" w:type="dxa"/>
            <w:tcBorders>
              <w:top w:val="nil"/>
              <w:left w:val="nil"/>
              <w:bottom w:val="nil"/>
              <w:right w:val="nil"/>
            </w:tcBorders>
            <w:shd w:val="clear" w:color="auto" w:fill="auto"/>
            <w:noWrap/>
            <w:vAlign w:val="bottom"/>
            <w:hideMark/>
          </w:tcPr>
          <w:p w:rsidR="00582034" w:rsidRPr="003D7E01" w:rsidRDefault="00582034" w:rsidP="00527254">
            <w:pPr>
              <w:spacing w:after="0" w:line="240" w:lineRule="auto"/>
              <w:jc w:val="center"/>
              <w:rPr>
                <w:rFonts w:ascii="Arial" w:eastAsia="Times New Roman" w:hAnsi="Arial" w:cs="Arial"/>
                <w:sz w:val="20"/>
                <w:szCs w:val="20"/>
                <w:lang w:eastAsia="pt-BR"/>
              </w:rPr>
            </w:pPr>
            <w:r w:rsidRPr="003D7E01">
              <w:rPr>
                <w:rFonts w:ascii="Arial" w:eastAsia="Times New Roman" w:hAnsi="Arial" w:cs="Arial"/>
                <w:sz w:val="20"/>
                <w:szCs w:val="20"/>
                <w:lang w:eastAsia="pt-BR"/>
              </w:rPr>
              <w:t>0,933</w:t>
            </w:r>
          </w:p>
        </w:tc>
      </w:tr>
    </w:tbl>
    <w:p w:rsidR="00582034" w:rsidRDefault="00582034" w:rsidP="00582034">
      <w:pPr>
        <w:autoSpaceDE w:val="0"/>
        <w:autoSpaceDN w:val="0"/>
        <w:adjustRightInd w:val="0"/>
        <w:spacing w:line="480" w:lineRule="auto"/>
        <w:ind w:firstLine="709"/>
        <w:jc w:val="both"/>
        <w:rPr>
          <w:rFonts w:ascii="Arial" w:hAnsi="Arial" w:cs="Arial"/>
          <w:sz w:val="24"/>
          <w:szCs w:val="24"/>
          <w:lang w:eastAsia="pt-BR"/>
        </w:rPr>
      </w:pPr>
    </w:p>
    <w:p w:rsidR="00582034" w:rsidRDefault="00582034" w:rsidP="00582034">
      <w:pPr>
        <w:autoSpaceDE w:val="0"/>
        <w:autoSpaceDN w:val="0"/>
        <w:adjustRightInd w:val="0"/>
        <w:spacing w:line="240" w:lineRule="auto"/>
        <w:ind w:firstLine="709"/>
        <w:jc w:val="center"/>
        <w:rPr>
          <w:rFonts w:ascii="Arial" w:hAnsi="Arial" w:cs="Arial"/>
          <w:sz w:val="24"/>
          <w:szCs w:val="24"/>
          <w:lang w:eastAsia="pt-BR"/>
        </w:rPr>
      </w:pPr>
      <w:proofErr w:type="spellStart"/>
      <w:r>
        <w:rPr>
          <w:rFonts w:ascii="Arial" w:hAnsi="Arial" w:cs="Arial"/>
          <w:sz w:val="24"/>
          <w:szCs w:val="24"/>
          <w:lang w:eastAsia="pt-BR"/>
        </w:rPr>
        <w:t>Table</w:t>
      </w:r>
      <w:proofErr w:type="spellEnd"/>
      <w:r>
        <w:rPr>
          <w:rFonts w:ascii="Arial" w:hAnsi="Arial" w:cs="Arial"/>
          <w:sz w:val="24"/>
          <w:szCs w:val="24"/>
          <w:lang w:eastAsia="pt-BR"/>
        </w:rPr>
        <w:t xml:space="preserve"> 3</w:t>
      </w:r>
    </w:p>
    <w:p w:rsidR="00582034" w:rsidRPr="002965B3" w:rsidRDefault="00582034" w:rsidP="00582034">
      <w:pPr>
        <w:autoSpaceDE w:val="0"/>
        <w:autoSpaceDN w:val="0"/>
        <w:adjustRightInd w:val="0"/>
        <w:spacing w:line="240" w:lineRule="auto"/>
        <w:ind w:firstLine="709"/>
        <w:jc w:val="center"/>
        <w:rPr>
          <w:rFonts w:ascii="Arial" w:hAnsi="Arial" w:cs="Arial"/>
          <w:sz w:val="24"/>
          <w:szCs w:val="24"/>
          <w:lang w:val="en-US" w:eastAsia="pt-BR"/>
        </w:rPr>
      </w:pPr>
      <w:r w:rsidRPr="002965B3">
        <w:rPr>
          <w:rFonts w:ascii="Arial" w:hAnsi="Arial" w:cs="Arial"/>
          <w:sz w:val="24"/>
          <w:szCs w:val="24"/>
          <w:lang w:val="en-US" w:eastAsia="pt-BR"/>
        </w:rPr>
        <w:t xml:space="preserve">Principal </w:t>
      </w:r>
      <w:proofErr w:type="gramStart"/>
      <w:r w:rsidRPr="002965B3">
        <w:rPr>
          <w:rFonts w:ascii="Arial" w:hAnsi="Arial" w:cs="Arial"/>
          <w:sz w:val="24"/>
          <w:szCs w:val="24"/>
          <w:lang w:val="en-US" w:eastAsia="pt-BR"/>
        </w:rPr>
        <w:t>components  -</w:t>
      </w:r>
      <w:proofErr w:type="gramEnd"/>
      <w:r w:rsidRPr="002965B3">
        <w:rPr>
          <w:rFonts w:ascii="Arial" w:hAnsi="Arial" w:cs="Arial"/>
          <w:sz w:val="24"/>
          <w:szCs w:val="24"/>
          <w:lang w:val="en-US" w:eastAsia="pt-BR"/>
        </w:rPr>
        <w:t xml:space="preserve"> communalities (no. of </w:t>
      </w:r>
      <w:proofErr w:type="spellStart"/>
      <w:r w:rsidRPr="002965B3">
        <w:rPr>
          <w:rFonts w:ascii="Arial" w:hAnsi="Arial" w:cs="Arial"/>
          <w:sz w:val="24"/>
          <w:szCs w:val="24"/>
          <w:lang w:val="en-US" w:eastAsia="pt-BR"/>
        </w:rPr>
        <w:t>obs</w:t>
      </w:r>
      <w:proofErr w:type="spellEnd"/>
      <w:r w:rsidRPr="002965B3">
        <w:rPr>
          <w:rFonts w:ascii="Arial" w:hAnsi="Arial" w:cs="Arial"/>
          <w:sz w:val="24"/>
          <w:szCs w:val="24"/>
          <w:lang w:val="en-US" w:eastAsia="pt-BR"/>
        </w:rPr>
        <w:t>: 69)</w:t>
      </w:r>
    </w:p>
    <w:tbl>
      <w:tblPr>
        <w:tblW w:w="8853" w:type="dxa"/>
        <w:jc w:val="center"/>
        <w:tblInd w:w="55" w:type="dxa"/>
        <w:tblCellMar>
          <w:left w:w="70" w:type="dxa"/>
          <w:right w:w="70" w:type="dxa"/>
        </w:tblCellMar>
        <w:tblLook w:val="04A0" w:firstRow="1" w:lastRow="0" w:firstColumn="1" w:lastColumn="0" w:noHBand="0" w:noVBand="1"/>
      </w:tblPr>
      <w:tblGrid>
        <w:gridCol w:w="1474"/>
        <w:gridCol w:w="1308"/>
        <w:gridCol w:w="2385"/>
        <w:gridCol w:w="3686"/>
      </w:tblGrid>
      <w:tr w:rsidR="00582034" w:rsidRPr="000B19D4" w:rsidTr="00527254">
        <w:trPr>
          <w:trHeight w:val="442"/>
          <w:jc w:val="center"/>
        </w:trPr>
        <w:tc>
          <w:tcPr>
            <w:tcW w:w="1474" w:type="dxa"/>
            <w:tcBorders>
              <w:bottom w:val="single" w:sz="4" w:space="0" w:color="auto"/>
              <w:right w:val="single" w:sz="4" w:space="0" w:color="auto"/>
            </w:tcBorders>
            <w:shd w:val="clear" w:color="auto" w:fill="FFFFFF"/>
            <w:noWrap/>
            <w:vAlign w:val="center"/>
            <w:hideMark/>
          </w:tcPr>
          <w:p w:rsidR="00582034" w:rsidRPr="000B19D4" w:rsidRDefault="00582034" w:rsidP="00527254">
            <w:pPr>
              <w:spacing w:after="0" w:line="240" w:lineRule="auto"/>
              <w:rPr>
                <w:rFonts w:ascii="Arial" w:eastAsia="Times New Roman" w:hAnsi="Arial" w:cs="Arial"/>
                <w:b/>
                <w:bCs/>
                <w:sz w:val="20"/>
                <w:szCs w:val="20"/>
                <w:lang w:eastAsia="pt-BR"/>
              </w:rPr>
            </w:pPr>
            <w:proofErr w:type="spellStart"/>
            <w:r>
              <w:rPr>
                <w:rFonts w:ascii="Arial" w:eastAsia="Times New Roman" w:hAnsi="Arial" w:cs="Arial"/>
                <w:b/>
                <w:bCs/>
                <w:sz w:val="20"/>
                <w:szCs w:val="20"/>
                <w:lang w:eastAsia="pt-BR"/>
              </w:rPr>
              <w:t>Components</w:t>
            </w:r>
            <w:proofErr w:type="spellEnd"/>
          </w:p>
        </w:tc>
        <w:tc>
          <w:tcPr>
            <w:tcW w:w="1308" w:type="dxa"/>
            <w:tcBorders>
              <w:left w:val="single" w:sz="4" w:space="0" w:color="auto"/>
              <w:bottom w:val="single" w:sz="4" w:space="0" w:color="auto"/>
            </w:tcBorders>
            <w:shd w:val="clear" w:color="auto" w:fill="FFFFFF"/>
            <w:noWrap/>
            <w:vAlign w:val="center"/>
            <w:hideMark/>
          </w:tcPr>
          <w:p w:rsidR="00582034" w:rsidRPr="000B19D4" w:rsidRDefault="00582034" w:rsidP="00527254">
            <w:pPr>
              <w:spacing w:after="0" w:line="240" w:lineRule="auto"/>
              <w:jc w:val="center"/>
              <w:rPr>
                <w:rFonts w:ascii="Arial" w:eastAsia="Times New Roman" w:hAnsi="Arial" w:cs="Arial"/>
                <w:b/>
                <w:bCs/>
                <w:sz w:val="20"/>
                <w:szCs w:val="20"/>
                <w:lang w:eastAsia="pt-BR"/>
              </w:rPr>
            </w:pPr>
            <w:proofErr w:type="spellStart"/>
            <w:r>
              <w:rPr>
                <w:rFonts w:ascii="Arial" w:eastAsia="Times New Roman" w:hAnsi="Arial" w:cs="Arial"/>
                <w:b/>
                <w:bCs/>
                <w:sz w:val="20"/>
                <w:szCs w:val="20"/>
                <w:lang w:eastAsia="pt-BR"/>
              </w:rPr>
              <w:t>Eigenvalue</w:t>
            </w:r>
            <w:proofErr w:type="spellEnd"/>
          </w:p>
        </w:tc>
        <w:tc>
          <w:tcPr>
            <w:tcW w:w="2385" w:type="dxa"/>
            <w:tcBorders>
              <w:bottom w:val="single" w:sz="4" w:space="0" w:color="auto"/>
            </w:tcBorders>
            <w:shd w:val="clear" w:color="auto" w:fill="FFFFFF"/>
            <w:noWrap/>
            <w:vAlign w:val="center"/>
            <w:hideMark/>
          </w:tcPr>
          <w:p w:rsidR="00582034" w:rsidRPr="000B19D4" w:rsidRDefault="00582034" w:rsidP="00527254">
            <w:pPr>
              <w:spacing w:after="0" w:line="240" w:lineRule="auto"/>
              <w:jc w:val="center"/>
              <w:rPr>
                <w:rFonts w:ascii="Arial" w:eastAsia="Times New Roman" w:hAnsi="Arial" w:cs="Arial"/>
                <w:b/>
                <w:bCs/>
                <w:sz w:val="20"/>
                <w:szCs w:val="20"/>
                <w:lang w:eastAsia="pt-BR"/>
              </w:rPr>
            </w:pPr>
            <w:proofErr w:type="spellStart"/>
            <w:r w:rsidRPr="000B19D4">
              <w:rPr>
                <w:rFonts w:ascii="Arial" w:eastAsia="Times New Roman" w:hAnsi="Arial" w:cs="Arial"/>
                <w:b/>
                <w:bCs/>
                <w:sz w:val="20"/>
                <w:szCs w:val="20"/>
                <w:lang w:eastAsia="pt-BR"/>
              </w:rPr>
              <w:t>Propor</w:t>
            </w:r>
            <w:r>
              <w:rPr>
                <w:rFonts w:ascii="Arial" w:eastAsia="Times New Roman" w:hAnsi="Arial" w:cs="Arial"/>
                <w:b/>
                <w:bCs/>
                <w:sz w:val="20"/>
                <w:szCs w:val="20"/>
                <w:lang w:eastAsia="pt-BR"/>
              </w:rPr>
              <w:t>tion</w:t>
            </w:r>
            <w:proofErr w:type="spellEnd"/>
            <w:r>
              <w:rPr>
                <w:rFonts w:ascii="Arial" w:eastAsia="Times New Roman" w:hAnsi="Arial" w:cs="Arial"/>
                <w:b/>
                <w:bCs/>
                <w:sz w:val="20"/>
                <w:szCs w:val="20"/>
                <w:lang w:eastAsia="pt-BR"/>
              </w:rPr>
              <w:t xml:space="preserve"> </w:t>
            </w:r>
            <w:proofErr w:type="spellStart"/>
            <w:r>
              <w:rPr>
                <w:rFonts w:ascii="Arial" w:eastAsia="Times New Roman" w:hAnsi="Arial" w:cs="Arial"/>
                <w:b/>
                <w:bCs/>
                <w:sz w:val="20"/>
                <w:szCs w:val="20"/>
                <w:lang w:eastAsia="pt-BR"/>
              </w:rPr>
              <w:t>of</w:t>
            </w:r>
            <w:proofErr w:type="spellEnd"/>
            <w:r>
              <w:rPr>
                <w:rFonts w:ascii="Arial" w:eastAsia="Times New Roman" w:hAnsi="Arial" w:cs="Arial"/>
                <w:b/>
                <w:bCs/>
                <w:sz w:val="20"/>
                <w:szCs w:val="20"/>
                <w:lang w:eastAsia="pt-BR"/>
              </w:rPr>
              <w:t xml:space="preserve"> </w:t>
            </w:r>
            <w:proofErr w:type="spellStart"/>
            <w:r>
              <w:rPr>
                <w:rFonts w:ascii="Arial" w:eastAsia="Times New Roman" w:hAnsi="Arial" w:cs="Arial"/>
                <w:b/>
                <w:bCs/>
                <w:sz w:val="20"/>
                <w:szCs w:val="20"/>
                <w:lang w:eastAsia="pt-BR"/>
              </w:rPr>
              <w:t>variance</w:t>
            </w:r>
            <w:proofErr w:type="spellEnd"/>
          </w:p>
        </w:tc>
        <w:tc>
          <w:tcPr>
            <w:tcW w:w="3686" w:type="dxa"/>
            <w:tcBorders>
              <w:bottom w:val="single" w:sz="4" w:space="0" w:color="auto"/>
            </w:tcBorders>
            <w:shd w:val="clear" w:color="auto" w:fill="FFFFFF"/>
            <w:noWrap/>
            <w:vAlign w:val="center"/>
            <w:hideMark/>
          </w:tcPr>
          <w:p w:rsidR="00582034" w:rsidRPr="000B19D4" w:rsidRDefault="00582034" w:rsidP="00527254">
            <w:pPr>
              <w:spacing w:after="0" w:line="240" w:lineRule="auto"/>
              <w:jc w:val="center"/>
              <w:rPr>
                <w:rFonts w:ascii="Arial" w:eastAsia="Times New Roman" w:hAnsi="Arial" w:cs="Arial"/>
                <w:b/>
                <w:bCs/>
                <w:sz w:val="20"/>
                <w:szCs w:val="20"/>
                <w:lang w:eastAsia="pt-BR"/>
              </w:rPr>
            </w:pPr>
            <w:proofErr w:type="spellStart"/>
            <w:r>
              <w:rPr>
                <w:rFonts w:ascii="Arial" w:eastAsia="Times New Roman" w:hAnsi="Arial" w:cs="Arial"/>
                <w:b/>
                <w:bCs/>
                <w:sz w:val="20"/>
                <w:szCs w:val="20"/>
                <w:lang w:eastAsia="pt-BR"/>
              </w:rPr>
              <w:t>Cummulative</w:t>
            </w:r>
            <w:proofErr w:type="spellEnd"/>
            <w:r>
              <w:rPr>
                <w:rFonts w:ascii="Arial" w:eastAsia="Times New Roman" w:hAnsi="Arial" w:cs="Arial"/>
                <w:b/>
                <w:bCs/>
                <w:sz w:val="20"/>
                <w:szCs w:val="20"/>
                <w:lang w:eastAsia="pt-BR"/>
              </w:rPr>
              <w:t xml:space="preserve"> </w:t>
            </w:r>
            <w:proofErr w:type="spellStart"/>
            <w:r>
              <w:rPr>
                <w:rFonts w:ascii="Arial" w:eastAsia="Times New Roman" w:hAnsi="Arial" w:cs="Arial"/>
                <w:b/>
                <w:bCs/>
                <w:sz w:val="20"/>
                <w:szCs w:val="20"/>
                <w:lang w:eastAsia="pt-BR"/>
              </w:rPr>
              <w:t>proportion</w:t>
            </w:r>
            <w:proofErr w:type="spellEnd"/>
            <w:r>
              <w:rPr>
                <w:rFonts w:ascii="Arial" w:eastAsia="Times New Roman" w:hAnsi="Arial" w:cs="Arial"/>
                <w:b/>
                <w:bCs/>
                <w:sz w:val="20"/>
                <w:szCs w:val="20"/>
                <w:lang w:eastAsia="pt-BR"/>
              </w:rPr>
              <w:t xml:space="preserve"> </w:t>
            </w:r>
            <w:proofErr w:type="spellStart"/>
            <w:r>
              <w:rPr>
                <w:rFonts w:ascii="Arial" w:eastAsia="Times New Roman" w:hAnsi="Arial" w:cs="Arial"/>
                <w:b/>
                <w:bCs/>
                <w:sz w:val="20"/>
                <w:szCs w:val="20"/>
                <w:lang w:eastAsia="pt-BR"/>
              </w:rPr>
              <w:t>of</w:t>
            </w:r>
            <w:proofErr w:type="spellEnd"/>
            <w:r>
              <w:rPr>
                <w:rFonts w:ascii="Arial" w:eastAsia="Times New Roman" w:hAnsi="Arial" w:cs="Arial"/>
                <w:b/>
                <w:bCs/>
                <w:sz w:val="20"/>
                <w:szCs w:val="20"/>
                <w:lang w:eastAsia="pt-BR"/>
              </w:rPr>
              <w:t xml:space="preserve"> </w:t>
            </w:r>
            <w:proofErr w:type="spellStart"/>
            <w:r>
              <w:rPr>
                <w:rFonts w:ascii="Arial" w:eastAsia="Times New Roman" w:hAnsi="Arial" w:cs="Arial"/>
                <w:b/>
                <w:bCs/>
                <w:sz w:val="20"/>
                <w:szCs w:val="20"/>
                <w:lang w:eastAsia="pt-BR"/>
              </w:rPr>
              <w:t>variance</w:t>
            </w:r>
            <w:proofErr w:type="spellEnd"/>
          </w:p>
        </w:tc>
      </w:tr>
      <w:tr w:rsidR="00582034" w:rsidRPr="000B19D4" w:rsidTr="00527254">
        <w:trPr>
          <w:trHeight w:val="270"/>
          <w:jc w:val="center"/>
        </w:trPr>
        <w:tc>
          <w:tcPr>
            <w:tcW w:w="1474" w:type="dxa"/>
            <w:tcBorders>
              <w:top w:val="single" w:sz="4" w:space="0" w:color="auto"/>
              <w:bottom w:val="nil"/>
              <w:right w:val="single" w:sz="4" w:space="0" w:color="auto"/>
            </w:tcBorders>
            <w:shd w:val="clear" w:color="auto" w:fill="FFFFFF"/>
            <w:noWrap/>
            <w:vAlign w:val="bottom"/>
            <w:hideMark/>
          </w:tcPr>
          <w:p w:rsidR="00582034" w:rsidRPr="005A10EC" w:rsidRDefault="00582034" w:rsidP="00527254">
            <w:pPr>
              <w:spacing w:after="0" w:line="240" w:lineRule="auto"/>
              <w:jc w:val="center"/>
              <w:rPr>
                <w:rFonts w:ascii="Arial" w:eastAsia="Times New Roman" w:hAnsi="Arial" w:cs="Arial"/>
                <w:b/>
                <w:bCs/>
                <w:sz w:val="20"/>
                <w:szCs w:val="20"/>
                <w:lang w:eastAsia="pt-BR"/>
              </w:rPr>
            </w:pPr>
            <w:proofErr w:type="gramStart"/>
            <w:r w:rsidRPr="005A10EC">
              <w:rPr>
                <w:rFonts w:ascii="Arial" w:eastAsia="Times New Roman" w:hAnsi="Arial" w:cs="Arial"/>
                <w:b/>
                <w:bCs/>
                <w:sz w:val="20"/>
                <w:szCs w:val="20"/>
                <w:lang w:eastAsia="pt-BR"/>
              </w:rPr>
              <w:t>1</w:t>
            </w:r>
            <w:proofErr w:type="gramEnd"/>
          </w:p>
        </w:tc>
        <w:tc>
          <w:tcPr>
            <w:tcW w:w="1308" w:type="dxa"/>
            <w:tcBorders>
              <w:top w:val="single" w:sz="4" w:space="0" w:color="auto"/>
              <w:left w:val="single" w:sz="4" w:space="0" w:color="auto"/>
              <w:bottom w:val="nil"/>
            </w:tcBorders>
            <w:shd w:val="clear" w:color="auto" w:fill="FFFFFF"/>
            <w:noWrap/>
            <w:vAlign w:val="bottom"/>
            <w:hideMark/>
          </w:tcPr>
          <w:p w:rsidR="00582034" w:rsidRPr="000B19D4" w:rsidRDefault="00582034" w:rsidP="00527254">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1.</w:t>
            </w:r>
            <w:r w:rsidRPr="000B19D4">
              <w:rPr>
                <w:rFonts w:ascii="Arial" w:eastAsia="Times New Roman" w:hAnsi="Arial" w:cs="Arial"/>
                <w:sz w:val="20"/>
                <w:szCs w:val="20"/>
                <w:lang w:eastAsia="pt-BR"/>
              </w:rPr>
              <w:t>597</w:t>
            </w:r>
          </w:p>
        </w:tc>
        <w:tc>
          <w:tcPr>
            <w:tcW w:w="2385" w:type="dxa"/>
            <w:tcBorders>
              <w:top w:val="single" w:sz="4" w:space="0" w:color="auto"/>
              <w:bottom w:val="nil"/>
            </w:tcBorders>
            <w:shd w:val="clear" w:color="auto" w:fill="FFFFFF"/>
            <w:noWrap/>
            <w:vAlign w:val="bottom"/>
            <w:hideMark/>
          </w:tcPr>
          <w:p w:rsidR="00582034" w:rsidRPr="000B19D4" w:rsidRDefault="00582034" w:rsidP="00527254">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0.</w:t>
            </w:r>
            <w:r w:rsidRPr="000B19D4">
              <w:rPr>
                <w:rFonts w:ascii="Arial" w:eastAsia="Times New Roman" w:hAnsi="Arial" w:cs="Arial"/>
                <w:sz w:val="20"/>
                <w:szCs w:val="20"/>
                <w:lang w:eastAsia="pt-BR"/>
              </w:rPr>
              <w:t>533</w:t>
            </w:r>
          </w:p>
        </w:tc>
        <w:tc>
          <w:tcPr>
            <w:tcW w:w="3686" w:type="dxa"/>
            <w:tcBorders>
              <w:top w:val="single" w:sz="4" w:space="0" w:color="auto"/>
              <w:bottom w:val="nil"/>
            </w:tcBorders>
            <w:shd w:val="clear" w:color="auto" w:fill="FFFFFF"/>
            <w:noWrap/>
            <w:vAlign w:val="bottom"/>
            <w:hideMark/>
          </w:tcPr>
          <w:p w:rsidR="00582034" w:rsidRPr="000B19D4" w:rsidRDefault="00582034" w:rsidP="00527254">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0.</w:t>
            </w:r>
            <w:r w:rsidRPr="000B19D4">
              <w:rPr>
                <w:rFonts w:ascii="Arial" w:eastAsia="Times New Roman" w:hAnsi="Arial" w:cs="Arial"/>
                <w:sz w:val="20"/>
                <w:szCs w:val="20"/>
                <w:lang w:eastAsia="pt-BR"/>
              </w:rPr>
              <w:t>533</w:t>
            </w:r>
          </w:p>
        </w:tc>
      </w:tr>
      <w:tr w:rsidR="00582034" w:rsidRPr="000B19D4" w:rsidTr="00527254">
        <w:trPr>
          <w:trHeight w:val="417"/>
          <w:jc w:val="center"/>
        </w:trPr>
        <w:tc>
          <w:tcPr>
            <w:tcW w:w="1474" w:type="dxa"/>
            <w:tcBorders>
              <w:top w:val="nil"/>
              <w:bottom w:val="nil"/>
              <w:right w:val="single" w:sz="4" w:space="0" w:color="auto"/>
            </w:tcBorders>
            <w:shd w:val="clear" w:color="auto" w:fill="FFFFFF"/>
            <w:noWrap/>
            <w:vAlign w:val="bottom"/>
            <w:hideMark/>
          </w:tcPr>
          <w:p w:rsidR="00582034" w:rsidRPr="005A10EC" w:rsidRDefault="00582034" w:rsidP="00527254">
            <w:pPr>
              <w:spacing w:after="0" w:line="240" w:lineRule="auto"/>
              <w:jc w:val="center"/>
              <w:rPr>
                <w:rFonts w:ascii="Arial" w:eastAsia="Times New Roman" w:hAnsi="Arial" w:cs="Arial"/>
                <w:b/>
                <w:bCs/>
                <w:sz w:val="20"/>
                <w:szCs w:val="20"/>
                <w:lang w:eastAsia="pt-BR"/>
              </w:rPr>
            </w:pPr>
            <w:proofErr w:type="gramStart"/>
            <w:r w:rsidRPr="005A10EC">
              <w:rPr>
                <w:rFonts w:ascii="Arial" w:eastAsia="Times New Roman" w:hAnsi="Arial" w:cs="Arial"/>
                <w:b/>
                <w:bCs/>
                <w:sz w:val="20"/>
                <w:szCs w:val="20"/>
                <w:lang w:eastAsia="pt-BR"/>
              </w:rPr>
              <w:t>2</w:t>
            </w:r>
            <w:proofErr w:type="gramEnd"/>
          </w:p>
        </w:tc>
        <w:tc>
          <w:tcPr>
            <w:tcW w:w="1308" w:type="dxa"/>
            <w:tcBorders>
              <w:top w:val="nil"/>
              <w:left w:val="single" w:sz="4" w:space="0" w:color="auto"/>
              <w:bottom w:val="nil"/>
            </w:tcBorders>
            <w:shd w:val="clear" w:color="auto" w:fill="FFFFFF"/>
            <w:noWrap/>
            <w:vAlign w:val="bottom"/>
            <w:hideMark/>
          </w:tcPr>
          <w:p w:rsidR="00582034" w:rsidRPr="000B19D4" w:rsidRDefault="00582034" w:rsidP="00527254">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0.</w:t>
            </w:r>
            <w:r w:rsidRPr="000B19D4">
              <w:rPr>
                <w:rFonts w:ascii="Arial" w:eastAsia="Times New Roman" w:hAnsi="Arial" w:cs="Arial"/>
                <w:sz w:val="20"/>
                <w:szCs w:val="20"/>
                <w:lang w:eastAsia="pt-BR"/>
              </w:rPr>
              <w:t>707</w:t>
            </w:r>
          </w:p>
        </w:tc>
        <w:tc>
          <w:tcPr>
            <w:tcW w:w="2385" w:type="dxa"/>
            <w:tcBorders>
              <w:top w:val="nil"/>
              <w:bottom w:val="nil"/>
            </w:tcBorders>
            <w:shd w:val="clear" w:color="auto" w:fill="FFFFFF"/>
            <w:noWrap/>
            <w:vAlign w:val="bottom"/>
            <w:hideMark/>
          </w:tcPr>
          <w:p w:rsidR="00582034" w:rsidRPr="000B19D4" w:rsidRDefault="00582034" w:rsidP="00527254">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0.</w:t>
            </w:r>
            <w:r w:rsidRPr="000B19D4">
              <w:rPr>
                <w:rFonts w:ascii="Arial" w:eastAsia="Times New Roman" w:hAnsi="Arial" w:cs="Arial"/>
                <w:sz w:val="20"/>
                <w:szCs w:val="20"/>
                <w:lang w:eastAsia="pt-BR"/>
              </w:rPr>
              <w:t>236</w:t>
            </w:r>
          </w:p>
        </w:tc>
        <w:tc>
          <w:tcPr>
            <w:tcW w:w="3686" w:type="dxa"/>
            <w:tcBorders>
              <w:top w:val="nil"/>
              <w:bottom w:val="nil"/>
            </w:tcBorders>
            <w:shd w:val="clear" w:color="auto" w:fill="FFFFFF"/>
            <w:noWrap/>
            <w:vAlign w:val="bottom"/>
            <w:hideMark/>
          </w:tcPr>
          <w:p w:rsidR="00582034" w:rsidRPr="000B19D4" w:rsidRDefault="00582034" w:rsidP="00527254">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0.</w:t>
            </w:r>
            <w:r w:rsidRPr="000B19D4">
              <w:rPr>
                <w:rFonts w:ascii="Arial" w:eastAsia="Times New Roman" w:hAnsi="Arial" w:cs="Arial"/>
                <w:sz w:val="20"/>
                <w:szCs w:val="20"/>
                <w:lang w:eastAsia="pt-BR"/>
              </w:rPr>
              <w:t>768</w:t>
            </w:r>
          </w:p>
        </w:tc>
      </w:tr>
      <w:tr w:rsidR="00582034" w:rsidRPr="007E77B1" w:rsidTr="00527254">
        <w:trPr>
          <w:trHeight w:val="436"/>
          <w:jc w:val="center"/>
        </w:trPr>
        <w:tc>
          <w:tcPr>
            <w:tcW w:w="1474" w:type="dxa"/>
            <w:tcBorders>
              <w:top w:val="nil"/>
              <w:right w:val="single" w:sz="4" w:space="0" w:color="auto"/>
            </w:tcBorders>
            <w:shd w:val="clear" w:color="auto" w:fill="FFFFFF"/>
            <w:noWrap/>
            <w:vAlign w:val="bottom"/>
            <w:hideMark/>
          </w:tcPr>
          <w:p w:rsidR="00582034" w:rsidRPr="007E77B1" w:rsidRDefault="00582034" w:rsidP="00527254">
            <w:pPr>
              <w:spacing w:after="0" w:line="240" w:lineRule="auto"/>
              <w:jc w:val="center"/>
              <w:rPr>
                <w:rFonts w:ascii="Arial" w:eastAsia="Times New Roman" w:hAnsi="Arial" w:cs="Arial"/>
                <w:b/>
                <w:bCs/>
                <w:sz w:val="20"/>
                <w:szCs w:val="20"/>
                <w:lang w:eastAsia="pt-BR"/>
              </w:rPr>
            </w:pPr>
            <w:proofErr w:type="gramStart"/>
            <w:r w:rsidRPr="007E77B1">
              <w:rPr>
                <w:rFonts w:ascii="Arial" w:eastAsia="Times New Roman" w:hAnsi="Arial" w:cs="Arial"/>
                <w:b/>
                <w:bCs/>
                <w:sz w:val="20"/>
                <w:szCs w:val="20"/>
                <w:lang w:eastAsia="pt-BR"/>
              </w:rPr>
              <w:t>3</w:t>
            </w:r>
            <w:proofErr w:type="gramEnd"/>
          </w:p>
        </w:tc>
        <w:tc>
          <w:tcPr>
            <w:tcW w:w="1308" w:type="dxa"/>
            <w:tcBorders>
              <w:top w:val="nil"/>
              <w:left w:val="single" w:sz="4" w:space="0" w:color="auto"/>
            </w:tcBorders>
            <w:shd w:val="clear" w:color="auto" w:fill="FFFFFF"/>
            <w:noWrap/>
            <w:vAlign w:val="bottom"/>
            <w:hideMark/>
          </w:tcPr>
          <w:p w:rsidR="00582034" w:rsidRPr="007E77B1" w:rsidRDefault="00582034" w:rsidP="00527254">
            <w:pPr>
              <w:spacing w:after="0" w:line="240" w:lineRule="auto"/>
              <w:jc w:val="center"/>
              <w:rPr>
                <w:rFonts w:ascii="Arial" w:eastAsia="Times New Roman" w:hAnsi="Arial" w:cs="Arial"/>
                <w:sz w:val="20"/>
                <w:szCs w:val="20"/>
                <w:lang w:eastAsia="pt-BR"/>
              </w:rPr>
            </w:pPr>
            <w:r w:rsidRPr="007E77B1">
              <w:rPr>
                <w:rFonts w:ascii="Arial" w:eastAsia="Times New Roman" w:hAnsi="Arial" w:cs="Arial"/>
                <w:sz w:val="20"/>
                <w:szCs w:val="20"/>
                <w:lang w:eastAsia="pt-BR"/>
              </w:rPr>
              <w:t>0.695</w:t>
            </w:r>
          </w:p>
        </w:tc>
        <w:tc>
          <w:tcPr>
            <w:tcW w:w="2385" w:type="dxa"/>
            <w:tcBorders>
              <w:top w:val="nil"/>
            </w:tcBorders>
            <w:shd w:val="clear" w:color="auto" w:fill="FFFFFF"/>
            <w:noWrap/>
            <w:vAlign w:val="bottom"/>
            <w:hideMark/>
          </w:tcPr>
          <w:p w:rsidR="00582034" w:rsidRPr="007E77B1" w:rsidRDefault="00582034" w:rsidP="00527254">
            <w:pPr>
              <w:spacing w:after="0" w:line="240" w:lineRule="auto"/>
              <w:jc w:val="center"/>
              <w:rPr>
                <w:rFonts w:ascii="Arial" w:eastAsia="Times New Roman" w:hAnsi="Arial" w:cs="Arial"/>
                <w:sz w:val="20"/>
                <w:szCs w:val="20"/>
                <w:lang w:eastAsia="pt-BR"/>
              </w:rPr>
            </w:pPr>
            <w:r w:rsidRPr="007E77B1">
              <w:rPr>
                <w:rFonts w:ascii="Arial" w:eastAsia="Times New Roman" w:hAnsi="Arial" w:cs="Arial"/>
                <w:sz w:val="20"/>
                <w:szCs w:val="20"/>
                <w:lang w:eastAsia="pt-BR"/>
              </w:rPr>
              <w:t>0.232</w:t>
            </w:r>
          </w:p>
        </w:tc>
        <w:tc>
          <w:tcPr>
            <w:tcW w:w="3686" w:type="dxa"/>
            <w:tcBorders>
              <w:top w:val="nil"/>
            </w:tcBorders>
            <w:shd w:val="clear" w:color="auto" w:fill="FFFFFF"/>
            <w:noWrap/>
            <w:vAlign w:val="bottom"/>
            <w:hideMark/>
          </w:tcPr>
          <w:p w:rsidR="00582034" w:rsidRPr="007E77B1" w:rsidRDefault="00582034" w:rsidP="00527254">
            <w:pPr>
              <w:spacing w:after="0" w:line="240" w:lineRule="auto"/>
              <w:jc w:val="center"/>
              <w:rPr>
                <w:rFonts w:ascii="Arial" w:eastAsia="Times New Roman" w:hAnsi="Arial" w:cs="Arial"/>
                <w:sz w:val="20"/>
                <w:szCs w:val="20"/>
                <w:lang w:eastAsia="pt-BR"/>
              </w:rPr>
            </w:pPr>
            <w:r w:rsidRPr="007E77B1">
              <w:rPr>
                <w:rFonts w:ascii="Arial" w:eastAsia="Times New Roman" w:hAnsi="Arial" w:cs="Arial"/>
                <w:sz w:val="20"/>
                <w:szCs w:val="20"/>
                <w:lang w:eastAsia="pt-BR"/>
              </w:rPr>
              <w:t>1.000</w:t>
            </w:r>
          </w:p>
        </w:tc>
      </w:tr>
    </w:tbl>
    <w:p w:rsidR="00582034" w:rsidRDefault="00582034" w:rsidP="007F7E30">
      <w:pPr>
        <w:autoSpaceDE w:val="0"/>
        <w:autoSpaceDN w:val="0"/>
        <w:adjustRightInd w:val="0"/>
        <w:spacing w:line="480" w:lineRule="auto"/>
        <w:jc w:val="both"/>
        <w:rPr>
          <w:rFonts w:ascii="Arial" w:hAnsi="Arial" w:cs="Arial"/>
          <w:sz w:val="24"/>
          <w:szCs w:val="24"/>
          <w:lang w:val="en-US" w:eastAsia="pt-BR"/>
        </w:rPr>
      </w:pPr>
    </w:p>
    <w:p w:rsidR="00582034" w:rsidRDefault="00582034" w:rsidP="00582034">
      <w:pPr>
        <w:autoSpaceDE w:val="0"/>
        <w:autoSpaceDN w:val="0"/>
        <w:adjustRightInd w:val="0"/>
        <w:spacing w:line="240" w:lineRule="auto"/>
        <w:ind w:firstLine="709"/>
        <w:jc w:val="center"/>
        <w:rPr>
          <w:rFonts w:ascii="Arial" w:hAnsi="Arial" w:cs="Arial"/>
          <w:sz w:val="24"/>
          <w:szCs w:val="24"/>
          <w:lang w:val="en-US" w:eastAsia="pt-BR"/>
        </w:rPr>
      </w:pPr>
      <w:r>
        <w:rPr>
          <w:rFonts w:ascii="Arial" w:hAnsi="Arial" w:cs="Arial"/>
          <w:sz w:val="24"/>
          <w:szCs w:val="24"/>
          <w:lang w:val="en-US" w:eastAsia="pt-BR"/>
        </w:rPr>
        <w:t>Table 4</w:t>
      </w:r>
    </w:p>
    <w:p w:rsidR="00582034" w:rsidRPr="002965B3" w:rsidRDefault="00582034" w:rsidP="00582034">
      <w:pPr>
        <w:autoSpaceDE w:val="0"/>
        <w:autoSpaceDN w:val="0"/>
        <w:adjustRightInd w:val="0"/>
        <w:spacing w:line="240" w:lineRule="auto"/>
        <w:ind w:firstLine="709"/>
        <w:jc w:val="center"/>
        <w:rPr>
          <w:rFonts w:ascii="Arial" w:hAnsi="Arial" w:cs="Arial"/>
          <w:sz w:val="24"/>
          <w:szCs w:val="24"/>
          <w:lang w:val="en-US" w:eastAsia="pt-BR"/>
        </w:rPr>
      </w:pPr>
      <w:r w:rsidRPr="002965B3">
        <w:rPr>
          <w:rFonts w:ascii="Arial" w:hAnsi="Arial" w:cs="Arial"/>
          <w:sz w:val="24"/>
          <w:szCs w:val="24"/>
          <w:lang w:val="en-US" w:eastAsia="pt-BR"/>
        </w:rPr>
        <w:t xml:space="preserve">Principal </w:t>
      </w:r>
      <w:proofErr w:type="gramStart"/>
      <w:r w:rsidRPr="002965B3">
        <w:rPr>
          <w:rFonts w:ascii="Arial" w:hAnsi="Arial" w:cs="Arial"/>
          <w:sz w:val="24"/>
          <w:szCs w:val="24"/>
          <w:lang w:val="en-US" w:eastAsia="pt-BR"/>
        </w:rPr>
        <w:t>components  -</w:t>
      </w:r>
      <w:proofErr w:type="gramEnd"/>
      <w:r w:rsidRPr="002965B3">
        <w:rPr>
          <w:rFonts w:ascii="Arial" w:hAnsi="Arial" w:cs="Arial"/>
          <w:sz w:val="24"/>
          <w:szCs w:val="24"/>
          <w:lang w:val="en-US" w:eastAsia="pt-BR"/>
        </w:rPr>
        <w:t xml:space="preserve"> factor loadings (no. of </w:t>
      </w:r>
      <w:proofErr w:type="spellStart"/>
      <w:r w:rsidRPr="002965B3">
        <w:rPr>
          <w:rFonts w:ascii="Arial" w:hAnsi="Arial" w:cs="Arial"/>
          <w:sz w:val="24"/>
          <w:szCs w:val="24"/>
          <w:lang w:val="en-US" w:eastAsia="pt-BR"/>
        </w:rPr>
        <w:t>obs</w:t>
      </w:r>
      <w:proofErr w:type="spellEnd"/>
      <w:r w:rsidRPr="002965B3">
        <w:rPr>
          <w:rFonts w:ascii="Arial" w:hAnsi="Arial" w:cs="Arial"/>
          <w:sz w:val="24"/>
          <w:szCs w:val="24"/>
          <w:lang w:val="en-US" w:eastAsia="pt-BR"/>
        </w:rPr>
        <w:t>: 69)</w:t>
      </w:r>
    </w:p>
    <w:tbl>
      <w:tblPr>
        <w:tblW w:w="3820" w:type="dxa"/>
        <w:jc w:val="center"/>
        <w:tblInd w:w="55" w:type="dxa"/>
        <w:tblCellMar>
          <w:left w:w="70" w:type="dxa"/>
          <w:right w:w="70" w:type="dxa"/>
        </w:tblCellMar>
        <w:tblLook w:val="04A0" w:firstRow="1" w:lastRow="0" w:firstColumn="1" w:lastColumn="0" w:noHBand="0" w:noVBand="1"/>
      </w:tblPr>
      <w:tblGrid>
        <w:gridCol w:w="1030"/>
        <w:gridCol w:w="930"/>
        <w:gridCol w:w="930"/>
        <w:gridCol w:w="930"/>
      </w:tblGrid>
      <w:tr w:rsidR="00582034" w:rsidRPr="000B19D4" w:rsidTr="00527254">
        <w:trPr>
          <w:trHeight w:val="447"/>
          <w:jc w:val="center"/>
        </w:trPr>
        <w:tc>
          <w:tcPr>
            <w:tcW w:w="1030" w:type="dxa"/>
            <w:tcBorders>
              <w:bottom w:val="single" w:sz="4" w:space="0" w:color="auto"/>
              <w:right w:val="single" w:sz="4" w:space="0" w:color="auto"/>
            </w:tcBorders>
            <w:shd w:val="clear" w:color="auto" w:fill="FFFFFF"/>
            <w:noWrap/>
            <w:vAlign w:val="center"/>
            <w:hideMark/>
          </w:tcPr>
          <w:p w:rsidR="00582034" w:rsidRPr="000B19D4" w:rsidRDefault="00582034" w:rsidP="00527254">
            <w:pPr>
              <w:spacing w:after="0" w:line="240" w:lineRule="auto"/>
              <w:rPr>
                <w:rFonts w:ascii="Arial" w:eastAsia="Times New Roman" w:hAnsi="Arial" w:cs="Arial"/>
                <w:b/>
                <w:bCs/>
                <w:sz w:val="20"/>
                <w:szCs w:val="20"/>
                <w:lang w:eastAsia="pt-BR"/>
              </w:rPr>
            </w:pPr>
            <w:proofErr w:type="spellStart"/>
            <w:r>
              <w:rPr>
                <w:rFonts w:ascii="Arial" w:eastAsia="Times New Roman" w:hAnsi="Arial" w:cs="Arial"/>
                <w:b/>
                <w:bCs/>
                <w:sz w:val="20"/>
                <w:szCs w:val="20"/>
                <w:lang w:eastAsia="pt-BR"/>
              </w:rPr>
              <w:t>Variable</w:t>
            </w:r>
            <w:proofErr w:type="spellEnd"/>
          </w:p>
        </w:tc>
        <w:tc>
          <w:tcPr>
            <w:tcW w:w="930" w:type="dxa"/>
            <w:tcBorders>
              <w:left w:val="single" w:sz="4" w:space="0" w:color="auto"/>
              <w:bottom w:val="single" w:sz="4" w:space="0" w:color="auto"/>
            </w:tcBorders>
            <w:shd w:val="clear" w:color="auto" w:fill="FFFFFF"/>
            <w:noWrap/>
            <w:vAlign w:val="center"/>
            <w:hideMark/>
          </w:tcPr>
          <w:p w:rsidR="00582034" w:rsidRPr="000B19D4" w:rsidRDefault="00582034" w:rsidP="00527254">
            <w:pPr>
              <w:spacing w:after="0" w:line="240" w:lineRule="auto"/>
              <w:jc w:val="center"/>
              <w:rPr>
                <w:rFonts w:ascii="Arial" w:eastAsia="Times New Roman" w:hAnsi="Arial" w:cs="Arial"/>
                <w:b/>
                <w:bCs/>
                <w:sz w:val="20"/>
                <w:szCs w:val="20"/>
                <w:lang w:eastAsia="pt-BR"/>
              </w:rPr>
            </w:pPr>
            <w:r w:rsidRPr="000B19D4">
              <w:rPr>
                <w:rFonts w:ascii="Arial" w:eastAsia="Times New Roman" w:hAnsi="Arial" w:cs="Arial"/>
                <w:b/>
                <w:bCs/>
                <w:sz w:val="20"/>
                <w:szCs w:val="20"/>
                <w:lang w:eastAsia="pt-BR"/>
              </w:rPr>
              <w:t>Comp1</w:t>
            </w:r>
          </w:p>
        </w:tc>
        <w:tc>
          <w:tcPr>
            <w:tcW w:w="930" w:type="dxa"/>
            <w:tcBorders>
              <w:bottom w:val="single" w:sz="4" w:space="0" w:color="auto"/>
            </w:tcBorders>
            <w:shd w:val="clear" w:color="auto" w:fill="FFFFFF"/>
            <w:noWrap/>
            <w:vAlign w:val="center"/>
            <w:hideMark/>
          </w:tcPr>
          <w:p w:rsidR="00582034" w:rsidRPr="000B19D4" w:rsidRDefault="00582034" w:rsidP="00527254">
            <w:pPr>
              <w:spacing w:after="0" w:line="240" w:lineRule="auto"/>
              <w:jc w:val="center"/>
              <w:rPr>
                <w:rFonts w:ascii="Arial" w:eastAsia="Times New Roman" w:hAnsi="Arial" w:cs="Arial"/>
                <w:b/>
                <w:bCs/>
                <w:sz w:val="20"/>
                <w:szCs w:val="20"/>
                <w:lang w:eastAsia="pt-BR"/>
              </w:rPr>
            </w:pPr>
            <w:r w:rsidRPr="000B19D4">
              <w:rPr>
                <w:rFonts w:ascii="Arial" w:eastAsia="Times New Roman" w:hAnsi="Arial" w:cs="Arial"/>
                <w:b/>
                <w:bCs/>
                <w:sz w:val="20"/>
                <w:szCs w:val="20"/>
                <w:lang w:eastAsia="pt-BR"/>
              </w:rPr>
              <w:t>Comp2</w:t>
            </w:r>
          </w:p>
        </w:tc>
        <w:tc>
          <w:tcPr>
            <w:tcW w:w="930" w:type="dxa"/>
            <w:tcBorders>
              <w:bottom w:val="single" w:sz="4" w:space="0" w:color="auto"/>
            </w:tcBorders>
            <w:shd w:val="clear" w:color="auto" w:fill="FFFFFF"/>
            <w:noWrap/>
            <w:vAlign w:val="center"/>
            <w:hideMark/>
          </w:tcPr>
          <w:p w:rsidR="00582034" w:rsidRPr="000B19D4" w:rsidRDefault="00582034" w:rsidP="00527254">
            <w:pPr>
              <w:spacing w:after="0" w:line="240" w:lineRule="auto"/>
              <w:jc w:val="center"/>
              <w:rPr>
                <w:rFonts w:ascii="Arial" w:eastAsia="Times New Roman" w:hAnsi="Arial" w:cs="Arial"/>
                <w:b/>
                <w:bCs/>
                <w:sz w:val="20"/>
                <w:szCs w:val="20"/>
                <w:lang w:eastAsia="pt-BR"/>
              </w:rPr>
            </w:pPr>
            <w:r w:rsidRPr="000B19D4">
              <w:rPr>
                <w:rFonts w:ascii="Arial" w:eastAsia="Times New Roman" w:hAnsi="Arial" w:cs="Arial"/>
                <w:b/>
                <w:bCs/>
                <w:sz w:val="20"/>
                <w:szCs w:val="20"/>
                <w:lang w:eastAsia="pt-BR"/>
              </w:rPr>
              <w:t>Comp3</w:t>
            </w:r>
          </w:p>
        </w:tc>
      </w:tr>
      <w:tr w:rsidR="00582034" w:rsidRPr="000B19D4" w:rsidTr="00527254">
        <w:trPr>
          <w:trHeight w:val="270"/>
          <w:jc w:val="center"/>
        </w:trPr>
        <w:tc>
          <w:tcPr>
            <w:tcW w:w="1030" w:type="dxa"/>
            <w:tcBorders>
              <w:top w:val="single" w:sz="4" w:space="0" w:color="auto"/>
              <w:right w:val="single" w:sz="4" w:space="0" w:color="auto"/>
            </w:tcBorders>
            <w:shd w:val="clear" w:color="auto" w:fill="FFFFFF"/>
            <w:noWrap/>
            <w:vAlign w:val="bottom"/>
            <w:hideMark/>
          </w:tcPr>
          <w:p w:rsidR="00582034" w:rsidRPr="000B19D4" w:rsidRDefault="00582034" w:rsidP="00527254">
            <w:pPr>
              <w:spacing w:after="0" w:line="240" w:lineRule="auto"/>
              <w:rPr>
                <w:rFonts w:ascii="Arial" w:eastAsia="Times New Roman" w:hAnsi="Arial" w:cs="Arial"/>
                <w:b/>
                <w:bCs/>
                <w:sz w:val="20"/>
                <w:szCs w:val="20"/>
                <w:lang w:eastAsia="pt-BR"/>
              </w:rPr>
            </w:pPr>
            <w:r>
              <w:rPr>
                <w:rFonts w:ascii="Arial" w:eastAsia="Times New Roman" w:hAnsi="Arial" w:cs="Arial"/>
                <w:b/>
                <w:bCs/>
                <w:sz w:val="20"/>
                <w:szCs w:val="20"/>
                <w:lang w:eastAsia="pt-BR"/>
              </w:rPr>
              <w:t>ENT</w:t>
            </w:r>
          </w:p>
        </w:tc>
        <w:tc>
          <w:tcPr>
            <w:tcW w:w="930" w:type="dxa"/>
            <w:tcBorders>
              <w:top w:val="single" w:sz="4" w:space="0" w:color="auto"/>
              <w:left w:val="single" w:sz="4" w:space="0" w:color="auto"/>
            </w:tcBorders>
            <w:shd w:val="clear" w:color="auto" w:fill="FFFFFF"/>
            <w:noWrap/>
            <w:vAlign w:val="bottom"/>
            <w:hideMark/>
          </w:tcPr>
          <w:p w:rsidR="00582034" w:rsidRPr="000B19D4" w:rsidRDefault="00582034" w:rsidP="00527254">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-0.576</w:t>
            </w:r>
          </w:p>
        </w:tc>
        <w:tc>
          <w:tcPr>
            <w:tcW w:w="930" w:type="dxa"/>
            <w:tcBorders>
              <w:top w:val="single" w:sz="4" w:space="0" w:color="auto"/>
            </w:tcBorders>
            <w:shd w:val="clear" w:color="auto" w:fill="FFFFFF"/>
            <w:noWrap/>
            <w:vAlign w:val="bottom"/>
            <w:hideMark/>
          </w:tcPr>
          <w:p w:rsidR="00582034" w:rsidRPr="000B19D4" w:rsidRDefault="00582034" w:rsidP="00527254">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0.683</w:t>
            </w:r>
          </w:p>
        </w:tc>
        <w:tc>
          <w:tcPr>
            <w:tcW w:w="930" w:type="dxa"/>
            <w:tcBorders>
              <w:top w:val="single" w:sz="4" w:space="0" w:color="auto"/>
            </w:tcBorders>
            <w:shd w:val="clear" w:color="auto" w:fill="FFFFFF"/>
            <w:noWrap/>
            <w:vAlign w:val="bottom"/>
            <w:hideMark/>
          </w:tcPr>
          <w:p w:rsidR="00582034" w:rsidRPr="000B19D4" w:rsidRDefault="00582034" w:rsidP="00527254">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0.</w:t>
            </w:r>
            <w:r w:rsidRPr="000B19D4">
              <w:rPr>
                <w:rFonts w:ascii="Arial" w:eastAsia="Times New Roman" w:hAnsi="Arial" w:cs="Arial"/>
                <w:sz w:val="20"/>
                <w:szCs w:val="20"/>
                <w:lang w:eastAsia="pt-BR"/>
              </w:rPr>
              <w:t>4</w:t>
            </w:r>
            <w:r>
              <w:rPr>
                <w:rFonts w:ascii="Arial" w:eastAsia="Times New Roman" w:hAnsi="Arial" w:cs="Arial"/>
                <w:sz w:val="20"/>
                <w:szCs w:val="20"/>
                <w:lang w:eastAsia="pt-BR"/>
              </w:rPr>
              <w:t>50</w:t>
            </w:r>
          </w:p>
        </w:tc>
      </w:tr>
      <w:tr w:rsidR="00582034" w:rsidRPr="000B19D4" w:rsidTr="00527254">
        <w:trPr>
          <w:trHeight w:val="449"/>
          <w:jc w:val="center"/>
        </w:trPr>
        <w:tc>
          <w:tcPr>
            <w:tcW w:w="1030" w:type="dxa"/>
            <w:tcBorders>
              <w:right w:val="single" w:sz="4" w:space="0" w:color="auto"/>
            </w:tcBorders>
            <w:shd w:val="clear" w:color="auto" w:fill="FFFFFF"/>
            <w:noWrap/>
            <w:vAlign w:val="bottom"/>
            <w:hideMark/>
          </w:tcPr>
          <w:p w:rsidR="00582034" w:rsidRPr="000B19D4" w:rsidRDefault="00582034" w:rsidP="00527254">
            <w:pPr>
              <w:spacing w:after="0" w:line="240" w:lineRule="auto"/>
              <w:rPr>
                <w:rFonts w:ascii="Arial" w:eastAsia="Times New Roman" w:hAnsi="Arial" w:cs="Arial"/>
                <w:b/>
                <w:bCs/>
                <w:sz w:val="20"/>
                <w:szCs w:val="20"/>
                <w:lang w:eastAsia="pt-BR"/>
              </w:rPr>
            </w:pPr>
            <w:r>
              <w:rPr>
                <w:rFonts w:ascii="Arial" w:eastAsia="Times New Roman" w:hAnsi="Arial" w:cs="Arial"/>
                <w:b/>
                <w:bCs/>
                <w:sz w:val="20"/>
                <w:szCs w:val="20"/>
                <w:lang w:eastAsia="pt-BR"/>
              </w:rPr>
              <w:t>CONC</w:t>
            </w:r>
          </w:p>
        </w:tc>
        <w:tc>
          <w:tcPr>
            <w:tcW w:w="930" w:type="dxa"/>
            <w:tcBorders>
              <w:left w:val="single" w:sz="4" w:space="0" w:color="auto"/>
            </w:tcBorders>
            <w:shd w:val="clear" w:color="auto" w:fill="FFFFFF"/>
            <w:noWrap/>
            <w:vAlign w:val="bottom"/>
            <w:hideMark/>
          </w:tcPr>
          <w:p w:rsidR="00582034" w:rsidRPr="000B19D4" w:rsidRDefault="00582034" w:rsidP="00527254">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0.</w:t>
            </w:r>
            <w:r w:rsidRPr="000B19D4">
              <w:rPr>
                <w:rFonts w:ascii="Arial" w:eastAsia="Times New Roman" w:hAnsi="Arial" w:cs="Arial"/>
                <w:sz w:val="20"/>
                <w:szCs w:val="20"/>
                <w:lang w:eastAsia="pt-BR"/>
              </w:rPr>
              <w:t>575</w:t>
            </w:r>
          </w:p>
        </w:tc>
        <w:tc>
          <w:tcPr>
            <w:tcW w:w="930" w:type="dxa"/>
            <w:shd w:val="clear" w:color="auto" w:fill="FFFFFF"/>
            <w:noWrap/>
            <w:vAlign w:val="bottom"/>
            <w:hideMark/>
          </w:tcPr>
          <w:p w:rsidR="00582034" w:rsidRPr="000B19D4" w:rsidRDefault="00582034" w:rsidP="00527254">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0.</w:t>
            </w:r>
            <w:r w:rsidRPr="000B19D4">
              <w:rPr>
                <w:rFonts w:ascii="Arial" w:eastAsia="Times New Roman" w:hAnsi="Arial" w:cs="Arial"/>
                <w:sz w:val="20"/>
                <w:szCs w:val="20"/>
                <w:lang w:eastAsia="pt-BR"/>
              </w:rPr>
              <w:t>729</w:t>
            </w:r>
          </w:p>
        </w:tc>
        <w:tc>
          <w:tcPr>
            <w:tcW w:w="930" w:type="dxa"/>
            <w:shd w:val="clear" w:color="auto" w:fill="FFFFFF"/>
            <w:noWrap/>
            <w:vAlign w:val="bottom"/>
            <w:hideMark/>
          </w:tcPr>
          <w:p w:rsidR="00582034" w:rsidRPr="000B19D4" w:rsidRDefault="00582034" w:rsidP="00527254">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-0.</w:t>
            </w:r>
            <w:r w:rsidRPr="000B19D4">
              <w:rPr>
                <w:rFonts w:ascii="Arial" w:eastAsia="Times New Roman" w:hAnsi="Arial" w:cs="Arial"/>
                <w:sz w:val="20"/>
                <w:szCs w:val="20"/>
                <w:lang w:eastAsia="pt-BR"/>
              </w:rPr>
              <w:t>371</w:t>
            </w:r>
          </w:p>
        </w:tc>
      </w:tr>
      <w:tr w:rsidR="00582034" w:rsidRPr="000B19D4" w:rsidTr="00527254">
        <w:trPr>
          <w:trHeight w:val="427"/>
          <w:jc w:val="center"/>
        </w:trPr>
        <w:tc>
          <w:tcPr>
            <w:tcW w:w="1030" w:type="dxa"/>
            <w:tcBorders>
              <w:right w:val="single" w:sz="4" w:space="0" w:color="auto"/>
            </w:tcBorders>
            <w:shd w:val="clear" w:color="auto" w:fill="FFFFFF"/>
            <w:noWrap/>
            <w:vAlign w:val="bottom"/>
            <w:hideMark/>
          </w:tcPr>
          <w:p w:rsidR="00582034" w:rsidRPr="000B19D4" w:rsidRDefault="00582034" w:rsidP="00527254">
            <w:pPr>
              <w:spacing w:after="0" w:line="240" w:lineRule="auto"/>
              <w:rPr>
                <w:rFonts w:ascii="Arial" w:eastAsia="Times New Roman" w:hAnsi="Arial" w:cs="Arial"/>
                <w:b/>
                <w:bCs/>
                <w:sz w:val="20"/>
                <w:szCs w:val="20"/>
                <w:lang w:eastAsia="pt-BR"/>
              </w:rPr>
            </w:pPr>
            <w:r>
              <w:rPr>
                <w:rFonts w:ascii="Arial" w:eastAsia="Times New Roman" w:hAnsi="Arial" w:cs="Arial"/>
                <w:b/>
                <w:bCs/>
                <w:sz w:val="20"/>
                <w:szCs w:val="20"/>
                <w:lang w:eastAsia="pt-BR"/>
              </w:rPr>
              <w:t>STAB</w:t>
            </w:r>
          </w:p>
        </w:tc>
        <w:tc>
          <w:tcPr>
            <w:tcW w:w="930" w:type="dxa"/>
            <w:tcBorders>
              <w:left w:val="single" w:sz="4" w:space="0" w:color="auto"/>
            </w:tcBorders>
            <w:shd w:val="clear" w:color="auto" w:fill="FFFFFF"/>
            <w:noWrap/>
            <w:vAlign w:val="bottom"/>
            <w:hideMark/>
          </w:tcPr>
          <w:p w:rsidR="00582034" w:rsidRPr="000B19D4" w:rsidRDefault="00582034" w:rsidP="00527254">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0.</w:t>
            </w:r>
            <w:r w:rsidRPr="000B19D4">
              <w:rPr>
                <w:rFonts w:ascii="Arial" w:eastAsia="Times New Roman" w:hAnsi="Arial" w:cs="Arial"/>
                <w:sz w:val="20"/>
                <w:szCs w:val="20"/>
                <w:lang w:eastAsia="pt-BR"/>
              </w:rPr>
              <w:t>581</w:t>
            </w:r>
          </w:p>
        </w:tc>
        <w:tc>
          <w:tcPr>
            <w:tcW w:w="930" w:type="dxa"/>
            <w:shd w:val="clear" w:color="auto" w:fill="FFFFFF"/>
            <w:noWrap/>
            <w:vAlign w:val="bottom"/>
            <w:hideMark/>
          </w:tcPr>
          <w:p w:rsidR="00582034" w:rsidRPr="000B19D4" w:rsidRDefault="00582034" w:rsidP="00527254">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-0.045</w:t>
            </w:r>
          </w:p>
        </w:tc>
        <w:tc>
          <w:tcPr>
            <w:tcW w:w="930" w:type="dxa"/>
            <w:shd w:val="clear" w:color="auto" w:fill="FFFFFF"/>
            <w:noWrap/>
            <w:vAlign w:val="bottom"/>
            <w:hideMark/>
          </w:tcPr>
          <w:p w:rsidR="00582034" w:rsidRPr="000B19D4" w:rsidRDefault="00582034" w:rsidP="00527254">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0.813</w:t>
            </w:r>
          </w:p>
        </w:tc>
      </w:tr>
    </w:tbl>
    <w:p w:rsidR="00582034" w:rsidRDefault="00582034" w:rsidP="007F7E30">
      <w:pPr>
        <w:autoSpaceDE w:val="0"/>
        <w:autoSpaceDN w:val="0"/>
        <w:adjustRightInd w:val="0"/>
        <w:spacing w:line="480" w:lineRule="auto"/>
        <w:jc w:val="both"/>
        <w:rPr>
          <w:rFonts w:ascii="Arial" w:hAnsi="Arial" w:cs="Arial"/>
          <w:sz w:val="24"/>
          <w:szCs w:val="24"/>
          <w:lang w:val="en-US" w:eastAsia="pt-BR"/>
        </w:rPr>
      </w:pPr>
    </w:p>
    <w:p w:rsidR="00582034" w:rsidRDefault="00582034" w:rsidP="007F7E30">
      <w:pPr>
        <w:autoSpaceDE w:val="0"/>
        <w:autoSpaceDN w:val="0"/>
        <w:adjustRightInd w:val="0"/>
        <w:spacing w:line="480" w:lineRule="auto"/>
        <w:jc w:val="both"/>
        <w:rPr>
          <w:rFonts w:ascii="Arial" w:hAnsi="Arial" w:cs="Arial"/>
          <w:sz w:val="24"/>
          <w:szCs w:val="24"/>
          <w:lang w:val="en-US" w:eastAsia="pt-BR"/>
        </w:rPr>
      </w:pPr>
    </w:p>
    <w:p w:rsidR="00582034" w:rsidRDefault="00582034" w:rsidP="007F7E30">
      <w:pPr>
        <w:autoSpaceDE w:val="0"/>
        <w:autoSpaceDN w:val="0"/>
        <w:adjustRightInd w:val="0"/>
        <w:spacing w:line="480" w:lineRule="auto"/>
        <w:jc w:val="both"/>
        <w:rPr>
          <w:rFonts w:ascii="Arial" w:hAnsi="Arial" w:cs="Arial"/>
          <w:sz w:val="24"/>
          <w:szCs w:val="24"/>
          <w:lang w:val="en-US" w:eastAsia="pt-BR"/>
        </w:rPr>
      </w:pPr>
    </w:p>
    <w:p w:rsidR="00582034" w:rsidRDefault="00582034" w:rsidP="007F7E30">
      <w:pPr>
        <w:autoSpaceDE w:val="0"/>
        <w:autoSpaceDN w:val="0"/>
        <w:adjustRightInd w:val="0"/>
        <w:spacing w:line="480" w:lineRule="auto"/>
        <w:jc w:val="both"/>
        <w:rPr>
          <w:rFonts w:ascii="Arial" w:hAnsi="Arial" w:cs="Arial"/>
          <w:sz w:val="24"/>
          <w:szCs w:val="24"/>
          <w:lang w:val="en-US" w:eastAsia="pt-BR"/>
        </w:rPr>
      </w:pPr>
    </w:p>
    <w:p w:rsidR="00582034" w:rsidRDefault="00582034" w:rsidP="007F7E30">
      <w:pPr>
        <w:autoSpaceDE w:val="0"/>
        <w:autoSpaceDN w:val="0"/>
        <w:adjustRightInd w:val="0"/>
        <w:spacing w:line="480" w:lineRule="auto"/>
        <w:jc w:val="both"/>
        <w:rPr>
          <w:rFonts w:ascii="Arial" w:hAnsi="Arial" w:cs="Arial"/>
          <w:sz w:val="24"/>
          <w:szCs w:val="24"/>
          <w:lang w:val="en-US" w:eastAsia="pt-BR"/>
        </w:rPr>
      </w:pPr>
    </w:p>
    <w:p w:rsidR="00582034" w:rsidRDefault="00582034" w:rsidP="007F7E30">
      <w:pPr>
        <w:autoSpaceDE w:val="0"/>
        <w:autoSpaceDN w:val="0"/>
        <w:adjustRightInd w:val="0"/>
        <w:spacing w:line="480" w:lineRule="auto"/>
        <w:jc w:val="both"/>
        <w:rPr>
          <w:rFonts w:ascii="Arial" w:hAnsi="Arial" w:cs="Arial"/>
          <w:sz w:val="24"/>
          <w:szCs w:val="24"/>
          <w:lang w:val="en-US" w:eastAsia="pt-BR"/>
        </w:rPr>
      </w:pPr>
    </w:p>
    <w:p w:rsidR="00582034" w:rsidRDefault="00582034" w:rsidP="00582034">
      <w:pPr>
        <w:autoSpaceDE w:val="0"/>
        <w:autoSpaceDN w:val="0"/>
        <w:adjustRightInd w:val="0"/>
        <w:spacing w:line="240" w:lineRule="auto"/>
        <w:ind w:firstLine="709"/>
        <w:jc w:val="center"/>
        <w:rPr>
          <w:rFonts w:ascii="Arial" w:hAnsi="Arial" w:cs="Arial"/>
          <w:sz w:val="24"/>
          <w:szCs w:val="24"/>
          <w:lang w:eastAsia="pt-BR"/>
        </w:rPr>
      </w:pPr>
      <w:proofErr w:type="spellStart"/>
      <w:r>
        <w:rPr>
          <w:rFonts w:ascii="Arial" w:hAnsi="Arial" w:cs="Arial"/>
          <w:sz w:val="24"/>
          <w:szCs w:val="24"/>
          <w:lang w:eastAsia="pt-BR"/>
        </w:rPr>
        <w:lastRenderedPageBreak/>
        <w:t>Table</w:t>
      </w:r>
      <w:proofErr w:type="spellEnd"/>
      <w:r>
        <w:rPr>
          <w:rFonts w:ascii="Arial" w:hAnsi="Arial" w:cs="Arial"/>
          <w:sz w:val="24"/>
          <w:szCs w:val="24"/>
          <w:lang w:eastAsia="pt-BR"/>
        </w:rPr>
        <w:t xml:space="preserve"> 5</w:t>
      </w:r>
    </w:p>
    <w:p w:rsidR="00582034" w:rsidRDefault="00582034" w:rsidP="00582034">
      <w:pPr>
        <w:spacing w:line="240" w:lineRule="auto"/>
        <w:jc w:val="center"/>
        <w:rPr>
          <w:rFonts w:ascii="Arial" w:eastAsia="Times New Roman" w:hAnsi="Arial" w:cs="Arial"/>
          <w:bCs/>
          <w:color w:val="000000"/>
          <w:sz w:val="24"/>
          <w:szCs w:val="24"/>
          <w:lang w:eastAsia="pt-BR"/>
        </w:rPr>
      </w:pPr>
      <w:proofErr w:type="spellStart"/>
      <w:r w:rsidRPr="00BB1E1B">
        <w:rPr>
          <w:rFonts w:ascii="Arial" w:eastAsia="Times New Roman" w:hAnsi="Arial" w:cs="Arial"/>
          <w:bCs/>
          <w:color w:val="000000"/>
          <w:sz w:val="24"/>
          <w:szCs w:val="24"/>
          <w:lang w:eastAsia="pt-BR"/>
        </w:rPr>
        <w:t>Discriminant</w:t>
      </w:r>
      <w:proofErr w:type="spellEnd"/>
      <w:r w:rsidRPr="00BB1E1B">
        <w:rPr>
          <w:rFonts w:ascii="Arial" w:eastAsia="Times New Roman" w:hAnsi="Arial" w:cs="Arial"/>
          <w:bCs/>
          <w:color w:val="000000"/>
          <w:sz w:val="24"/>
          <w:szCs w:val="24"/>
          <w:lang w:eastAsia="pt-BR"/>
        </w:rPr>
        <w:t xml:space="preserve"> </w:t>
      </w:r>
      <w:proofErr w:type="spellStart"/>
      <w:r w:rsidRPr="00BB1E1B">
        <w:rPr>
          <w:rFonts w:ascii="Arial" w:eastAsia="Times New Roman" w:hAnsi="Arial" w:cs="Arial"/>
          <w:bCs/>
          <w:color w:val="000000"/>
          <w:sz w:val="24"/>
          <w:szCs w:val="24"/>
          <w:lang w:eastAsia="pt-BR"/>
        </w:rPr>
        <w:t>coefficients</w:t>
      </w:r>
      <w:proofErr w:type="spellEnd"/>
      <w:r>
        <w:rPr>
          <w:rFonts w:ascii="Arial" w:eastAsia="Times New Roman" w:hAnsi="Arial" w:cs="Arial"/>
          <w:bCs/>
          <w:color w:val="000000"/>
          <w:sz w:val="24"/>
          <w:szCs w:val="24"/>
          <w:lang w:eastAsia="pt-BR"/>
        </w:rPr>
        <w:t xml:space="preserve"> - </w:t>
      </w:r>
      <w:proofErr w:type="spellStart"/>
      <w:r>
        <w:rPr>
          <w:rFonts w:ascii="Arial" w:eastAsia="Times New Roman" w:hAnsi="Arial" w:cs="Arial"/>
          <w:bCs/>
          <w:color w:val="000000"/>
          <w:sz w:val="24"/>
          <w:szCs w:val="24"/>
          <w:lang w:eastAsia="pt-BR"/>
        </w:rPr>
        <w:t>initial</w:t>
      </w:r>
      <w:proofErr w:type="spellEnd"/>
      <w:r>
        <w:rPr>
          <w:rFonts w:ascii="Arial" w:eastAsia="Times New Roman" w:hAnsi="Arial" w:cs="Arial"/>
          <w:bCs/>
          <w:color w:val="000000"/>
          <w:sz w:val="24"/>
          <w:szCs w:val="24"/>
          <w:lang w:eastAsia="pt-BR"/>
        </w:rPr>
        <w:t xml:space="preserve"> </w:t>
      </w:r>
      <w:proofErr w:type="spellStart"/>
      <w:r>
        <w:rPr>
          <w:rFonts w:ascii="Arial" w:eastAsia="Times New Roman" w:hAnsi="Arial" w:cs="Arial"/>
          <w:bCs/>
          <w:color w:val="000000"/>
          <w:sz w:val="24"/>
          <w:szCs w:val="24"/>
          <w:lang w:eastAsia="pt-BR"/>
        </w:rPr>
        <w:t>analysis</w:t>
      </w:r>
      <w:proofErr w:type="spellEnd"/>
    </w:p>
    <w:tbl>
      <w:tblPr>
        <w:tblW w:w="0" w:type="auto"/>
        <w:jc w:val="center"/>
        <w:tblLayout w:type="fixed"/>
        <w:tblLook w:val="04A0" w:firstRow="1" w:lastRow="0" w:firstColumn="1" w:lastColumn="0" w:noHBand="0" w:noVBand="1"/>
      </w:tblPr>
      <w:tblGrid>
        <w:gridCol w:w="1683"/>
        <w:gridCol w:w="1070"/>
        <w:gridCol w:w="1142"/>
        <w:gridCol w:w="2138"/>
      </w:tblGrid>
      <w:tr w:rsidR="00582034" w:rsidRPr="00E4531D" w:rsidTr="00527254">
        <w:trPr>
          <w:jc w:val="center"/>
        </w:trPr>
        <w:tc>
          <w:tcPr>
            <w:tcW w:w="1683" w:type="dxa"/>
            <w:tcBorders>
              <w:bottom w:val="single" w:sz="4" w:space="0" w:color="auto"/>
              <w:right w:val="single" w:sz="4" w:space="0" w:color="auto"/>
            </w:tcBorders>
            <w:shd w:val="clear" w:color="auto" w:fill="auto"/>
            <w:vAlign w:val="center"/>
          </w:tcPr>
          <w:p w:rsidR="00582034" w:rsidRPr="00E4531D" w:rsidRDefault="00582034" w:rsidP="00527254">
            <w:pPr>
              <w:spacing w:line="240" w:lineRule="auto"/>
              <w:rPr>
                <w:rFonts w:ascii="Arial" w:eastAsia="Times New Roman" w:hAnsi="Arial" w:cs="Arial"/>
                <w:b/>
                <w:bCs/>
                <w:color w:val="000000"/>
                <w:sz w:val="24"/>
                <w:szCs w:val="24"/>
                <w:lang w:eastAsia="pt-BR"/>
              </w:rPr>
            </w:pPr>
            <w:r w:rsidRPr="007E77B1">
              <w:rPr>
                <w:rFonts w:ascii="Arial" w:eastAsia="Times New Roman" w:hAnsi="Arial" w:cs="Arial"/>
                <w:b/>
                <w:bCs/>
                <w:color w:val="000000"/>
                <w:sz w:val="24"/>
                <w:szCs w:val="24"/>
                <w:lang w:val="en-US" w:eastAsia="pt-BR"/>
              </w:rPr>
              <w:t>Indicators</w:t>
            </w:r>
          </w:p>
        </w:tc>
        <w:tc>
          <w:tcPr>
            <w:tcW w:w="1070" w:type="dxa"/>
            <w:tcBorders>
              <w:left w:val="single" w:sz="4" w:space="0" w:color="auto"/>
              <w:bottom w:val="single" w:sz="4" w:space="0" w:color="auto"/>
            </w:tcBorders>
            <w:shd w:val="clear" w:color="auto" w:fill="auto"/>
            <w:vAlign w:val="center"/>
          </w:tcPr>
          <w:p w:rsidR="00582034" w:rsidRPr="003569F0" w:rsidRDefault="00FC1FDB" w:rsidP="00527254">
            <w:pPr>
              <w:spacing w:after="0" w:line="240" w:lineRule="auto"/>
              <w:jc w:val="center"/>
              <w:rPr>
                <w:rFonts w:ascii="Arial" w:eastAsia="Times New Roman" w:hAnsi="Arial" w:cs="Arial"/>
                <w:b/>
                <w:bCs/>
                <w:sz w:val="24"/>
                <w:szCs w:val="24"/>
                <w:lang w:eastAsia="pt-BR"/>
              </w:rPr>
            </w:pPr>
            <m:oMathPara>
              <m:oMath>
                <m:sSub>
                  <m:sSubPr>
                    <m:ctrlPr>
                      <w:rPr>
                        <w:rFonts w:ascii="Cambria Math" w:eastAsia="Times New Roman" w:hAnsi="Cambria Math" w:cs="Arial"/>
                        <w:b/>
                        <w:bCs/>
                        <w:i/>
                        <w:sz w:val="24"/>
                        <w:szCs w:val="24"/>
                        <w:lang w:eastAsia="pt-BR"/>
                      </w:rPr>
                    </m:ctrlPr>
                  </m:sSubPr>
                  <m:e>
                    <m:r>
                      <m:rPr>
                        <m:sty m:val="bi"/>
                      </m:rPr>
                      <w:rPr>
                        <w:rFonts w:ascii="Cambria Math" w:eastAsia="Times New Roman" w:hAnsi="Cambria Math" w:cs="Arial"/>
                        <w:sz w:val="24"/>
                        <w:szCs w:val="24"/>
                        <w:lang w:eastAsia="pt-BR"/>
                      </w:rPr>
                      <m:t>b</m:t>
                    </m:r>
                  </m:e>
                  <m:sub>
                    <m:r>
                      <m:rPr>
                        <m:sty m:val="bi"/>
                      </m:rPr>
                      <w:rPr>
                        <w:rFonts w:ascii="Cambria Math" w:eastAsia="Times New Roman" w:hAnsi="Cambria Math" w:cs="Arial"/>
                        <w:sz w:val="24"/>
                        <w:szCs w:val="24"/>
                        <w:lang w:eastAsia="pt-BR"/>
                      </w:rPr>
                      <m:t>j;SM-I</m:t>
                    </m:r>
                  </m:sub>
                </m:sSub>
              </m:oMath>
            </m:oMathPara>
          </w:p>
        </w:tc>
        <w:tc>
          <w:tcPr>
            <w:tcW w:w="1142" w:type="dxa"/>
            <w:tcBorders>
              <w:bottom w:val="single" w:sz="4" w:space="0" w:color="auto"/>
            </w:tcBorders>
            <w:shd w:val="clear" w:color="auto" w:fill="auto"/>
            <w:vAlign w:val="center"/>
          </w:tcPr>
          <w:p w:rsidR="00582034" w:rsidRPr="003569F0" w:rsidRDefault="00FC1FDB" w:rsidP="00527254">
            <w:pPr>
              <w:spacing w:after="0" w:line="240" w:lineRule="auto"/>
              <w:jc w:val="center"/>
              <w:rPr>
                <w:rFonts w:ascii="Arial" w:eastAsia="Times New Roman" w:hAnsi="Arial" w:cs="Arial"/>
                <w:b/>
                <w:bCs/>
                <w:sz w:val="24"/>
                <w:szCs w:val="24"/>
                <w:lang w:eastAsia="pt-BR"/>
              </w:rPr>
            </w:pPr>
            <m:oMathPara>
              <m:oMath>
                <m:sSub>
                  <m:sSubPr>
                    <m:ctrlPr>
                      <w:rPr>
                        <w:rFonts w:ascii="Cambria Math" w:eastAsia="Times New Roman" w:hAnsi="Cambria Math" w:cs="Arial"/>
                        <w:b/>
                        <w:bCs/>
                        <w:i/>
                        <w:sz w:val="24"/>
                        <w:szCs w:val="24"/>
                        <w:lang w:eastAsia="pt-BR"/>
                      </w:rPr>
                    </m:ctrlPr>
                  </m:sSubPr>
                  <m:e>
                    <m:r>
                      <m:rPr>
                        <m:sty m:val="bi"/>
                      </m:rPr>
                      <w:rPr>
                        <w:rFonts w:ascii="Cambria Math" w:eastAsia="Times New Roman" w:hAnsi="Cambria Math" w:cs="Arial"/>
                        <w:sz w:val="24"/>
                        <w:szCs w:val="24"/>
                        <w:lang w:eastAsia="pt-BR"/>
                      </w:rPr>
                      <m:t>b</m:t>
                    </m:r>
                  </m:e>
                  <m:sub>
                    <m:r>
                      <m:rPr>
                        <m:sty m:val="bi"/>
                      </m:rPr>
                      <w:rPr>
                        <w:rFonts w:ascii="Cambria Math" w:eastAsia="Times New Roman" w:hAnsi="Cambria Math" w:cs="Arial"/>
                        <w:sz w:val="24"/>
                        <w:szCs w:val="24"/>
                        <w:lang w:eastAsia="pt-BR"/>
                      </w:rPr>
                      <m:t>j;SM-II</m:t>
                    </m:r>
                  </m:sub>
                </m:sSub>
              </m:oMath>
            </m:oMathPara>
          </w:p>
        </w:tc>
        <w:bookmarkStart w:id="2" w:name="OLE_LINK5"/>
        <w:bookmarkStart w:id="3" w:name="OLE_LINK6"/>
        <w:tc>
          <w:tcPr>
            <w:tcW w:w="2138" w:type="dxa"/>
            <w:tcBorders>
              <w:bottom w:val="single" w:sz="4" w:space="0" w:color="auto"/>
            </w:tcBorders>
            <w:shd w:val="clear" w:color="auto" w:fill="auto"/>
            <w:vAlign w:val="center"/>
          </w:tcPr>
          <w:p w:rsidR="00582034" w:rsidRPr="003569F0" w:rsidRDefault="00FC1FDB" w:rsidP="00527254">
            <w:pPr>
              <w:spacing w:after="0" w:line="240" w:lineRule="auto"/>
              <w:jc w:val="center"/>
              <w:rPr>
                <w:rFonts w:ascii="Arial" w:eastAsia="Times New Roman" w:hAnsi="Arial" w:cs="Arial"/>
                <w:b/>
                <w:bCs/>
                <w:sz w:val="24"/>
                <w:szCs w:val="24"/>
                <w:lang w:eastAsia="pt-BR"/>
              </w:rPr>
            </w:pPr>
            <m:oMathPara>
              <m:oMath>
                <m:sSub>
                  <m:sSubPr>
                    <m:ctrlPr>
                      <w:rPr>
                        <w:rFonts w:ascii="Cambria Math" w:eastAsia="Times New Roman" w:hAnsi="Cambria Math" w:cs="Arial"/>
                        <w:b/>
                        <w:bCs/>
                        <w:i/>
                        <w:sz w:val="24"/>
                        <w:szCs w:val="24"/>
                        <w:lang w:eastAsia="pt-BR"/>
                      </w:rPr>
                    </m:ctrlPr>
                  </m:sSubPr>
                  <m:e>
                    <m:r>
                      <m:rPr>
                        <m:sty m:val="bi"/>
                      </m:rPr>
                      <w:rPr>
                        <w:rFonts w:ascii="Cambria Math" w:eastAsia="Times New Roman" w:hAnsi="Cambria Math" w:cs="Arial"/>
                        <w:sz w:val="24"/>
                        <w:szCs w:val="24"/>
                        <w:lang w:eastAsia="pt-BR"/>
                      </w:rPr>
                      <m:t>b</m:t>
                    </m:r>
                  </m:e>
                  <m:sub>
                    <m:r>
                      <m:rPr>
                        <m:sty m:val="bi"/>
                      </m:rPr>
                      <w:rPr>
                        <w:rFonts w:ascii="Cambria Math" w:eastAsia="Times New Roman" w:hAnsi="Cambria Math" w:cs="Arial"/>
                        <w:sz w:val="24"/>
                        <w:szCs w:val="24"/>
                        <w:lang w:eastAsia="pt-BR"/>
                      </w:rPr>
                      <m:t>j;SM-I</m:t>
                    </m:r>
                  </m:sub>
                </m:sSub>
                <m:r>
                  <m:rPr>
                    <m:sty m:val="bi"/>
                  </m:rPr>
                  <w:rPr>
                    <w:rFonts w:ascii="Cambria Math" w:eastAsia="Times New Roman" w:hAnsi="Cambria Math" w:cs="Arial"/>
                    <w:sz w:val="24"/>
                    <w:szCs w:val="24"/>
                    <w:lang w:eastAsia="pt-BR"/>
                  </w:rPr>
                  <m:t>-</m:t>
                </m:r>
                <m:sSub>
                  <m:sSubPr>
                    <m:ctrlPr>
                      <w:rPr>
                        <w:rFonts w:ascii="Cambria Math" w:eastAsia="Times New Roman" w:hAnsi="Cambria Math" w:cs="Arial"/>
                        <w:b/>
                        <w:bCs/>
                        <w:i/>
                        <w:sz w:val="24"/>
                        <w:szCs w:val="24"/>
                        <w:lang w:eastAsia="pt-BR"/>
                      </w:rPr>
                    </m:ctrlPr>
                  </m:sSubPr>
                  <m:e>
                    <m:r>
                      <m:rPr>
                        <m:sty m:val="bi"/>
                      </m:rPr>
                      <w:rPr>
                        <w:rFonts w:ascii="Cambria Math" w:eastAsia="Times New Roman" w:hAnsi="Cambria Math" w:cs="Arial"/>
                        <w:sz w:val="24"/>
                        <w:szCs w:val="24"/>
                        <w:lang w:eastAsia="pt-BR"/>
                      </w:rPr>
                      <m:t>b</m:t>
                    </m:r>
                  </m:e>
                  <m:sub>
                    <m:r>
                      <m:rPr>
                        <m:sty m:val="bi"/>
                      </m:rPr>
                      <w:rPr>
                        <w:rFonts w:ascii="Cambria Math" w:eastAsia="Times New Roman" w:hAnsi="Cambria Math" w:cs="Arial"/>
                        <w:sz w:val="24"/>
                        <w:szCs w:val="24"/>
                        <w:lang w:eastAsia="pt-BR"/>
                      </w:rPr>
                      <m:t>j;SM-II</m:t>
                    </m:r>
                  </m:sub>
                </m:sSub>
              </m:oMath>
            </m:oMathPara>
            <w:bookmarkEnd w:id="2"/>
            <w:bookmarkEnd w:id="3"/>
          </w:p>
        </w:tc>
      </w:tr>
      <w:tr w:rsidR="00582034" w:rsidRPr="00E4531D" w:rsidTr="00527254">
        <w:trPr>
          <w:jc w:val="center"/>
        </w:trPr>
        <w:tc>
          <w:tcPr>
            <w:tcW w:w="1683" w:type="dxa"/>
            <w:tcBorders>
              <w:top w:val="single" w:sz="4" w:space="0" w:color="auto"/>
              <w:right w:val="single" w:sz="4" w:space="0" w:color="auto"/>
            </w:tcBorders>
            <w:shd w:val="clear" w:color="auto" w:fill="auto"/>
          </w:tcPr>
          <w:p w:rsidR="00582034" w:rsidRPr="00E4531D" w:rsidRDefault="00582034" w:rsidP="00527254">
            <w:pPr>
              <w:spacing w:line="240" w:lineRule="auto"/>
              <w:rPr>
                <w:rFonts w:ascii="Arial" w:eastAsia="Times New Roman" w:hAnsi="Arial" w:cs="Arial"/>
                <w:b/>
                <w:bCs/>
                <w:color w:val="000000"/>
                <w:sz w:val="24"/>
                <w:szCs w:val="24"/>
                <w:lang w:eastAsia="pt-BR"/>
              </w:rPr>
            </w:pPr>
            <w:r w:rsidRPr="00E4531D">
              <w:rPr>
                <w:rFonts w:ascii="Arial" w:eastAsia="Times New Roman" w:hAnsi="Arial" w:cs="Arial"/>
                <w:b/>
                <w:bCs/>
                <w:color w:val="000000"/>
                <w:sz w:val="24"/>
                <w:szCs w:val="24"/>
                <w:lang w:eastAsia="pt-BR"/>
              </w:rPr>
              <w:t>TECOP</w:t>
            </w:r>
          </w:p>
        </w:tc>
        <w:tc>
          <w:tcPr>
            <w:tcW w:w="1070" w:type="dxa"/>
            <w:tcBorders>
              <w:top w:val="single" w:sz="4" w:space="0" w:color="auto"/>
              <w:left w:val="single" w:sz="4" w:space="0" w:color="auto"/>
            </w:tcBorders>
            <w:shd w:val="clear" w:color="auto" w:fill="auto"/>
            <w:vAlign w:val="center"/>
          </w:tcPr>
          <w:p w:rsidR="00582034" w:rsidRPr="00E4531D" w:rsidRDefault="00582034" w:rsidP="00527254">
            <w:pPr>
              <w:spacing w:after="0" w:line="240" w:lineRule="auto"/>
              <w:jc w:val="center"/>
              <w:rPr>
                <w:rFonts w:ascii="Arial" w:eastAsia="Times New Roman" w:hAnsi="Arial" w:cs="Arial"/>
                <w:lang w:eastAsia="pt-BR"/>
              </w:rPr>
            </w:pPr>
            <w:r w:rsidRPr="00E4531D">
              <w:rPr>
                <w:rFonts w:ascii="Arial" w:eastAsia="Times New Roman" w:hAnsi="Arial" w:cs="Arial"/>
                <w:lang w:eastAsia="pt-BR"/>
              </w:rPr>
              <w:t>4.140</w:t>
            </w:r>
          </w:p>
        </w:tc>
        <w:tc>
          <w:tcPr>
            <w:tcW w:w="1142" w:type="dxa"/>
            <w:tcBorders>
              <w:top w:val="single" w:sz="4" w:space="0" w:color="auto"/>
            </w:tcBorders>
            <w:shd w:val="clear" w:color="auto" w:fill="auto"/>
            <w:vAlign w:val="center"/>
          </w:tcPr>
          <w:p w:rsidR="00582034" w:rsidRPr="00E4531D" w:rsidRDefault="00582034" w:rsidP="00527254">
            <w:pPr>
              <w:spacing w:after="0" w:line="240" w:lineRule="auto"/>
              <w:jc w:val="center"/>
              <w:rPr>
                <w:rFonts w:ascii="Arial" w:eastAsia="Times New Roman" w:hAnsi="Arial" w:cs="Arial"/>
                <w:lang w:eastAsia="pt-BR"/>
              </w:rPr>
            </w:pPr>
            <w:r w:rsidRPr="00E4531D">
              <w:rPr>
                <w:rFonts w:ascii="Arial" w:eastAsia="Times New Roman" w:hAnsi="Arial" w:cs="Arial"/>
                <w:lang w:eastAsia="pt-BR"/>
              </w:rPr>
              <w:t>1.999</w:t>
            </w:r>
          </w:p>
        </w:tc>
        <w:tc>
          <w:tcPr>
            <w:tcW w:w="2138" w:type="dxa"/>
            <w:tcBorders>
              <w:top w:val="single" w:sz="4" w:space="0" w:color="auto"/>
            </w:tcBorders>
            <w:shd w:val="clear" w:color="auto" w:fill="auto"/>
            <w:vAlign w:val="center"/>
          </w:tcPr>
          <w:p w:rsidR="00582034" w:rsidRPr="00E4531D" w:rsidRDefault="00582034" w:rsidP="00527254">
            <w:pPr>
              <w:spacing w:after="0" w:line="240" w:lineRule="auto"/>
              <w:jc w:val="center"/>
              <w:rPr>
                <w:rFonts w:ascii="Arial" w:eastAsia="Times New Roman" w:hAnsi="Arial" w:cs="Arial"/>
                <w:sz w:val="20"/>
                <w:szCs w:val="20"/>
                <w:lang w:eastAsia="pt-BR"/>
              </w:rPr>
            </w:pPr>
            <w:r w:rsidRPr="00E4531D">
              <w:rPr>
                <w:rFonts w:ascii="Arial" w:eastAsia="Times New Roman" w:hAnsi="Arial" w:cs="Arial"/>
                <w:sz w:val="20"/>
                <w:szCs w:val="20"/>
                <w:lang w:eastAsia="pt-BR"/>
              </w:rPr>
              <w:t>2.141</w:t>
            </w:r>
          </w:p>
        </w:tc>
      </w:tr>
      <w:tr w:rsidR="00582034" w:rsidRPr="00E4531D" w:rsidTr="00527254">
        <w:trPr>
          <w:jc w:val="center"/>
        </w:trPr>
        <w:tc>
          <w:tcPr>
            <w:tcW w:w="1683" w:type="dxa"/>
            <w:tcBorders>
              <w:right w:val="single" w:sz="4" w:space="0" w:color="auto"/>
            </w:tcBorders>
            <w:shd w:val="clear" w:color="auto" w:fill="auto"/>
          </w:tcPr>
          <w:p w:rsidR="00582034" w:rsidRPr="00E4531D" w:rsidRDefault="00582034" w:rsidP="00527254">
            <w:pPr>
              <w:spacing w:line="240" w:lineRule="auto"/>
              <w:rPr>
                <w:rFonts w:ascii="Arial" w:eastAsia="Times New Roman" w:hAnsi="Arial" w:cs="Arial"/>
                <w:b/>
                <w:bCs/>
                <w:color w:val="000000"/>
                <w:sz w:val="24"/>
                <w:szCs w:val="24"/>
                <w:lang w:eastAsia="pt-BR"/>
              </w:rPr>
            </w:pPr>
            <w:r w:rsidRPr="00E4531D">
              <w:rPr>
                <w:rFonts w:ascii="Arial" w:eastAsia="Times New Roman" w:hAnsi="Arial" w:cs="Arial"/>
                <w:b/>
                <w:bCs/>
                <w:color w:val="000000"/>
                <w:sz w:val="24"/>
                <w:szCs w:val="24"/>
                <w:lang w:eastAsia="pt-BR"/>
              </w:rPr>
              <w:t>APROP</w:t>
            </w:r>
          </w:p>
        </w:tc>
        <w:tc>
          <w:tcPr>
            <w:tcW w:w="1070" w:type="dxa"/>
            <w:tcBorders>
              <w:left w:val="single" w:sz="4" w:space="0" w:color="auto"/>
            </w:tcBorders>
            <w:shd w:val="clear" w:color="auto" w:fill="auto"/>
            <w:vAlign w:val="center"/>
          </w:tcPr>
          <w:p w:rsidR="00582034" w:rsidRPr="00E4531D" w:rsidRDefault="00582034" w:rsidP="00527254">
            <w:pPr>
              <w:spacing w:after="0" w:line="240" w:lineRule="auto"/>
              <w:jc w:val="center"/>
              <w:rPr>
                <w:rFonts w:ascii="Arial" w:eastAsia="Times New Roman" w:hAnsi="Arial" w:cs="Arial"/>
                <w:lang w:eastAsia="pt-BR"/>
              </w:rPr>
            </w:pPr>
            <w:r w:rsidRPr="00E4531D">
              <w:rPr>
                <w:rFonts w:ascii="Arial" w:eastAsia="Times New Roman" w:hAnsi="Arial" w:cs="Arial"/>
                <w:lang w:eastAsia="pt-BR"/>
              </w:rPr>
              <w:t>-1.153</w:t>
            </w:r>
          </w:p>
        </w:tc>
        <w:tc>
          <w:tcPr>
            <w:tcW w:w="1142" w:type="dxa"/>
            <w:shd w:val="clear" w:color="auto" w:fill="auto"/>
            <w:vAlign w:val="center"/>
          </w:tcPr>
          <w:p w:rsidR="00582034" w:rsidRPr="00E4531D" w:rsidRDefault="00582034" w:rsidP="00527254">
            <w:pPr>
              <w:spacing w:after="0" w:line="240" w:lineRule="auto"/>
              <w:jc w:val="center"/>
              <w:rPr>
                <w:rFonts w:ascii="Arial" w:eastAsia="Times New Roman" w:hAnsi="Arial" w:cs="Arial"/>
                <w:lang w:eastAsia="pt-BR"/>
              </w:rPr>
            </w:pPr>
            <w:r w:rsidRPr="00E4531D">
              <w:rPr>
                <w:rFonts w:ascii="Arial" w:eastAsia="Times New Roman" w:hAnsi="Arial" w:cs="Arial"/>
                <w:lang w:eastAsia="pt-BR"/>
              </w:rPr>
              <w:t>-0.418</w:t>
            </w:r>
          </w:p>
        </w:tc>
        <w:tc>
          <w:tcPr>
            <w:tcW w:w="2138" w:type="dxa"/>
            <w:shd w:val="clear" w:color="auto" w:fill="auto"/>
            <w:vAlign w:val="center"/>
          </w:tcPr>
          <w:p w:rsidR="00582034" w:rsidRPr="00E4531D" w:rsidRDefault="00582034" w:rsidP="00527254">
            <w:pPr>
              <w:spacing w:after="0" w:line="240" w:lineRule="auto"/>
              <w:jc w:val="center"/>
              <w:rPr>
                <w:rFonts w:ascii="Arial" w:eastAsia="Times New Roman" w:hAnsi="Arial" w:cs="Arial"/>
                <w:sz w:val="20"/>
                <w:szCs w:val="20"/>
                <w:lang w:eastAsia="pt-BR"/>
              </w:rPr>
            </w:pPr>
            <w:r w:rsidRPr="00E4531D">
              <w:rPr>
                <w:rFonts w:ascii="Arial" w:eastAsia="Times New Roman" w:hAnsi="Arial" w:cs="Arial"/>
                <w:sz w:val="20"/>
                <w:szCs w:val="20"/>
                <w:lang w:eastAsia="pt-BR"/>
              </w:rPr>
              <w:t>-0.735</w:t>
            </w:r>
          </w:p>
        </w:tc>
      </w:tr>
      <w:tr w:rsidR="00582034" w:rsidRPr="00E4531D" w:rsidTr="00527254">
        <w:trPr>
          <w:jc w:val="center"/>
        </w:trPr>
        <w:tc>
          <w:tcPr>
            <w:tcW w:w="1683" w:type="dxa"/>
            <w:tcBorders>
              <w:right w:val="single" w:sz="4" w:space="0" w:color="auto"/>
            </w:tcBorders>
            <w:shd w:val="clear" w:color="auto" w:fill="auto"/>
          </w:tcPr>
          <w:p w:rsidR="00582034" w:rsidRPr="00E4531D" w:rsidRDefault="00582034" w:rsidP="00527254">
            <w:pPr>
              <w:spacing w:line="240" w:lineRule="auto"/>
              <w:rPr>
                <w:rFonts w:ascii="Arial" w:eastAsia="Times New Roman" w:hAnsi="Arial" w:cs="Arial"/>
                <w:b/>
                <w:bCs/>
                <w:color w:val="000000"/>
                <w:sz w:val="24"/>
                <w:szCs w:val="24"/>
                <w:lang w:eastAsia="pt-BR"/>
              </w:rPr>
            </w:pPr>
            <w:r w:rsidRPr="00E4531D">
              <w:rPr>
                <w:rFonts w:ascii="Arial" w:eastAsia="Times New Roman" w:hAnsi="Arial" w:cs="Arial"/>
                <w:b/>
                <w:bCs/>
                <w:color w:val="000000"/>
                <w:sz w:val="24"/>
                <w:szCs w:val="24"/>
                <w:lang w:eastAsia="pt-BR"/>
              </w:rPr>
              <w:t>CUMUL</w:t>
            </w:r>
          </w:p>
        </w:tc>
        <w:tc>
          <w:tcPr>
            <w:tcW w:w="1070" w:type="dxa"/>
            <w:tcBorders>
              <w:left w:val="single" w:sz="4" w:space="0" w:color="auto"/>
            </w:tcBorders>
            <w:shd w:val="clear" w:color="auto" w:fill="auto"/>
            <w:vAlign w:val="center"/>
          </w:tcPr>
          <w:p w:rsidR="00582034" w:rsidRPr="00E4531D" w:rsidRDefault="00582034" w:rsidP="00527254">
            <w:pPr>
              <w:spacing w:after="0" w:line="240" w:lineRule="auto"/>
              <w:jc w:val="center"/>
              <w:rPr>
                <w:rFonts w:ascii="Arial" w:eastAsia="Times New Roman" w:hAnsi="Arial" w:cs="Arial"/>
                <w:lang w:eastAsia="pt-BR"/>
              </w:rPr>
            </w:pPr>
            <w:r w:rsidRPr="00E4531D">
              <w:rPr>
                <w:rFonts w:ascii="Arial" w:eastAsia="Times New Roman" w:hAnsi="Arial" w:cs="Arial"/>
                <w:lang w:eastAsia="pt-BR"/>
              </w:rPr>
              <w:t>2.316</w:t>
            </w:r>
          </w:p>
        </w:tc>
        <w:tc>
          <w:tcPr>
            <w:tcW w:w="1142" w:type="dxa"/>
            <w:shd w:val="clear" w:color="auto" w:fill="auto"/>
            <w:vAlign w:val="center"/>
          </w:tcPr>
          <w:p w:rsidR="00582034" w:rsidRPr="00E4531D" w:rsidRDefault="00582034" w:rsidP="00527254">
            <w:pPr>
              <w:spacing w:after="0" w:line="240" w:lineRule="auto"/>
              <w:jc w:val="center"/>
              <w:rPr>
                <w:rFonts w:ascii="Arial" w:eastAsia="Times New Roman" w:hAnsi="Arial" w:cs="Arial"/>
                <w:lang w:eastAsia="pt-BR"/>
              </w:rPr>
            </w:pPr>
            <w:r w:rsidRPr="00E4531D">
              <w:rPr>
                <w:rFonts w:ascii="Arial" w:eastAsia="Times New Roman" w:hAnsi="Arial" w:cs="Arial"/>
                <w:lang w:eastAsia="pt-BR"/>
              </w:rPr>
              <w:t>2</w:t>
            </w:r>
            <w:r>
              <w:rPr>
                <w:rFonts w:ascii="Arial" w:eastAsia="Times New Roman" w:hAnsi="Arial" w:cs="Arial"/>
                <w:lang w:eastAsia="pt-BR"/>
              </w:rPr>
              <w:t>.2</w:t>
            </w:r>
            <w:r w:rsidRPr="00E4531D">
              <w:rPr>
                <w:rFonts w:ascii="Arial" w:eastAsia="Times New Roman" w:hAnsi="Arial" w:cs="Arial"/>
                <w:lang w:eastAsia="pt-BR"/>
              </w:rPr>
              <w:t xml:space="preserve">79 </w:t>
            </w:r>
          </w:p>
        </w:tc>
        <w:tc>
          <w:tcPr>
            <w:tcW w:w="2138" w:type="dxa"/>
            <w:shd w:val="clear" w:color="auto" w:fill="auto"/>
            <w:vAlign w:val="center"/>
          </w:tcPr>
          <w:p w:rsidR="00582034" w:rsidRPr="00E4531D" w:rsidRDefault="00582034" w:rsidP="00527254">
            <w:pPr>
              <w:spacing w:after="0" w:line="240" w:lineRule="auto"/>
              <w:jc w:val="center"/>
              <w:rPr>
                <w:rFonts w:ascii="Arial" w:eastAsia="Times New Roman" w:hAnsi="Arial" w:cs="Arial"/>
                <w:sz w:val="20"/>
                <w:szCs w:val="20"/>
                <w:lang w:eastAsia="pt-BR"/>
              </w:rPr>
            </w:pPr>
            <w:r w:rsidRPr="00E4531D">
              <w:rPr>
                <w:rFonts w:ascii="Arial" w:eastAsia="Times New Roman" w:hAnsi="Arial" w:cs="Arial"/>
                <w:sz w:val="20"/>
                <w:szCs w:val="20"/>
                <w:lang w:eastAsia="pt-BR"/>
              </w:rPr>
              <w:t>0.037</w:t>
            </w:r>
          </w:p>
        </w:tc>
      </w:tr>
      <w:tr w:rsidR="00582034" w:rsidRPr="00E4531D" w:rsidTr="00527254">
        <w:trPr>
          <w:jc w:val="center"/>
        </w:trPr>
        <w:tc>
          <w:tcPr>
            <w:tcW w:w="1683" w:type="dxa"/>
            <w:tcBorders>
              <w:right w:val="single" w:sz="4" w:space="0" w:color="auto"/>
            </w:tcBorders>
            <w:shd w:val="clear" w:color="auto" w:fill="auto"/>
          </w:tcPr>
          <w:p w:rsidR="00582034" w:rsidRPr="00E4531D" w:rsidRDefault="00582034" w:rsidP="00527254">
            <w:pPr>
              <w:spacing w:line="240" w:lineRule="auto"/>
              <w:rPr>
                <w:rFonts w:ascii="Arial" w:eastAsia="Times New Roman" w:hAnsi="Arial" w:cs="Arial"/>
                <w:b/>
                <w:bCs/>
                <w:color w:val="000000"/>
                <w:sz w:val="24"/>
                <w:szCs w:val="24"/>
                <w:lang w:eastAsia="pt-BR"/>
              </w:rPr>
            </w:pPr>
            <w:r w:rsidRPr="00E4531D">
              <w:rPr>
                <w:rFonts w:ascii="Arial" w:eastAsia="Times New Roman" w:hAnsi="Arial" w:cs="Arial"/>
                <w:b/>
                <w:bCs/>
                <w:color w:val="000000"/>
                <w:sz w:val="24"/>
                <w:szCs w:val="24"/>
                <w:lang w:eastAsia="pt-BR"/>
              </w:rPr>
              <w:t>BASIC</w:t>
            </w:r>
          </w:p>
        </w:tc>
        <w:tc>
          <w:tcPr>
            <w:tcW w:w="1070" w:type="dxa"/>
            <w:tcBorders>
              <w:left w:val="single" w:sz="4" w:space="0" w:color="auto"/>
            </w:tcBorders>
            <w:shd w:val="clear" w:color="auto" w:fill="auto"/>
            <w:vAlign w:val="center"/>
          </w:tcPr>
          <w:p w:rsidR="00582034" w:rsidRPr="00E4531D" w:rsidRDefault="00582034" w:rsidP="00527254">
            <w:pPr>
              <w:spacing w:after="0" w:line="240" w:lineRule="auto"/>
              <w:jc w:val="center"/>
              <w:rPr>
                <w:rFonts w:ascii="Arial" w:eastAsia="Times New Roman" w:hAnsi="Arial" w:cs="Arial"/>
                <w:lang w:eastAsia="pt-BR"/>
              </w:rPr>
            </w:pPr>
            <w:r w:rsidRPr="00E4531D">
              <w:rPr>
                <w:rFonts w:ascii="Arial" w:eastAsia="Times New Roman" w:hAnsi="Arial" w:cs="Arial"/>
                <w:lang w:eastAsia="pt-BR"/>
              </w:rPr>
              <w:t>-0.148</w:t>
            </w:r>
          </w:p>
        </w:tc>
        <w:tc>
          <w:tcPr>
            <w:tcW w:w="1142" w:type="dxa"/>
            <w:shd w:val="clear" w:color="auto" w:fill="auto"/>
            <w:vAlign w:val="center"/>
          </w:tcPr>
          <w:p w:rsidR="00582034" w:rsidRPr="00E4531D" w:rsidRDefault="00582034" w:rsidP="00527254">
            <w:pPr>
              <w:spacing w:after="0" w:line="240" w:lineRule="auto"/>
              <w:jc w:val="center"/>
              <w:rPr>
                <w:rFonts w:ascii="Arial" w:eastAsia="Times New Roman" w:hAnsi="Arial" w:cs="Arial"/>
                <w:lang w:eastAsia="pt-BR"/>
              </w:rPr>
            </w:pPr>
            <w:r w:rsidRPr="00E4531D">
              <w:rPr>
                <w:rFonts w:ascii="Arial" w:eastAsia="Times New Roman" w:hAnsi="Arial" w:cs="Arial"/>
                <w:lang w:eastAsia="pt-BR"/>
              </w:rPr>
              <w:t>-0.496</w:t>
            </w:r>
          </w:p>
        </w:tc>
        <w:tc>
          <w:tcPr>
            <w:tcW w:w="2138" w:type="dxa"/>
            <w:shd w:val="clear" w:color="auto" w:fill="auto"/>
            <w:vAlign w:val="center"/>
          </w:tcPr>
          <w:p w:rsidR="00582034" w:rsidRPr="00E4531D" w:rsidRDefault="00582034" w:rsidP="00527254">
            <w:pPr>
              <w:spacing w:after="0" w:line="240" w:lineRule="auto"/>
              <w:jc w:val="center"/>
              <w:rPr>
                <w:rFonts w:ascii="Arial" w:eastAsia="Times New Roman" w:hAnsi="Arial" w:cs="Arial"/>
                <w:sz w:val="20"/>
                <w:szCs w:val="20"/>
                <w:lang w:eastAsia="pt-BR"/>
              </w:rPr>
            </w:pPr>
            <w:r w:rsidRPr="00E4531D">
              <w:rPr>
                <w:rFonts w:ascii="Arial" w:eastAsia="Times New Roman" w:hAnsi="Arial" w:cs="Arial"/>
                <w:sz w:val="20"/>
                <w:szCs w:val="20"/>
                <w:lang w:eastAsia="pt-BR"/>
              </w:rPr>
              <w:t>0.348</w:t>
            </w:r>
          </w:p>
        </w:tc>
      </w:tr>
      <w:tr w:rsidR="00582034" w:rsidRPr="00E4531D" w:rsidTr="00527254">
        <w:trPr>
          <w:jc w:val="center"/>
        </w:trPr>
        <w:tc>
          <w:tcPr>
            <w:tcW w:w="1683" w:type="dxa"/>
            <w:tcBorders>
              <w:right w:val="single" w:sz="4" w:space="0" w:color="auto"/>
            </w:tcBorders>
            <w:shd w:val="clear" w:color="auto" w:fill="auto"/>
          </w:tcPr>
          <w:p w:rsidR="00582034" w:rsidRPr="00E4531D" w:rsidRDefault="00582034" w:rsidP="00527254">
            <w:pPr>
              <w:spacing w:line="240" w:lineRule="auto"/>
              <w:rPr>
                <w:rFonts w:ascii="Arial" w:eastAsia="Times New Roman" w:hAnsi="Arial" w:cs="Arial"/>
                <w:b/>
                <w:bCs/>
                <w:color w:val="000000"/>
                <w:sz w:val="24"/>
                <w:szCs w:val="24"/>
                <w:lang w:eastAsia="pt-BR"/>
              </w:rPr>
            </w:pPr>
            <w:r w:rsidRPr="00E4531D">
              <w:rPr>
                <w:rFonts w:ascii="Arial" w:eastAsia="Times New Roman" w:hAnsi="Arial" w:cs="Arial"/>
                <w:b/>
                <w:bCs/>
                <w:color w:val="000000"/>
                <w:sz w:val="24"/>
                <w:szCs w:val="24"/>
                <w:lang w:eastAsia="pt-BR"/>
              </w:rPr>
              <w:t>APPL</w:t>
            </w:r>
          </w:p>
        </w:tc>
        <w:tc>
          <w:tcPr>
            <w:tcW w:w="1070" w:type="dxa"/>
            <w:tcBorders>
              <w:left w:val="single" w:sz="4" w:space="0" w:color="auto"/>
            </w:tcBorders>
            <w:shd w:val="clear" w:color="auto" w:fill="auto"/>
            <w:vAlign w:val="center"/>
          </w:tcPr>
          <w:p w:rsidR="00582034" w:rsidRPr="00E4531D" w:rsidRDefault="00582034" w:rsidP="00527254">
            <w:pPr>
              <w:spacing w:after="0" w:line="240" w:lineRule="auto"/>
              <w:jc w:val="center"/>
              <w:rPr>
                <w:rFonts w:ascii="Arial" w:eastAsia="Times New Roman" w:hAnsi="Arial" w:cs="Arial"/>
                <w:lang w:eastAsia="pt-BR"/>
              </w:rPr>
            </w:pPr>
            <w:r w:rsidRPr="00E4531D">
              <w:rPr>
                <w:rFonts w:ascii="Arial" w:eastAsia="Times New Roman" w:hAnsi="Arial" w:cs="Arial"/>
                <w:lang w:eastAsia="pt-BR"/>
              </w:rPr>
              <w:t>0.760</w:t>
            </w:r>
          </w:p>
        </w:tc>
        <w:tc>
          <w:tcPr>
            <w:tcW w:w="1142" w:type="dxa"/>
            <w:shd w:val="clear" w:color="auto" w:fill="auto"/>
            <w:vAlign w:val="center"/>
          </w:tcPr>
          <w:p w:rsidR="00582034" w:rsidRPr="00E4531D" w:rsidRDefault="00582034" w:rsidP="00527254">
            <w:pPr>
              <w:spacing w:after="0" w:line="240" w:lineRule="auto"/>
              <w:jc w:val="center"/>
              <w:rPr>
                <w:rFonts w:ascii="Arial" w:eastAsia="Times New Roman" w:hAnsi="Arial" w:cs="Arial"/>
                <w:lang w:eastAsia="pt-BR"/>
              </w:rPr>
            </w:pPr>
            <w:r w:rsidRPr="00E4531D">
              <w:rPr>
                <w:rFonts w:ascii="Arial" w:eastAsia="Times New Roman" w:hAnsi="Arial" w:cs="Arial"/>
                <w:lang w:eastAsia="pt-BR"/>
              </w:rPr>
              <w:t>-0.034</w:t>
            </w:r>
          </w:p>
        </w:tc>
        <w:tc>
          <w:tcPr>
            <w:tcW w:w="2138" w:type="dxa"/>
            <w:shd w:val="clear" w:color="auto" w:fill="auto"/>
            <w:vAlign w:val="center"/>
          </w:tcPr>
          <w:p w:rsidR="00582034" w:rsidRPr="00E4531D" w:rsidRDefault="00582034" w:rsidP="00527254">
            <w:pPr>
              <w:spacing w:after="0" w:line="240" w:lineRule="auto"/>
              <w:jc w:val="center"/>
              <w:rPr>
                <w:rFonts w:ascii="Arial" w:eastAsia="Times New Roman" w:hAnsi="Arial" w:cs="Arial"/>
                <w:sz w:val="20"/>
                <w:szCs w:val="20"/>
                <w:lang w:eastAsia="pt-BR"/>
              </w:rPr>
            </w:pPr>
            <w:r w:rsidRPr="00E4531D">
              <w:rPr>
                <w:rFonts w:ascii="Arial" w:eastAsia="Times New Roman" w:hAnsi="Arial" w:cs="Arial"/>
                <w:sz w:val="20"/>
                <w:szCs w:val="20"/>
                <w:lang w:eastAsia="pt-BR"/>
              </w:rPr>
              <w:t>0.794</w:t>
            </w:r>
          </w:p>
        </w:tc>
      </w:tr>
      <w:tr w:rsidR="00582034" w:rsidRPr="00E4531D" w:rsidTr="00527254">
        <w:trPr>
          <w:jc w:val="center"/>
        </w:trPr>
        <w:tc>
          <w:tcPr>
            <w:tcW w:w="1683" w:type="dxa"/>
            <w:tcBorders>
              <w:right w:val="single" w:sz="4" w:space="0" w:color="auto"/>
            </w:tcBorders>
            <w:shd w:val="clear" w:color="auto" w:fill="auto"/>
          </w:tcPr>
          <w:p w:rsidR="00582034" w:rsidRPr="00E4531D" w:rsidRDefault="00582034" w:rsidP="00527254">
            <w:pPr>
              <w:spacing w:line="240" w:lineRule="auto"/>
              <w:rPr>
                <w:rFonts w:ascii="Arial" w:eastAsia="Times New Roman" w:hAnsi="Arial" w:cs="Arial"/>
                <w:b/>
                <w:bCs/>
                <w:color w:val="000000"/>
                <w:sz w:val="24"/>
                <w:szCs w:val="24"/>
                <w:lang w:eastAsia="pt-BR"/>
              </w:rPr>
            </w:pPr>
            <w:r w:rsidRPr="00E4531D">
              <w:rPr>
                <w:rFonts w:ascii="Arial" w:eastAsia="Times New Roman" w:hAnsi="Arial" w:cs="Arial"/>
                <w:b/>
                <w:bCs/>
                <w:color w:val="000000"/>
                <w:sz w:val="24"/>
                <w:szCs w:val="24"/>
                <w:lang w:eastAsia="pt-BR"/>
              </w:rPr>
              <w:t>CONSTANT</w:t>
            </w:r>
          </w:p>
        </w:tc>
        <w:tc>
          <w:tcPr>
            <w:tcW w:w="1070" w:type="dxa"/>
            <w:tcBorders>
              <w:left w:val="single" w:sz="4" w:space="0" w:color="auto"/>
            </w:tcBorders>
            <w:shd w:val="clear" w:color="auto" w:fill="auto"/>
            <w:vAlign w:val="center"/>
          </w:tcPr>
          <w:p w:rsidR="00582034" w:rsidRPr="00E4531D" w:rsidRDefault="00582034" w:rsidP="00527254">
            <w:pPr>
              <w:spacing w:after="0" w:line="240" w:lineRule="auto"/>
              <w:jc w:val="center"/>
              <w:rPr>
                <w:rFonts w:ascii="Arial" w:eastAsia="Times New Roman" w:hAnsi="Arial" w:cs="Arial"/>
                <w:lang w:eastAsia="pt-BR"/>
              </w:rPr>
            </w:pPr>
            <w:r w:rsidRPr="00E4531D">
              <w:rPr>
                <w:rFonts w:ascii="Arial" w:eastAsia="Times New Roman" w:hAnsi="Arial" w:cs="Arial"/>
                <w:lang w:eastAsia="pt-BR"/>
              </w:rPr>
              <w:t>-5.857</w:t>
            </w:r>
          </w:p>
        </w:tc>
        <w:tc>
          <w:tcPr>
            <w:tcW w:w="1142" w:type="dxa"/>
            <w:shd w:val="clear" w:color="auto" w:fill="auto"/>
            <w:vAlign w:val="center"/>
          </w:tcPr>
          <w:p w:rsidR="00582034" w:rsidRPr="00E4531D" w:rsidRDefault="00582034" w:rsidP="00527254">
            <w:pPr>
              <w:spacing w:after="0" w:line="240" w:lineRule="auto"/>
              <w:jc w:val="center"/>
              <w:rPr>
                <w:rFonts w:ascii="Arial" w:eastAsia="Times New Roman" w:hAnsi="Arial" w:cs="Arial"/>
                <w:lang w:eastAsia="pt-BR"/>
              </w:rPr>
            </w:pPr>
            <w:r w:rsidRPr="00E4531D">
              <w:rPr>
                <w:rFonts w:ascii="Arial" w:eastAsia="Times New Roman" w:hAnsi="Arial" w:cs="Arial"/>
                <w:lang w:eastAsia="pt-BR"/>
              </w:rPr>
              <w:t>-2.543</w:t>
            </w:r>
          </w:p>
        </w:tc>
        <w:tc>
          <w:tcPr>
            <w:tcW w:w="2138" w:type="dxa"/>
            <w:shd w:val="clear" w:color="auto" w:fill="auto"/>
            <w:vAlign w:val="center"/>
          </w:tcPr>
          <w:p w:rsidR="00582034" w:rsidRPr="00E4531D" w:rsidRDefault="00582034" w:rsidP="00527254">
            <w:pPr>
              <w:spacing w:after="0" w:line="240" w:lineRule="auto"/>
              <w:jc w:val="center"/>
              <w:rPr>
                <w:rFonts w:ascii="Arial" w:eastAsia="Times New Roman" w:hAnsi="Arial" w:cs="Arial"/>
                <w:sz w:val="20"/>
                <w:szCs w:val="20"/>
                <w:lang w:eastAsia="pt-BR"/>
              </w:rPr>
            </w:pPr>
            <w:r w:rsidRPr="00E4531D">
              <w:rPr>
                <w:rFonts w:ascii="Arial" w:eastAsia="Times New Roman" w:hAnsi="Arial" w:cs="Arial"/>
                <w:sz w:val="20"/>
                <w:szCs w:val="20"/>
                <w:lang w:eastAsia="pt-BR"/>
              </w:rPr>
              <w:t>-3.314</w:t>
            </w:r>
          </w:p>
        </w:tc>
      </w:tr>
    </w:tbl>
    <w:p w:rsidR="00582034" w:rsidRDefault="00582034" w:rsidP="007F7E30">
      <w:pPr>
        <w:autoSpaceDE w:val="0"/>
        <w:autoSpaceDN w:val="0"/>
        <w:adjustRightInd w:val="0"/>
        <w:spacing w:line="480" w:lineRule="auto"/>
        <w:jc w:val="both"/>
        <w:rPr>
          <w:rFonts w:ascii="Arial" w:hAnsi="Arial" w:cs="Arial"/>
          <w:sz w:val="24"/>
          <w:szCs w:val="24"/>
          <w:lang w:val="en-US" w:eastAsia="pt-BR"/>
        </w:rPr>
      </w:pPr>
    </w:p>
    <w:p w:rsidR="00582034" w:rsidRDefault="00582034" w:rsidP="00582034">
      <w:pPr>
        <w:autoSpaceDE w:val="0"/>
        <w:autoSpaceDN w:val="0"/>
        <w:adjustRightInd w:val="0"/>
        <w:spacing w:line="240" w:lineRule="auto"/>
        <w:ind w:firstLine="709"/>
        <w:jc w:val="center"/>
        <w:rPr>
          <w:rFonts w:ascii="Arial" w:hAnsi="Arial" w:cs="Arial"/>
          <w:sz w:val="24"/>
          <w:szCs w:val="24"/>
          <w:lang w:eastAsia="pt-BR"/>
        </w:rPr>
      </w:pPr>
      <w:proofErr w:type="spellStart"/>
      <w:r>
        <w:rPr>
          <w:rFonts w:ascii="Arial" w:hAnsi="Arial" w:cs="Arial"/>
          <w:sz w:val="24"/>
          <w:szCs w:val="24"/>
          <w:lang w:eastAsia="pt-BR"/>
        </w:rPr>
        <w:t>Table</w:t>
      </w:r>
      <w:proofErr w:type="spellEnd"/>
      <w:r>
        <w:rPr>
          <w:rFonts w:ascii="Arial" w:hAnsi="Arial" w:cs="Arial"/>
          <w:sz w:val="24"/>
          <w:szCs w:val="24"/>
          <w:lang w:eastAsia="pt-BR"/>
        </w:rPr>
        <w:t xml:space="preserve"> 6</w:t>
      </w:r>
    </w:p>
    <w:p w:rsidR="00582034" w:rsidRDefault="00582034" w:rsidP="00582034">
      <w:pPr>
        <w:spacing w:line="240" w:lineRule="auto"/>
        <w:jc w:val="center"/>
        <w:rPr>
          <w:rFonts w:ascii="Arial" w:eastAsia="Times New Roman" w:hAnsi="Arial" w:cs="Arial"/>
          <w:bCs/>
          <w:color w:val="000000"/>
          <w:sz w:val="24"/>
          <w:szCs w:val="24"/>
          <w:lang w:eastAsia="pt-BR"/>
        </w:rPr>
      </w:pPr>
      <w:proofErr w:type="spellStart"/>
      <w:r w:rsidRPr="00BB1E1B">
        <w:rPr>
          <w:rFonts w:ascii="Arial" w:eastAsia="Times New Roman" w:hAnsi="Arial" w:cs="Arial"/>
          <w:bCs/>
          <w:color w:val="000000"/>
          <w:sz w:val="24"/>
          <w:szCs w:val="24"/>
          <w:lang w:eastAsia="pt-BR"/>
        </w:rPr>
        <w:t>Discriminant</w:t>
      </w:r>
      <w:proofErr w:type="spellEnd"/>
      <w:r w:rsidRPr="00BB1E1B">
        <w:rPr>
          <w:rFonts w:ascii="Arial" w:eastAsia="Times New Roman" w:hAnsi="Arial" w:cs="Arial"/>
          <w:bCs/>
          <w:color w:val="000000"/>
          <w:sz w:val="24"/>
          <w:szCs w:val="24"/>
          <w:lang w:eastAsia="pt-BR"/>
        </w:rPr>
        <w:t xml:space="preserve"> </w:t>
      </w:r>
      <w:proofErr w:type="spellStart"/>
      <w:r w:rsidRPr="00BB1E1B">
        <w:rPr>
          <w:rFonts w:ascii="Arial" w:eastAsia="Times New Roman" w:hAnsi="Arial" w:cs="Arial"/>
          <w:bCs/>
          <w:color w:val="000000"/>
          <w:sz w:val="24"/>
          <w:szCs w:val="24"/>
          <w:lang w:eastAsia="pt-BR"/>
        </w:rPr>
        <w:t>coefficients</w:t>
      </w:r>
      <w:proofErr w:type="spellEnd"/>
      <w:r>
        <w:rPr>
          <w:rFonts w:ascii="Arial" w:eastAsia="Times New Roman" w:hAnsi="Arial" w:cs="Arial"/>
          <w:bCs/>
          <w:color w:val="000000"/>
          <w:sz w:val="24"/>
          <w:szCs w:val="24"/>
          <w:lang w:eastAsia="pt-BR"/>
        </w:rPr>
        <w:t xml:space="preserve"> – </w:t>
      </w:r>
      <w:proofErr w:type="spellStart"/>
      <w:r>
        <w:rPr>
          <w:rFonts w:ascii="Arial" w:eastAsia="Times New Roman" w:hAnsi="Arial" w:cs="Arial"/>
          <w:bCs/>
          <w:color w:val="000000"/>
          <w:sz w:val="24"/>
          <w:szCs w:val="24"/>
          <w:lang w:eastAsia="pt-BR"/>
        </w:rPr>
        <w:t>adjusted</w:t>
      </w:r>
      <w:proofErr w:type="spellEnd"/>
      <w:r>
        <w:rPr>
          <w:rFonts w:ascii="Arial" w:eastAsia="Times New Roman" w:hAnsi="Arial" w:cs="Arial"/>
          <w:bCs/>
          <w:color w:val="000000"/>
          <w:sz w:val="24"/>
          <w:szCs w:val="24"/>
          <w:lang w:eastAsia="pt-BR"/>
        </w:rPr>
        <w:t xml:space="preserve"> </w:t>
      </w:r>
      <w:proofErr w:type="spellStart"/>
      <w:r>
        <w:rPr>
          <w:rFonts w:ascii="Arial" w:eastAsia="Times New Roman" w:hAnsi="Arial" w:cs="Arial"/>
          <w:bCs/>
          <w:color w:val="000000"/>
          <w:sz w:val="24"/>
          <w:szCs w:val="24"/>
          <w:lang w:eastAsia="pt-BR"/>
        </w:rPr>
        <w:t>sectors</w:t>
      </w:r>
      <w:proofErr w:type="spellEnd"/>
    </w:p>
    <w:tbl>
      <w:tblPr>
        <w:tblW w:w="0" w:type="auto"/>
        <w:jc w:val="center"/>
        <w:tblLook w:val="04A0" w:firstRow="1" w:lastRow="0" w:firstColumn="1" w:lastColumn="0" w:noHBand="0" w:noVBand="1"/>
      </w:tblPr>
      <w:tblGrid>
        <w:gridCol w:w="1842"/>
        <w:gridCol w:w="1842"/>
        <w:gridCol w:w="1842"/>
        <w:gridCol w:w="2004"/>
      </w:tblGrid>
      <w:tr w:rsidR="00582034" w:rsidRPr="00E4531D" w:rsidTr="00527254">
        <w:trPr>
          <w:jc w:val="center"/>
        </w:trPr>
        <w:tc>
          <w:tcPr>
            <w:tcW w:w="1842" w:type="dxa"/>
            <w:tcBorders>
              <w:bottom w:val="single" w:sz="4" w:space="0" w:color="auto"/>
              <w:right w:val="single" w:sz="4" w:space="0" w:color="auto"/>
            </w:tcBorders>
            <w:shd w:val="clear" w:color="auto" w:fill="auto"/>
          </w:tcPr>
          <w:p w:rsidR="00582034" w:rsidRPr="00E4531D" w:rsidRDefault="00582034" w:rsidP="00527254">
            <w:pPr>
              <w:spacing w:line="240" w:lineRule="auto"/>
              <w:rPr>
                <w:rFonts w:ascii="Arial" w:eastAsia="Times New Roman" w:hAnsi="Arial" w:cs="Arial"/>
                <w:b/>
                <w:bCs/>
                <w:color w:val="000000"/>
                <w:sz w:val="24"/>
                <w:szCs w:val="24"/>
                <w:lang w:eastAsia="pt-BR"/>
              </w:rPr>
            </w:pPr>
            <w:proofErr w:type="spellStart"/>
            <w:r w:rsidRPr="00E4531D">
              <w:rPr>
                <w:rFonts w:ascii="Arial" w:eastAsia="Times New Roman" w:hAnsi="Arial" w:cs="Arial"/>
                <w:b/>
                <w:bCs/>
                <w:color w:val="000000"/>
                <w:sz w:val="24"/>
                <w:szCs w:val="24"/>
                <w:lang w:eastAsia="pt-BR"/>
              </w:rPr>
              <w:t>Indicators</w:t>
            </w:r>
            <w:proofErr w:type="spellEnd"/>
          </w:p>
        </w:tc>
        <w:tc>
          <w:tcPr>
            <w:tcW w:w="1842" w:type="dxa"/>
            <w:tcBorders>
              <w:left w:val="single" w:sz="4" w:space="0" w:color="auto"/>
              <w:bottom w:val="single" w:sz="4" w:space="0" w:color="auto"/>
            </w:tcBorders>
            <w:shd w:val="clear" w:color="auto" w:fill="auto"/>
            <w:vAlign w:val="center"/>
          </w:tcPr>
          <w:p w:rsidR="00582034" w:rsidRPr="00F77033" w:rsidRDefault="00FC1FDB" w:rsidP="00527254">
            <w:pPr>
              <w:spacing w:after="0" w:line="240" w:lineRule="auto"/>
              <w:jc w:val="center"/>
              <w:rPr>
                <w:rFonts w:ascii="Arial" w:eastAsia="Times New Roman" w:hAnsi="Arial" w:cs="Arial"/>
                <w:b/>
                <w:bCs/>
                <w:sz w:val="24"/>
                <w:szCs w:val="24"/>
                <w:lang w:eastAsia="pt-BR"/>
              </w:rPr>
            </w:pPr>
            <m:oMathPara>
              <m:oMath>
                <m:sSub>
                  <m:sSubPr>
                    <m:ctrlPr>
                      <w:rPr>
                        <w:rFonts w:ascii="Cambria Math" w:eastAsia="Times New Roman" w:hAnsi="Cambria Math" w:cs="Arial"/>
                        <w:b/>
                        <w:bCs/>
                        <w:i/>
                        <w:sz w:val="24"/>
                        <w:szCs w:val="24"/>
                        <w:lang w:eastAsia="pt-BR"/>
                      </w:rPr>
                    </m:ctrlPr>
                  </m:sSubPr>
                  <m:e>
                    <m:r>
                      <m:rPr>
                        <m:sty m:val="bi"/>
                      </m:rPr>
                      <w:rPr>
                        <w:rFonts w:ascii="Cambria Math" w:eastAsia="Times New Roman" w:hAnsi="Cambria Math" w:cs="Arial"/>
                        <w:sz w:val="24"/>
                        <w:szCs w:val="24"/>
                        <w:lang w:eastAsia="pt-BR"/>
                      </w:rPr>
                      <m:t>b</m:t>
                    </m:r>
                  </m:e>
                  <m:sub>
                    <m:r>
                      <m:rPr>
                        <m:sty m:val="bi"/>
                      </m:rPr>
                      <w:rPr>
                        <w:rFonts w:ascii="Cambria Math" w:eastAsia="Times New Roman" w:hAnsi="Cambria Math" w:cs="Arial"/>
                        <w:sz w:val="24"/>
                        <w:szCs w:val="24"/>
                        <w:lang w:eastAsia="pt-BR"/>
                      </w:rPr>
                      <m:t>j;SM-I</m:t>
                    </m:r>
                  </m:sub>
                </m:sSub>
              </m:oMath>
            </m:oMathPara>
          </w:p>
        </w:tc>
        <w:tc>
          <w:tcPr>
            <w:tcW w:w="1842" w:type="dxa"/>
            <w:tcBorders>
              <w:bottom w:val="single" w:sz="4" w:space="0" w:color="auto"/>
            </w:tcBorders>
            <w:shd w:val="clear" w:color="auto" w:fill="auto"/>
            <w:vAlign w:val="center"/>
          </w:tcPr>
          <w:p w:rsidR="00582034" w:rsidRPr="00F77033" w:rsidRDefault="00FC1FDB" w:rsidP="00527254">
            <w:pPr>
              <w:spacing w:after="0" w:line="240" w:lineRule="auto"/>
              <w:jc w:val="center"/>
              <w:rPr>
                <w:rFonts w:ascii="Arial" w:eastAsia="Times New Roman" w:hAnsi="Arial" w:cs="Arial"/>
                <w:b/>
                <w:bCs/>
                <w:sz w:val="24"/>
                <w:szCs w:val="24"/>
                <w:lang w:eastAsia="pt-BR"/>
              </w:rPr>
            </w:pPr>
            <m:oMathPara>
              <m:oMath>
                <m:sSub>
                  <m:sSubPr>
                    <m:ctrlPr>
                      <w:rPr>
                        <w:rFonts w:ascii="Cambria Math" w:eastAsia="Times New Roman" w:hAnsi="Cambria Math" w:cs="Arial"/>
                        <w:b/>
                        <w:bCs/>
                        <w:i/>
                        <w:sz w:val="24"/>
                        <w:szCs w:val="24"/>
                        <w:lang w:eastAsia="pt-BR"/>
                      </w:rPr>
                    </m:ctrlPr>
                  </m:sSubPr>
                  <m:e>
                    <m:r>
                      <m:rPr>
                        <m:sty m:val="bi"/>
                      </m:rPr>
                      <w:rPr>
                        <w:rFonts w:ascii="Cambria Math" w:eastAsia="Times New Roman" w:hAnsi="Cambria Math" w:cs="Arial"/>
                        <w:sz w:val="24"/>
                        <w:szCs w:val="24"/>
                        <w:lang w:eastAsia="pt-BR"/>
                      </w:rPr>
                      <m:t>b</m:t>
                    </m:r>
                  </m:e>
                  <m:sub>
                    <m:r>
                      <m:rPr>
                        <m:sty m:val="bi"/>
                      </m:rPr>
                      <w:rPr>
                        <w:rFonts w:ascii="Cambria Math" w:eastAsia="Times New Roman" w:hAnsi="Cambria Math" w:cs="Arial"/>
                        <w:sz w:val="24"/>
                        <w:szCs w:val="24"/>
                        <w:lang w:eastAsia="pt-BR"/>
                      </w:rPr>
                      <m:t>j;SM-II</m:t>
                    </m:r>
                  </m:sub>
                </m:sSub>
              </m:oMath>
            </m:oMathPara>
          </w:p>
        </w:tc>
        <w:tc>
          <w:tcPr>
            <w:tcW w:w="2004" w:type="dxa"/>
            <w:tcBorders>
              <w:bottom w:val="single" w:sz="4" w:space="0" w:color="auto"/>
            </w:tcBorders>
            <w:shd w:val="clear" w:color="auto" w:fill="auto"/>
            <w:vAlign w:val="center"/>
          </w:tcPr>
          <w:p w:rsidR="00582034" w:rsidRPr="00F77033" w:rsidRDefault="00FC1FDB" w:rsidP="00527254">
            <w:pPr>
              <w:spacing w:after="0" w:line="240" w:lineRule="auto"/>
              <w:jc w:val="center"/>
              <w:rPr>
                <w:rFonts w:ascii="Arial" w:eastAsia="Times New Roman" w:hAnsi="Arial" w:cs="Arial"/>
                <w:b/>
                <w:bCs/>
                <w:sz w:val="24"/>
                <w:szCs w:val="24"/>
                <w:lang w:eastAsia="pt-BR"/>
              </w:rPr>
            </w:pPr>
            <m:oMathPara>
              <m:oMath>
                <m:sSub>
                  <m:sSubPr>
                    <m:ctrlPr>
                      <w:rPr>
                        <w:rFonts w:ascii="Cambria Math" w:eastAsia="Times New Roman" w:hAnsi="Cambria Math" w:cs="Arial"/>
                        <w:b/>
                        <w:bCs/>
                        <w:i/>
                        <w:sz w:val="24"/>
                        <w:szCs w:val="24"/>
                        <w:lang w:eastAsia="pt-BR"/>
                      </w:rPr>
                    </m:ctrlPr>
                  </m:sSubPr>
                  <m:e>
                    <m:r>
                      <m:rPr>
                        <m:sty m:val="bi"/>
                      </m:rPr>
                      <w:rPr>
                        <w:rFonts w:ascii="Cambria Math" w:eastAsia="Times New Roman" w:hAnsi="Cambria Math" w:cs="Arial"/>
                        <w:sz w:val="24"/>
                        <w:szCs w:val="24"/>
                        <w:lang w:eastAsia="pt-BR"/>
                      </w:rPr>
                      <m:t>b</m:t>
                    </m:r>
                  </m:e>
                  <m:sub>
                    <m:r>
                      <m:rPr>
                        <m:sty m:val="bi"/>
                      </m:rPr>
                      <w:rPr>
                        <w:rFonts w:ascii="Cambria Math" w:eastAsia="Times New Roman" w:hAnsi="Cambria Math" w:cs="Arial"/>
                        <w:sz w:val="24"/>
                        <w:szCs w:val="24"/>
                        <w:lang w:eastAsia="pt-BR"/>
                      </w:rPr>
                      <m:t>j;SM-I</m:t>
                    </m:r>
                  </m:sub>
                </m:sSub>
                <m:r>
                  <m:rPr>
                    <m:sty m:val="bi"/>
                  </m:rPr>
                  <w:rPr>
                    <w:rFonts w:ascii="Cambria Math" w:eastAsia="Times New Roman" w:hAnsi="Cambria Math" w:cs="Arial"/>
                    <w:sz w:val="24"/>
                    <w:szCs w:val="24"/>
                    <w:lang w:eastAsia="pt-BR"/>
                  </w:rPr>
                  <m:t>-</m:t>
                </m:r>
                <m:sSub>
                  <m:sSubPr>
                    <m:ctrlPr>
                      <w:rPr>
                        <w:rFonts w:ascii="Cambria Math" w:eastAsia="Times New Roman" w:hAnsi="Cambria Math" w:cs="Arial"/>
                        <w:b/>
                        <w:bCs/>
                        <w:i/>
                        <w:sz w:val="24"/>
                        <w:szCs w:val="24"/>
                        <w:lang w:eastAsia="pt-BR"/>
                      </w:rPr>
                    </m:ctrlPr>
                  </m:sSubPr>
                  <m:e>
                    <m:r>
                      <m:rPr>
                        <m:sty m:val="bi"/>
                      </m:rPr>
                      <w:rPr>
                        <w:rFonts w:ascii="Cambria Math" w:eastAsia="Times New Roman" w:hAnsi="Cambria Math" w:cs="Arial"/>
                        <w:sz w:val="24"/>
                        <w:szCs w:val="24"/>
                        <w:lang w:eastAsia="pt-BR"/>
                      </w:rPr>
                      <m:t>b</m:t>
                    </m:r>
                  </m:e>
                  <m:sub>
                    <m:r>
                      <m:rPr>
                        <m:sty m:val="bi"/>
                      </m:rPr>
                      <w:rPr>
                        <w:rFonts w:ascii="Cambria Math" w:eastAsia="Times New Roman" w:hAnsi="Cambria Math" w:cs="Arial"/>
                        <w:sz w:val="24"/>
                        <w:szCs w:val="24"/>
                        <w:lang w:eastAsia="pt-BR"/>
                      </w:rPr>
                      <m:t>j;SM-II</m:t>
                    </m:r>
                  </m:sub>
                </m:sSub>
              </m:oMath>
            </m:oMathPara>
          </w:p>
        </w:tc>
      </w:tr>
      <w:tr w:rsidR="00582034" w:rsidRPr="00E4531D" w:rsidTr="00527254">
        <w:trPr>
          <w:jc w:val="center"/>
        </w:trPr>
        <w:tc>
          <w:tcPr>
            <w:tcW w:w="1842" w:type="dxa"/>
            <w:tcBorders>
              <w:top w:val="single" w:sz="4" w:space="0" w:color="auto"/>
              <w:right w:val="single" w:sz="4" w:space="0" w:color="auto"/>
            </w:tcBorders>
            <w:shd w:val="clear" w:color="auto" w:fill="auto"/>
          </w:tcPr>
          <w:p w:rsidR="00582034" w:rsidRPr="00E4531D" w:rsidRDefault="00582034" w:rsidP="00527254">
            <w:pPr>
              <w:spacing w:line="240" w:lineRule="auto"/>
              <w:rPr>
                <w:rFonts w:ascii="Arial" w:eastAsia="Times New Roman" w:hAnsi="Arial" w:cs="Arial"/>
                <w:b/>
                <w:bCs/>
                <w:color w:val="000000"/>
                <w:sz w:val="24"/>
                <w:szCs w:val="24"/>
                <w:lang w:eastAsia="pt-BR"/>
              </w:rPr>
            </w:pPr>
            <w:r w:rsidRPr="00E4531D">
              <w:rPr>
                <w:rFonts w:ascii="Arial" w:eastAsia="Times New Roman" w:hAnsi="Arial" w:cs="Arial"/>
                <w:b/>
                <w:bCs/>
                <w:color w:val="000000"/>
                <w:sz w:val="24"/>
                <w:szCs w:val="24"/>
                <w:lang w:eastAsia="pt-BR"/>
              </w:rPr>
              <w:t>TECOP</w:t>
            </w:r>
          </w:p>
        </w:tc>
        <w:tc>
          <w:tcPr>
            <w:tcW w:w="1842" w:type="dxa"/>
            <w:tcBorders>
              <w:top w:val="single" w:sz="4" w:space="0" w:color="auto"/>
              <w:left w:val="single" w:sz="4" w:space="0" w:color="auto"/>
            </w:tcBorders>
            <w:shd w:val="clear" w:color="auto" w:fill="auto"/>
            <w:vAlign w:val="bottom"/>
          </w:tcPr>
          <w:p w:rsidR="00582034" w:rsidRPr="00460FC8" w:rsidRDefault="00582034" w:rsidP="00527254">
            <w:pPr>
              <w:spacing w:after="0" w:line="240" w:lineRule="auto"/>
              <w:jc w:val="center"/>
              <w:rPr>
                <w:rFonts w:ascii="Arial" w:eastAsia="Times New Roman" w:hAnsi="Arial" w:cs="Arial"/>
                <w:lang w:eastAsia="pt-BR"/>
              </w:rPr>
            </w:pPr>
            <w:r w:rsidRPr="00460FC8">
              <w:rPr>
                <w:rFonts w:ascii="Arial" w:eastAsia="Times New Roman" w:hAnsi="Arial" w:cs="Arial"/>
                <w:lang w:eastAsia="pt-BR"/>
              </w:rPr>
              <w:t>9</w:t>
            </w:r>
            <w:r>
              <w:rPr>
                <w:rFonts w:ascii="Arial" w:eastAsia="Times New Roman" w:hAnsi="Arial" w:cs="Arial"/>
                <w:lang w:eastAsia="pt-BR"/>
              </w:rPr>
              <w:t>.</w:t>
            </w:r>
            <w:r w:rsidRPr="00460FC8">
              <w:rPr>
                <w:rFonts w:ascii="Arial" w:eastAsia="Times New Roman" w:hAnsi="Arial" w:cs="Arial"/>
                <w:lang w:eastAsia="pt-BR"/>
              </w:rPr>
              <w:t>618</w:t>
            </w:r>
          </w:p>
        </w:tc>
        <w:tc>
          <w:tcPr>
            <w:tcW w:w="1842" w:type="dxa"/>
            <w:tcBorders>
              <w:top w:val="single" w:sz="4" w:space="0" w:color="auto"/>
            </w:tcBorders>
            <w:shd w:val="clear" w:color="auto" w:fill="auto"/>
            <w:vAlign w:val="bottom"/>
          </w:tcPr>
          <w:p w:rsidR="00582034" w:rsidRPr="00460FC8" w:rsidRDefault="00582034" w:rsidP="00527254">
            <w:pPr>
              <w:spacing w:after="0" w:line="240" w:lineRule="auto"/>
              <w:jc w:val="center"/>
              <w:rPr>
                <w:rFonts w:ascii="Arial" w:eastAsia="Times New Roman" w:hAnsi="Arial" w:cs="Arial"/>
                <w:lang w:eastAsia="pt-BR"/>
              </w:rPr>
            </w:pPr>
            <w:r>
              <w:rPr>
                <w:rFonts w:ascii="Arial" w:eastAsia="Times New Roman" w:hAnsi="Arial" w:cs="Arial"/>
                <w:lang w:eastAsia="pt-BR"/>
              </w:rPr>
              <w:t>3.</w:t>
            </w:r>
            <w:r w:rsidRPr="00460FC8">
              <w:rPr>
                <w:rFonts w:ascii="Arial" w:eastAsia="Times New Roman" w:hAnsi="Arial" w:cs="Arial"/>
                <w:lang w:eastAsia="pt-BR"/>
              </w:rPr>
              <w:t>092</w:t>
            </w:r>
          </w:p>
        </w:tc>
        <w:tc>
          <w:tcPr>
            <w:tcW w:w="2004" w:type="dxa"/>
            <w:tcBorders>
              <w:top w:val="single" w:sz="4" w:space="0" w:color="auto"/>
            </w:tcBorders>
            <w:shd w:val="clear" w:color="auto" w:fill="auto"/>
            <w:vAlign w:val="bottom"/>
          </w:tcPr>
          <w:p w:rsidR="00582034" w:rsidRPr="00460FC8" w:rsidRDefault="00582034" w:rsidP="00527254">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6.</w:t>
            </w:r>
            <w:r w:rsidRPr="00460FC8">
              <w:rPr>
                <w:rFonts w:ascii="Arial" w:eastAsia="Times New Roman" w:hAnsi="Arial" w:cs="Arial"/>
                <w:sz w:val="20"/>
                <w:szCs w:val="20"/>
                <w:lang w:eastAsia="pt-BR"/>
              </w:rPr>
              <w:t>526</w:t>
            </w:r>
          </w:p>
        </w:tc>
      </w:tr>
      <w:tr w:rsidR="00582034" w:rsidRPr="00E4531D" w:rsidTr="00527254">
        <w:trPr>
          <w:jc w:val="center"/>
        </w:trPr>
        <w:tc>
          <w:tcPr>
            <w:tcW w:w="1842" w:type="dxa"/>
            <w:tcBorders>
              <w:right w:val="single" w:sz="4" w:space="0" w:color="auto"/>
            </w:tcBorders>
            <w:shd w:val="clear" w:color="auto" w:fill="auto"/>
          </w:tcPr>
          <w:p w:rsidR="00582034" w:rsidRPr="00E4531D" w:rsidRDefault="00582034" w:rsidP="00527254">
            <w:pPr>
              <w:spacing w:line="240" w:lineRule="auto"/>
              <w:rPr>
                <w:rFonts w:ascii="Arial" w:eastAsia="Times New Roman" w:hAnsi="Arial" w:cs="Arial"/>
                <w:b/>
                <w:bCs/>
                <w:color w:val="000000"/>
                <w:sz w:val="24"/>
                <w:szCs w:val="24"/>
                <w:lang w:eastAsia="pt-BR"/>
              </w:rPr>
            </w:pPr>
            <w:r w:rsidRPr="00E4531D">
              <w:rPr>
                <w:rFonts w:ascii="Arial" w:eastAsia="Times New Roman" w:hAnsi="Arial" w:cs="Arial"/>
                <w:b/>
                <w:bCs/>
                <w:color w:val="000000"/>
                <w:sz w:val="24"/>
                <w:szCs w:val="24"/>
                <w:lang w:eastAsia="pt-BR"/>
              </w:rPr>
              <w:t>APROP</w:t>
            </w:r>
          </w:p>
        </w:tc>
        <w:tc>
          <w:tcPr>
            <w:tcW w:w="1842" w:type="dxa"/>
            <w:tcBorders>
              <w:left w:val="single" w:sz="4" w:space="0" w:color="auto"/>
            </w:tcBorders>
            <w:shd w:val="clear" w:color="auto" w:fill="auto"/>
            <w:vAlign w:val="bottom"/>
          </w:tcPr>
          <w:p w:rsidR="00582034" w:rsidRPr="00460FC8" w:rsidRDefault="00582034" w:rsidP="00527254">
            <w:pPr>
              <w:spacing w:after="0" w:line="240" w:lineRule="auto"/>
              <w:jc w:val="center"/>
              <w:rPr>
                <w:rFonts w:ascii="Arial" w:eastAsia="Times New Roman" w:hAnsi="Arial" w:cs="Arial"/>
                <w:lang w:eastAsia="pt-BR"/>
              </w:rPr>
            </w:pPr>
            <w:r>
              <w:rPr>
                <w:rFonts w:ascii="Arial" w:eastAsia="Times New Roman" w:hAnsi="Arial" w:cs="Arial"/>
                <w:lang w:eastAsia="pt-BR"/>
              </w:rPr>
              <w:t>-2.</w:t>
            </w:r>
            <w:r w:rsidRPr="00460FC8">
              <w:rPr>
                <w:rFonts w:ascii="Arial" w:eastAsia="Times New Roman" w:hAnsi="Arial" w:cs="Arial"/>
                <w:lang w:eastAsia="pt-BR"/>
              </w:rPr>
              <w:t>036</w:t>
            </w:r>
          </w:p>
        </w:tc>
        <w:tc>
          <w:tcPr>
            <w:tcW w:w="1842" w:type="dxa"/>
            <w:shd w:val="clear" w:color="auto" w:fill="auto"/>
            <w:vAlign w:val="bottom"/>
          </w:tcPr>
          <w:p w:rsidR="00582034" w:rsidRPr="00460FC8" w:rsidRDefault="00582034" w:rsidP="00527254">
            <w:pPr>
              <w:spacing w:after="0" w:line="240" w:lineRule="auto"/>
              <w:jc w:val="center"/>
              <w:rPr>
                <w:rFonts w:ascii="Arial" w:eastAsia="Times New Roman" w:hAnsi="Arial" w:cs="Arial"/>
                <w:lang w:eastAsia="pt-BR"/>
              </w:rPr>
            </w:pPr>
            <w:r>
              <w:rPr>
                <w:rFonts w:ascii="Arial" w:eastAsia="Times New Roman" w:hAnsi="Arial" w:cs="Arial"/>
                <w:lang w:eastAsia="pt-BR"/>
              </w:rPr>
              <w:t>-0.</w:t>
            </w:r>
            <w:r w:rsidRPr="00460FC8">
              <w:rPr>
                <w:rFonts w:ascii="Arial" w:eastAsia="Times New Roman" w:hAnsi="Arial" w:cs="Arial"/>
                <w:lang w:eastAsia="pt-BR"/>
              </w:rPr>
              <w:t>623</w:t>
            </w:r>
          </w:p>
        </w:tc>
        <w:tc>
          <w:tcPr>
            <w:tcW w:w="2004" w:type="dxa"/>
            <w:shd w:val="clear" w:color="auto" w:fill="auto"/>
            <w:vAlign w:val="bottom"/>
          </w:tcPr>
          <w:p w:rsidR="00582034" w:rsidRPr="00460FC8" w:rsidRDefault="00582034" w:rsidP="00527254">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-1.</w:t>
            </w:r>
            <w:r w:rsidRPr="00460FC8">
              <w:rPr>
                <w:rFonts w:ascii="Arial" w:eastAsia="Times New Roman" w:hAnsi="Arial" w:cs="Arial"/>
                <w:sz w:val="20"/>
                <w:szCs w:val="20"/>
                <w:lang w:eastAsia="pt-BR"/>
              </w:rPr>
              <w:t>413</w:t>
            </w:r>
          </w:p>
        </w:tc>
      </w:tr>
      <w:tr w:rsidR="00582034" w:rsidRPr="00E4531D" w:rsidTr="00527254">
        <w:trPr>
          <w:jc w:val="center"/>
        </w:trPr>
        <w:tc>
          <w:tcPr>
            <w:tcW w:w="1842" w:type="dxa"/>
            <w:tcBorders>
              <w:right w:val="single" w:sz="4" w:space="0" w:color="auto"/>
            </w:tcBorders>
            <w:shd w:val="clear" w:color="auto" w:fill="auto"/>
          </w:tcPr>
          <w:p w:rsidR="00582034" w:rsidRPr="00E4531D" w:rsidRDefault="00582034" w:rsidP="00527254">
            <w:pPr>
              <w:spacing w:line="240" w:lineRule="auto"/>
              <w:rPr>
                <w:rFonts w:ascii="Arial" w:eastAsia="Times New Roman" w:hAnsi="Arial" w:cs="Arial"/>
                <w:b/>
                <w:bCs/>
                <w:color w:val="000000"/>
                <w:sz w:val="24"/>
                <w:szCs w:val="24"/>
                <w:lang w:eastAsia="pt-BR"/>
              </w:rPr>
            </w:pPr>
            <w:r w:rsidRPr="00E4531D">
              <w:rPr>
                <w:rFonts w:ascii="Arial" w:eastAsia="Times New Roman" w:hAnsi="Arial" w:cs="Arial"/>
                <w:b/>
                <w:bCs/>
                <w:color w:val="000000"/>
                <w:sz w:val="24"/>
                <w:szCs w:val="24"/>
                <w:lang w:eastAsia="pt-BR"/>
              </w:rPr>
              <w:t>CUMUL</w:t>
            </w:r>
          </w:p>
        </w:tc>
        <w:tc>
          <w:tcPr>
            <w:tcW w:w="1842" w:type="dxa"/>
            <w:tcBorders>
              <w:left w:val="single" w:sz="4" w:space="0" w:color="auto"/>
            </w:tcBorders>
            <w:shd w:val="clear" w:color="auto" w:fill="auto"/>
            <w:vAlign w:val="bottom"/>
          </w:tcPr>
          <w:p w:rsidR="00582034" w:rsidRPr="00460FC8" w:rsidRDefault="00582034" w:rsidP="00527254">
            <w:pPr>
              <w:spacing w:after="0" w:line="240" w:lineRule="auto"/>
              <w:jc w:val="center"/>
              <w:rPr>
                <w:rFonts w:ascii="Arial" w:eastAsia="Times New Roman" w:hAnsi="Arial" w:cs="Arial"/>
                <w:lang w:eastAsia="pt-BR"/>
              </w:rPr>
            </w:pPr>
            <w:r>
              <w:rPr>
                <w:rFonts w:ascii="Arial" w:eastAsia="Times New Roman" w:hAnsi="Arial" w:cs="Arial"/>
                <w:lang w:eastAsia="pt-BR"/>
              </w:rPr>
              <w:t>0.</w:t>
            </w:r>
            <w:r w:rsidRPr="00460FC8">
              <w:rPr>
                <w:rFonts w:ascii="Arial" w:eastAsia="Times New Roman" w:hAnsi="Arial" w:cs="Arial"/>
                <w:lang w:eastAsia="pt-BR"/>
              </w:rPr>
              <w:t>984</w:t>
            </w:r>
          </w:p>
        </w:tc>
        <w:tc>
          <w:tcPr>
            <w:tcW w:w="1842" w:type="dxa"/>
            <w:shd w:val="clear" w:color="auto" w:fill="auto"/>
            <w:vAlign w:val="bottom"/>
          </w:tcPr>
          <w:p w:rsidR="00582034" w:rsidRPr="00460FC8" w:rsidRDefault="00582034" w:rsidP="00527254">
            <w:pPr>
              <w:spacing w:after="0" w:line="240" w:lineRule="auto"/>
              <w:jc w:val="center"/>
              <w:rPr>
                <w:rFonts w:ascii="Arial" w:eastAsia="Times New Roman" w:hAnsi="Arial" w:cs="Arial"/>
                <w:lang w:eastAsia="pt-BR"/>
              </w:rPr>
            </w:pPr>
            <w:r>
              <w:rPr>
                <w:rFonts w:ascii="Arial" w:eastAsia="Times New Roman" w:hAnsi="Arial" w:cs="Arial"/>
                <w:lang w:eastAsia="pt-BR"/>
              </w:rPr>
              <w:t>2.</w:t>
            </w:r>
            <w:r w:rsidRPr="00460FC8">
              <w:rPr>
                <w:rFonts w:ascii="Arial" w:eastAsia="Times New Roman" w:hAnsi="Arial" w:cs="Arial"/>
                <w:lang w:eastAsia="pt-BR"/>
              </w:rPr>
              <w:t>055</w:t>
            </w:r>
          </w:p>
        </w:tc>
        <w:tc>
          <w:tcPr>
            <w:tcW w:w="2004" w:type="dxa"/>
            <w:shd w:val="clear" w:color="auto" w:fill="auto"/>
            <w:vAlign w:val="bottom"/>
          </w:tcPr>
          <w:p w:rsidR="00582034" w:rsidRPr="00460FC8" w:rsidRDefault="00582034" w:rsidP="00527254">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-1.</w:t>
            </w:r>
            <w:r w:rsidRPr="00460FC8">
              <w:rPr>
                <w:rFonts w:ascii="Arial" w:eastAsia="Times New Roman" w:hAnsi="Arial" w:cs="Arial"/>
                <w:sz w:val="20"/>
                <w:szCs w:val="20"/>
                <w:lang w:eastAsia="pt-BR"/>
              </w:rPr>
              <w:t>070</w:t>
            </w:r>
          </w:p>
        </w:tc>
      </w:tr>
      <w:tr w:rsidR="00582034" w:rsidRPr="00E4531D" w:rsidTr="00527254">
        <w:trPr>
          <w:jc w:val="center"/>
        </w:trPr>
        <w:tc>
          <w:tcPr>
            <w:tcW w:w="1842" w:type="dxa"/>
            <w:tcBorders>
              <w:right w:val="single" w:sz="4" w:space="0" w:color="auto"/>
            </w:tcBorders>
            <w:shd w:val="clear" w:color="auto" w:fill="auto"/>
          </w:tcPr>
          <w:p w:rsidR="00582034" w:rsidRPr="00E4531D" w:rsidRDefault="00582034" w:rsidP="00527254">
            <w:pPr>
              <w:spacing w:line="240" w:lineRule="auto"/>
              <w:rPr>
                <w:rFonts w:ascii="Arial" w:eastAsia="Times New Roman" w:hAnsi="Arial" w:cs="Arial"/>
                <w:b/>
                <w:bCs/>
                <w:color w:val="000000"/>
                <w:sz w:val="24"/>
                <w:szCs w:val="24"/>
                <w:lang w:eastAsia="pt-BR"/>
              </w:rPr>
            </w:pPr>
            <w:r w:rsidRPr="00E4531D">
              <w:rPr>
                <w:rFonts w:ascii="Arial" w:eastAsia="Times New Roman" w:hAnsi="Arial" w:cs="Arial"/>
                <w:b/>
                <w:bCs/>
                <w:color w:val="000000"/>
                <w:sz w:val="24"/>
                <w:szCs w:val="24"/>
                <w:lang w:eastAsia="pt-BR"/>
              </w:rPr>
              <w:t>BASIC</w:t>
            </w:r>
          </w:p>
        </w:tc>
        <w:tc>
          <w:tcPr>
            <w:tcW w:w="1842" w:type="dxa"/>
            <w:tcBorders>
              <w:left w:val="single" w:sz="4" w:space="0" w:color="auto"/>
            </w:tcBorders>
            <w:shd w:val="clear" w:color="auto" w:fill="auto"/>
            <w:vAlign w:val="bottom"/>
          </w:tcPr>
          <w:p w:rsidR="00582034" w:rsidRPr="00460FC8" w:rsidRDefault="00582034" w:rsidP="00527254">
            <w:pPr>
              <w:spacing w:after="0" w:line="240" w:lineRule="auto"/>
              <w:jc w:val="center"/>
              <w:rPr>
                <w:rFonts w:ascii="Arial" w:eastAsia="Times New Roman" w:hAnsi="Arial" w:cs="Arial"/>
                <w:lang w:eastAsia="pt-BR"/>
              </w:rPr>
            </w:pPr>
            <w:r>
              <w:rPr>
                <w:rFonts w:ascii="Arial" w:eastAsia="Times New Roman" w:hAnsi="Arial" w:cs="Arial"/>
                <w:lang w:eastAsia="pt-BR"/>
              </w:rPr>
              <w:t>3.</w:t>
            </w:r>
            <w:r w:rsidRPr="00460FC8">
              <w:rPr>
                <w:rFonts w:ascii="Arial" w:eastAsia="Times New Roman" w:hAnsi="Arial" w:cs="Arial"/>
                <w:lang w:eastAsia="pt-BR"/>
              </w:rPr>
              <w:t>109</w:t>
            </w:r>
          </w:p>
        </w:tc>
        <w:tc>
          <w:tcPr>
            <w:tcW w:w="1842" w:type="dxa"/>
            <w:shd w:val="clear" w:color="auto" w:fill="auto"/>
            <w:vAlign w:val="bottom"/>
          </w:tcPr>
          <w:p w:rsidR="00582034" w:rsidRPr="00460FC8" w:rsidRDefault="00582034" w:rsidP="00527254">
            <w:pPr>
              <w:spacing w:after="0" w:line="240" w:lineRule="auto"/>
              <w:jc w:val="center"/>
              <w:rPr>
                <w:rFonts w:ascii="Arial" w:eastAsia="Times New Roman" w:hAnsi="Arial" w:cs="Arial"/>
                <w:lang w:eastAsia="pt-BR"/>
              </w:rPr>
            </w:pPr>
            <w:r>
              <w:rPr>
                <w:rFonts w:ascii="Arial" w:eastAsia="Times New Roman" w:hAnsi="Arial" w:cs="Arial"/>
                <w:lang w:eastAsia="pt-BR"/>
              </w:rPr>
              <w:t>0.</w:t>
            </w:r>
            <w:r w:rsidRPr="00460FC8">
              <w:rPr>
                <w:rFonts w:ascii="Arial" w:eastAsia="Times New Roman" w:hAnsi="Arial" w:cs="Arial"/>
                <w:lang w:eastAsia="pt-BR"/>
              </w:rPr>
              <w:t>085</w:t>
            </w:r>
          </w:p>
        </w:tc>
        <w:tc>
          <w:tcPr>
            <w:tcW w:w="2004" w:type="dxa"/>
            <w:shd w:val="clear" w:color="auto" w:fill="auto"/>
            <w:vAlign w:val="bottom"/>
          </w:tcPr>
          <w:p w:rsidR="00582034" w:rsidRPr="00460FC8" w:rsidRDefault="00582034" w:rsidP="00527254">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3.</w:t>
            </w:r>
            <w:r w:rsidRPr="00460FC8">
              <w:rPr>
                <w:rFonts w:ascii="Arial" w:eastAsia="Times New Roman" w:hAnsi="Arial" w:cs="Arial"/>
                <w:sz w:val="20"/>
                <w:szCs w:val="20"/>
                <w:lang w:eastAsia="pt-BR"/>
              </w:rPr>
              <w:t>024</w:t>
            </w:r>
          </w:p>
        </w:tc>
      </w:tr>
      <w:tr w:rsidR="00582034" w:rsidRPr="00E4531D" w:rsidTr="00527254">
        <w:trPr>
          <w:jc w:val="center"/>
        </w:trPr>
        <w:tc>
          <w:tcPr>
            <w:tcW w:w="1842" w:type="dxa"/>
            <w:tcBorders>
              <w:right w:val="single" w:sz="4" w:space="0" w:color="auto"/>
            </w:tcBorders>
            <w:shd w:val="clear" w:color="auto" w:fill="auto"/>
          </w:tcPr>
          <w:p w:rsidR="00582034" w:rsidRPr="00E4531D" w:rsidRDefault="00582034" w:rsidP="00527254">
            <w:pPr>
              <w:spacing w:line="240" w:lineRule="auto"/>
              <w:rPr>
                <w:rFonts w:ascii="Arial" w:eastAsia="Times New Roman" w:hAnsi="Arial" w:cs="Arial"/>
                <w:b/>
                <w:bCs/>
                <w:color w:val="000000"/>
                <w:sz w:val="24"/>
                <w:szCs w:val="24"/>
                <w:lang w:eastAsia="pt-BR"/>
              </w:rPr>
            </w:pPr>
            <w:r w:rsidRPr="00E4531D">
              <w:rPr>
                <w:rFonts w:ascii="Arial" w:eastAsia="Times New Roman" w:hAnsi="Arial" w:cs="Arial"/>
                <w:b/>
                <w:bCs/>
                <w:color w:val="000000"/>
                <w:sz w:val="24"/>
                <w:szCs w:val="24"/>
                <w:lang w:eastAsia="pt-BR"/>
              </w:rPr>
              <w:t>APPL</w:t>
            </w:r>
          </w:p>
        </w:tc>
        <w:tc>
          <w:tcPr>
            <w:tcW w:w="1842" w:type="dxa"/>
            <w:tcBorders>
              <w:left w:val="single" w:sz="4" w:space="0" w:color="auto"/>
            </w:tcBorders>
            <w:shd w:val="clear" w:color="auto" w:fill="auto"/>
            <w:vAlign w:val="bottom"/>
          </w:tcPr>
          <w:p w:rsidR="00582034" w:rsidRPr="00460FC8" w:rsidRDefault="00582034" w:rsidP="00527254">
            <w:pPr>
              <w:spacing w:after="0" w:line="240" w:lineRule="auto"/>
              <w:jc w:val="center"/>
              <w:rPr>
                <w:rFonts w:ascii="Arial" w:eastAsia="Times New Roman" w:hAnsi="Arial" w:cs="Arial"/>
                <w:lang w:eastAsia="pt-BR"/>
              </w:rPr>
            </w:pPr>
            <w:r>
              <w:rPr>
                <w:rFonts w:ascii="Arial" w:eastAsia="Times New Roman" w:hAnsi="Arial" w:cs="Arial"/>
                <w:lang w:eastAsia="pt-BR"/>
              </w:rPr>
              <w:t>2.</w:t>
            </w:r>
            <w:r w:rsidRPr="00460FC8">
              <w:rPr>
                <w:rFonts w:ascii="Arial" w:eastAsia="Times New Roman" w:hAnsi="Arial" w:cs="Arial"/>
                <w:lang w:eastAsia="pt-BR"/>
              </w:rPr>
              <w:t>756</w:t>
            </w:r>
          </w:p>
        </w:tc>
        <w:tc>
          <w:tcPr>
            <w:tcW w:w="1842" w:type="dxa"/>
            <w:shd w:val="clear" w:color="auto" w:fill="auto"/>
            <w:vAlign w:val="bottom"/>
          </w:tcPr>
          <w:p w:rsidR="00582034" w:rsidRPr="00460FC8" w:rsidRDefault="00582034" w:rsidP="00527254">
            <w:pPr>
              <w:spacing w:after="0" w:line="240" w:lineRule="auto"/>
              <w:jc w:val="center"/>
              <w:rPr>
                <w:rFonts w:ascii="Arial" w:eastAsia="Times New Roman" w:hAnsi="Arial" w:cs="Arial"/>
                <w:lang w:eastAsia="pt-BR"/>
              </w:rPr>
            </w:pPr>
            <w:r>
              <w:rPr>
                <w:rFonts w:ascii="Arial" w:eastAsia="Times New Roman" w:hAnsi="Arial" w:cs="Arial"/>
                <w:lang w:eastAsia="pt-BR"/>
              </w:rPr>
              <w:t>0.</w:t>
            </w:r>
            <w:r w:rsidRPr="00460FC8">
              <w:rPr>
                <w:rFonts w:ascii="Arial" w:eastAsia="Times New Roman" w:hAnsi="Arial" w:cs="Arial"/>
                <w:lang w:eastAsia="pt-BR"/>
              </w:rPr>
              <w:t>366</w:t>
            </w:r>
          </w:p>
        </w:tc>
        <w:tc>
          <w:tcPr>
            <w:tcW w:w="2004" w:type="dxa"/>
            <w:shd w:val="clear" w:color="auto" w:fill="auto"/>
            <w:vAlign w:val="bottom"/>
          </w:tcPr>
          <w:p w:rsidR="00582034" w:rsidRPr="00460FC8" w:rsidRDefault="00582034" w:rsidP="00527254">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2.</w:t>
            </w:r>
            <w:r w:rsidRPr="00460FC8">
              <w:rPr>
                <w:rFonts w:ascii="Arial" w:eastAsia="Times New Roman" w:hAnsi="Arial" w:cs="Arial"/>
                <w:sz w:val="20"/>
                <w:szCs w:val="20"/>
                <w:lang w:eastAsia="pt-BR"/>
              </w:rPr>
              <w:t>390</w:t>
            </w:r>
          </w:p>
        </w:tc>
      </w:tr>
      <w:tr w:rsidR="00582034" w:rsidRPr="00E4531D" w:rsidTr="00527254">
        <w:trPr>
          <w:jc w:val="center"/>
        </w:trPr>
        <w:tc>
          <w:tcPr>
            <w:tcW w:w="1842" w:type="dxa"/>
            <w:tcBorders>
              <w:right w:val="single" w:sz="4" w:space="0" w:color="auto"/>
            </w:tcBorders>
            <w:shd w:val="clear" w:color="auto" w:fill="auto"/>
          </w:tcPr>
          <w:p w:rsidR="00582034" w:rsidRPr="00E4531D" w:rsidRDefault="00582034" w:rsidP="00527254">
            <w:pPr>
              <w:spacing w:line="240" w:lineRule="auto"/>
              <w:rPr>
                <w:rFonts w:ascii="Arial" w:eastAsia="Times New Roman" w:hAnsi="Arial" w:cs="Arial"/>
                <w:b/>
                <w:bCs/>
                <w:color w:val="000000"/>
                <w:sz w:val="24"/>
                <w:szCs w:val="24"/>
                <w:lang w:eastAsia="pt-BR"/>
              </w:rPr>
            </w:pPr>
            <w:r w:rsidRPr="00E4531D">
              <w:rPr>
                <w:rFonts w:ascii="Arial" w:eastAsia="Times New Roman" w:hAnsi="Arial" w:cs="Arial"/>
                <w:b/>
                <w:bCs/>
                <w:color w:val="000000"/>
                <w:sz w:val="24"/>
                <w:szCs w:val="24"/>
                <w:lang w:eastAsia="pt-BR"/>
              </w:rPr>
              <w:t>CONSTANT</w:t>
            </w:r>
          </w:p>
        </w:tc>
        <w:tc>
          <w:tcPr>
            <w:tcW w:w="1842" w:type="dxa"/>
            <w:tcBorders>
              <w:left w:val="single" w:sz="4" w:space="0" w:color="auto"/>
            </w:tcBorders>
            <w:shd w:val="clear" w:color="auto" w:fill="auto"/>
            <w:vAlign w:val="bottom"/>
          </w:tcPr>
          <w:p w:rsidR="00582034" w:rsidRPr="00460FC8" w:rsidRDefault="00582034" w:rsidP="00527254">
            <w:pPr>
              <w:spacing w:after="0" w:line="240" w:lineRule="auto"/>
              <w:jc w:val="center"/>
              <w:rPr>
                <w:rFonts w:ascii="Arial" w:eastAsia="Times New Roman" w:hAnsi="Arial" w:cs="Arial"/>
                <w:lang w:eastAsia="pt-BR"/>
              </w:rPr>
            </w:pPr>
            <w:r>
              <w:rPr>
                <w:rFonts w:ascii="Arial" w:eastAsia="Times New Roman" w:hAnsi="Arial" w:cs="Arial"/>
                <w:lang w:eastAsia="pt-BR"/>
              </w:rPr>
              <w:t>-13.</w:t>
            </w:r>
            <w:r w:rsidRPr="00460FC8">
              <w:rPr>
                <w:rFonts w:ascii="Arial" w:eastAsia="Times New Roman" w:hAnsi="Arial" w:cs="Arial"/>
                <w:lang w:eastAsia="pt-BR"/>
              </w:rPr>
              <w:t>788</w:t>
            </w:r>
          </w:p>
        </w:tc>
        <w:tc>
          <w:tcPr>
            <w:tcW w:w="1842" w:type="dxa"/>
            <w:shd w:val="clear" w:color="auto" w:fill="auto"/>
            <w:vAlign w:val="bottom"/>
          </w:tcPr>
          <w:p w:rsidR="00582034" w:rsidRPr="00460FC8" w:rsidRDefault="00582034" w:rsidP="00527254">
            <w:pPr>
              <w:spacing w:after="0" w:line="240" w:lineRule="auto"/>
              <w:jc w:val="center"/>
              <w:rPr>
                <w:rFonts w:ascii="Arial" w:eastAsia="Times New Roman" w:hAnsi="Arial" w:cs="Arial"/>
                <w:lang w:eastAsia="pt-BR"/>
              </w:rPr>
            </w:pPr>
            <w:r>
              <w:rPr>
                <w:rFonts w:ascii="Arial" w:eastAsia="Times New Roman" w:hAnsi="Arial" w:cs="Arial"/>
                <w:lang w:eastAsia="pt-BR"/>
              </w:rPr>
              <w:t>-2.</w:t>
            </w:r>
            <w:r w:rsidRPr="00460FC8">
              <w:rPr>
                <w:rFonts w:ascii="Arial" w:eastAsia="Times New Roman" w:hAnsi="Arial" w:cs="Arial"/>
                <w:lang w:eastAsia="pt-BR"/>
              </w:rPr>
              <w:t>804</w:t>
            </w:r>
          </w:p>
        </w:tc>
        <w:tc>
          <w:tcPr>
            <w:tcW w:w="2004" w:type="dxa"/>
            <w:shd w:val="clear" w:color="auto" w:fill="auto"/>
            <w:vAlign w:val="bottom"/>
          </w:tcPr>
          <w:p w:rsidR="00582034" w:rsidRPr="00460FC8" w:rsidRDefault="00582034" w:rsidP="00527254">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-10.</w:t>
            </w:r>
            <w:r w:rsidRPr="00460FC8">
              <w:rPr>
                <w:rFonts w:ascii="Arial" w:eastAsia="Times New Roman" w:hAnsi="Arial" w:cs="Arial"/>
                <w:sz w:val="20"/>
                <w:szCs w:val="20"/>
                <w:lang w:eastAsia="pt-BR"/>
              </w:rPr>
              <w:t>983</w:t>
            </w:r>
          </w:p>
        </w:tc>
      </w:tr>
    </w:tbl>
    <w:p w:rsidR="00582034" w:rsidRDefault="00582034" w:rsidP="007F7E30">
      <w:pPr>
        <w:autoSpaceDE w:val="0"/>
        <w:autoSpaceDN w:val="0"/>
        <w:adjustRightInd w:val="0"/>
        <w:spacing w:line="480" w:lineRule="auto"/>
        <w:jc w:val="both"/>
        <w:rPr>
          <w:rFonts w:ascii="Arial" w:hAnsi="Arial" w:cs="Arial"/>
          <w:sz w:val="24"/>
          <w:szCs w:val="24"/>
          <w:lang w:val="en-US" w:eastAsia="pt-BR"/>
        </w:rPr>
      </w:pPr>
    </w:p>
    <w:p w:rsidR="00582034" w:rsidRPr="001D39D1" w:rsidRDefault="00582034" w:rsidP="00582034">
      <w:pPr>
        <w:pStyle w:val="Legenda"/>
        <w:jc w:val="center"/>
        <w:rPr>
          <w:rFonts w:ascii="Arial" w:eastAsia="Times New Roman" w:hAnsi="Arial" w:cs="Arial"/>
          <w:b w:val="0"/>
          <w:color w:val="000000"/>
          <w:sz w:val="24"/>
          <w:szCs w:val="24"/>
          <w:lang w:eastAsia="pt-BR"/>
        </w:rPr>
      </w:pPr>
      <w:proofErr w:type="spellStart"/>
      <w:r w:rsidRPr="001D39D1">
        <w:rPr>
          <w:rFonts w:ascii="Arial" w:eastAsia="Times New Roman" w:hAnsi="Arial" w:cs="Arial"/>
          <w:b w:val="0"/>
          <w:color w:val="000000"/>
          <w:sz w:val="24"/>
          <w:szCs w:val="24"/>
          <w:lang w:eastAsia="pt-BR"/>
        </w:rPr>
        <w:t>Table</w:t>
      </w:r>
      <w:proofErr w:type="spellEnd"/>
      <w:r w:rsidRPr="001D39D1">
        <w:rPr>
          <w:rFonts w:ascii="Arial" w:eastAsia="Times New Roman" w:hAnsi="Arial" w:cs="Arial"/>
          <w:b w:val="0"/>
          <w:color w:val="000000"/>
          <w:sz w:val="24"/>
          <w:szCs w:val="24"/>
          <w:lang w:eastAsia="pt-BR"/>
        </w:rPr>
        <w:t xml:space="preserve"> 7</w:t>
      </w:r>
    </w:p>
    <w:p w:rsidR="00582034" w:rsidRPr="002965B3" w:rsidRDefault="00582034" w:rsidP="00582034">
      <w:pPr>
        <w:pStyle w:val="Legenda"/>
        <w:jc w:val="center"/>
        <w:rPr>
          <w:rFonts w:ascii="Arial" w:eastAsia="Times New Roman" w:hAnsi="Arial" w:cs="Arial"/>
          <w:b w:val="0"/>
          <w:color w:val="000000"/>
          <w:sz w:val="24"/>
          <w:szCs w:val="24"/>
          <w:lang w:val="en-US" w:eastAsia="pt-BR"/>
        </w:rPr>
      </w:pPr>
      <w:r w:rsidRPr="002965B3">
        <w:rPr>
          <w:rFonts w:ascii="Arial" w:eastAsia="Times New Roman" w:hAnsi="Arial" w:cs="Arial"/>
          <w:b w:val="0"/>
          <w:color w:val="000000"/>
          <w:sz w:val="24"/>
          <w:szCs w:val="24"/>
          <w:lang w:val="en-US" w:eastAsia="pt-BR"/>
        </w:rPr>
        <w:t xml:space="preserve">Canonical correlation and eigenvalues associated to the discriminant function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842"/>
        <w:gridCol w:w="1842"/>
        <w:gridCol w:w="1842"/>
        <w:gridCol w:w="1843"/>
      </w:tblGrid>
      <w:tr w:rsidR="00582034" w:rsidTr="00527254">
        <w:tc>
          <w:tcPr>
            <w:tcW w:w="1842" w:type="dxa"/>
            <w:shd w:val="clear" w:color="auto" w:fill="auto"/>
            <w:vAlign w:val="center"/>
          </w:tcPr>
          <w:p w:rsidR="00582034" w:rsidRPr="00A921C8" w:rsidRDefault="00582034" w:rsidP="00527254">
            <w:pPr>
              <w:spacing w:after="0" w:line="240" w:lineRule="auto"/>
              <w:jc w:val="center"/>
              <w:rPr>
                <w:rFonts w:ascii="Arial" w:eastAsia="Times New Roman" w:hAnsi="Arial" w:cs="Arial"/>
                <w:b/>
                <w:bCs/>
                <w:color w:val="000000"/>
                <w:sz w:val="24"/>
                <w:szCs w:val="24"/>
                <w:lang w:eastAsia="pt-BR"/>
              </w:rPr>
            </w:pPr>
            <w:r w:rsidRPr="00A921C8">
              <w:rPr>
                <w:rFonts w:ascii="Arial" w:eastAsia="Times New Roman" w:hAnsi="Arial" w:cs="Arial"/>
                <w:b/>
                <w:bCs/>
                <w:color w:val="000000"/>
                <w:sz w:val="24"/>
                <w:szCs w:val="24"/>
                <w:lang w:eastAsia="pt-BR"/>
              </w:rPr>
              <w:t>Canonical</w:t>
            </w:r>
            <w:proofErr w:type="gramStart"/>
            <w:r w:rsidRPr="00A921C8">
              <w:rPr>
                <w:rFonts w:ascii="Arial" w:eastAsia="Times New Roman" w:hAnsi="Arial" w:cs="Arial"/>
                <w:b/>
                <w:bCs/>
                <w:color w:val="000000"/>
                <w:sz w:val="24"/>
                <w:szCs w:val="24"/>
                <w:lang w:eastAsia="pt-BR"/>
              </w:rPr>
              <w:t xml:space="preserve">  </w:t>
            </w:r>
            <w:proofErr w:type="spellStart"/>
            <w:proofErr w:type="gramEnd"/>
            <w:r w:rsidRPr="00A921C8">
              <w:rPr>
                <w:rFonts w:ascii="Arial" w:eastAsia="Times New Roman" w:hAnsi="Arial" w:cs="Arial"/>
                <w:b/>
                <w:bCs/>
                <w:color w:val="000000"/>
                <w:sz w:val="24"/>
                <w:szCs w:val="24"/>
                <w:lang w:eastAsia="pt-BR"/>
              </w:rPr>
              <w:t>correlation</w:t>
            </w:r>
            <w:proofErr w:type="spellEnd"/>
          </w:p>
        </w:tc>
        <w:tc>
          <w:tcPr>
            <w:tcW w:w="1842" w:type="dxa"/>
            <w:shd w:val="clear" w:color="auto" w:fill="auto"/>
            <w:vAlign w:val="center"/>
          </w:tcPr>
          <w:p w:rsidR="00582034" w:rsidRPr="00A921C8" w:rsidRDefault="00582034" w:rsidP="00527254">
            <w:pPr>
              <w:spacing w:after="0" w:line="240" w:lineRule="auto"/>
              <w:jc w:val="center"/>
              <w:rPr>
                <w:rFonts w:ascii="Arial" w:eastAsia="Times New Roman" w:hAnsi="Arial" w:cs="Arial"/>
                <w:b/>
                <w:bCs/>
                <w:color w:val="000000"/>
                <w:sz w:val="24"/>
                <w:szCs w:val="24"/>
                <w:lang w:eastAsia="pt-BR"/>
              </w:rPr>
            </w:pPr>
            <w:proofErr w:type="spellStart"/>
            <w:r w:rsidRPr="00A921C8">
              <w:rPr>
                <w:rFonts w:ascii="Arial" w:eastAsia="Times New Roman" w:hAnsi="Arial" w:cs="Arial"/>
                <w:b/>
                <w:bCs/>
                <w:color w:val="000000"/>
                <w:sz w:val="24"/>
                <w:szCs w:val="24"/>
                <w:lang w:eastAsia="pt-BR"/>
              </w:rPr>
              <w:t>Eigenvalue</w:t>
            </w:r>
            <w:proofErr w:type="spellEnd"/>
          </w:p>
        </w:tc>
        <w:tc>
          <w:tcPr>
            <w:tcW w:w="1842" w:type="dxa"/>
            <w:shd w:val="clear" w:color="auto" w:fill="auto"/>
            <w:vAlign w:val="center"/>
          </w:tcPr>
          <w:p w:rsidR="00582034" w:rsidRPr="00A921C8" w:rsidRDefault="00582034" w:rsidP="00527254">
            <w:pPr>
              <w:spacing w:after="0" w:line="240" w:lineRule="auto"/>
              <w:jc w:val="center"/>
              <w:rPr>
                <w:rFonts w:ascii="Arial" w:eastAsia="Times New Roman" w:hAnsi="Arial" w:cs="Arial"/>
                <w:b/>
                <w:bCs/>
                <w:color w:val="000000"/>
                <w:sz w:val="24"/>
                <w:szCs w:val="24"/>
                <w:lang w:eastAsia="pt-BR"/>
              </w:rPr>
            </w:pPr>
            <w:proofErr w:type="spellStart"/>
            <w:r w:rsidRPr="00A921C8">
              <w:rPr>
                <w:rFonts w:ascii="Arial" w:eastAsia="Times New Roman" w:hAnsi="Arial" w:cs="Arial"/>
                <w:b/>
                <w:bCs/>
                <w:color w:val="000000"/>
                <w:sz w:val="24"/>
                <w:szCs w:val="24"/>
                <w:lang w:eastAsia="pt-BR"/>
              </w:rPr>
              <w:t>Likelihood</w:t>
            </w:r>
            <w:proofErr w:type="spellEnd"/>
            <w:r w:rsidRPr="00A921C8">
              <w:rPr>
                <w:rFonts w:ascii="Arial" w:eastAsia="Times New Roman" w:hAnsi="Arial" w:cs="Arial"/>
                <w:b/>
                <w:bCs/>
                <w:color w:val="000000"/>
                <w:sz w:val="24"/>
                <w:szCs w:val="24"/>
                <w:lang w:eastAsia="pt-BR"/>
              </w:rPr>
              <w:t xml:space="preserve"> </w:t>
            </w:r>
            <w:proofErr w:type="spellStart"/>
            <w:r w:rsidRPr="00A921C8">
              <w:rPr>
                <w:rFonts w:ascii="Arial" w:eastAsia="Times New Roman" w:hAnsi="Arial" w:cs="Arial"/>
                <w:b/>
                <w:bCs/>
                <w:color w:val="000000"/>
                <w:sz w:val="24"/>
                <w:szCs w:val="24"/>
                <w:lang w:eastAsia="pt-BR"/>
              </w:rPr>
              <w:t>ratio</w:t>
            </w:r>
            <w:proofErr w:type="spellEnd"/>
          </w:p>
        </w:tc>
        <w:tc>
          <w:tcPr>
            <w:tcW w:w="1842" w:type="dxa"/>
            <w:shd w:val="clear" w:color="auto" w:fill="auto"/>
            <w:vAlign w:val="center"/>
          </w:tcPr>
          <w:p w:rsidR="00582034" w:rsidRPr="00A921C8" w:rsidRDefault="00582034" w:rsidP="00527254">
            <w:pPr>
              <w:spacing w:after="0" w:line="240" w:lineRule="auto"/>
              <w:jc w:val="center"/>
              <w:rPr>
                <w:rFonts w:ascii="Arial" w:eastAsia="Times New Roman" w:hAnsi="Arial" w:cs="Arial"/>
                <w:b/>
                <w:bCs/>
                <w:color w:val="000000"/>
                <w:sz w:val="24"/>
                <w:szCs w:val="24"/>
                <w:lang w:eastAsia="pt-BR"/>
              </w:rPr>
            </w:pPr>
            <w:r w:rsidRPr="00A921C8">
              <w:rPr>
                <w:rFonts w:ascii="Arial" w:eastAsia="Times New Roman" w:hAnsi="Arial" w:cs="Arial"/>
                <w:b/>
                <w:bCs/>
                <w:color w:val="000000"/>
                <w:sz w:val="24"/>
                <w:szCs w:val="24"/>
                <w:lang w:eastAsia="pt-BR"/>
              </w:rPr>
              <w:t xml:space="preserve"> F (5,63) </w:t>
            </w:r>
            <w:proofErr w:type="spellStart"/>
            <w:r w:rsidRPr="00A921C8">
              <w:rPr>
                <w:rFonts w:ascii="Arial" w:eastAsia="Times New Roman" w:hAnsi="Arial" w:cs="Arial"/>
                <w:b/>
                <w:bCs/>
                <w:color w:val="000000"/>
                <w:sz w:val="24"/>
                <w:szCs w:val="24"/>
                <w:lang w:eastAsia="pt-BR"/>
              </w:rPr>
              <w:t>statistic</w:t>
            </w:r>
            <w:proofErr w:type="spellEnd"/>
          </w:p>
        </w:tc>
        <w:tc>
          <w:tcPr>
            <w:tcW w:w="1843" w:type="dxa"/>
            <w:shd w:val="clear" w:color="auto" w:fill="auto"/>
            <w:vAlign w:val="center"/>
          </w:tcPr>
          <w:p w:rsidR="00582034" w:rsidRPr="00A921C8" w:rsidRDefault="00582034" w:rsidP="00527254">
            <w:pPr>
              <w:spacing w:after="0" w:line="240" w:lineRule="auto"/>
              <w:jc w:val="center"/>
              <w:rPr>
                <w:rFonts w:ascii="Arial" w:eastAsia="Times New Roman" w:hAnsi="Arial" w:cs="Arial"/>
                <w:b/>
                <w:bCs/>
                <w:color w:val="000000"/>
                <w:sz w:val="24"/>
                <w:szCs w:val="24"/>
                <w:lang w:eastAsia="pt-BR"/>
              </w:rPr>
            </w:pPr>
            <w:proofErr w:type="gramStart"/>
            <w:r w:rsidRPr="00A921C8">
              <w:rPr>
                <w:rFonts w:ascii="Arial" w:eastAsia="Times New Roman" w:hAnsi="Arial" w:cs="Arial"/>
                <w:b/>
                <w:bCs/>
                <w:color w:val="000000"/>
                <w:sz w:val="24"/>
                <w:szCs w:val="24"/>
                <w:lang w:eastAsia="pt-BR"/>
              </w:rPr>
              <w:t>p</w:t>
            </w:r>
            <w:proofErr w:type="gramEnd"/>
            <w:r w:rsidRPr="00A921C8">
              <w:rPr>
                <w:rFonts w:ascii="Arial" w:eastAsia="Times New Roman" w:hAnsi="Arial" w:cs="Arial"/>
                <w:b/>
                <w:bCs/>
                <w:color w:val="000000"/>
                <w:sz w:val="24"/>
                <w:szCs w:val="24"/>
                <w:lang w:eastAsia="pt-BR"/>
              </w:rPr>
              <w:t>-</w:t>
            </w:r>
            <w:proofErr w:type="spellStart"/>
            <w:r w:rsidRPr="00A921C8">
              <w:rPr>
                <w:rFonts w:ascii="Arial" w:eastAsia="Times New Roman" w:hAnsi="Arial" w:cs="Arial"/>
                <w:b/>
                <w:bCs/>
                <w:color w:val="000000"/>
                <w:sz w:val="24"/>
                <w:szCs w:val="24"/>
                <w:lang w:eastAsia="pt-BR"/>
              </w:rPr>
              <w:t>value</w:t>
            </w:r>
            <w:proofErr w:type="spellEnd"/>
          </w:p>
        </w:tc>
      </w:tr>
      <w:tr w:rsidR="00582034" w:rsidTr="00527254">
        <w:tc>
          <w:tcPr>
            <w:tcW w:w="1842" w:type="dxa"/>
            <w:shd w:val="clear" w:color="auto" w:fill="auto"/>
            <w:vAlign w:val="bottom"/>
          </w:tcPr>
          <w:p w:rsidR="00582034" w:rsidRPr="00A921C8" w:rsidRDefault="00582034" w:rsidP="00527254">
            <w:pPr>
              <w:spacing w:after="0" w:line="240" w:lineRule="auto"/>
              <w:jc w:val="center"/>
              <w:rPr>
                <w:rFonts w:ascii="Arial" w:eastAsia="Times New Roman" w:hAnsi="Arial" w:cs="Arial"/>
                <w:color w:val="000000"/>
                <w:sz w:val="24"/>
                <w:szCs w:val="24"/>
                <w:lang w:eastAsia="pt-BR"/>
              </w:rPr>
            </w:pPr>
            <w:r w:rsidRPr="00A921C8">
              <w:rPr>
                <w:rFonts w:ascii="Arial" w:eastAsia="Times New Roman" w:hAnsi="Arial" w:cs="Arial"/>
                <w:color w:val="000000"/>
                <w:sz w:val="24"/>
                <w:szCs w:val="24"/>
                <w:lang w:eastAsia="pt-BR"/>
              </w:rPr>
              <w:t>0.847</w:t>
            </w:r>
          </w:p>
        </w:tc>
        <w:tc>
          <w:tcPr>
            <w:tcW w:w="1842" w:type="dxa"/>
            <w:shd w:val="clear" w:color="auto" w:fill="auto"/>
            <w:vAlign w:val="bottom"/>
          </w:tcPr>
          <w:p w:rsidR="00582034" w:rsidRPr="00A921C8" w:rsidRDefault="00582034" w:rsidP="00527254">
            <w:pPr>
              <w:spacing w:after="0" w:line="240" w:lineRule="auto"/>
              <w:jc w:val="center"/>
              <w:rPr>
                <w:rFonts w:ascii="Arial" w:eastAsia="Times New Roman" w:hAnsi="Arial" w:cs="Arial"/>
                <w:color w:val="000000"/>
                <w:sz w:val="24"/>
                <w:szCs w:val="24"/>
                <w:lang w:eastAsia="pt-BR"/>
              </w:rPr>
            </w:pPr>
            <w:r w:rsidRPr="00A921C8">
              <w:rPr>
                <w:rFonts w:ascii="Arial" w:eastAsia="Times New Roman" w:hAnsi="Arial" w:cs="Arial"/>
                <w:color w:val="000000"/>
                <w:sz w:val="24"/>
                <w:szCs w:val="24"/>
                <w:lang w:eastAsia="pt-BR"/>
              </w:rPr>
              <w:t>2.541</w:t>
            </w:r>
          </w:p>
        </w:tc>
        <w:tc>
          <w:tcPr>
            <w:tcW w:w="1842" w:type="dxa"/>
            <w:shd w:val="clear" w:color="auto" w:fill="auto"/>
            <w:vAlign w:val="bottom"/>
          </w:tcPr>
          <w:p w:rsidR="00582034" w:rsidRPr="00A921C8" w:rsidRDefault="00582034" w:rsidP="00527254">
            <w:pPr>
              <w:spacing w:after="0" w:line="240" w:lineRule="auto"/>
              <w:jc w:val="center"/>
              <w:rPr>
                <w:rFonts w:ascii="Arial" w:eastAsia="Times New Roman" w:hAnsi="Arial" w:cs="Arial"/>
                <w:color w:val="000000"/>
                <w:sz w:val="24"/>
                <w:szCs w:val="24"/>
                <w:lang w:eastAsia="pt-BR"/>
              </w:rPr>
            </w:pPr>
            <w:r w:rsidRPr="00A921C8">
              <w:rPr>
                <w:rFonts w:ascii="Arial" w:eastAsia="Times New Roman" w:hAnsi="Arial" w:cs="Arial"/>
                <w:color w:val="000000"/>
                <w:sz w:val="24"/>
                <w:szCs w:val="24"/>
                <w:lang w:eastAsia="pt-BR"/>
              </w:rPr>
              <w:t>0.282</w:t>
            </w:r>
          </w:p>
        </w:tc>
        <w:tc>
          <w:tcPr>
            <w:tcW w:w="1842" w:type="dxa"/>
            <w:shd w:val="clear" w:color="auto" w:fill="auto"/>
            <w:vAlign w:val="bottom"/>
          </w:tcPr>
          <w:p w:rsidR="00582034" w:rsidRPr="00A921C8" w:rsidRDefault="00582034" w:rsidP="00527254">
            <w:pPr>
              <w:spacing w:after="0" w:line="240" w:lineRule="auto"/>
              <w:jc w:val="center"/>
              <w:rPr>
                <w:rFonts w:ascii="Arial" w:eastAsia="Times New Roman" w:hAnsi="Arial" w:cs="Arial"/>
                <w:color w:val="000000"/>
                <w:sz w:val="24"/>
                <w:szCs w:val="24"/>
                <w:lang w:eastAsia="pt-BR"/>
              </w:rPr>
            </w:pPr>
            <w:r w:rsidRPr="00A921C8">
              <w:rPr>
                <w:rFonts w:ascii="Arial" w:eastAsia="Times New Roman" w:hAnsi="Arial" w:cs="Arial"/>
                <w:color w:val="000000"/>
                <w:sz w:val="24"/>
                <w:szCs w:val="24"/>
                <w:lang w:eastAsia="pt-BR"/>
              </w:rPr>
              <w:t>32.02</w:t>
            </w:r>
          </w:p>
        </w:tc>
        <w:tc>
          <w:tcPr>
            <w:tcW w:w="1843" w:type="dxa"/>
            <w:shd w:val="clear" w:color="auto" w:fill="auto"/>
            <w:vAlign w:val="bottom"/>
          </w:tcPr>
          <w:p w:rsidR="00582034" w:rsidRPr="00A921C8" w:rsidRDefault="00582034" w:rsidP="00527254">
            <w:pPr>
              <w:spacing w:after="0" w:line="240" w:lineRule="auto"/>
              <w:jc w:val="center"/>
              <w:rPr>
                <w:rFonts w:ascii="Arial" w:eastAsia="Times New Roman" w:hAnsi="Arial" w:cs="Arial"/>
                <w:color w:val="000000"/>
                <w:sz w:val="24"/>
                <w:szCs w:val="24"/>
                <w:lang w:eastAsia="pt-BR"/>
              </w:rPr>
            </w:pPr>
            <w:r w:rsidRPr="00A921C8">
              <w:rPr>
                <w:rFonts w:ascii="Arial" w:eastAsia="Times New Roman" w:hAnsi="Arial" w:cs="Arial"/>
                <w:color w:val="000000"/>
                <w:sz w:val="24"/>
                <w:szCs w:val="24"/>
                <w:lang w:eastAsia="pt-BR"/>
              </w:rPr>
              <w:t>0.000</w:t>
            </w:r>
          </w:p>
        </w:tc>
      </w:tr>
    </w:tbl>
    <w:p w:rsidR="00582034" w:rsidRDefault="00582034" w:rsidP="00582034">
      <w:pPr>
        <w:rPr>
          <w:lang w:val="en-US" w:eastAsia="pt-BR"/>
        </w:rPr>
      </w:pPr>
      <w:r w:rsidRPr="002965B3">
        <w:rPr>
          <w:lang w:val="en-US" w:eastAsia="pt-BR"/>
        </w:rPr>
        <w:t xml:space="preserve">Note: the null hypothesis assumes that the canonical </w:t>
      </w:r>
      <w:proofErr w:type="gramStart"/>
      <w:r w:rsidRPr="002965B3">
        <w:rPr>
          <w:lang w:val="en-US" w:eastAsia="pt-BR"/>
        </w:rPr>
        <w:t>correlation  is</w:t>
      </w:r>
      <w:proofErr w:type="gramEnd"/>
      <w:r w:rsidRPr="002965B3">
        <w:rPr>
          <w:lang w:val="en-US" w:eastAsia="pt-BR"/>
        </w:rPr>
        <w:t xml:space="preserve">  zero</w:t>
      </w:r>
    </w:p>
    <w:p w:rsidR="00582034" w:rsidRDefault="00582034" w:rsidP="007F7E30">
      <w:pPr>
        <w:autoSpaceDE w:val="0"/>
        <w:autoSpaceDN w:val="0"/>
        <w:adjustRightInd w:val="0"/>
        <w:spacing w:line="480" w:lineRule="auto"/>
        <w:jc w:val="both"/>
        <w:rPr>
          <w:rFonts w:ascii="Arial" w:hAnsi="Arial" w:cs="Arial"/>
          <w:sz w:val="24"/>
          <w:szCs w:val="24"/>
          <w:lang w:val="en-US" w:eastAsia="pt-BR"/>
        </w:rPr>
      </w:pPr>
    </w:p>
    <w:p w:rsidR="00582034" w:rsidRPr="00035F4A" w:rsidRDefault="00582034" w:rsidP="00582034">
      <w:pPr>
        <w:jc w:val="center"/>
        <w:rPr>
          <w:rFonts w:ascii="Arial" w:hAnsi="Arial" w:cs="Arial"/>
          <w:sz w:val="24"/>
          <w:szCs w:val="24"/>
          <w:lang w:val="en-US" w:eastAsia="pt-BR"/>
        </w:rPr>
      </w:pPr>
      <w:r w:rsidRPr="00035F4A">
        <w:rPr>
          <w:rFonts w:ascii="Arial" w:hAnsi="Arial" w:cs="Arial"/>
          <w:sz w:val="24"/>
          <w:szCs w:val="24"/>
          <w:lang w:val="en-US" w:eastAsia="pt-BR"/>
        </w:rPr>
        <w:lastRenderedPageBreak/>
        <w:t>Table 8</w:t>
      </w:r>
    </w:p>
    <w:p w:rsidR="00582034" w:rsidRPr="00035F4A" w:rsidRDefault="00582034" w:rsidP="00582034">
      <w:pPr>
        <w:jc w:val="center"/>
        <w:rPr>
          <w:rFonts w:ascii="Arial" w:hAnsi="Arial" w:cs="Arial"/>
          <w:sz w:val="24"/>
          <w:szCs w:val="24"/>
          <w:lang w:val="en-US" w:eastAsia="pt-BR"/>
        </w:rPr>
      </w:pPr>
      <w:r w:rsidRPr="00035F4A">
        <w:rPr>
          <w:rFonts w:ascii="Arial" w:hAnsi="Arial" w:cs="Arial"/>
          <w:sz w:val="24"/>
          <w:szCs w:val="24"/>
          <w:lang w:val="en-US" w:eastAsia="pt-BR"/>
        </w:rPr>
        <w:t>One-tailed tests for difference in means</w:t>
      </w:r>
    </w:p>
    <w:tbl>
      <w:tblPr>
        <w:tblW w:w="5000" w:type="pct"/>
        <w:tblCellMar>
          <w:left w:w="70" w:type="dxa"/>
          <w:right w:w="70" w:type="dxa"/>
        </w:tblCellMar>
        <w:tblLook w:val="04A0" w:firstRow="1" w:lastRow="0" w:firstColumn="1" w:lastColumn="0" w:noHBand="0" w:noVBand="1"/>
      </w:tblPr>
      <w:tblGrid>
        <w:gridCol w:w="264"/>
        <w:gridCol w:w="2596"/>
        <w:gridCol w:w="1046"/>
        <w:gridCol w:w="1413"/>
        <w:gridCol w:w="1418"/>
        <w:gridCol w:w="1232"/>
        <w:gridCol w:w="1242"/>
      </w:tblGrid>
      <w:tr w:rsidR="00582034" w:rsidRPr="000B23B3" w:rsidTr="00527254">
        <w:trPr>
          <w:trHeight w:val="720"/>
        </w:trPr>
        <w:tc>
          <w:tcPr>
            <w:tcW w:w="1552" w:type="pct"/>
            <w:gridSpan w:val="2"/>
            <w:tcBorders>
              <w:top w:val="single" w:sz="4" w:space="0" w:color="auto"/>
              <w:left w:val="single" w:sz="4" w:space="0" w:color="auto"/>
              <w:bottom w:val="double" w:sz="6" w:space="0" w:color="auto"/>
              <w:right w:val="single" w:sz="4" w:space="0" w:color="000000"/>
            </w:tcBorders>
            <w:shd w:val="clear" w:color="auto" w:fill="FFFFFF"/>
            <w:noWrap/>
            <w:vAlign w:val="center"/>
            <w:hideMark/>
          </w:tcPr>
          <w:p w:rsidR="00582034" w:rsidRPr="000B23B3" w:rsidRDefault="00582034" w:rsidP="00527254">
            <w:pPr>
              <w:spacing w:after="0" w:line="240" w:lineRule="auto"/>
              <w:rPr>
                <w:rFonts w:ascii="Arial" w:eastAsia="Times New Roman" w:hAnsi="Arial" w:cs="Arial"/>
                <w:b/>
                <w:bCs/>
                <w:sz w:val="18"/>
                <w:szCs w:val="18"/>
                <w:lang w:eastAsia="pt-BR"/>
              </w:rPr>
            </w:pPr>
            <w:proofErr w:type="spellStart"/>
            <w:r w:rsidRPr="000B23B3">
              <w:rPr>
                <w:b/>
              </w:rPr>
              <w:t>Hypotheses</w:t>
            </w:r>
            <w:proofErr w:type="spellEnd"/>
          </w:p>
        </w:tc>
        <w:tc>
          <w:tcPr>
            <w:tcW w:w="568" w:type="pct"/>
            <w:tcBorders>
              <w:top w:val="single" w:sz="4" w:space="0" w:color="auto"/>
              <w:left w:val="nil"/>
              <w:bottom w:val="double" w:sz="6"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b/>
                <w:bCs/>
                <w:sz w:val="18"/>
                <w:szCs w:val="18"/>
                <w:lang w:eastAsia="pt-BR"/>
              </w:rPr>
            </w:pPr>
            <w:r w:rsidRPr="000B23B3">
              <w:rPr>
                <w:rFonts w:ascii="Arial" w:eastAsia="Times New Roman" w:hAnsi="Arial" w:cs="Arial"/>
                <w:b/>
                <w:bCs/>
                <w:sz w:val="18"/>
                <w:szCs w:val="18"/>
                <w:lang w:eastAsia="pt-BR"/>
              </w:rPr>
              <w:t xml:space="preserve">Test </w:t>
            </w:r>
            <w:proofErr w:type="spellStart"/>
            <w:r w:rsidRPr="000B23B3">
              <w:rPr>
                <w:rFonts w:ascii="Arial" w:eastAsia="Times New Roman" w:hAnsi="Arial" w:cs="Arial"/>
                <w:b/>
                <w:bCs/>
                <w:sz w:val="18"/>
                <w:szCs w:val="18"/>
                <w:lang w:eastAsia="pt-BR"/>
              </w:rPr>
              <w:t>statistic</w:t>
            </w:r>
            <w:proofErr w:type="spellEnd"/>
          </w:p>
        </w:tc>
        <w:tc>
          <w:tcPr>
            <w:tcW w:w="767" w:type="pct"/>
            <w:tcBorders>
              <w:top w:val="single" w:sz="4" w:space="0" w:color="auto"/>
              <w:left w:val="nil"/>
              <w:bottom w:val="double" w:sz="6" w:space="0" w:color="auto"/>
              <w:right w:val="single" w:sz="4" w:space="0" w:color="auto"/>
            </w:tcBorders>
            <w:shd w:val="clear" w:color="auto" w:fill="FFFFFF"/>
            <w:vAlign w:val="center"/>
            <w:hideMark/>
          </w:tcPr>
          <w:p w:rsidR="00582034" w:rsidRPr="00035F4A" w:rsidRDefault="00582034" w:rsidP="00527254">
            <w:pPr>
              <w:spacing w:after="0" w:line="240" w:lineRule="auto"/>
              <w:jc w:val="center"/>
              <w:rPr>
                <w:rFonts w:ascii="Arial" w:eastAsia="Times New Roman" w:hAnsi="Arial" w:cs="Arial"/>
                <w:b/>
                <w:bCs/>
                <w:sz w:val="18"/>
                <w:szCs w:val="18"/>
                <w:lang w:val="en-US" w:eastAsia="pt-BR"/>
              </w:rPr>
            </w:pPr>
            <w:r w:rsidRPr="00035F4A">
              <w:rPr>
                <w:rFonts w:ascii="Arial" w:eastAsia="Times New Roman" w:hAnsi="Arial" w:cs="Arial"/>
                <w:b/>
                <w:bCs/>
                <w:sz w:val="18"/>
                <w:szCs w:val="18"/>
                <w:lang w:val="en-US" w:eastAsia="pt-BR"/>
              </w:rPr>
              <w:t>Mean</w:t>
            </w:r>
            <w:r w:rsidRPr="00035F4A">
              <w:rPr>
                <w:rFonts w:ascii="Arial" w:eastAsia="Times New Roman" w:hAnsi="Arial" w:cs="Arial"/>
                <w:b/>
                <w:bCs/>
                <w:sz w:val="18"/>
                <w:szCs w:val="18"/>
                <w:lang w:val="en-US" w:eastAsia="pt-BR"/>
              </w:rPr>
              <w:br/>
              <w:t>(std. error)</w:t>
            </w:r>
            <w:r w:rsidRPr="00035F4A">
              <w:rPr>
                <w:rFonts w:ascii="Arial" w:eastAsia="Times New Roman" w:hAnsi="Arial" w:cs="Arial"/>
                <w:b/>
                <w:bCs/>
                <w:sz w:val="18"/>
                <w:szCs w:val="18"/>
                <w:lang w:val="en-US" w:eastAsia="pt-BR"/>
              </w:rPr>
              <w:br/>
              <w:t>SM-I</w:t>
            </w:r>
          </w:p>
        </w:tc>
        <w:tc>
          <w:tcPr>
            <w:tcW w:w="770" w:type="pct"/>
            <w:tcBorders>
              <w:top w:val="single" w:sz="4" w:space="0" w:color="auto"/>
              <w:left w:val="nil"/>
              <w:bottom w:val="double" w:sz="6"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b/>
                <w:bCs/>
                <w:sz w:val="18"/>
                <w:szCs w:val="18"/>
                <w:lang w:eastAsia="pt-BR"/>
              </w:rPr>
            </w:pPr>
            <w:proofErr w:type="spellStart"/>
            <w:r w:rsidRPr="000B23B3">
              <w:rPr>
                <w:rFonts w:ascii="Arial" w:eastAsia="Times New Roman" w:hAnsi="Arial" w:cs="Arial"/>
                <w:b/>
                <w:bCs/>
                <w:sz w:val="18"/>
                <w:szCs w:val="18"/>
                <w:lang w:eastAsia="pt-BR"/>
              </w:rPr>
              <w:t>Mean</w:t>
            </w:r>
            <w:proofErr w:type="spellEnd"/>
            <w:r w:rsidRPr="000B23B3">
              <w:rPr>
                <w:rFonts w:ascii="Arial" w:eastAsia="Times New Roman" w:hAnsi="Arial" w:cs="Arial"/>
                <w:b/>
                <w:bCs/>
                <w:sz w:val="18"/>
                <w:szCs w:val="18"/>
                <w:lang w:eastAsia="pt-BR"/>
              </w:rPr>
              <w:br/>
            </w:r>
            <w:proofErr w:type="gramStart"/>
            <w:r w:rsidRPr="000B23B3">
              <w:rPr>
                <w:rFonts w:ascii="Arial" w:eastAsia="Times New Roman" w:hAnsi="Arial" w:cs="Arial"/>
                <w:b/>
                <w:bCs/>
                <w:sz w:val="18"/>
                <w:szCs w:val="18"/>
                <w:lang w:eastAsia="pt-BR"/>
              </w:rPr>
              <w:t>(</w:t>
            </w:r>
            <w:proofErr w:type="spellStart"/>
            <w:proofErr w:type="gramEnd"/>
            <w:r>
              <w:rPr>
                <w:rFonts w:ascii="Arial" w:eastAsia="Times New Roman" w:hAnsi="Arial" w:cs="Arial"/>
                <w:b/>
                <w:bCs/>
                <w:sz w:val="18"/>
                <w:szCs w:val="18"/>
                <w:lang w:eastAsia="pt-BR"/>
              </w:rPr>
              <w:t>std</w:t>
            </w:r>
            <w:proofErr w:type="spellEnd"/>
            <w:r>
              <w:rPr>
                <w:rFonts w:ascii="Arial" w:eastAsia="Times New Roman" w:hAnsi="Arial" w:cs="Arial"/>
                <w:b/>
                <w:bCs/>
                <w:sz w:val="18"/>
                <w:szCs w:val="18"/>
                <w:lang w:eastAsia="pt-BR"/>
              </w:rPr>
              <w:t xml:space="preserve">. </w:t>
            </w:r>
            <w:proofErr w:type="spellStart"/>
            <w:r>
              <w:rPr>
                <w:rFonts w:ascii="Arial" w:eastAsia="Times New Roman" w:hAnsi="Arial" w:cs="Arial"/>
                <w:b/>
                <w:bCs/>
                <w:sz w:val="18"/>
                <w:szCs w:val="18"/>
                <w:lang w:eastAsia="pt-BR"/>
              </w:rPr>
              <w:t>error</w:t>
            </w:r>
            <w:proofErr w:type="spellEnd"/>
            <w:r w:rsidRPr="000B23B3">
              <w:rPr>
                <w:rFonts w:ascii="Arial" w:eastAsia="Times New Roman" w:hAnsi="Arial" w:cs="Arial"/>
                <w:b/>
                <w:bCs/>
                <w:sz w:val="18"/>
                <w:szCs w:val="18"/>
                <w:lang w:eastAsia="pt-BR"/>
              </w:rPr>
              <w:t>)</w:t>
            </w:r>
            <w:r w:rsidRPr="000B23B3">
              <w:rPr>
                <w:rFonts w:ascii="Arial" w:eastAsia="Times New Roman" w:hAnsi="Arial" w:cs="Arial"/>
                <w:b/>
                <w:bCs/>
                <w:sz w:val="18"/>
                <w:szCs w:val="18"/>
                <w:lang w:eastAsia="pt-BR"/>
              </w:rPr>
              <w:br/>
              <w:t>SM-II</w:t>
            </w:r>
          </w:p>
        </w:tc>
        <w:tc>
          <w:tcPr>
            <w:tcW w:w="669" w:type="pct"/>
            <w:tcBorders>
              <w:top w:val="single" w:sz="4" w:space="0" w:color="auto"/>
              <w:left w:val="nil"/>
              <w:bottom w:val="double" w:sz="6"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b/>
                <w:bCs/>
                <w:sz w:val="18"/>
                <w:szCs w:val="18"/>
                <w:lang w:eastAsia="pt-BR"/>
              </w:rPr>
            </w:pPr>
            <w:proofErr w:type="gramStart"/>
            <w:r w:rsidRPr="000B23B3">
              <w:rPr>
                <w:rFonts w:ascii="Arial" w:eastAsia="Times New Roman" w:hAnsi="Arial" w:cs="Arial"/>
                <w:b/>
                <w:bCs/>
                <w:sz w:val="18"/>
                <w:szCs w:val="18"/>
                <w:lang w:eastAsia="pt-BR"/>
              </w:rPr>
              <w:t>p</w:t>
            </w:r>
            <w:proofErr w:type="gramEnd"/>
            <w:r w:rsidRPr="000B23B3">
              <w:rPr>
                <w:rFonts w:ascii="Arial" w:eastAsia="Times New Roman" w:hAnsi="Arial" w:cs="Arial"/>
                <w:b/>
                <w:bCs/>
                <w:sz w:val="18"/>
                <w:szCs w:val="18"/>
                <w:lang w:eastAsia="pt-BR"/>
              </w:rPr>
              <w:t>-</w:t>
            </w:r>
            <w:proofErr w:type="spellStart"/>
            <w:r w:rsidRPr="000B23B3">
              <w:rPr>
                <w:rFonts w:ascii="Arial" w:eastAsia="Times New Roman" w:hAnsi="Arial" w:cs="Arial"/>
                <w:b/>
                <w:bCs/>
                <w:sz w:val="18"/>
                <w:szCs w:val="18"/>
                <w:lang w:eastAsia="pt-BR"/>
              </w:rPr>
              <w:t>value</w:t>
            </w:r>
            <w:proofErr w:type="spellEnd"/>
            <w:r w:rsidRPr="000B23B3">
              <w:rPr>
                <w:rFonts w:ascii="Arial" w:eastAsia="Times New Roman" w:hAnsi="Arial" w:cs="Arial"/>
                <w:b/>
                <w:bCs/>
                <w:sz w:val="18"/>
                <w:szCs w:val="18"/>
                <w:lang w:eastAsia="pt-BR"/>
              </w:rPr>
              <w:t xml:space="preserve"> </w:t>
            </w:r>
            <w:r w:rsidRPr="000B23B3">
              <w:rPr>
                <w:rFonts w:ascii="Arial" w:eastAsia="Times New Roman" w:hAnsi="Arial" w:cs="Arial"/>
                <w:b/>
                <w:bCs/>
                <w:sz w:val="18"/>
                <w:szCs w:val="18"/>
                <w:lang w:eastAsia="pt-BR"/>
              </w:rPr>
              <w:br/>
              <w:t>(</w:t>
            </w:r>
            <w:proofErr w:type="spellStart"/>
            <w:r w:rsidRPr="000B23B3">
              <w:rPr>
                <w:rFonts w:ascii="Arial" w:eastAsia="Times New Roman" w:hAnsi="Arial" w:cs="Arial"/>
                <w:b/>
                <w:bCs/>
                <w:sz w:val="18"/>
                <w:szCs w:val="18"/>
                <w:lang w:eastAsia="pt-BR"/>
              </w:rPr>
              <w:t>diff</w:t>
            </w:r>
            <w:proofErr w:type="spellEnd"/>
            <w:r w:rsidRPr="000B23B3">
              <w:rPr>
                <w:rFonts w:ascii="Arial" w:eastAsia="Times New Roman" w:hAnsi="Arial" w:cs="Arial"/>
                <w:b/>
                <w:bCs/>
                <w:sz w:val="18"/>
                <w:szCs w:val="18"/>
                <w:lang w:eastAsia="pt-BR"/>
              </w:rPr>
              <w:t>. &gt; 0)</w:t>
            </w:r>
          </w:p>
        </w:tc>
        <w:tc>
          <w:tcPr>
            <w:tcW w:w="674" w:type="pct"/>
            <w:tcBorders>
              <w:top w:val="single" w:sz="4" w:space="0" w:color="auto"/>
              <w:left w:val="nil"/>
              <w:bottom w:val="double" w:sz="6"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b/>
                <w:bCs/>
                <w:sz w:val="18"/>
                <w:szCs w:val="18"/>
                <w:lang w:eastAsia="pt-BR"/>
              </w:rPr>
            </w:pPr>
            <w:proofErr w:type="gramStart"/>
            <w:r w:rsidRPr="000B23B3">
              <w:rPr>
                <w:rFonts w:ascii="Arial" w:eastAsia="Times New Roman" w:hAnsi="Arial" w:cs="Arial"/>
                <w:b/>
                <w:bCs/>
                <w:sz w:val="18"/>
                <w:szCs w:val="18"/>
                <w:lang w:eastAsia="pt-BR"/>
              </w:rPr>
              <w:t>p</w:t>
            </w:r>
            <w:proofErr w:type="gramEnd"/>
            <w:r w:rsidRPr="000B23B3">
              <w:rPr>
                <w:rFonts w:ascii="Arial" w:eastAsia="Times New Roman" w:hAnsi="Arial" w:cs="Arial"/>
                <w:b/>
                <w:bCs/>
                <w:sz w:val="18"/>
                <w:szCs w:val="18"/>
                <w:lang w:eastAsia="pt-BR"/>
              </w:rPr>
              <w:t>-</w:t>
            </w:r>
            <w:proofErr w:type="spellStart"/>
            <w:r w:rsidRPr="000B23B3">
              <w:rPr>
                <w:rFonts w:ascii="Arial" w:eastAsia="Times New Roman" w:hAnsi="Arial" w:cs="Arial"/>
                <w:b/>
                <w:bCs/>
                <w:sz w:val="18"/>
                <w:szCs w:val="18"/>
                <w:lang w:eastAsia="pt-BR"/>
              </w:rPr>
              <w:t>value</w:t>
            </w:r>
            <w:proofErr w:type="spellEnd"/>
            <w:r w:rsidRPr="000B23B3">
              <w:rPr>
                <w:rFonts w:ascii="Arial" w:eastAsia="Times New Roman" w:hAnsi="Arial" w:cs="Arial"/>
                <w:b/>
                <w:bCs/>
                <w:sz w:val="18"/>
                <w:szCs w:val="18"/>
                <w:lang w:eastAsia="pt-BR"/>
              </w:rPr>
              <w:t xml:space="preserve"> </w:t>
            </w:r>
            <w:r w:rsidRPr="000B23B3">
              <w:rPr>
                <w:rFonts w:ascii="Arial" w:eastAsia="Times New Roman" w:hAnsi="Arial" w:cs="Arial"/>
                <w:b/>
                <w:bCs/>
                <w:sz w:val="18"/>
                <w:szCs w:val="18"/>
                <w:lang w:eastAsia="pt-BR"/>
              </w:rPr>
              <w:br/>
              <w:t>(</w:t>
            </w:r>
            <w:proofErr w:type="spellStart"/>
            <w:r w:rsidRPr="000B23B3">
              <w:rPr>
                <w:rFonts w:ascii="Arial" w:eastAsia="Times New Roman" w:hAnsi="Arial" w:cs="Arial"/>
                <w:b/>
                <w:bCs/>
                <w:sz w:val="18"/>
                <w:szCs w:val="18"/>
                <w:lang w:eastAsia="pt-BR"/>
              </w:rPr>
              <w:t>diff</w:t>
            </w:r>
            <w:proofErr w:type="spellEnd"/>
            <w:r w:rsidRPr="000B23B3">
              <w:rPr>
                <w:rFonts w:ascii="Arial" w:eastAsia="Times New Roman" w:hAnsi="Arial" w:cs="Arial"/>
                <w:b/>
                <w:bCs/>
                <w:sz w:val="18"/>
                <w:szCs w:val="18"/>
                <w:lang w:eastAsia="pt-BR"/>
              </w:rPr>
              <w:t>. &lt; 0)</w:t>
            </w:r>
          </w:p>
        </w:tc>
      </w:tr>
      <w:tr w:rsidR="00582034" w:rsidRPr="000B23B3" w:rsidTr="00527254">
        <w:trPr>
          <w:trHeight w:val="735"/>
        </w:trPr>
        <w:tc>
          <w:tcPr>
            <w:tcW w:w="143" w:type="pct"/>
            <w:tcBorders>
              <w:top w:val="nil"/>
              <w:left w:val="single" w:sz="4" w:space="0" w:color="auto"/>
              <w:bottom w:val="single" w:sz="4" w:space="0" w:color="auto"/>
              <w:right w:val="single" w:sz="4" w:space="0" w:color="auto"/>
            </w:tcBorders>
            <w:shd w:val="clear" w:color="auto" w:fill="FFFFFF"/>
            <w:noWrap/>
            <w:vAlign w:val="center"/>
            <w:hideMark/>
          </w:tcPr>
          <w:p w:rsidR="00582034" w:rsidRPr="000B23B3" w:rsidRDefault="00582034" w:rsidP="00527254">
            <w:pPr>
              <w:spacing w:after="0" w:line="240" w:lineRule="auto"/>
              <w:jc w:val="center"/>
              <w:rPr>
                <w:rFonts w:ascii="Arial" w:eastAsia="Times New Roman" w:hAnsi="Arial" w:cs="Arial"/>
                <w:b/>
                <w:bCs/>
                <w:sz w:val="18"/>
                <w:szCs w:val="18"/>
                <w:lang w:eastAsia="pt-BR"/>
              </w:rPr>
            </w:pPr>
            <w:proofErr w:type="gramStart"/>
            <w:r w:rsidRPr="000B23B3">
              <w:rPr>
                <w:rFonts w:ascii="Arial" w:eastAsia="Times New Roman" w:hAnsi="Arial" w:cs="Arial"/>
                <w:b/>
                <w:bCs/>
                <w:sz w:val="18"/>
                <w:szCs w:val="18"/>
                <w:lang w:eastAsia="pt-BR"/>
              </w:rPr>
              <w:t>1</w:t>
            </w:r>
            <w:proofErr w:type="gramEnd"/>
          </w:p>
        </w:tc>
        <w:tc>
          <w:tcPr>
            <w:tcW w:w="1409" w:type="pct"/>
            <w:tcBorders>
              <w:top w:val="nil"/>
              <w:left w:val="nil"/>
              <w:bottom w:val="single" w:sz="4" w:space="0" w:color="auto"/>
              <w:right w:val="single" w:sz="4" w:space="0" w:color="auto"/>
            </w:tcBorders>
            <w:shd w:val="clear" w:color="auto" w:fill="FFFFFF"/>
            <w:vAlign w:val="center"/>
            <w:hideMark/>
          </w:tcPr>
          <w:p w:rsidR="00582034" w:rsidRPr="00035F4A" w:rsidRDefault="00582034" w:rsidP="00527254">
            <w:pPr>
              <w:spacing w:after="0" w:line="240" w:lineRule="auto"/>
              <w:jc w:val="both"/>
              <w:rPr>
                <w:rFonts w:ascii="Arial" w:eastAsia="Times New Roman" w:hAnsi="Arial" w:cs="Arial"/>
                <w:sz w:val="20"/>
                <w:szCs w:val="20"/>
                <w:lang w:val="en-US" w:eastAsia="pt-BR"/>
              </w:rPr>
            </w:pPr>
            <w:r w:rsidRPr="000B23B3">
              <w:rPr>
                <w:rFonts w:ascii="Arial" w:hAnsi="Arial" w:cs="Arial"/>
                <w:iCs/>
                <w:sz w:val="20"/>
                <w:szCs w:val="20"/>
                <w:lang w:val="en-US"/>
              </w:rPr>
              <w:t xml:space="preserve">The share of small firms is higher in SM-I industries than </w:t>
            </w:r>
            <w:r w:rsidRPr="00035F4A">
              <w:rPr>
                <w:rFonts w:ascii="Arial" w:hAnsi="Arial" w:cs="Arial"/>
                <w:iCs/>
                <w:sz w:val="20"/>
                <w:szCs w:val="20"/>
                <w:lang w:val="en-US"/>
              </w:rPr>
              <w:t>in SM-II industries</w:t>
            </w:r>
          </w:p>
        </w:tc>
        <w:tc>
          <w:tcPr>
            <w:tcW w:w="568" w:type="pct"/>
            <w:tcBorders>
              <w:top w:val="nil"/>
              <w:left w:val="nil"/>
              <w:bottom w:val="single" w:sz="4"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3,235</w:t>
            </w:r>
          </w:p>
        </w:tc>
        <w:tc>
          <w:tcPr>
            <w:tcW w:w="767" w:type="pct"/>
            <w:tcBorders>
              <w:top w:val="nil"/>
              <w:left w:val="nil"/>
              <w:bottom w:val="single" w:sz="4"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0.576</w:t>
            </w:r>
            <w:r w:rsidRPr="000B23B3">
              <w:rPr>
                <w:rFonts w:ascii="Arial" w:eastAsia="Times New Roman" w:hAnsi="Arial" w:cs="Arial"/>
                <w:sz w:val="18"/>
                <w:szCs w:val="18"/>
                <w:lang w:eastAsia="pt-BR"/>
              </w:rPr>
              <w:br/>
            </w:r>
            <w:proofErr w:type="gramStart"/>
            <w:r w:rsidRPr="000B23B3">
              <w:rPr>
                <w:rFonts w:ascii="Arial" w:eastAsia="Times New Roman" w:hAnsi="Arial" w:cs="Arial"/>
                <w:sz w:val="18"/>
                <w:szCs w:val="18"/>
                <w:lang w:eastAsia="pt-BR"/>
              </w:rPr>
              <w:t>(</w:t>
            </w:r>
            <w:proofErr w:type="gramEnd"/>
            <w:r w:rsidRPr="000B23B3">
              <w:rPr>
                <w:rFonts w:ascii="Arial" w:eastAsia="Times New Roman" w:hAnsi="Arial" w:cs="Arial"/>
                <w:sz w:val="18"/>
                <w:szCs w:val="18"/>
                <w:lang w:eastAsia="pt-BR"/>
              </w:rPr>
              <w:t>0.015)</w:t>
            </w:r>
          </w:p>
        </w:tc>
        <w:tc>
          <w:tcPr>
            <w:tcW w:w="770" w:type="pct"/>
            <w:tcBorders>
              <w:top w:val="nil"/>
              <w:left w:val="nil"/>
              <w:bottom w:val="single" w:sz="4"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0.502</w:t>
            </w:r>
            <w:r w:rsidRPr="000B23B3">
              <w:rPr>
                <w:rFonts w:ascii="Arial" w:eastAsia="Times New Roman" w:hAnsi="Arial" w:cs="Arial"/>
                <w:sz w:val="18"/>
                <w:szCs w:val="18"/>
                <w:lang w:eastAsia="pt-BR"/>
              </w:rPr>
              <w:br/>
            </w:r>
            <w:proofErr w:type="gramStart"/>
            <w:r w:rsidRPr="000B23B3">
              <w:rPr>
                <w:rFonts w:ascii="Arial" w:eastAsia="Times New Roman" w:hAnsi="Arial" w:cs="Arial"/>
                <w:sz w:val="18"/>
                <w:szCs w:val="18"/>
                <w:lang w:eastAsia="pt-BR"/>
              </w:rPr>
              <w:t>(</w:t>
            </w:r>
            <w:proofErr w:type="gramEnd"/>
            <w:r w:rsidRPr="000B23B3">
              <w:rPr>
                <w:rFonts w:ascii="Arial" w:eastAsia="Times New Roman" w:hAnsi="Arial" w:cs="Arial"/>
                <w:sz w:val="18"/>
                <w:szCs w:val="18"/>
                <w:lang w:eastAsia="pt-BR"/>
              </w:rPr>
              <w:t xml:space="preserve"> 0,017)</w:t>
            </w:r>
          </w:p>
        </w:tc>
        <w:tc>
          <w:tcPr>
            <w:tcW w:w="669" w:type="pct"/>
            <w:tcBorders>
              <w:top w:val="nil"/>
              <w:left w:val="nil"/>
              <w:bottom w:val="single" w:sz="4"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 xml:space="preserve">0.001 </w:t>
            </w:r>
          </w:p>
        </w:tc>
        <w:tc>
          <w:tcPr>
            <w:tcW w:w="674" w:type="pct"/>
            <w:tcBorders>
              <w:top w:val="nil"/>
              <w:left w:val="nil"/>
              <w:bottom w:val="single" w:sz="4"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w:t>
            </w:r>
          </w:p>
        </w:tc>
      </w:tr>
      <w:tr w:rsidR="00582034" w:rsidRPr="000B23B3" w:rsidTr="00527254">
        <w:trPr>
          <w:trHeight w:val="720"/>
        </w:trPr>
        <w:tc>
          <w:tcPr>
            <w:tcW w:w="143" w:type="pct"/>
            <w:tcBorders>
              <w:top w:val="nil"/>
              <w:left w:val="single" w:sz="4" w:space="0" w:color="auto"/>
              <w:bottom w:val="single" w:sz="4" w:space="0" w:color="auto"/>
              <w:right w:val="single" w:sz="4" w:space="0" w:color="auto"/>
            </w:tcBorders>
            <w:shd w:val="clear" w:color="auto" w:fill="FFFFFF"/>
            <w:noWrap/>
            <w:vAlign w:val="center"/>
            <w:hideMark/>
          </w:tcPr>
          <w:p w:rsidR="00582034" w:rsidRPr="000B23B3" w:rsidRDefault="00582034" w:rsidP="00527254">
            <w:pPr>
              <w:spacing w:after="0" w:line="240" w:lineRule="auto"/>
              <w:jc w:val="center"/>
              <w:rPr>
                <w:rFonts w:ascii="Arial" w:eastAsia="Times New Roman" w:hAnsi="Arial" w:cs="Arial"/>
                <w:b/>
                <w:bCs/>
                <w:sz w:val="18"/>
                <w:szCs w:val="18"/>
                <w:lang w:eastAsia="pt-BR"/>
              </w:rPr>
            </w:pPr>
            <w:proofErr w:type="gramStart"/>
            <w:r w:rsidRPr="000B23B3">
              <w:rPr>
                <w:rFonts w:ascii="Arial" w:eastAsia="Times New Roman" w:hAnsi="Arial" w:cs="Arial"/>
                <w:b/>
                <w:bCs/>
                <w:sz w:val="18"/>
                <w:szCs w:val="18"/>
                <w:lang w:eastAsia="pt-BR"/>
              </w:rPr>
              <w:t>2</w:t>
            </w:r>
            <w:proofErr w:type="gramEnd"/>
          </w:p>
        </w:tc>
        <w:tc>
          <w:tcPr>
            <w:tcW w:w="1409" w:type="pct"/>
            <w:tcBorders>
              <w:top w:val="nil"/>
              <w:left w:val="nil"/>
              <w:bottom w:val="single" w:sz="4" w:space="0" w:color="auto"/>
              <w:right w:val="single" w:sz="4" w:space="0" w:color="auto"/>
            </w:tcBorders>
            <w:shd w:val="clear" w:color="auto" w:fill="FFFFFF"/>
            <w:vAlign w:val="center"/>
            <w:hideMark/>
          </w:tcPr>
          <w:p w:rsidR="00582034" w:rsidRPr="00035F4A" w:rsidRDefault="00582034" w:rsidP="00527254">
            <w:pPr>
              <w:spacing w:after="0" w:line="240" w:lineRule="auto"/>
              <w:jc w:val="both"/>
              <w:rPr>
                <w:rFonts w:ascii="Arial" w:eastAsia="Times New Roman" w:hAnsi="Arial" w:cs="Arial"/>
                <w:sz w:val="20"/>
                <w:szCs w:val="20"/>
                <w:lang w:val="en-US" w:eastAsia="pt-BR"/>
              </w:rPr>
            </w:pPr>
            <w:r w:rsidRPr="000B23B3">
              <w:rPr>
                <w:rFonts w:ascii="Arial" w:hAnsi="Arial" w:cs="Arial"/>
                <w:iCs/>
                <w:sz w:val="20"/>
                <w:szCs w:val="20"/>
                <w:lang w:val="en-US"/>
              </w:rPr>
              <w:t xml:space="preserve">Concentration levels are lower SM-I industries than in </w:t>
            </w:r>
            <w:r w:rsidRPr="00035F4A">
              <w:rPr>
                <w:rFonts w:ascii="Arial" w:hAnsi="Arial" w:cs="Arial"/>
                <w:iCs/>
                <w:sz w:val="20"/>
                <w:szCs w:val="20"/>
                <w:lang w:val="en-US"/>
              </w:rPr>
              <w:t>SM-II industries</w:t>
            </w:r>
          </w:p>
        </w:tc>
        <w:tc>
          <w:tcPr>
            <w:tcW w:w="568" w:type="pct"/>
            <w:tcBorders>
              <w:top w:val="nil"/>
              <w:left w:val="nil"/>
              <w:bottom w:val="single" w:sz="4"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-1.493 (*)</w:t>
            </w:r>
          </w:p>
        </w:tc>
        <w:tc>
          <w:tcPr>
            <w:tcW w:w="767" w:type="pct"/>
            <w:tcBorders>
              <w:top w:val="nil"/>
              <w:left w:val="nil"/>
              <w:bottom w:val="single" w:sz="4"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0.169</w:t>
            </w:r>
            <w:r w:rsidRPr="000B23B3">
              <w:rPr>
                <w:rFonts w:ascii="Arial" w:eastAsia="Times New Roman" w:hAnsi="Arial" w:cs="Arial"/>
                <w:sz w:val="18"/>
                <w:szCs w:val="18"/>
                <w:lang w:eastAsia="pt-BR"/>
              </w:rPr>
              <w:br/>
            </w:r>
            <w:proofErr w:type="gramStart"/>
            <w:r w:rsidRPr="000B23B3">
              <w:rPr>
                <w:rFonts w:ascii="Arial" w:eastAsia="Times New Roman" w:hAnsi="Arial" w:cs="Arial"/>
                <w:sz w:val="18"/>
                <w:szCs w:val="18"/>
                <w:lang w:eastAsia="pt-BR"/>
              </w:rPr>
              <w:t>(</w:t>
            </w:r>
            <w:proofErr w:type="gramEnd"/>
            <w:r w:rsidRPr="000B23B3">
              <w:rPr>
                <w:rFonts w:ascii="Arial" w:eastAsia="Times New Roman" w:hAnsi="Arial" w:cs="Arial"/>
                <w:sz w:val="18"/>
                <w:szCs w:val="18"/>
                <w:lang w:eastAsia="pt-BR"/>
              </w:rPr>
              <w:t>0.181)</w:t>
            </w:r>
          </w:p>
        </w:tc>
        <w:tc>
          <w:tcPr>
            <w:tcW w:w="770" w:type="pct"/>
            <w:tcBorders>
              <w:top w:val="nil"/>
              <w:left w:val="nil"/>
              <w:bottom w:val="single" w:sz="4"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0.208</w:t>
            </w:r>
            <w:r w:rsidRPr="000B23B3">
              <w:rPr>
                <w:rFonts w:ascii="Arial" w:eastAsia="Times New Roman" w:hAnsi="Arial" w:cs="Arial"/>
                <w:sz w:val="18"/>
                <w:szCs w:val="18"/>
                <w:lang w:eastAsia="pt-BR"/>
              </w:rPr>
              <w:br/>
            </w:r>
            <w:proofErr w:type="gramStart"/>
            <w:r w:rsidRPr="000B23B3">
              <w:rPr>
                <w:rFonts w:ascii="Arial" w:eastAsia="Times New Roman" w:hAnsi="Arial" w:cs="Arial"/>
                <w:sz w:val="18"/>
                <w:szCs w:val="18"/>
                <w:lang w:eastAsia="pt-BR"/>
              </w:rPr>
              <w:t>(</w:t>
            </w:r>
            <w:proofErr w:type="gramEnd"/>
            <w:r w:rsidRPr="000B23B3">
              <w:rPr>
                <w:rFonts w:ascii="Arial" w:eastAsia="Times New Roman" w:hAnsi="Arial" w:cs="Arial"/>
                <w:sz w:val="18"/>
                <w:szCs w:val="18"/>
                <w:lang w:eastAsia="pt-BR"/>
              </w:rPr>
              <w:t>0.174)</w:t>
            </w:r>
          </w:p>
        </w:tc>
        <w:tc>
          <w:tcPr>
            <w:tcW w:w="669" w:type="pct"/>
            <w:tcBorders>
              <w:top w:val="nil"/>
              <w:left w:val="nil"/>
              <w:bottom w:val="single" w:sz="4" w:space="0" w:color="auto"/>
              <w:right w:val="single" w:sz="4" w:space="0" w:color="auto"/>
            </w:tcBorders>
            <w:shd w:val="clear" w:color="auto" w:fill="FFFFFF"/>
            <w:noWrap/>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w:t>
            </w:r>
          </w:p>
        </w:tc>
        <w:tc>
          <w:tcPr>
            <w:tcW w:w="674" w:type="pct"/>
            <w:tcBorders>
              <w:top w:val="nil"/>
              <w:left w:val="nil"/>
              <w:bottom w:val="single" w:sz="4" w:space="0" w:color="auto"/>
              <w:right w:val="single" w:sz="4" w:space="0" w:color="auto"/>
            </w:tcBorders>
            <w:shd w:val="clear" w:color="auto" w:fill="FFFFFF"/>
            <w:noWrap/>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 xml:space="preserve">0.069 </w:t>
            </w:r>
          </w:p>
        </w:tc>
      </w:tr>
      <w:tr w:rsidR="00582034" w:rsidRPr="000B23B3" w:rsidTr="00527254">
        <w:trPr>
          <w:trHeight w:val="720"/>
        </w:trPr>
        <w:tc>
          <w:tcPr>
            <w:tcW w:w="143" w:type="pct"/>
            <w:tcBorders>
              <w:top w:val="nil"/>
              <w:left w:val="single" w:sz="4" w:space="0" w:color="auto"/>
              <w:bottom w:val="single" w:sz="4" w:space="0" w:color="auto"/>
              <w:right w:val="single" w:sz="4" w:space="0" w:color="auto"/>
            </w:tcBorders>
            <w:shd w:val="clear" w:color="auto" w:fill="FFFFFF"/>
            <w:noWrap/>
            <w:vAlign w:val="center"/>
            <w:hideMark/>
          </w:tcPr>
          <w:p w:rsidR="00582034" w:rsidRPr="000B23B3" w:rsidRDefault="00582034" w:rsidP="00527254">
            <w:pPr>
              <w:spacing w:after="0" w:line="240" w:lineRule="auto"/>
              <w:jc w:val="center"/>
              <w:rPr>
                <w:rFonts w:ascii="Arial" w:eastAsia="Times New Roman" w:hAnsi="Arial" w:cs="Arial"/>
                <w:b/>
                <w:bCs/>
                <w:sz w:val="18"/>
                <w:szCs w:val="18"/>
                <w:lang w:eastAsia="pt-BR"/>
              </w:rPr>
            </w:pPr>
            <w:proofErr w:type="gramStart"/>
            <w:r w:rsidRPr="000B23B3">
              <w:rPr>
                <w:rFonts w:ascii="Arial" w:eastAsia="Times New Roman" w:hAnsi="Arial" w:cs="Arial"/>
                <w:b/>
                <w:bCs/>
                <w:sz w:val="18"/>
                <w:szCs w:val="18"/>
                <w:lang w:eastAsia="pt-BR"/>
              </w:rPr>
              <w:t>3</w:t>
            </w:r>
            <w:proofErr w:type="gramEnd"/>
          </w:p>
        </w:tc>
        <w:tc>
          <w:tcPr>
            <w:tcW w:w="1409" w:type="pct"/>
            <w:tcBorders>
              <w:top w:val="nil"/>
              <w:left w:val="nil"/>
              <w:bottom w:val="single" w:sz="4" w:space="0" w:color="auto"/>
              <w:right w:val="single" w:sz="4" w:space="0" w:color="auto"/>
            </w:tcBorders>
            <w:shd w:val="clear" w:color="auto" w:fill="FFFFFF"/>
            <w:vAlign w:val="center"/>
            <w:hideMark/>
          </w:tcPr>
          <w:p w:rsidR="00582034" w:rsidRPr="00035F4A" w:rsidRDefault="00582034" w:rsidP="00527254">
            <w:pPr>
              <w:spacing w:after="0" w:line="240" w:lineRule="auto"/>
              <w:jc w:val="both"/>
              <w:rPr>
                <w:rFonts w:ascii="Arial" w:eastAsia="Times New Roman" w:hAnsi="Arial" w:cs="Arial"/>
                <w:sz w:val="20"/>
                <w:szCs w:val="20"/>
                <w:lang w:val="en-US" w:eastAsia="pt-BR"/>
              </w:rPr>
            </w:pPr>
            <w:r w:rsidRPr="000B23B3">
              <w:rPr>
                <w:rFonts w:ascii="Arial" w:hAnsi="Arial" w:cs="Arial"/>
                <w:iCs/>
                <w:sz w:val="20"/>
                <w:szCs w:val="20"/>
                <w:lang w:val="en-US"/>
              </w:rPr>
              <w:t xml:space="preserve">Entry barriers are lower in SM-I industries than in SM-II </w:t>
            </w:r>
            <w:r w:rsidRPr="00035F4A">
              <w:rPr>
                <w:rFonts w:ascii="Arial" w:hAnsi="Arial" w:cs="Arial"/>
                <w:iCs/>
                <w:sz w:val="20"/>
                <w:szCs w:val="20"/>
                <w:lang w:val="en-US"/>
              </w:rPr>
              <w:t>industries</w:t>
            </w:r>
          </w:p>
        </w:tc>
        <w:tc>
          <w:tcPr>
            <w:tcW w:w="568" w:type="pct"/>
            <w:tcBorders>
              <w:top w:val="nil"/>
              <w:left w:val="nil"/>
              <w:bottom w:val="single" w:sz="4"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-1.125 (*)</w:t>
            </w:r>
          </w:p>
        </w:tc>
        <w:tc>
          <w:tcPr>
            <w:tcW w:w="767" w:type="pct"/>
            <w:tcBorders>
              <w:top w:val="nil"/>
              <w:left w:val="nil"/>
              <w:bottom w:val="single" w:sz="4"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0.086</w:t>
            </w:r>
            <w:r w:rsidRPr="000B23B3">
              <w:rPr>
                <w:rFonts w:ascii="Arial" w:eastAsia="Times New Roman" w:hAnsi="Arial" w:cs="Arial"/>
                <w:sz w:val="18"/>
                <w:szCs w:val="18"/>
                <w:lang w:eastAsia="pt-BR"/>
              </w:rPr>
              <w:br/>
            </w:r>
            <w:proofErr w:type="gramStart"/>
            <w:r w:rsidRPr="000B23B3">
              <w:rPr>
                <w:rFonts w:ascii="Arial" w:eastAsia="Times New Roman" w:hAnsi="Arial" w:cs="Arial"/>
                <w:sz w:val="18"/>
                <w:szCs w:val="18"/>
                <w:lang w:eastAsia="pt-BR"/>
              </w:rPr>
              <w:t>(</w:t>
            </w:r>
            <w:proofErr w:type="gramEnd"/>
            <w:r w:rsidRPr="000B23B3">
              <w:rPr>
                <w:rFonts w:ascii="Arial" w:eastAsia="Times New Roman" w:hAnsi="Arial" w:cs="Arial"/>
                <w:sz w:val="18"/>
                <w:szCs w:val="18"/>
                <w:lang w:eastAsia="pt-BR"/>
              </w:rPr>
              <w:t>0.004)</w:t>
            </w:r>
          </w:p>
        </w:tc>
        <w:tc>
          <w:tcPr>
            <w:tcW w:w="770" w:type="pct"/>
            <w:tcBorders>
              <w:top w:val="nil"/>
              <w:left w:val="nil"/>
              <w:bottom w:val="single" w:sz="4"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0.094</w:t>
            </w:r>
            <w:r w:rsidRPr="000B23B3">
              <w:rPr>
                <w:rFonts w:ascii="Arial" w:eastAsia="Times New Roman" w:hAnsi="Arial" w:cs="Arial"/>
                <w:sz w:val="18"/>
                <w:szCs w:val="18"/>
                <w:lang w:eastAsia="pt-BR"/>
              </w:rPr>
              <w:br/>
            </w:r>
            <w:proofErr w:type="gramStart"/>
            <w:r w:rsidRPr="000B23B3">
              <w:rPr>
                <w:rFonts w:ascii="Arial" w:eastAsia="Times New Roman" w:hAnsi="Arial" w:cs="Arial"/>
                <w:sz w:val="18"/>
                <w:szCs w:val="18"/>
                <w:lang w:eastAsia="pt-BR"/>
              </w:rPr>
              <w:t>(</w:t>
            </w:r>
            <w:proofErr w:type="gramEnd"/>
            <w:r w:rsidRPr="000B23B3">
              <w:rPr>
                <w:rFonts w:ascii="Arial" w:eastAsia="Times New Roman" w:hAnsi="Arial" w:cs="Arial"/>
                <w:sz w:val="18"/>
                <w:szCs w:val="18"/>
                <w:lang w:eastAsia="pt-BR"/>
              </w:rPr>
              <w:t>0.006)</w:t>
            </w:r>
          </w:p>
        </w:tc>
        <w:tc>
          <w:tcPr>
            <w:tcW w:w="669" w:type="pct"/>
            <w:tcBorders>
              <w:top w:val="nil"/>
              <w:left w:val="nil"/>
              <w:bottom w:val="single" w:sz="4" w:space="0" w:color="auto"/>
              <w:right w:val="single" w:sz="4" w:space="0" w:color="auto"/>
            </w:tcBorders>
            <w:shd w:val="clear" w:color="auto" w:fill="FFFFFF"/>
            <w:noWrap/>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 xml:space="preserve">0.869 </w:t>
            </w:r>
          </w:p>
        </w:tc>
        <w:tc>
          <w:tcPr>
            <w:tcW w:w="674" w:type="pct"/>
            <w:tcBorders>
              <w:top w:val="nil"/>
              <w:left w:val="nil"/>
              <w:bottom w:val="single" w:sz="4" w:space="0" w:color="auto"/>
              <w:right w:val="single" w:sz="4" w:space="0" w:color="auto"/>
            </w:tcBorders>
            <w:shd w:val="clear" w:color="auto" w:fill="FFFFFF"/>
            <w:noWrap/>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w:t>
            </w:r>
          </w:p>
        </w:tc>
      </w:tr>
      <w:tr w:rsidR="00582034" w:rsidRPr="000B23B3" w:rsidTr="00527254">
        <w:trPr>
          <w:trHeight w:val="720"/>
        </w:trPr>
        <w:tc>
          <w:tcPr>
            <w:tcW w:w="143" w:type="pct"/>
            <w:tcBorders>
              <w:top w:val="nil"/>
              <w:left w:val="single" w:sz="4" w:space="0" w:color="auto"/>
              <w:bottom w:val="single" w:sz="4" w:space="0" w:color="auto"/>
              <w:right w:val="single" w:sz="4" w:space="0" w:color="auto"/>
            </w:tcBorders>
            <w:shd w:val="clear" w:color="auto" w:fill="FFFFFF"/>
            <w:noWrap/>
            <w:vAlign w:val="center"/>
            <w:hideMark/>
          </w:tcPr>
          <w:p w:rsidR="00582034" w:rsidRPr="000B23B3" w:rsidRDefault="00582034" w:rsidP="00527254">
            <w:pPr>
              <w:spacing w:after="0" w:line="240" w:lineRule="auto"/>
              <w:jc w:val="center"/>
              <w:rPr>
                <w:rFonts w:ascii="Arial" w:eastAsia="Times New Roman" w:hAnsi="Arial" w:cs="Arial"/>
                <w:b/>
                <w:bCs/>
                <w:sz w:val="18"/>
                <w:szCs w:val="18"/>
                <w:lang w:eastAsia="pt-BR"/>
              </w:rPr>
            </w:pPr>
            <w:proofErr w:type="gramStart"/>
            <w:r w:rsidRPr="000B23B3">
              <w:rPr>
                <w:rFonts w:ascii="Arial" w:eastAsia="Times New Roman" w:hAnsi="Arial" w:cs="Arial"/>
                <w:b/>
                <w:bCs/>
                <w:sz w:val="18"/>
                <w:szCs w:val="18"/>
                <w:lang w:eastAsia="pt-BR"/>
              </w:rPr>
              <w:t>4</w:t>
            </w:r>
            <w:proofErr w:type="gramEnd"/>
          </w:p>
        </w:tc>
        <w:tc>
          <w:tcPr>
            <w:tcW w:w="1409" w:type="pct"/>
            <w:tcBorders>
              <w:top w:val="nil"/>
              <w:left w:val="nil"/>
              <w:bottom w:val="single" w:sz="4" w:space="0" w:color="auto"/>
              <w:right w:val="single" w:sz="4" w:space="0" w:color="auto"/>
            </w:tcBorders>
            <w:shd w:val="clear" w:color="auto" w:fill="FFFFFF"/>
            <w:vAlign w:val="center"/>
            <w:hideMark/>
          </w:tcPr>
          <w:p w:rsidR="00582034" w:rsidRPr="00035F4A" w:rsidRDefault="00582034" w:rsidP="00527254">
            <w:pPr>
              <w:spacing w:after="0" w:line="240" w:lineRule="auto"/>
              <w:jc w:val="both"/>
              <w:rPr>
                <w:rFonts w:ascii="Arial" w:eastAsia="Times New Roman" w:hAnsi="Arial" w:cs="Arial"/>
                <w:sz w:val="20"/>
                <w:szCs w:val="20"/>
                <w:lang w:val="en-US" w:eastAsia="pt-BR"/>
              </w:rPr>
            </w:pPr>
            <w:r w:rsidRPr="000B23B3">
              <w:rPr>
                <w:rFonts w:ascii="Arial" w:hAnsi="Arial" w:cs="Arial"/>
                <w:iCs/>
                <w:sz w:val="20"/>
                <w:szCs w:val="20"/>
                <w:lang w:val="en-US"/>
              </w:rPr>
              <w:t xml:space="preserve">Capital intensity is lower in SM-I industries than in SM-II </w:t>
            </w:r>
            <w:r w:rsidRPr="00035F4A">
              <w:rPr>
                <w:rFonts w:ascii="Arial" w:hAnsi="Arial" w:cs="Arial"/>
                <w:iCs/>
                <w:sz w:val="20"/>
                <w:szCs w:val="20"/>
                <w:lang w:val="en-US"/>
              </w:rPr>
              <w:t>industries</w:t>
            </w:r>
          </w:p>
        </w:tc>
        <w:tc>
          <w:tcPr>
            <w:tcW w:w="568" w:type="pct"/>
            <w:tcBorders>
              <w:top w:val="nil"/>
              <w:left w:val="nil"/>
              <w:bottom w:val="single" w:sz="4"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-1.078 (*)</w:t>
            </w:r>
          </w:p>
        </w:tc>
        <w:tc>
          <w:tcPr>
            <w:tcW w:w="767" w:type="pct"/>
            <w:tcBorders>
              <w:top w:val="nil"/>
              <w:left w:val="nil"/>
              <w:bottom w:val="single" w:sz="4"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0.156</w:t>
            </w:r>
            <w:r w:rsidRPr="000B23B3">
              <w:rPr>
                <w:rFonts w:ascii="Arial" w:eastAsia="Times New Roman" w:hAnsi="Arial" w:cs="Arial"/>
                <w:sz w:val="18"/>
                <w:szCs w:val="18"/>
                <w:lang w:eastAsia="pt-BR"/>
              </w:rPr>
              <w:br/>
            </w:r>
            <w:proofErr w:type="gramStart"/>
            <w:r w:rsidRPr="000B23B3">
              <w:rPr>
                <w:rFonts w:ascii="Arial" w:eastAsia="Times New Roman" w:hAnsi="Arial" w:cs="Arial"/>
                <w:sz w:val="18"/>
                <w:szCs w:val="18"/>
                <w:lang w:eastAsia="pt-BR"/>
              </w:rPr>
              <w:t>(</w:t>
            </w:r>
            <w:proofErr w:type="gramEnd"/>
            <w:r w:rsidRPr="000B23B3">
              <w:rPr>
                <w:rFonts w:ascii="Arial" w:eastAsia="Times New Roman" w:hAnsi="Arial" w:cs="Arial"/>
                <w:sz w:val="18"/>
                <w:szCs w:val="18"/>
                <w:lang w:eastAsia="pt-BR"/>
              </w:rPr>
              <w:t>0.035)</w:t>
            </w:r>
          </w:p>
        </w:tc>
        <w:tc>
          <w:tcPr>
            <w:tcW w:w="770" w:type="pct"/>
            <w:tcBorders>
              <w:top w:val="nil"/>
              <w:left w:val="nil"/>
              <w:bottom w:val="single" w:sz="4"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0,218</w:t>
            </w:r>
            <w:r w:rsidRPr="000B23B3">
              <w:rPr>
                <w:rFonts w:ascii="Arial" w:eastAsia="Times New Roman" w:hAnsi="Arial" w:cs="Arial"/>
                <w:sz w:val="18"/>
                <w:szCs w:val="18"/>
                <w:lang w:eastAsia="pt-BR"/>
              </w:rPr>
              <w:br/>
            </w:r>
            <w:proofErr w:type="gramStart"/>
            <w:r w:rsidRPr="000B23B3">
              <w:rPr>
                <w:rFonts w:ascii="Arial" w:eastAsia="Times New Roman" w:hAnsi="Arial" w:cs="Arial"/>
                <w:sz w:val="18"/>
                <w:szCs w:val="18"/>
                <w:lang w:eastAsia="pt-BR"/>
              </w:rPr>
              <w:t>(</w:t>
            </w:r>
            <w:proofErr w:type="gramEnd"/>
            <w:r w:rsidRPr="000B23B3">
              <w:rPr>
                <w:rFonts w:ascii="Arial" w:eastAsia="Times New Roman" w:hAnsi="Arial" w:cs="Arial"/>
                <w:sz w:val="18"/>
                <w:szCs w:val="18"/>
                <w:lang w:eastAsia="pt-BR"/>
              </w:rPr>
              <w:t>0.178)</w:t>
            </w:r>
          </w:p>
        </w:tc>
        <w:tc>
          <w:tcPr>
            <w:tcW w:w="669" w:type="pct"/>
            <w:tcBorders>
              <w:top w:val="nil"/>
              <w:left w:val="nil"/>
              <w:bottom w:val="single" w:sz="4" w:space="0" w:color="auto"/>
              <w:right w:val="single" w:sz="4" w:space="0" w:color="auto"/>
            </w:tcBorders>
            <w:shd w:val="clear" w:color="auto" w:fill="FFFFFF"/>
            <w:noWrap/>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w:t>
            </w:r>
          </w:p>
        </w:tc>
        <w:tc>
          <w:tcPr>
            <w:tcW w:w="674" w:type="pct"/>
            <w:tcBorders>
              <w:top w:val="nil"/>
              <w:left w:val="nil"/>
              <w:bottom w:val="single" w:sz="4" w:space="0" w:color="auto"/>
              <w:right w:val="single" w:sz="4" w:space="0" w:color="auto"/>
            </w:tcBorders>
            <w:shd w:val="clear" w:color="auto" w:fill="FFFFFF"/>
            <w:noWrap/>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0.144</w:t>
            </w:r>
          </w:p>
        </w:tc>
      </w:tr>
      <w:tr w:rsidR="00582034" w:rsidRPr="000B23B3" w:rsidTr="00527254">
        <w:trPr>
          <w:trHeight w:val="720"/>
        </w:trPr>
        <w:tc>
          <w:tcPr>
            <w:tcW w:w="143" w:type="pct"/>
            <w:tcBorders>
              <w:top w:val="nil"/>
              <w:left w:val="single" w:sz="4" w:space="0" w:color="auto"/>
              <w:bottom w:val="single" w:sz="4" w:space="0" w:color="auto"/>
              <w:right w:val="single" w:sz="4" w:space="0" w:color="auto"/>
            </w:tcBorders>
            <w:shd w:val="clear" w:color="auto" w:fill="FFFFFF"/>
            <w:noWrap/>
            <w:vAlign w:val="center"/>
            <w:hideMark/>
          </w:tcPr>
          <w:p w:rsidR="00582034" w:rsidRPr="000B23B3" w:rsidRDefault="00582034" w:rsidP="00527254">
            <w:pPr>
              <w:spacing w:after="0" w:line="240" w:lineRule="auto"/>
              <w:jc w:val="center"/>
              <w:rPr>
                <w:rFonts w:ascii="Arial" w:eastAsia="Times New Roman" w:hAnsi="Arial" w:cs="Arial"/>
                <w:b/>
                <w:bCs/>
                <w:sz w:val="18"/>
                <w:szCs w:val="18"/>
                <w:lang w:eastAsia="pt-BR"/>
              </w:rPr>
            </w:pPr>
            <w:proofErr w:type="gramStart"/>
            <w:r w:rsidRPr="000B23B3">
              <w:rPr>
                <w:rFonts w:ascii="Arial" w:eastAsia="Times New Roman" w:hAnsi="Arial" w:cs="Arial"/>
                <w:b/>
                <w:bCs/>
                <w:sz w:val="18"/>
                <w:szCs w:val="18"/>
                <w:lang w:eastAsia="pt-BR"/>
              </w:rPr>
              <w:t>5</w:t>
            </w:r>
            <w:proofErr w:type="gramEnd"/>
          </w:p>
        </w:tc>
        <w:tc>
          <w:tcPr>
            <w:tcW w:w="1409" w:type="pct"/>
            <w:tcBorders>
              <w:top w:val="nil"/>
              <w:left w:val="nil"/>
              <w:bottom w:val="single" w:sz="4" w:space="0" w:color="auto"/>
              <w:right w:val="single" w:sz="4" w:space="0" w:color="auto"/>
            </w:tcBorders>
            <w:shd w:val="clear" w:color="auto" w:fill="FFFFFF"/>
            <w:vAlign w:val="center"/>
            <w:hideMark/>
          </w:tcPr>
          <w:p w:rsidR="00582034" w:rsidRPr="00035F4A" w:rsidRDefault="00582034" w:rsidP="00527254">
            <w:pPr>
              <w:spacing w:after="0" w:line="240" w:lineRule="auto"/>
              <w:jc w:val="both"/>
              <w:rPr>
                <w:rFonts w:ascii="Arial" w:eastAsia="Times New Roman" w:hAnsi="Arial" w:cs="Arial"/>
                <w:sz w:val="20"/>
                <w:szCs w:val="20"/>
                <w:lang w:val="en-US" w:eastAsia="pt-BR"/>
              </w:rPr>
            </w:pPr>
            <w:r w:rsidRPr="000B23B3">
              <w:rPr>
                <w:rFonts w:ascii="Arial" w:hAnsi="Arial" w:cs="Arial"/>
                <w:iCs/>
                <w:sz w:val="20"/>
                <w:szCs w:val="20"/>
                <w:lang w:val="en-US"/>
              </w:rPr>
              <w:t xml:space="preserve">In SM-I industries, profit rates are lower than in SM-II </w:t>
            </w:r>
            <w:r w:rsidRPr="00035F4A">
              <w:rPr>
                <w:rFonts w:ascii="Arial" w:hAnsi="Arial" w:cs="Arial"/>
                <w:iCs/>
                <w:sz w:val="20"/>
                <w:szCs w:val="20"/>
                <w:lang w:val="en-US"/>
              </w:rPr>
              <w:t>industries</w:t>
            </w:r>
          </w:p>
        </w:tc>
        <w:tc>
          <w:tcPr>
            <w:tcW w:w="568" w:type="pct"/>
            <w:tcBorders>
              <w:top w:val="nil"/>
              <w:left w:val="nil"/>
              <w:bottom w:val="single" w:sz="4"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-2.776</w:t>
            </w:r>
          </w:p>
        </w:tc>
        <w:tc>
          <w:tcPr>
            <w:tcW w:w="767" w:type="pct"/>
            <w:tcBorders>
              <w:top w:val="nil"/>
              <w:left w:val="nil"/>
              <w:bottom w:val="single" w:sz="4"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0.352</w:t>
            </w:r>
            <w:r w:rsidRPr="000B23B3">
              <w:rPr>
                <w:rFonts w:ascii="Arial" w:eastAsia="Times New Roman" w:hAnsi="Arial" w:cs="Arial"/>
                <w:sz w:val="18"/>
                <w:szCs w:val="18"/>
                <w:lang w:eastAsia="pt-BR"/>
              </w:rPr>
              <w:br/>
            </w:r>
            <w:proofErr w:type="gramStart"/>
            <w:r w:rsidRPr="000B23B3">
              <w:rPr>
                <w:rFonts w:ascii="Arial" w:eastAsia="Times New Roman" w:hAnsi="Arial" w:cs="Arial"/>
                <w:sz w:val="18"/>
                <w:szCs w:val="18"/>
                <w:lang w:eastAsia="pt-BR"/>
              </w:rPr>
              <w:t>(</w:t>
            </w:r>
            <w:proofErr w:type="gramEnd"/>
            <w:r w:rsidRPr="000B23B3">
              <w:rPr>
                <w:rFonts w:ascii="Arial" w:eastAsia="Times New Roman" w:hAnsi="Arial" w:cs="Arial"/>
                <w:sz w:val="18"/>
                <w:szCs w:val="18"/>
                <w:lang w:eastAsia="pt-BR"/>
              </w:rPr>
              <w:t>0.012)</w:t>
            </w:r>
          </w:p>
        </w:tc>
        <w:tc>
          <w:tcPr>
            <w:tcW w:w="770" w:type="pct"/>
            <w:tcBorders>
              <w:top w:val="nil"/>
              <w:left w:val="nil"/>
              <w:bottom w:val="single" w:sz="4"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0.423</w:t>
            </w:r>
            <w:r w:rsidRPr="000B23B3">
              <w:rPr>
                <w:rFonts w:ascii="Arial" w:eastAsia="Times New Roman" w:hAnsi="Arial" w:cs="Arial"/>
                <w:sz w:val="18"/>
                <w:szCs w:val="18"/>
                <w:lang w:eastAsia="pt-BR"/>
              </w:rPr>
              <w:br/>
            </w:r>
            <w:proofErr w:type="gramStart"/>
            <w:r w:rsidRPr="000B23B3">
              <w:rPr>
                <w:rFonts w:ascii="Arial" w:eastAsia="Times New Roman" w:hAnsi="Arial" w:cs="Arial"/>
                <w:sz w:val="18"/>
                <w:szCs w:val="18"/>
                <w:lang w:eastAsia="pt-BR"/>
              </w:rPr>
              <w:t>(</w:t>
            </w:r>
            <w:proofErr w:type="gramEnd"/>
            <w:r w:rsidRPr="000B23B3">
              <w:rPr>
                <w:rFonts w:ascii="Arial" w:eastAsia="Times New Roman" w:hAnsi="Arial" w:cs="Arial"/>
                <w:sz w:val="18"/>
                <w:szCs w:val="18"/>
                <w:lang w:eastAsia="pt-BR"/>
              </w:rPr>
              <w:t>0.250)</w:t>
            </w:r>
          </w:p>
        </w:tc>
        <w:tc>
          <w:tcPr>
            <w:tcW w:w="669" w:type="pct"/>
            <w:tcBorders>
              <w:top w:val="nil"/>
              <w:left w:val="nil"/>
              <w:bottom w:val="single" w:sz="4" w:space="0" w:color="auto"/>
              <w:right w:val="single" w:sz="4" w:space="0" w:color="auto"/>
            </w:tcBorders>
            <w:shd w:val="clear" w:color="auto" w:fill="FFFFFF"/>
            <w:noWrap/>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w:t>
            </w:r>
          </w:p>
        </w:tc>
        <w:tc>
          <w:tcPr>
            <w:tcW w:w="674" w:type="pct"/>
            <w:tcBorders>
              <w:top w:val="nil"/>
              <w:left w:val="nil"/>
              <w:bottom w:val="single" w:sz="4" w:space="0" w:color="auto"/>
              <w:right w:val="single" w:sz="4" w:space="0" w:color="auto"/>
            </w:tcBorders>
            <w:shd w:val="clear" w:color="auto" w:fill="FFFFFF"/>
            <w:noWrap/>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0.003</w:t>
            </w:r>
          </w:p>
        </w:tc>
      </w:tr>
      <w:tr w:rsidR="00582034" w:rsidRPr="000B23B3" w:rsidTr="00527254">
        <w:trPr>
          <w:trHeight w:val="720"/>
        </w:trPr>
        <w:tc>
          <w:tcPr>
            <w:tcW w:w="143" w:type="pct"/>
            <w:vMerge w:val="restart"/>
            <w:tcBorders>
              <w:top w:val="nil"/>
              <w:left w:val="single" w:sz="4" w:space="0" w:color="auto"/>
              <w:bottom w:val="single" w:sz="4" w:space="0" w:color="000000"/>
              <w:right w:val="single" w:sz="4" w:space="0" w:color="auto"/>
            </w:tcBorders>
            <w:shd w:val="clear" w:color="auto" w:fill="FFFFFF"/>
            <w:noWrap/>
            <w:vAlign w:val="center"/>
            <w:hideMark/>
          </w:tcPr>
          <w:p w:rsidR="00582034" w:rsidRPr="000B23B3" w:rsidRDefault="00582034" w:rsidP="00527254">
            <w:pPr>
              <w:spacing w:after="0" w:line="240" w:lineRule="auto"/>
              <w:jc w:val="center"/>
              <w:rPr>
                <w:rFonts w:ascii="Arial" w:eastAsia="Times New Roman" w:hAnsi="Arial" w:cs="Arial"/>
                <w:b/>
                <w:bCs/>
                <w:sz w:val="18"/>
                <w:szCs w:val="18"/>
                <w:lang w:eastAsia="pt-BR"/>
              </w:rPr>
            </w:pPr>
            <w:proofErr w:type="gramStart"/>
            <w:r w:rsidRPr="000B23B3">
              <w:rPr>
                <w:rFonts w:ascii="Arial" w:eastAsia="Times New Roman" w:hAnsi="Arial" w:cs="Arial"/>
                <w:b/>
                <w:bCs/>
                <w:sz w:val="18"/>
                <w:szCs w:val="18"/>
                <w:lang w:eastAsia="pt-BR"/>
              </w:rPr>
              <w:t>7</w:t>
            </w:r>
            <w:proofErr w:type="gramEnd"/>
          </w:p>
        </w:tc>
        <w:tc>
          <w:tcPr>
            <w:tcW w:w="1409" w:type="pct"/>
            <w:tcBorders>
              <w:top w:val="nil"/>
              <w:left w:val="nil"/>
              <w:bottom w:val="single" w:sz="4" w:space="0" w:color="auto"/>
              <w:right w:val="single" w:sz="4" w:space="0" w:color="auto"/>
            </w:tcBorders>
            <w:shd w:val="clear" w:color="auto" w:fill="FFFFFF"/>
            <w:vAlign w:val="center"/>
            <w:hideMark/>
          </w:tcPr>
          <w:p w:rsidR="00582034" w:rsidRPr="00035F4A" w:rsidRDefault="00582034" w:rsidP="00527254">
            <w:pPr>
              <w:spacing w:after="0" w:line="240" w:lineRule="auto"/>
              <w:jc w:val="both"/>
              <w:rPr>
                <w:rFonts w:ascii="Arial" w:eastAsia="Times New Roman" w:hAnsi="Arial" w:cs="Arial"/>
                <w:sz w:val="20"/>
                <w:szCs w:val="20"/>
                <w:lang w:val="en-US" w:eastAsia="pt-BR"/>
              </w:rPr>
            </w:pPr>
            <w:r w:rsidRPr="00035F4A">
              <w:rPr>
                <w:rFonts w:ascii="Arial" w:eastAsia="Times New Roman" w:hAnsi="Arial" w:cs="Arial"/>
                <w:sz w:val="20"/>
                <w:szCs w:val="20"/>
                <w:lang w:val="en-US" w:eastAsia="pt-BR"/>
              </w:rPr>
              <w:t>Entry rate is larger in  SM-I industries than in SM-II industries</w:t>
            </w:r>
          </w:p>
        </w:tc>
        <w:tc>
          <w:tcPr>
            <w:tcW w:w="568" w:type="pct"/>
            <w:tcBorders>
              <w:top w:val="nil"/>
              <w:left w:val="nil"/>
              <w:bottom w:val="single" w:sz="4"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0.232 (*)</w:t>
            </w:r>
          </w:p>
        </w:tc>
        <w:tc>
          <w:tcPr>
            <w:tcW w:w="767" w:type="pct"/>
            <w:tcBorders>
              <w:top w:val="nil"/>
              <w:left w:val="nil"/>
              <w:bottom w:val="single" w:sz="4"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0.051</w:t>
            </w:r>
            <w:r w:rsidRPr="000B23B3">
              <w:rPr>
                <w:rFonts w:ascii="Arial" w:eastAsia="Times New Roman" w:hAnsi="Arial" w:cs="Arial"/>
                <w:sz w:val="18"/>
                <w:szCs w:val="18"/>
                <w:lang w:eastAsia="pt-BR"/>
              </w:rPr>
              <w:br/>
            </w:r>
            <w:proofErr w:type="gramStart"/>
            <w:r w:rsidRPr="000B23B3">
              <w:rPr>
                <w:rFonts w:ascii="Arial" w:eastAsia="Times New Roman" w:hAnsi="Arial" w:cs="Arial"/>
                <w:sz w:val="18"/>
                <w:szCs w:val="18"/>
                <w:lang w:eastAsia="pt-BR"/>
              </w:rPr>
              <w:t>(</w:t>
            </w:r>
            <w:proofErr w:type="gramEnd"/>
            <w:r w:rsidRPr="000B23B3">
              <w:rPr>
                <w:rFonts w:ascii="Arial" w:eastAsia="Times New Roman" w:hAnsi="Arial" w:cs="Arial"/>
                <w:sz w:val="18"/>
                <w:szCs w:val="18"/>
                <w:lang w:eastAsia="pt-BR"/>
              </w:rPr>
              <w:t>0;002)</w:t>
            </w:r>
          </w:p>
        </w:tc>
        <w:tc>
          <w:tcPr>
            <w:tcW w:w="770" w:type="pct"/>
            <w:tcBorders>
              <w:top w:val="nil"/>
              <w:left w:val="nil"/>
              <w:bottom w:val="single" w:sz="4"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0.050</w:t>
            </w:r>
            <w:r w:rsidRPr="000B23B3">
              <w:rPr>
                <w:rFonts w:ascii="Arial" w:eastAsia="Times New Roman" w:hAnsi="Arial" w:cs="Arial"/>
                <w:sz w:val="18"/>
                <w:szCs w:val="18"/>
                <w:lang w:eastAsia="pt-BR"/>
              </w:rPr>
              <w:br/>
            </w:r>
            <w:proofErr w:type="gramStart"/>
            <w:r w:rsidRPr="000B23B3">
              <w:rPr>
                <w:rFonts w:ascii="Arial" w:eastAsia="Times New Roman" w:hAnsi="Arial" w:cs="Arial"/>
                <w:sz w:val="18"/>
                <w:szCs w:val="18"/>
                <w:lang w:eastAsia="pt-BR"/>
              </w:rPr>
              <w:t>(</w:t>
            </w:r>
            <w:proofErr w:type="gramEnd"/>
            <w:r w:rsidRPr="000B23B3">
              <w:rPr>
                <w:rFonts w:ascii="Arial" w:eastAsia="Times New Roman" w:hAnsi="Arial" w:cs="Arial"/>
                <w:sz w:val="18"/>
                <w:szCs w:val="18"/>
                <w:lang w:eastAsia="pt-BR"/>
              </w:rPr>
              <w:t>0.002)</w:t>
            </w:r>
          </w:p>
        </w:tc>
        <w:tc>
          <w:tcPr>
            <w:tcW w:w="669" w:type="pct"/>
            <w:tcBorders>
              <w:top w:val="nil"/>
              <w:left w:val="nil"/>
              <w:bottom w:val="single" w:sz="4" w:space="0" w:color="auto"/>
              <w:right w:val="single" w:sz="4" w:space="0" w:color="auto"/>
            </w:tcBorders>
            <w:shd w:val="clear" w:color="auto" w:fill="FFFFFF"/>
            <w:noWrap/>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0.408</w:t>
            </w:r>
          </w:p>
        </w:tc>
        <w:tc>
          <w:tcPr>
            <w:tcW w:w="674" w:type="pct"/>
            <w:tcBorders>
              <w:top w:val="nil"/>
              <w:left w:val="nil"/>
              <w:bottom w:val="single" w:sz="4" w:space="0" w:color="auto"/>
              <w:right w:val="single" w:sz="4" w:space="0" w:color="auto"/>
            </w:tcBorders>
            <w:shd w:val="clear" w:color="auto" w:fill="FFFFFF"/>
            <w:noWrap/>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w:t>
            </w:r>
          </w:p>
        </w:tc>
      </w:tr>
      <w:tr w:rsidR="00582034" w:rsidRPr="000B23B3" w:rsidTr="00527254">
        <w:trPr>
          <w:trHeight w:val="720"/>
        </w:trPr>
        <w:tc>
          <w:tcPr>
            <w:tcW w:w="143" w:type="pct"/>
            <w:vMerge/>
            <w:tcBorders>
              <w:top w:val="nil"/>
              <w:left w:val="single" w:sz="4" w:space="0" w:color="auto"/>
              <w:bottom w:val="single" w:sz="4" w:space="0" w:color="000000"/>
              <w:right w:val="single" w:sz="4" w:space="0" w:color="auto"/>
            </w:tcBorders>
            <w:vAlign w:val="center"/>
            <w:hideMark/>
          </w:tcPr>
          <w:p w:rsidR="00582034" w:rsidRPr="000B23B3" w:rsidRDefault="00582034" w:rsidP="00527254">
            <w:pPr>
              <w:spacing w:after="0" w:line="240" w:lineRule="auto"/>
              <w:rPr>
                <w:rFonts w:ascii="Arial" w:eastAsia="Times New Roman" w:hAnsi="Arial" w:cs="Arial"/>
                <w:b/>
                <w:bCs/>
                <w:sz w:val="18"/>
                <w:szCs w:val="18"/>
                <w:lang w:eastAsia="pt-BR"/>
              </w:rPr>
            </w:pPr>
          </w:p>
        </w:tc>
        <w:tc>
          <w:tcPr>
            <w:tcW w:w="1409" w:type="pct"/>
            <w:tcBorders>
              <w:top w:val="nil"/>
              <w:left w:val="nil"/>
              <w:bottom w:val="single" w:sz="4" w:space="0" w:color="auto"/>
              <w:right w:val="single" w:sz="4" w:space="0" w:color="auto"/>
            </w:tcBorders>
            <w:shd w:val="clear" w:color="auto" w:fill="FFFFFF"/>
            <w:vAlign w:val="center"/>
            <w:hideMark/>
          </w:tcPr>
          <w:p w:rsidR="00582034" w:rsidRPr="00035F4A" w:rsidRDefault="00582034" w:rsidP="00527254">
            <w:pPr>
              <w:spacing w:after="0" w:line="240" w:lineRule="auto"/>
              <w:jc w:val="both"/>
              <w:rPr>
                <w:rFonts w:ascii="Arial" w:eastAsia="Times New Roman" w:hAnsi="Arial" w:cs="Arial"/>
                <w:sz w:val="18"/>
                <w:szCs w:val="18"/>
                <w:lang w:val="en-US" w:eastAsia="pt-BR"/>
              </w:rPr>
            </w:pPr>
            <w:r w:rsidRPr="00035F4A">
              <w:rPr>
                <w:rFonts w:ascii="Arial" w:eastAsia="Times New Roman" w:hAnsi="Arial" w:cs="Arial"/>
                <w:sz w:val="20"/>
                <w:szCs w:val="20"/>
                <w:lang w:val="en-US" w:eastAsia="pt-BR"/>
              </w:rPr>
              <w:t>Exit rate is larger in  SM-I industries than in SM-II industries</w:t>
            </w:r>
          </w:p>
        </w:tc>
        <w:tc>
          <w:tcPr>
            <w:tcW w:w="568" w:type="pct"/>
            <w:tcBorders>
              <w:top w:val="nil"/>
              <w:left w:val="nil"/>
              <w:bottom w:val="single" w:sz="4"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-1.102</w:t>
            </w:r>
          </w:p>
        </w:tc>
        <w:tc>
          <w:tcPr>
            <w:tcW w:w="767" w:type="pct"/>
            <w:tcBorders>
              <w:top w:val="nil"/>
              <w:left w:val="nil"/>
              <w:bottom w:val="single" w:sz="4"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0.054</w:t>
            </w:r>
            <w:r w:rsidRPr="000B23B3">
              <w:rPr>
                <w:rFonts w:ascii="Arial" w:eastAsia="Times New Roman" w:hAnsi="Arial" w:cs="Arial"/>
                <w:sz w:val="18"/>
                <w:szCs w:val="18"/>
                <w:lang w:eastAsia="pt-BR"/>
              </w:rPr>
              <w:br/>
            </w:r>
            <w:proofErr w:type="gramStart"/>
            <w:r w:rsidRPr="000B23B3">
              <w:rPr>
                <w:rFonts w:ascii="Arial" w:eastAsia="Times New Roman" w:hAnsi="Arial" w:cs="Arial"/>
                <w:sz w:val="18"/>
                <w:szCs w:val="18"/>
                <w:lang w:eastAsia="pt-BR"/>
              </w:rPr>
              <w:t>(</w:t>
            </w:r>
            <w:proofErr w:type="gramEnd"/>
            <w:r w:rsidRPr="000B23B3">
              <w:rPr>
                <w:rFonts w:ascii="Arial" w:eastAsia="Times New Roman" w:hAnsi="Arial" w:cs="Arial"/>
                <w:sz w:val="18"/>
                <w:szCs w:val="18"/>
                <w:lang w:eastAsia="pt-BR"/>
              </w:rPr>
              <w:t>0.002)</w:t>
            </w:r>
          </w:p>
        </w:tc>
        <w:tc>
          <w:tcPr>
            <w:tcW w:w="770" w:type="pct"/>
            <w:tcBorders>
              <w:top w:val="nil"/>
              <w:left w:val="nil"/>
              <w:bottom w:val="single" w:sz="4"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0.571</w:t>
            </w:r>
            <w:r w:rsidRPr="000B23B3">
              <w:rPr>
                <w:rFonts w:ascii="Arial" w:eastAsia="Times New Roman" w:hAnsi="Arial" w:cs="Arial"/>
                <w:sz w:val="18"/>
                <w:szCs w:val="18"/>
                <w:lang w:eastAsia="pt-BR"/>
              </w:rPr>
              <w:br/>
            </w:r>
            <w:proofErr w:type="gramStart"/>
            <w:r w:rsidRPr="000B23B3">
              <w:rPr>
                <w:rFonts w:ascii="Arial" w:eastAsia="Times New Roman" w:hAnsi="Arial" w:cs="Arial"/>
                <w:sz w:val="18"/>
                <w:szCs w:val="18"/>
                <w:lang w:eastAsia="pt-BR"/>
              </w:rPr>
              <w:t>(</w:t>
            </w:r>
            <w:proofErr w:type="gramEnd"/>
            <w:r w:rsidRPr="000B23B3">
              <w:rPr>
                <w:rFonts w:ascii="Arial" w:eastAsia="Times New Roman" w:hAnsi="Arial" w:cs="Arial"/>
                <w:sz w:val="18"/>
                <w:szCs w:val="18"/>
                <w:lang w:eastAsia="pt-BR"/>
              </w:rPr>
              <w:t>0.003)</w:t>
            </w:r>
          </w:p>
        </w:tc>
        <w:tc>
          <w:tcPr>
            <w:tcW w:w="669" w:type="pct"/>
            <w:tcBorders>
              <w:top w:val="nil"/>
              <w:left w:val="nil"/>
              <w:bottom w:val="single" w:sz="4" w:space="0" w:color="auto"/>
              <w:right w:val="single" w:sz="4" w:space="0" w:color="auto"/>
            </w:tcBorders>
            <w:shd w:val="clear" w:color="auto" w:fill="FFFFFF"/>
            <w:noWrap/>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0.864</w:t>
            </w:r>
          </w:p>
        </w:tc>
        <w:tc>
          <w:tcPr>
            <w:tcW w:w="674" w:type="pct"/>
            <w:tcBorders>
              <w:top w:val="nil"/>
              <w:left w:val="nil"/>
              <w:bottom w:val="single" w:sz="4" w:space="0" w:color="auto"/>
              <w:right w:val="single" w:sz="4" w:space="0" w:color="auto"/>
            </w:tcBorders>
            <w:shd w:val="clear" w:color="auto" w:fill="FFFFFF"/>
            <w:noWrap/>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w:t>
            </w:r>
          </w:p>
        </w:tc>
      </w:tr>
      <w:tr w:rsidR="00582034" w:rsidRPr="000B23B3" w:rsidTr="00527254">
        <w:trPr>
          <w:trHeight w:val="960"/>
        </w:trPr>
        <w:tc>
          <w:tcPr>
            <w:tcW w:w="143" w:type="pct"/>
            <w:tcBorders>
              <w:top w:val="nil"/>
              <w:left w:val="single" w:sz="4" w:space="0" w:color="auto"/>
              <w:bottom w:val="single" w:sz="4" w:space="0" w:color="auto"/>
              <w:right w:val="single" w:sz="4" w:space="0" w:color="auto"/>
            </w:tcBorders>
            <w:shd w:val="clear" w:color="auto" w:fill="FFFFFF"/>
            <w:noWrap/>
            <w:vAlign w:val="center"/>
            <w:hideMark/>
          </w:tcPr>
          <w:p w:rsidR="00582034" w:rsidRPr="000B23B3" w:rsidRDefault="00582034" w:rsidP="00527254">
            <w:pPr>
              <w:spacing w:after="0" w:line="240" w:lineRule="auto"/>
              <w:jc w:val="center"/>
              <w:rPr>
                <w:rFonts w:ascii="Arial" w:eastAsia="Times New Roman" w:hAnsi="Arial" w:cs="Arial"/>
                <w:b/>
                <w:bCs/>
                <w:sz w:val="18"/>
                <w:szCs w:val="18"/>
                <w:lang w:eastAsia="pt-BR"/>
              </w:rPr>
            </w:pPr>
            <w:proofErr w:type="gramStart"/>
            <w:r w:rsidRPr="000B23B3">
              <w:rPr>
                <w:rFonts w:ascii="Arial" w:eastAsia="Times New Roman" w:hAnsi="Arial" w:cs="Arial"/>
                <w:b/>
                <w:bCs/>
                <w:sz w:val="18"/>
                <w:szCs w:val="18"/>
                <w:lang w:eastAsia="pt-BR"/>
              </w:rPr>
              <w:t>8</w:t>
            </w:r>
            <w:proofErr w:type="gramEnd"/>
          </w:p>
        </w:tc>
        <w:tc>
          <w:tcPr>
            <w:tcW w:w="1409" w:type="pct"/>
            <w:tcBorders>
              <w:top w:val="nil"/>
              <w:left w:val="nil"/>
              <w:bottom w:val="single" w:sz="4" w:space="0" w:color="auto"/>
              <w:right w:val="single" w:sz="4" w:space="0" w:color="auto"/>
            </w:tcBorders>
            <w:shd w:val="clear" w:color="auto" w:fill="FFFFFF"/>
            <w:vAlign w:val="center"/>
            <w:hideMark/>
          </w:tcPr>
          <w:p w:rsidR="00582034" w:rsidRPr="00035F4A" w:rsidRDefault="00582034" w:rsidP="00527254">
            <w:pPr>
              <w:spacing w:after="0" w:line="240" w:lineRule="auto"/>
              <w:jc w:val="both"/>
              <w:rPr>
                <w:rFonts w:ascii="Arial" w:eastAsia="Times New Roman" w:hAnsi="Arial" w:cs="Arial"/>
                <w:sz w:val="20"/>
                <w:szCs w:val="20"/>
                <w:lang w:val="en-US" w:eastAsia="pt-BR"/>
              </w:rPr>
            </w:pPr>
            <w:r w:rsidRPr="000B23B3">
              <w:rPr>
                <w:rFonts w:ascii="Arial" w:hAnsi="Arial" w:cs="Arial"/>
                <w:iCs/>
                <w:sz w:val="20"/>
                <w:szCs w:val="20"/>
                <w:lang w:val="en-US"/>
              </w:rPr>
              <w:t>The turbulence within the group of incumbent firms is higher in SM-I industries than in SM-II industries</w:t>
            </w:r>
          </w:p>
        </w:tc>
        <w:tc>
          <w:tcPr>
            <w:tcW w:w="568" w:type="pct"/>
            <w:tcBorders>
              <w:top w:val="nil"/>
              <w:left w:val="nil"/>
              <w:bottom w:val="single" w:sz="4"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0.258 (*)</w:t>
            </w:r>
          </w:p>
        </w:tc>
        <w:tc>
          <w:tcPr>
            <w:tcW w:w="767" w:type="pct"/>
            <w:tcBorders>
              <w:top w:val="nil"/>
              <w:left w:val="nil"/>
              <w:bottom w:val="single" w:sz="4"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0.147</w:t>
            </w:r>
            <w:r w:rsidRPr="000B23B3">
              <w:rPr>
                <w:rFonts w:ascii="Arial" w:eastAsia="Times New Roman" w:hAnsi="Arial" w:cs="Arial"/>
                <w:sz w:val="18"/>
                <w:szCs w:val="18"/>
                <w:lang w:eastAsia="pt-BR"/>
              </w:rPr>
              <w:br/>
            </w:r>
            <w:proofErr w:type="gramStart"/>
            <w:r w:rsidRPr="000B23B3">
              <w:rPr>
                <w:rFonts w:ascii="Arial" w:eastAsia="Times New Roman" w:hAnsi="Arial" w:cs="Arial"/>
                <w:sz w:val="18"/>
                <w:szCs w:val="18"/>
                <w:lang w:eastAsia="pt-BR"/>
              </w:rPr>
              <w:t>(</w:t>
            </w:r>
            <w:proofErr w:type="gramEnd"/>
            <w:r w:rsidRPr="000B23B3">
              <w:rPr>
                <w:rFonts w:ascii="Arial" w:eastAsia="Times New Roman" w:hAnsi="Arial" w:cs="Arial"/>
                <w:sz w:val="18"/>
                <w:szCs w:val="18"/>
                <w:lang w:eastAsia="pt-BR"/>
              </w:rPr>
              <w:t>0.007)</w:t>
            </w:r>
          </w:p>
        </w:tc>
        <w:tc>
          <w:tcPr>
            <w:tcW w:w="770" w:type="pct"/>
            <w:tcBorders>
              <w:top w:val="nil"/>
              <w:left w:val="nil"/>
              <w:bottom w:val="single" w:sz="4" w:space="0" w:color="auto"/>
              <w:right w:val="single" w:sz="4" w:space="0" w:color="auto"/>
            </w:tcBorders>
            <w:shd w:val="clear" w:color="auto" w:fill="FFFFFF"/>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0.145</w:t>
            </w:r>
            <w:r w:rsidRPr="000B23B3">
              <w:rPr>
                <w:rFonts w:ascii="Arial" w:eastAsia="Times New Roman" w:hAnsi="Arial" w:cs="Arial"/>
                <w:sz w:val="18"/>
                <w:szCs w:val="18"/>
                <w:lang w:eastAsia="pt-BR"/>
              </w:rPr>
              <w:br/>
            </w:r>
            <w:proofErr w:type="gramStart"/>
            <w:r w:rsidRPr="000B23B3">
              <w:rPr>
                <w:rFonts w:ascii="Arial" w:eastAsia="Times New Roman" w:hAnsi="Arial" w:cs="Arial"/>
                <w:sz w:val="18"/>
                <w:szCs w:val="18"/>
                <w:lang w:eastAsia="pt-BR"/>
              </w:rPr>
              <w:t>(</w:t>
            </w:r>
            <w:proofErr w:type="gramEnd"/>
            <w:r w:rsidRPr="000B23B3">
              <w:rPr>
                <w:rFonts w:ascii="Arial" w:eastAsia="Times New Roman" w:hAnsi="Arial" w:cs="Arial"/>
                <w:sz w:val="18"/>
                <w:szCs w:val="18"/>
                <w:lang w:eastAsia="pt-BR"/>
              </w:rPr>
              <w:t>0.006)</w:t>
            </w:r>
          </w:p>
        </w:tc>
        <w:tc>
          <w:tcPr>
            <w:tcW w:w="669" w:type="pct"/>
            <w:tcBorders>
              <w:top w:val="nil"/>
              <w:left w:val="nil"/>
              <w:bottom w:val="single" w:sz="4" w:space="0" w:color="auto"/>
              <w:right w:val="single" w:sz="4" w:space="0" w:color="auto"/>
            </w:tcBorders>
            <w:shd w:val="clear" w:color="auto" w:fill="FFFFFF"/>
            <w:noWrap/>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0.398</w:t>
            </w:r>
          </w:p>
        </w:tc>
        <w:tc>
          <w:tcPr>
            <w:tcW w:w="674" w:type="pct"/>
            <w:tcBorders>
              <w:top w:val="nil"/>
              <w:left w:val="nil"/>
              <w:bottom w:val="single" w:sz="4" w:space="0" w:color="auto"/>
              <w:right w:val="single" w:sz="4" w:space="0" w:color="auto"/>
            </w:tcBorders>
            <w:shd w:val="clear" w:color="auto" w:fill="FFFFFF"/>
            <w:noWrap/>
            <w:vAlign w:val="center"/>
            <w:hideMark/>
          </w:tcPr>
          <w:p w:rsidR="00582034" w:rsidRPr="000B23B3" w:rsidRDefault="00582034" w:rsidP="00527254">
            <w:pPr>
              <w:spacing w:after="0" w:line="240" w:lineRule="auto"/>
              <w:jc w:val="center"/>
              <w:rPr>
                <w:rFonts w:ascii="Arial" w:eastAsia="Times New Roman" w:hAnsi="Arial" w:cs="Arial"/>
                <w:sz w:val="18"/>
                <w:szCs w:val="18"/>
                <w:lang w:eastAsia="pt-BR"/>
              </w:rPr>
            </w:pPr>
            <w:r w:rsidRPr="000B23B3">
              <w:rPr>
                <w:rFonts w:ascii="Arial" w:eastAsia="Times New Roman" w:hAnsi="Arial" w:cs="Arial"/>
                <w:sz w:val="18"/>
                <w:szCs w:val="18"/>
                <w:lang w:eastAsia="pt-BR"/>
              </w:rPr>
              <w:t>-</w:t>
            </w:r>
          </w:p>
        </w:tc>
      </w:tr>
      <w:tr w:rsidR="00582034" w:rsidRPr="000B23B3" w:rsidTr="00527254">
        <w:trPr>
          <w:trHeight w:val="151"/>
        </w:trPr>
        <w:tc>
          <w:tcPr>
            <w:tcW w:w="5000" w:type="pct"/>
            <w:gridSpan w:val="7"/>
            <w:shd w:val="clear" w:color="auto" w:fill="FFFFFF"/>
            <w:noWrap/>
            <w:vAlign w:val="center"/>
          </w:tcPr>
          <w:p w:rsidR="00582034" w:rsidRPr="000B23B3" w:rsidRDefault="00582034" w:rsidP="00527254">
            <w:pPr>
              <w:spacing w:after="0" w:line="240" w:lineRule="auto"/>
              <w:rPr>
                <w:rFonts w:ascii="Arial" w:eastAsia="Times New Roman" w:hAnsi="Arial" w:cs="Arial"/>
                <w:sz w:val="18"/>
                <w:szCs w:val="18"/>
                <w:lang w:eastAsia="pt-BR"/>
              </w:rPr>
            </w:pPr>
          </w:p>
        </w:tc>
      </w:tr>
    </w:tbl>
    <w:p w:rsidR="00582034" w:rsidRPr="00035F4A" w:rsidRDefault="00582034" w:rsidP="00582034">
      <w:pPr>
        <w:spacing w:line="240" w:lineRule="auto"/>
        <w:rPr>
          <w:rFonts w:ascii="Arial" w:hAnsi="Arial" w:cs="Arial"/>
          <w:sz w:val="20"/>
          <w:szCs w:val="20"/>
          <w:lang w:val="en-US"/>
        </w:rPr>
      </w:pPr>
      <w:r w:rsidRPr="00035F4A">
        <w:rPr>
          <w:rFonts w:ascii="Arial" w:hAnsi="Arial" w:cs="Arial"/>
          <w:sz w:val="20"/>
          <w:szCs w:val="20"/>
          <w:lang w:val="en-US"/>
        </w:rPr>
        <w:t xml:space="preserve">(*) indicates acceptance of the equality of variances in accordance to </w:t>
      </w:r>
      <w:proofErr w:type="spellStart"/>
      <w:r w:rsidRPr="000B23B3">
        <w:rPr>
          <w:rFonts w:ascii="Arial" w:hAnsi="Arial" w:cs="Arial"/>
          <w:sz w:val="20"/>
          <w:szCs w:val="20"/>
          <w:lang w:val="en-US"/>
        </w:rPr>
        <w:t>Lavene´s</w:t>
      </w:r>
      <w:proofErr w:type="spellEnd"/>
      <w:r w:rsidRPr="000B23B3">
        <w:rPr>
          <w:rFonts w:ascii="Arial" w:hAnsi="Arial" w:cs="Arial"/>
          <w:sz w:val="20"/>
          <w:szCs w:val="20"/>
          <w:lang w:val="en-US"/>
        </w:rPr>
        <w:t xml:space="preserve"> test considered at the 5 % significance level. In those cases one considered the t test for differences in means in the version indicated in expression (1) whereas in other cases in the version from expression (2).</w:t>
      </w:r>
    </w:p>
    <w:p w:rsidR="00582034" w:rsidRDefault="00582034" w:rsidP="00582034"/>
    <w:p w:rsidR="00582034" w:rsidRDefault="00582034" w:rsidP="007F7E30">
      <w:pPr>
        <w:autoSpaceDE w:val="0"/>
        <w:autoSpaceDN w:val="0"/>
        <w:adjustRightInd w:val="0"/>
        <w:spacing w:line="480" w:lineRule="auto"/>
        <w:jc w:val="both"/>
        <w:rPr>
          <w:rFonts w:ascii="Arial" w:hAnsi="Arial" w:cs="Arial"/>
          <w:sz w:val="24"/>
          <w:szCs w:val="24"/>
          <w:lang w:val="en-US" w:eastAsia="pt-BR"/>
        </w:rPr>
      </w:pPr>
    </w:p>
    <w:p w:rsidR="00582034" w:rsidRDefault="00582034" w:rsidP="007F7E30">
      <w:pPr>
        <w:autoSpaceDE w:val="0"/>
        <w:autoSpaceDN w:val="0"/>
        <w:adjustRightInd w:val="0"/>
        <w:spacing w:line="480" w:lineRule="auto"/>
        <w:jc w:val="both"/>
        <w:rPr>
          <w:rFonts w:ascii="Arial" w:hAnsi="Arial" w:cs="Arial"/>
          <w:sz w:val="24"/>
          <w:szCs w:val="24"/>
          <w:lang w:val="en-US" w:eastAsia="pt-BR"/>
        </w:rPr>
      </w:pPr>
    </w:p>
    <w:p w:rsidR="00582034" w:rsidRDefault="00582034" w:rsidP="007F7E30">
      <w:pPr>
        <w:autoSpaceDE w:val="0"/>
        <w:autoSpaceDN w:val="0"/>
        <w:adjustRightInd w:val="0"/>
        <w:spacing w:line="480" w:lineRule="auto"/>
        <w:jc w:val="both"/>
        <w:rPr>
          <w:rFonts w:ascii="Arial" w:hAnsi="Arial" w:cs="Arial"/>
          <w:sz w:val="24"/>
          <w:szCs w:val="24"/>
          <w:lang w:val="en-US" w:eastAsia="pt-BR"/>
        </w:rPr>
      </w:pPr>
    </w:p>
    <w:p w:rsidR="00582034" w:rsidRDefault="00582034" w:rsidP="007F7E30">
      <w:pPr>
        <w:autoSpaceDE w:val="0"/>
        <w:autoSpaceDN w:val="0"/>
        <w:adjustRightInd w:val="0"/>
        <w:spacing w:line="480" w:lineRule="auto"/>
        <w:jc w:val="both"/>
        <w:rPr>
          <w:rFonts w:ascii="Arial" w:hAnsi="Arial" w:cs="Arial"/>
          <w:sz w:val="24"/>
          <w:szCs w:val="24"/>
          <w:lang w:val="en-US" w:eastAsia="pt-BR"/>
        </w:rPr>
      </w:pPr>
    </w:p>
    <w:p w:rsidR="00582034" w:rsidRPr="00437E26" w:rsidRDefault="00582034" w:rsidP="007F7E30">
      <w:pPr>
        <w:autoSpaceDE w:val="0"/>
        <w:autoSpaceDN w:val="0"/>
        <w:adjustRightInd w:val="0"/>
        <w:spacing w:line="480" w:lineRule="auto"/>
        <w:jc w:val="both"/>
        <w:rPr>
          <w:rFonts w:ascii="Arial" w:hAnsi="Arial" w:cs="Arial"/>
          <w:sz w:val="24"/>
          <w:szCs w:val="24"/>
          <w:lang w:val="en-US" w:eastAsia="pt-BR"/>
        </w:rPr>
      </w:pPr>
    </w:p>
    <w:sectPr w:rsidR="00582034" w:rsidRPr="00437E26" w:rsidSect="003C5A78">
      <w:footerReference w:type="default" r:id="rId16"/>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FDB" w:rsidRDefault="00FC1FDB" w:rsidP="00BB323E">
      <w:pPr>
        <w:spacing w:after="0" w:line="240" w:lineRule="auto"/>
      </w:pPr>
      <w:r>
        <w:separator/>
      </w:r>
    </w:p>
  </w:endnote>
  <w:endnote w:type="continuationSeparator" w:id="0">
    <w:p w:rsidR="00FC1FDB" w:rsidRDefault="00FC1FDB" w:rsidP="00BB3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32F" w:rsidRDefault="0001632F">
    <w:pPr>
      <w:pStyle w:val="Rodap"/>
      <w:jc w:val="center"/>
    </w:pPr>
  </w:p>
  <w:p w:rsidR="0001632F" w:rsidRDefault="0001632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FDB" w:rsidRDefault="00FC1FDB" w:rsidP="00BB323E">
      <w:pPr>
        <w:spacing w:after="0" w:line="240" w:lineRule="auto"/>
      </w:pPr>
      <w:r>
        <w:separator/>
      </w:r>
    </w:p>
  </w:footnote>
  <w:footnote w:type="continuationSeparator" w:id="0">
    <w:p w:rsidR="00FC1FDB" w:rsidRDefault="00FC1FDB" w:rsidP="00BB323E">
      <w:pPr>
        <w:spacing w:after="0" w:line="240" w:lineRule="auto"/>
      </w:pPr>
      <w:r>
        <w:continuationSeparator/>
      </w:r>
    </w:p>
  </w:footnote>
  <w:footnote w:id="1">
    <w:p w:rsidR="0001632F" w:rsidRPr="00945658" w:rsidRDefault="0001632F">
      <w:pPr>
        <w:pStyle w:val="Textodenotaderodap"/>
        <w:rPr>
          <w:rFonts w:ascii="Arial" w:hAnsi="Arial" w:cs="Arial"/>
          <w:lang w:val="en-US"/>
        </w:rPr>
      </w:pPr>
      <w:r w:rsidRPr="00945658">
        <w:rPr>
          <w:rStyle w:val="Refdenotaderodap"/>
          <w:rFonts w:ascii="Arial" w:hAnsi="Arial" w:cs="Arial"/>
        </w:rPr>
        <w:footnoteRef/>
      </w:r>
      <w:r w:rsidRPr="00945658">
        <w:rPr>
          <w:rFonts w:ascii="Arial" w:hAnsi="Arial" w:cs="Arial"/>
          <w:lang w:val="en-US"/>
        </w:rPr>
        <w:t xml:space="preserve"> See Malerba &amp; Orsenigo (1995) for an overview.</w:t>
      </w:r>
    </w:p>
  </w:footnote>
  <w:footnote w:id="2">
    <w:p w:rsidR="0001632F" w:rsidRPr="00B2644A" w:rsidRDefault="0001632F">
      <w:pPr>
        <w:pStyle w:val="Textodenotaderodap"/>
        <w:rPr>
          <w:lang w:val="en-US"/>
        </w:rPr>
      </w:pPr>
      <w:r w:rsidRPr="00BB323E">
        <w:rPr>
          <w:rStyle w:val="Refdenotaderodap"/>
          <w:rFonts w:ascii="Arial" w:hAnsi="Arial" w:cs="Arial"/>
        </w:rPr>
        <w:footnoteRef/>
      </w:r>
      <w:r w:rsidRPr="00B2644A">
        <w:rPr>
          <w:rFonts w:ascii="Arial" w:hAnsi="Arial" w:cs="Arial"/>
          <w:lang w:val="en-US"/>
        </w:rPr>
        <w:t xml:space="preserve"> See Manly (1994) for an overview</w:t>
      </w:r>
      <w:r w:rsidRPr="00B2644A">
        <w:rPr>
          <w:lang w:val="en-US"/>
        </w:rPr>
        <w:t>.</w:t>
      </w:r>
    </w:p>
  </w:footnote>
  <w:footnote w:id="3">
    <w:p w:rsidR="0001632F" w:rsidRPr="00FA7092" w:rsidRDefault="0001632F">
      <w:pPr>
        <w:pStyle w:val="Textodenotaderodap"/>
        <w:rPr>
          <w:rFonts w:ascii="Arial" w:hAnsi="Arial" w:cs="Arial"/>
          <w:lang w:val="en-US"/>
        </w:rPr>
      </w:pPr>
      <w:r w:rsidRPr="00FA7092">
        <w:rPr>
          <w:rStyle w:val="Refdenotaderodap"/>
          <w:rFonts w:ascii="Arial" w:hAnsi="Arial" w:cs="Arial"/>
        </w:rPr>
        <w:footnoteRef/>
      </w:r>
      <w:r w:rsidRPr="00FA7092">
        <w:rPr>
          <w:rFonts w:ascii="Arial" w:hAnsi="Arial" w:cs="Arial"/>
          <w:lang w:val="en-US"/>
        </w:rPr>
        <w:t xml:space="preserve"> The author</w:t>
      </w:r>
      <w:r w:rsidR="00142684">
        <w:rPr>
          <w:rFonts w:ascii="Arial" w:hAnsi="Arial" w:cs="Arial"/>
          <w:lang w:val="en-US"/>
        </w:rPr>
        <w:t xml:space="preserve">s are grateful to the IBGE for </w:t>
      </w:r>
      <w:r w:rsidRPr="00FA7092">
        <w:rPr>
          <w:rFonts w:ascii="Arial" w:hAnsi="Arial" w:cs="Arial"/>
          <w:lang w:val="en-US"/>
        </w:rPr>
        <w:t xml:space="preserve">access to the </w:t>
      </w:r>
      <w:proofErr w:type="spellStart"/>
      <w:r w:rsidRPr="00FA7092">
        <w:rPr>
          <w:rFonts w:ascii="Arial" w:hAnsi="Arial" w:cs="Arial"/>
          <w:lang w:val="en-US"/>
        </w:rPr>
        <w:t>microdata</w:t>
      </w:r>
      <w:proofErr w:type="spellEnd"/>
      <w:r w:rsidRPr="00FA7092">
        <w:rPr>
          <w:rFonts w:ascii="Arial" w:hAnsi="Arial" w:cs="Arial"/>
          <w:lang w:val="en-US"/>
        </w:rPr>
        <w:t xml:space="preserve"> of PINTEC, </w:t>
      </w:r>
      <w:r w:rsidR="00142684">
        <w:rPr>
          <w:rFonts w:ascii="Arial" w:hAnsi="Arial" w:cs="Arial"/>
          <w:lang w:val="en-US"/>
        </w:rPr>
        <w:t>which</w:t>
      </w:r>
      <w:r w:rsidRPr="00FA7092">
        <w:rPr>
          <w:rFonts w:ascii="Arial" w:hAnsi="Arial" w:cs="Arial"/>
          <w:lang w:val="en-US"/>
        </w:rPr>
        <w:t xml:space="preserve"> are subject </w:t>
      </w:r>
      <w:r w:rsidR="00142684">
        <w:rPr>
          <w:rFonts w:ascii="Arial" w:hAnsi="Arial" w:cs="Arial"/>
          <w:lang w:val="en-US"/>
        </w:rPr>
        <w:t xml:space="preserve">to </w:t>
      </w:r>
      <w:r w:rsidRPr="00FA7092">
        <w:rPr>
          <w:rFonts w:ascii="Arial" w:hAnsi="Arial" w:cs="Arial"/>
          <w:lang w:val="en-US"/>
        </w:rPr>
        <w:t xml:space="preserve">confidentiality and </w:t>
      </w:r>
      <w:proofErr w:type="gramStart"/>
      <w:r w:rsidRPr="00FA7092">
        <w:rPr>
          <w:rFonts w:ascii="Arial" w:hAnsi="Arial" w:cs="Arial"/>
          <w:lang w:val="en-US"/>
        </w:rPr>
        <w:t>are  provided</w:t>
      </w:r>
      <w:proofErr w:type="gramEnd"/>
      <w:r w:rsidRPr="00FA7092">
        <w:rPr>
          <w:rFonts w:ascii="Arial" w:hAnsi="Arial" w:cs="Arial"/>
          <w:lang w:val="en-US"/>
        </w:rPr>
        <w:t xml:space="preserve"> solely for the purpose of </w:t>
      </w:r>
      <w:r w:rsidR="00142684">
        <w:rPr>
          <w:rFonts w:ascii="Arial" w:hAnsi="Arial" w:cs="Arial"/>
          <w:lang w:val="en-US"/>
        </w:rPr>
        <w:t xml:space="preserve">this </w:t>
      </w:r>
      <w:r w:rsidRPr="00FA7092">
        <w:rPr>
          <w:rFonts w:ascii="Arial" w:hAnsi="Arial" w:cs="Arial"/>
          <w:lang w:val="en-US"/>
        </w:rPr>
        <w:t>academic research.</w:t>
      </w:r>
    </w:p>
  </w:footnote>
  <w:footnote w:id="4">
    <w:p w:rsidR="0001632F" w:rsidRPr="00FA7092" w:rsidRDefault="0001632F" w:rsidP="00242D18">
      <w:pPr>
        <w:pStyle w:val="Textodenotaderodap"/>
        <w:jc w:val="both"/>
        <w:rPr>
          <w:rFonts w:ascii="Arial" w:hAnsi="Arial" w:cs="Arial"/>
          <w:lang w:val="en-US"/>
        </w:rPr>
      </w:pPr>
      <w:r w:rsidRPr="00FA7092">
        <w:rPr>
          <w:rStyle w:val="Refdenotaderodap"/>
          <w:rFonts w:ascii="Arial" w:hAnsi="Arial" w:cs="Arial"/>
        </w:rPr>
        <w:footnoteRef/>
      </w:r>
      <w:r w:rsidRPr="00FA7092">
        <w:rPr>
          <w:rFonts w:ascii="Arial" w:hAnsi="Arial" w:cs="Arial"/>
          <w:lang w:val="en-US"/>
        </w:rPr>
        <w:t xml:space="preserve"> It is important to note that even though PINTEC does not </w:t>
      </w:r>
      <w:r w:rsidR="00850B83">
        <w:rPr>
          <w:rFonts w:ascii="Arial" w:hAnsi="Arial" w:cs="Arial"/>
          <w:lang w:val="en-US"/>
        </w:rPr>
        <w:t>provide</w:t>
      </w:r>
      <w:r w:rsidRPr="00FA7092">
        <w:rPr>
          <w:rFonts w:ascii="Arial" w:hAnsi="Arial" w:cs="Arial"/>
          <w:lang w:val="en-US"/>
        </w:rPr>
        <w:t xml:space="preserve"> any information about the number or classification of </w:t>
      </w:r>
      <w:r w:rsidR="00850B83">
        <w:rPr>
          <w:rFonts w:ascii="Arial" w:hAnsi="Arial" w:cs="Arial"/>
          <w:lang w:val="en-US"/>
        </w:rPr>
        <w:t>a</w:t>
      </w:r>
      <w:r w:rsidRPr="00FA7092">
        <w:rPr>
          <w:rFonts w:ascii="Arial" w:hAnsi="Arial" w:cs="Arial"/>
          <w:lang w:val="en-US"/>
        </w:rPr>
        <w:t xml:space="preserve"> firm´s patent, </w:t>
      </w:r>
      <w:r w:rsidR="00850B83">
        <w:rPr>
          <w:rFonts w:ascii="Arial" w:hAnsi="Arial" w:cs="Arial"/>
          <w:lang w:val="en-US"/>
        </w:rPr>
        <w:t>it does answer whether</w:t>
      </w:r>
      <w:r w:rsidRPr="00FA7092">
        <w:rPr>
          <w:rFonts w:ascii="Arial" w:hAnsi="Arial" w:cs="Arial"/>
          <w:lang w:val="en-US"/>
        </w:rPr>
        <w:t xml:space="preserve"> </w:t>
      </w:r>
      <w:r w:rsidR="00850B83">
        <w:rPr>
          <w:rFonts w:ascii="Arial" w:hAnsi="Arial" w:cs="Arial"/>
          <w:lang w:val="en-US"/>
        </w:rPr>
        <w:t>the firm</w:t>
      </w:r>
      <w:r w:rsidRPr="00FA7092">
        <w:rPr>
          <w:rFonts w:ascii="Arial" w:hAnsi="Arial" w:cs="Arial"/>
          <w:lang w:val="en-US"/>
        </w:rPr>
        <w:t xml:space="preserve"> used a</w:t>
      </w:r>
      <w:r w:rsidR="00850B83">
        <w:rPr>
          <w:rFonts w:ascii="Arial" w:hAnsi="Arial" w:cs="Arial"/>
          <w:lang w:val="en-US"/>
        </w:rPr>
        <w:t xml:space="preserve">ny type </w:t>
      </w:r>
      <w:proofErr w:type="gramStart"/>
      <w:r w:rsidR="00850B83">
        <w:rPr>
          <w:rFonts w:ascii="Arial" w:hAnsi="Arial" w:cs="Arial"/>
          <w:lang w:val="en-US"/>
        </w:rPr>
        <w:t xml:space="preserve">of </w:t>
      </w:r>
      <w:r w:rsidRPr="00FA7092">
        <w:rPr>
          <w:rFonts w:ascii="Arial" w:hAnsi="Arial" w:cs="Arial"/>
          <w:lang w:val="en-US"/>
        </w:rPr>
        <w:t xml:space="preserve"> intellectual</w:t>
      </w:r>
      <w:proofErr w:type="gramEnd"/>
      <w:r w:rsidRPr="00FA7092">
        <w:rPr>
          <w:rFonts w:ascii="Arial" w:hAnsi="Arial" w:cs="Arial"/>
          <w:lang w:val="en-US"/>
        </w:rPr>
        <w:t xml:space="preserve"> property, </w:t>
      </w:r>
      <w:r w:rsidR="00C3663C">
        <w:rPr>
          <w:rFonts w:ascii="Arial" w:hAnsi="Arial" w:cs="Arial"/>
          <w:lang w:val="en-US"/>
        </w:rPr>
        <w:t>such as</w:t>
      </w:r>
      <w:r w:rsidRPr="00FA7092">
        <w:rPr>
          <w:rFonts w:ascii="Arial" w:hAnsi="Arial" w:cs="Arial"/>
          <w:lang w:val="en-US"/>
        </w:rPr>
        <w:t xml:space="preserve"> patents. </w:t>
      </w:r>
    </w:p>
  </w:footnote>
  <w:footnote w:id="5">
    <w:p w:rsidR="0001632F" w:rsidRPr="006D577A" w:rsidRDefault="0001632F" w:rsidP="00A11E4D">
      <w:pPr>
        <w:pStyle w:val="Textodenotaderodap"/>
        <w:rPr>
          <w:rFonts w:ascii="Arial" w:hAnsi="Arial" w:cs="Arial"/>
          <w:lang w:val="en-US"/>
        </w:rPr>
      </w:pPr>
      <w:r w:rsidRPr="006D577A">
        <w:rPr>
          <w:rStyle w:val="Refdenotaderodap"/>
          <w:rFonts w:ascii="Arial" w:hAnsi="Arial" w:cs="Arial"/>
        </w:rPr>
        <w:footnoteRef/>
      </w:r>
      <w:r w:rsidRPr="006D577A">
        <w:rPr>
          <w:rFonts w:ascii="Arial" w:hAnsi="Arial" w:cs="Arial"/>
          <w:lang w:val="en-US"/>
        </w:rPr>
        <w:t xml:space="preserve"> We assume</w:t>
      </w:r>
      <w:r w:rsidR="00DD236C">
        <w:rPr>
          <w:rFonts w:ascii="Arial" w:hAnsi="Arial" w:cs="Arial"/>
          <w:lang w:val="en-US"/>
        </w:rPr>
        <w:t>d</w:t>
      </w:r>
      <w:r w:rsidRPr="006D577A">
        <w:rPr>
          <w:rFonts w:ascii="Arial" w:hAnsi="Arial" w:cs="Arial"/>
          <w:lang w:val="en-US"/>
        </w:rPr>
        <w:t xml:space="preserve"> that the classification of the 4-digits industr</w:t>
      </w:r>
      <w:r w:rsidR="00DD236C">
        <w:rPr>
          <w:rFonts w:ascii="Arial" w:hAnsi="Arial" w:cs="Arial"/>
          <w:lang w:val="en-US"/>
        </w:rPr>
        <w:t>ies</w:t>
      </w:r>
      <w:r w:rsidRPr="006D577A">
        <w:rPr>
          <w:rFonts w:ascii="Arial" w:hAnsi="Arial" w:cs="Arial"/>
          <w:lang w:val="en-US"/>
        </w:rPr>
        <w:t xml:space="preserve">  in</w:t>
      </w:r>
      <w:r w:rsidR="00DD236C">
        <w:rPr>
          <w:rFonts w:ascii="Arial" w:hAnsi="Arial" w:cs="Arial"/>
          <w:lang w:val="en-US"/>
        </w:rPr>
        <w:t>to</w:t>
      </w:r>
      <w:r w:rsidRPr="006D577A">
        <w:rPr>
          <w:rFonts w:ascii="Arial" w:hAnsi="Arial" w:cs="Arial"/>
          <w:lang w:val="en-US"/>
        </w:rPr>
        <w:t xml:space="preserve"> SM-I or SM-II follow</w:t>
      </w:r>
      <w:r w:rsidR="00DD236C">
        <w:rPr>
          <w:rFonts w:ascii="Arial" w:hAnsi="Arial" w:cs="Arial"/>
          <w:lang w:val="en-US"/>
        </w:rPr>
        <w:t>ed</w:t>
      </w:r>
      <w:r w:rsidRPr="006D577A">
        <w:rPr>
          <w:rFonts w:ascii="Arial" w:hAnsi="Arial" w:cs="Arial"/>
          <w:lang w:val="en-US"/>
        </w:rPr>
        <w:t xml:space="preserve"> the broader related 3-digits classifications</w:t>
      </w:r>
    </w:p>
  </w:footnote>
  <w:footnote w:id="6">
    <w:p w:rsidR="0001632F" w:rsidRPr="002421E2" w:rsidRDefault="0001632F">
      <w:pPr>
        <w:pStyle w:val="Textodenotaderodap"/>
        <w:rPr>
          <w:rFonts w:ascii="Arial" w:hAnsi="Arial" w:cs="Arial"/>
          <w:lang w:val="en-US"/>
        </w:rPr>
      </w:pPr>
      <w:r w:rsidRPr="002421E2">
        <w:rPr>
          <w:rStyle w:val="Refdenotaderodap"/>
          <w:rFonts w:ascii="Arial" w:hAnsi="Arial" w:cs="Arial"/>
        </w:rPr>
        <w:footnoteRef/>
      </w:r>
      <w:r w:rsidRPr="002421E2">
        <w:rPr>
          <w:rFonts w:ascii="Arial" w:hAnsi="Arial" w:cs="Arial"/>
          <w:lang w:val="en-US"/>
        </w:rPr>
        <w:t xml:space="preserve">  Additional details on the </w:t>
      </w:r>
      <w:proofErr w:type="gramStart"/>
      <w:r w:rsidRPr="002421E2">
        <w:rPr>
          <w:rFonts w:ascii="Arial" w:hAnsi="Arial" w:cs="Arial"/>
          <w:lang w:val="en-US"/>
        </w:rPr>
        <w:t>construction  of</w:t>
      </w:r>
      <w:proofErr w:type="gramEnd"/>
      <w:r w:rsidRPr="002421E2">
        <w:rPr>
          <w:rFonts w:ascii="Arial" w:hAnsi="Arial" w:cs="Arial"/>
          <w:lang w:val="en-US"/>
        </w:rPr>
        <w:t xml:space="preserve"> the capital stock </w:t>
      </w:r>
      <w:r w:rsidR="00BE5D28">
        <w:rPr>
          <w:rFonts w:ascii="Arial" w:hAnsi="Arial" w:cs="Arial"/>
          <w:lang w:val="en-US"/>
        </w:rPr>
        <w:t>data are discussed in A</w:t>
      </w:r>
      <w:r w:rsidRPr="002421E2">
        <w:rPr>
          <w:rFonts w:ascii="Arial" w:hAnsi="Arial" w:cs="Arial"/>
          <w:lang w:val="en-US"/>
        </w:rPr>
        <w:t>ppendix  2.</w:t>
      </w:r>
    </w:p>
  </w:footnote>
  <w:footnote w:id="7">
    <w:p w:rsidR="0001632F" w:rsidRPr="009873A9" w:rsidRDefault="0001632F">
      <w:pPr>
        <w:pStyle w:val="Textodenotaderodap"/>
        <w:rPr>
          <w:rFonts w:ascii="Arial" w:hAnsi="Arial" w:cs="Arial"/>
          <w:lang w:val="en-US"/>
        </w:rPr>
      </w:pPr>
      <w:r w:rsidRPr="009873A9">
        <w:rPr>
          <w:rStyle w:val="Refdenotaderodap"/>
          <w:rFonts w:ascii="Arial" w:hAnsi="Arial" w:cs="Arial"/>
        </w:rPr>
        <w:footnoteRef/>
      </w:r>
      <w:r w:rsidRPr="009873A9">
        <w:rPr>
          <w:rFonts w:ascii="Arial" w:hAnsi="Arial" w:cs="Arial"/>
          <w:lang w:val="en-US"/>
        </w:rPr>
        <w:t xml:space="preserve"> The identification of ent</w:t>
      </w:r>
      <w:r w:rsidR="003D4031">
        <w:rPr>
          <w:rFonts w:ascii="Arial" w:hAnsi="Arial" w:cs="Arial"/>
          <w:lang w:val="en-US"/>
        </w:rPr>
        <w:t>ering and exiting firms required</w:t>
      </w:r>
      <w:r w:rsidRPr="009873A9">
        <w:rPr>
          <w:rFonts w:ascii="Arial" w:hAnsi="Arial" w:cs="Arial"/>
          <w:lang w:val="en-US"/>
        </w:rPr>
        <w:t xml:space="preserve"> identification codes for comparison across successive years and once </w:t>
      </w:r>
      <w:r w:rsidR="003D4031">
        <w:rPr>
          <w:rFonts w:ascii="Arial" w:hAnsi="Arial" w:cs="Arial"/>
          <w:lang w:val="en-US"/>
        </w:rPr>
        <w:t>again</w:t>
      </w:r>
      <w:r w:rsidRPr="009873A9">
        <w:rPr>
          <w:rFonts w:ascii="Arial" w:hAnsi="Arial" w:cs="Arial"/>
          <w:lang w:val="en-US"/>
        </w:rPr>
        <w:t xml:space="preserve"> we had special access to the restricted microdata.</w:t>
      </w:r>
    </w:p>
  </w:footnote>
  <w:footnote w:id="8">
    <w:p w:rsidR="0001632F" w:rsidRPr="009873A9" w:rsidRDefault="0001632F" w:rsidP="009873A9">
      <w:pPr>
        <w:pStyle w:val="Textodenotaderodap"/>
        <w:jc w:val="both"/>
        <w:rPr>
          <w:rFonts w:ascii="Arial" w:hAnsi="Arial" w:cs="Arial"/>
          <w:lang w:val="en-US"/>
        </w:rPr>
      </w:pPr>
      <w:r w:rsidRPr="009873A9">
        <w:rPr>
          <w:rStyle w:val="Refdenotaderodap"/>
          <w:rFonts w:ascii="Arial" w:hAnsi="Arial" w:cs="Arial"/>
        </w:rPr>
        <w:footnoteRef/>
      </w:r>
      <w:r w:rsidRPr="009873A9">
        <w:rPr>
          <w:rFonts w:ascii="Arial" w:hAnsi="Arial" w:cs="Arial"/>
          <w:lang w:val="en-US"/>
        </w:rPr>
        <w:t xml:space="preserve"> The</w:t>
      </w:r>
      <w:r w:rsidR="003D4031">
        <w:rPr>
          <w:rFonts w:ascii="Arial" w:hAnsi="Arial" w:cs="Arial"/>
          <w:lang w:val="en-US"/>
        </w:rPr>
        <w:t>se</w:t>
      </w:r>
      <w:r w:rsidRPr="009873A9">
        <w:rPr>
          <w:rFonts w:ascii="Arial" w:hAnsi="Arial" w:cs="Arial"/>
          <w:lang w:val="en-US"/>
        </w:rPr>
        <w:t xml:space="preserve"> authors focused on patent indicators </w:t>
      </w:r>
      <w:r w:rsidR="003D4031">
        <w:rPr>
          <w:rFonts w:ascii="Arial" w:hAnsi="Arial" w:cs="Arial"/>
          <w:lang w:val="en-US"/>
        </w:rPr>
        <w:t>to</w:t>
      </w:r>
      <w:r w:rsidRPr="009873A9">
        <w:rPr>
          <w:rFonts w:ascii="Arial" w:hAnsi="Arial" w:cs="Arial"/>
          <w:lang w:val="en-US"/>
        </w:rPr>
        <w:t xml:space="preserve"> defin</w:t>
      </w:r>
      <w:r w:rsidR="003D4031">
        <w:rPr>
          <w:rFonts w:ascii="Arial" w:hAnsi="Arial" w:cs="Arial"/>
          <w:lang w:val="en-US"/>
        </w:rPr>
        <w:t>e</w:t>
      </w:r>
      <w:r w:rsidRPr="009873A9">
        <w:rPr>
          <w:rFonts w:ascii="Arial" w:hAnsi="Arial" w:cs="Arial"/>
          <w:lang w:val="en-US"/>
        </w:rPr>
        <w:t xml:space="preserve"> innovating firms and thus worked with technological classes. Therefore, a straightforward comparison with the Brazilian case </w:t>
      </w:r>
      <w:r w:rsidR="003D4031">
        <w:rPr>
          <w:rFonts w:ascii="Arial" w:hAnsi="Arial" w:cs="Arial"/>
          <w:lang w:val="en-US"/>
        </w:rPr>
        <w:t>was</w:t>
      </w:r>
      <w:r w:rsidRPr="009873A9">
        <w:rPr>
          <w:rFonts w:ascii="Arial" w:hAnsi="Arial" w:cs="Arial"/>
          <w:lang w:val="en-US"/>
        </w:rPr>
        <w:t xml:space="preserve"> not readily available but some salient results can be </w:t>
      </w:r>
      <w:r w:rsidR="003D4031">
        <w:rPr>
          <w:rFonts w:ascii="Arial" w:hAnsi="Arial" w:cs="Arial"/>
          <w:lang w:val="en-US"/>
        </w:rPr>
        <w:t>noted</w:t>
      </w:r>
      <w:r w:rsidRPr="009873A9">
        <w:rPr>
          <w:rFonts w:ascii="Arial" w:hAnsi="Arial" w:cs="Arial"/>
          <w:lang w:val="en-US"/>
        </w:rPr>
        <w:t>.</w:t>
      </w:r>
    </w:p>
  </w:footnote>
  <w:footnote w:id="9">
    <w:p w:rsidR="0001632F" w:rsidRPr="00BD19C7" w:rsidRDefault="0001632F" w:rsidP="00881D4A">
      <w:pPr>
        <w:pStyle w:val="Textodenotaderodap"/>
        <w:rPr>
          <w:rFonts w:ascii="Arial" w:hAnsi="Arial" w:cs="Arial"/>
          <w:lang w:val="en-US"/>
        </w:rPr>
      </w:pPr>
      <w:r w:rsidRPr="006D4285">
        <w:rPr>
          <w:rStyle w:val="Refdenotaderodap"/>
          <w:rFonts w:ascii="Arial" w:hAnsi="Arial" w:cs="Arial"/>
        </w:rPr>
        <w:footnoteRef/>
      </w:r>
      <w:r w:rsidRPr="00BD19C7">
        <w:rPr>
          <w:rFonts w:ascii="Arial" w:hAnsi="Arial" w:cs="Arial"/>
          <w:lang w:val="en-US"/>
        </w:rPr>
        <w:t xml:space="preserve"> See Dixon and Massey (1983) for an introduction to those tests.</w:t>
      </w:r>
    </w:p>
  </w:footnote>
  <w:footnote w:id="10">
    <w:p w:rsidR="0001632F" w:rsidRPr="006D4285" w:rsidRDefault="0001632F" w:rsidP="00881D4A">
      <w:pPr>
        <w:pStyle w:val="Textodenotaderodap"/>
        <w:rPr>
          <w:rFonts w:ascii="Arial" w:hAnsi="Arial" w:cs="Arial"/>
        </w:rPr>
      </w:pPr>
      <w:r>
        <w:rPr>
          <w:rStyle w:val="Refdenotaderodap"/>
        </w:rPr>
        <w:footnoteRef/>
      </w:r>
      <w:r>
        <w:t xml:space="preserve">  </w:t>
      </w:r>
      <w:r w:rsidRPr="006D4285">
        <w:rPr>
          <w:rFonts w:ascii="Arial" w:hAnsi="Arial" w:cs="Arial"/>
        </w:rPr>
        <w:t>Where v = [</w:t>
      </w:r>
      <w:r w:rsidRPr="006D4285">
        <w:rPr>
          <w:rFonts w:ascii="Arial" w:hAnsi="Arial" w:cs="Arial"/>
          <w:position w:val="-32"/>
        </w:rPr>
        <w:object w:dxaOrig="820" w:dyaOrig="760">
          <v:shape id="_x0000_i1027" type="#_x0000_t75" style="width:41.1pt;height:37.85pt" o:ole="">
            <v:imagedata r:id="rId1" o:title=""/>
          </v:shape>
          <o:OLEObject Type="Embed" ProgID="Equation.3" ShapeID="_x0000_i1027" DrawAspect="Content" ObjectID="_1441097939" r:id="rId2"/>
        </w:object>
      </w:r>
      <w:r w:rsidRPr="006D4285">
        <w:rPr>
          <w:rFonts w:ascii="Arial" w:hAnsi="Arial" w:cs="Arial"/>
        </w:rPr>
        <w:t>]</w:t>
      </w:r>
      <w:r w:rsidRPr="006D4285">
        <w:rPr>
          <w:rFonts w:ascii="Arial" w:hAnsi="Arial" w:cs="Arial"/>
          <w:vertAlign w:val="superscript"/>
        </w:rPr>
        <w:t>2</w:t>
      </w:r>
      <w:r w:rsidRPr="006D4285">
        <w:rPr>
          <w:rFonts w:ascii="Arial" w:hAnsi="Arial" w:cs="Arial"/>
        </w:rPr>
        <w:t>/</w:t>
      </w:r>
      <w:proofErr w:type="gramStart"/>
      <w:r w:rsidRPr="006D4285">
        <w:rPr>
          <w:rFonts w:ascii="Arial" w:hAnsi="Arial" w:cs="Arial"/>
        </w:rPr>
        <w:t>[</w:t>
      </w:r>
      <w:proofErr w:type="gramEnd"/>
      <w:r w:rsidRPr="006D4285">
        <w:rPr>
          <w:rFonts w:ascii="Arial" w:hAnsi="Arial" w:cs="Arial"/>
        </w:rPr>
        <w:t xml:space="preserve"> (</w:t>
      </w:r>
      <w:r w:rsidRPr="006D4285">
        <w:rPr>
          <w:rFonts w:ascii="Arial" w:hAnsi="Arial" w:cs="Arial"/>
          <w:position w:val="-30"/>
        </w:rPr>
        <w:object w:dxaOrig="340" w:dyaOrig="720">
          <v:shape id="_x0000_i1028" type="#_x0000_t75" style="width:17.1pt;height:36pt" o:ole="">
            <v:imagedata r:id="rId3" o:title=""/>
          </v:shape>
          <o:OLEObject Type="Embed" ProgID="Equation.3" ShapeID="_x0000_i1028" DrawAspect="Content" ObjectID="_1441097940" r:id="rId4"/>
        </w:object>
      </w:r>
      <w:r w:rsidRPr="006D4285">
        <w:rPr>
          <w:rFonts w:ascii="Arial" w:hAnsi="Arial" w:cs="Arial"/>
        </w:rPr>
        <w:t>)</w:t>
      </w:r>
      <w:r w:rsidRPr="006D4285">
        <w:rPr>
          <w:rFonts w:ascii="Arial" w:hAnsi="Arial" w:cs="Arial"/>
          <w:vertAlign w:val="superscript"/>
        </w:rPr>
        <w:t>2</w:t>
      </w:r>
      <w:r w:rsidRPr="006D4285">
        <w:rPr>
          <w:rFonts w:ascii="Arial" w:hAnsi="Arial" w:cs="Arial"/>
        </w:rPr>
        <w:t>/(n</w:t>
      </w:r>
      <w:r w:rsidRPr="006D4285">
        <w:rPr>
          <w:rFonts w:ascii="Arial" w:hAnsi="Arial" w:cs="Arial"/>
          <w:vertAlign w:val="subscript"/>
        </w:rPr>
        <w:t>x</w:t>
      </w:r>
      <w:r w:rsidRPr="006D4285">
        <w:rPr>
          <w:rFonts w:ascii="Arial" w:hAnsi="Arial" w:cs="Arial"/>
        </w:rPr>
        <w:t>-1)+ (</w:t>
      </w:r>
      <w:r w:rsidRPr="006D4285">
        <w:rPr>
          <w:rFonts w:ascii="Arial" w:hAnsi="Arial" w:cs="Arial"/>
          <w:position w:val="-32"/>
        </w:rPr>
        <w:object w:dxaOrig="340" w:dyaOrig="760">
          <v:shape id="_x0000_i1029" type="#_x0000_t75" style="width:17.1pt;height:37.85pt" o:ole="">
            <v:imagedata r:id="rId5" o:title=""/>
          </v:shape>
          <o:OLEObject Type="Embed" ProgID="Equation.3" ShapeID="_x0000_i1029" DrawAspect="Content" ObjectID="_1441097941" r:id="rId6"/>
        </w:object>
      </w:r>
      <w:r w:rsidRPr="006D4285">
        <w:rPr>
          <w:rFonts w:ascii="Arial" w:hAnsi="Arial" w:cs="Arial"/>
        </w:rPr>
        <w:t>)</w:t>
      </w:r>
      <w:r w:rsidRPr="006D4285">
        <w:rPr>
          <w:rFonts w:ascii="Arial" w:hAnsi="Arial" w:cs="Arial"/>
          <w:vertAlign w:val="superscript"/>
        </w:rPr>
        <w:t>2</w:t>
      </w:r>
      <w:r w:rsidRPr="006D4285">
        <w:rPr>
          <w:rFonts w:ascii="Arial" w:hAnsi="Arial" w:cs="Arial"/>
        </w:rPr>
        <w:t>/(n</w:t>
      </w:r>
      <w:r w:rsidRPr="006D4285">
        <w:rPr>
          <w:rFonts w:ascii="Arial" w:hAnsi="Arial" w:cs="Arial"/>
          <w:vertAlign w:val="subscript"/>
        </w:rPr>
        <w:t>y</w:t>
      </w:r>
      <w:r w:rsidRPr="006D4285">
        <w:rPr>
          <w:rFonts w:ascii="Arial" w:hAnsi="Arial" w:cs="Arial"/>
        </w:rPr>
        <w:t>-1)]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F485E"/>
    <w:multiLevelType w:val="hybridMultilevel"/>
    <w:tmpl w:val="524208D0"/>
    <w:lvl w:ilvl="0" w:tplc="04160017">
      <w:start w:val="1"/>
      <w:numFmt w:val="lowerLetter"/>
      <w:lvlText w:val="%1)"/>
      <w:lvlJc w:val="left"/>
      <w:pPr>
        <w:ind w:left="1362" w:hanging="360"/>
      </w:pPr>
      <w:rPr>
        <w:rFonts w:hint="default"/>
      </w:rPr>
    </w:lvl>
    <w:lvl w:ilvl="1" w:tplc="04160019" w:tentative="1">
      <w:start w:val="1"/>
      <w:numFmt w:val="lowerLetter"/>
      <w:lvlText w:val="%2."/>
      <w:lvlJc w:val="left"/>
      <w:pPr>
        <w:ind w:left="2082" w:hanging="360"/>
      </w:pPr>
    </w:lvl>
    <w:lvl w:ilvl="2" w:tplc="0416001B" w:tentative="1">
      <w:start w:val="1"/>
      <w:numFmt w:val="lowerRoman"/>
      <w:lvlText w:val="%3."/>
      <w:lvlJc w:val="right"/>
      <w:pPr>
        <w:ind w:left="2802" w:hanging="180"/>
      </w:pPr>
    </w:lvl>
    <w:lvl w:ilvl="3" w:tplc="0416000F" w:tentative="1">
      <w:start w:val="1"/>
      <w:numFmt w:val="decimal"/>
      <w:lvlText w:val="%4."/>
      <w:lvlJc w:val="left"/>
      <w:pPr>
        <w:ind w:left="3522" w:hanging="360"/>
      </w:pPr>
    </w:lvl>
    <w:lvl w:ilvl="4" w:tplc="04160019" w:tentative="1">
      <w:start w:val="1"/>
      <w:numFmt w:val="lowerLetter"/>
      <w:lvlText w:val="%5."/>
      <w:lvlJc w:val="left"/>
      <w:pPr>
        <w:ind w:left="4242" w:hanging="360"/>
      </w:pPr>
    </w:lvl>
    <w:lvl w:ilvl="5" w:tplc="0416001B" w:tentative="1">
      <w:start w:val="1"/>
      <w:numFmt w:val="lowerRoman"/>
      <w:lvlText w:val="%6."/>
      <w:lvlJc w:val="right"/>
      <w:pPr>
        <w:ind w:left="4962" w:hanging="180"/>
      </w:pPr>
    </w:lvl>
    <w:lvl w:ilvl="6" w:tplc="0416000F" w:tentative="1">
      <w:start w:val="1"/>
      <w:numFmt w:val="decimal"/>
      <w:lvlText w:val="%7."/>
      <w:lvlJc w:val="left"/>
      <w:pPr>
        <w:ind w:left="5682" w:hanging="360"/>
      </w:pPr>
    </w:lvl>
    <w:lvl w:ilvl="7" w:tplc="04160019" w:tentative="1">
      <w:start w:val="1"/>
      <w:numFmt w:val="lowerLetter"/>
      <w:lvlText w:val="%8."/>
      <w:lvlJc w:val="left"/>
      <w:pPr>
        <w:ind w:left="6402" w:hanging="360"/>
      </w:pPr>
    </w:lvl>
    <w:lvl w:ilvl="8" w:tplc="0416001B" w:tentative="1">
      <w:start w:val="1"/>
      <w:numFmt w:val="lowerRoman"/>
      <w:lvlText w:val="%9."/>
      <w:lvlJc w:val="right"/>
      <w:pPr>
        <w:ind w:left="7122" w:hanging="180"/>
      </w:pPr>
    </w:lvl>
  </w:abstractNum>
  <w:abstractNum w:abstractNumId="1">
    <w:nsid w:val="0A255E96"/>
    <w:multiLevelType w:val="multilevel"/>
    <w:tmpl w:val="D93C896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CF0083B"/>
    <w:multiLevelType w:val="hybridMultilevel"/>
    <w:tmpl w:val="F7646C7A"/>
    <w:lvl w:ilvl="0" w:tplc="43D4A532">
      <w:start w:val="3"/>
      <w:numFmt w:val="bullet"/>
      <w:lvlText w:val="-"/>
      <w:lvlJc w:val="left"/>
      <w:pPr>
        <w:ind w:left="774" w:hanging="360"/>
      </w:pPr>
      <w:rPr>
        <w:rFonts w:ascii="Arial" w:eastAsia="Calibri" w:hAnsi="Arial" w:cs="Arial" w:hint="default"/>
      </w:rPr>
    </w:lvl>
    <w:lvl w:ilvl="1" w:tplc="04160003" w:tentative="1">
      <w:start w:val="1"/>
      <w:numFmt w:val="bullet"/>
      <w:lvlText w:val="o"/>
      <w:lvlJc w:val="left"/>
      <w:pPr>
        <w:ind w:left="1494" w:hanging="360"/>
      </w:pPr>
      <w:rPr>
        <w:rFonts w:ascii="Courier New" w:hAnsi="Courier New" w:cs="Courier New" w:hint="default"/>
      </w:rPr>
    </w:lvl>
    <w:lvl w:ilvl="2" w:tplc="04160005" w:tentative="1">
      <w:start w:val="1"/>
      <w:numFmt w:val="bullet"/>
      <w:lvlText w:val=""/>
      <w:lvlJc w:val="left"/>
      <w:pPr>
        <w:ind w:left="2214" w:hanging="360"/>
      </w:pPr>
      <w:rPr>
        <w:rFonts w:ascii="Wingdings" w:hAnsi="Wingdings" w:hint="default"/>
      </w:rPr>
    </w:lvl>
    <w:lvl w:ilvl="3" w:tplc="04160001" w:tentative="1">
      <w:start w:val="1"/>
      <w:numFmt w:val="bullet"/>
      <w:lvlText w:val=""/>
      <w:lvlJc w:val="left"/>
      <w:pPr>
        <w:ind w:left="2934" w:hanging="360"/>
      </w:pPr>
      <w:rPr>
        <w:rFonts w:ascii="Symbol" w:hAnsi="Symbol" w:hint="default"/>
      </w:rPr>
    </w:lvl>
    <w:lvl w:ilvl="4" w:tplc="04160003" w:tentative="1">
      <w:start w:val="1"/>
      <w:numFmt w:val="bullet"/>
      <w:lvlText w:val="o"/>
      <w:lvlJc w:val="left"/>
      <w:pPr>
        <w:ind w:left="3654" w:hanging="360"/>
      </w:pPr>
      <w:rPr>
        <w:rFonts w:ascii="Courier New" w:hAnsi="Courier New" w:cs="Courier New" w:hint="default"/>
      </w:rPr>
    </w:lvl>
    <w:lvl w:ilvl="5" w:tplc="04160005" w:tentative="1">
      <w:start w:val="1"/>
      <w:numFmt w:val="bullet"/>
      <w:lvlText w:val=""/>
      <w:lvlJc w:val="left"/>
      <w:pPr>
        <w:ind w:left="4374" w:hanging="360"/>
      </w:pPr>
      <w:rPr>
        <w:rFonts w:ascii="Wingdings" w:hAnsi="Wingdings" w:hint="default"/>
      </w:rPr>
    </w:lvl>
    <w:lvl w:ilvl="6" w:tplc="04160001" w:tentative="1">
      <w:start w:val="1"/>
      <w:numFmt w:val="bullet"/>
      <w:lvlText w:val=""/>
      <w:lvlJc w:val="left"/>
      <w:pPr>
        <w:ind w:left="5094" w:hanging="360"/>
      </w:pPr>
      <w:rPr>
        <w:rFonts w:ascii="Symbol" w:hAnsi="Symbol" w:hint="default"/>
      </w:rPr>
    </w:lvl>
    <w:lvl w:ilvl="7" w:tplc="04160003" w:tentative="1">
      <w:start w:val="1"/>
      <w:numFmt w:val="bullet"/>
      <w:lvlText w:val="o"/>
      <w:lvlJc w:val="left"/>
      <w:pPr>
        <w:ind w:left="5814" w:hanging="360"/>
      </w:pPr>
      <w:rPr>
        <w:rFonts w:ascii="Courier New" w:hAnsi="Courier New" w:cs="Courier New" w:hint="default"/>
      </w:rPr>
    </w:lvl>
    <w:lvl w:ilvl="8" w:tplc="04160005" w:tentative="1">
      <w:start w:val="1"/>
      <w:numFmt w:val="bullet"/>
      <w:lvlText w:val=""/>
      <w:lvlJc w:val="left"/>
      <w:pPr>
        <w:ind w:left="6534" w:hanging="360"/>
      </w:pPr>
      <w:rPr>
        <w:rFonts w:ascii="Wingdings" w:hAnsi="Wingdings" w:hint="default"/>
      </w:rPr>
    </w:lvl>
  </w:abstractNum>
  <w:abstractNum w:abstractNumId="3">
    <w:nsid w:val="0E243B75"/>
    <w:multiLevelType w:val="multilevel"/>
    <w:tmpl w:val="056EBEEE"/>
    <w:lvl w:ilvl="0">
      <w:start w:val="1"/>
      <w:numFmt w:val="decimal"/>
      <w:lvlText w:val="%1."/>
      <w:lvlJc w:val="left"/>
      <w:pPr>
        <w:ind w:left="-66" w:hanging="360"/>
      </w:pPr>
      <w:rPr>
        <w:rFonts w:hint="default"/>
      </w:rPr>
    </w:lvl>
    <w:lvl w:ilvl="1">
      <w:start w:val="1"/>
      <w:numFmt w:val="decimal"/>
      <w:isLgl/>
      <w:lvlText w:val="%1.%2"/>
      <w:lvlJc w:val="left"/>
      <w:pPr>
        <w:ind w:left="414" w:hanging="480"/>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734" w:hanging="108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814" w:hanging="144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894" w:hanging="1800"/>
      </w:pPr>
      <w:rPr>
        <w:rFonts w:hint="default"/>
      </w:rPr>
    </w:lvl>
    <w:lvl w:ilvl="8">
      <w:start w:val="1"/>
      <w:numFmt w:val="decimal"/>
      <w:isLgl/>
      <w:lvlText w:val="%1.%2.%3.%4.%5.%6.%7.%8.%9"/>
      <w:lvlJc w:val="left"/>
      <w:pPr>
        <w:ind w:left="4254" w:hanging="1800"/>
      </w:pPr>
      <w:rPr>
        <w:rFonts w:hint="default"/>
      </w:rPr>
    </w:lvl>
  </w:abstractNum>
  <w:abstractNum w:abstractNumId="4">
    <w:nsid w:val="0FCC3ACA"/>
    <w:multiLevelType w:val="hybridMultilevel"/>
    <w:tmpl w:val="8D1A839E"/>
    <w:lvl w:ilvl="0" w:tplc="EF1A458C">
      <w:start w:val="1"/>
      <w:numFmt w:val="lowerLetter"/>
      <w:lvlText w:val="%1)"/>
      <w:lvlJc w:val="left"/>
      <w:pPr>
        <w:ind w:left="644" w:hanging="360"/>
      </w:pPr>
      <w:rPr>
        <w:rFonts w:hint="default"/>
        <w:color w:val="auto"/>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nsid w:val="2C0E4880"/>
    <w:multiLevelType w:val="hybridMultilevel"/>
    <w:tmpl w:val="6E74F306"/>
    <w:lvl w:ilvl="0" w:tplc="FA763EEC">
      <w:start w:val="1"/>
      <w:numFmt w:val="lowerRoman"/>
      <w:lvlText w:val="(%1)"/>
      <w:lvlJc w:val="left"/>
      <w:pPr>
        <w:ind w:left="1222" w:hanging="720"/>
      </w:pPr>
      <w:rPr>
        <w:rFonts w:hint="default"/>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6">
    <w:nsid w:val="363961CF"/>
    <w:multiLevelType w:val="hybridMultilevel"/>
    <w:tmpl w:val="D4240734"/>
    <w:lvl w:ilvl="0" w:tplc="2182F3E2">
      <w:start w:val="1"/>
      <w:numFmt w:val="lowerLetter"/>
      <w:lvlText w:val="(%1)"/>
      <w:lvlJc w:val="left"/>
      <w:pPr>
        <w:ind w:left="502" w:hanging="360"/>
      </w:pPr>
      <w:rPr>
        <w:rFonts w:hint="default"/>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7">
    <w:nsid w:val="478742FF"/>
    <w:multiLevelType w:val="hybridMultilevel"/>
    <w:tmpl w:val="F4BA25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7DA44E2A"/>
    <w:multiLevelType w:val="hybridMultilevel"/>
    <w:tmpl w:val="6010C13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6"/>
  </w:num>
  <w:num w:numId="5">
    <w:abstractNumId w:val="5"/>
  </w:num>
  <w:num w:numId="6">
    <w:abstractNumId w:val="2"/>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255"/>
    <w:rsid w:val="00001954"/>
    <w:rsid w:val="000060CD"/>
    <w:rsid w:val="0000661E"/>
    <w:rsid w:val="0001038A"/>
    <w:rsid w:val="00011A4E"/>
    <w:rsid w:val="00013083"/>
    <w:rsid w:val="00014B8E"/>
    <w:rsid w:val="00014CFC"/>
    <w:rsid w:val="0001632F"/>
    <w:rsid w:val="00016DC7"/>
    <w:rsid w:val="000202F0"/>
    <w:rsid w:val="000253C4"/>
    <w:rsid w:val="00035F4A"/>
    <w:rsid w:val="00036C36"/>
    <w:rsid w:val="000438E6"/>
    <w:rsid w:val="00050742"/>
    <w:rsid w:val="00051329"/>
    <w:rsid w:val="000536EF"/>
    <w:rsid w:val="00057DE2"/>
    <w:rsid w:val="000622C8"/>
    <w:rsid w:val="00063170"/>
    <w:rsid w:val="000634AF"/>
    <w:rsid w:val="000662C4"/>
    <w:rsid w:val="00067D67"/>
    <w:rsid w:val="00073546"/>
    <w:rsid w:val="00077CBA"/>
    <w:rsid w:val="00082C8B"/>
    <w:rsid w:val="000848ED"/>
    <w:rsid w:val="00087B2C"/>
    <w:rsid w:val="0009570B"/>
    <w:rsid w:val="000B0400"/>
    <w:rsid w:val="000B0798"/>
    <w:rsid w:val="000B23B3"/>
    <w:rsid w:val="000B3080"/>
    <w:rsid w:val="000B4DEA"/>
    <w:rsid w:val="000C208B"/>
    <w:rsid w:val="000C39AD"/>
    <w:rsid w:val="000D0A38"/>
    <w:rsid w:val="000D4003"/>
    <w:rsid w:val="000D4684"/>
    <w:rsid w:val="000D5C75"/>
    <w:rsid w:val="000D7EBE"/>
    <w:rsid w:val="000E66DA"/>
    <w:rsid w:val="000F06EB"/>
    <w:rsid w:val="000F2378"/>
    <w:rsid w:val="000F69E9"/>
    <w:rsid w:val="000F6D2A"/>
    <w:rsid w:val="00104104"/>
    <w:rsid w:val="001048A4"/>
    <w:rsid w:val="001069F2"/>
    <w:rsid w:val="00106A28"/>
    <w:rsid w:val="0010794F"/>
    <w:rsid w:val="00107BA0"/>
    <w:rsid w:val="00107F67"/>
    <w:rsid w:val="00112A74"/>
    <w:rsid w:val="0011711F"/>
    <w:rsid w:val="00120813"/>
    <w:rsid w:val="00120A04"/>
    <w:rsid w:val="0012545D"/>
    <w:rsid w:val="00127FA7"/>
    <w:rsid w:val="001321DB"/>
    <w:rsid w:val="0014116D"/>
    <w:rsid w:val="00142684"/>
    <w:rsid w:val="00143726"/>
    <w:rsid w:val="001460C9"/>
    <w:rsid w:val="00146DA4"/>
    <w:rsid w:val="00154767"/>
    <w:rsid w:val="001551E1"/>
    <w:rsid w:val="00157272"/>
    <w:rsid w:val="00170EF1"/>
    <w:rsid w:val="00171589"/>
    <w:rsid w:val="00172465"/>
    <w:rsid w:val="00177120"/>
    <w:rsid w:val="0018029D"/>
    <w:rsid w:val="0018071B"/>
    <w:rsid w:val="00182326"/>
    <w:rsid w:val="0018256F"/>
    <w:rsid w:val="0019337D"/>
    <w:rsid w:val="00194351"/>
    <w:rsid w:val="00196454"/>
    <w:rsid w:val="001B14D3"/>
    <w:rsid w:val="001B7730"/>
    <w:rsid w:val="001C2D06"/>
    <w:rsid w:val="001C4F51"/>
    <w:rsid w:val="001C72E3"/>
    <w:rsid w:val="001D1DC7"/>
    <w:rsid w:val="001D3375"/>
    <w:rsid w:val="001D39D1"/>
    <w:rsid w:val="001D446D"/>
    <w:rsid w:val="001D7E6E"/>
    <w:rsid w:val="001E3EDF"/>
    <w:rsid w:val="001E63F8"/>
    <w:rsid w:val="001F65BD"/>
    <w:rsid w:val="001F7BB3"/>
    <w:rsid w:val="002035D3"/>
    <w:rsid w:val="00207DC8"/>
    <w:rsid w:val="00216026"/>
    <w:rsid w:val="0022299C"/>
    <w:rsid w:val="0022431A"/>
    <w:rsid w:val="00224A38"/>
    <w:rsid w:val="0023449C"/>
    <w:rsid w:val="00235F13"/>
    <w:rsid w:val="002415D1"/>
    <w:rsid w:val="002421E2"/>
    <w:rsid w:val="00242497"/>
    <w:rsid w:val="00242D18"/>
    <w:rsid w:val="002530BE"/>
    <w:rsid w:val="00253AB8"/>
    <w:rsid w:val="002550E0"/>
    <w:rsid w:val="0026143C"/>
    <w:rsid w:val="002643DB"/>
    <w:rsid w:val="00267932"/>
    <w:rsid w:val="002716DB"/>
    <w:rsid w:val="002718FA"/>
    <w:rsid w:val="00276C1E"/>
    <w:rsid w:val="00283120"/>
    <w:rsid w:val="0028410E"/>
    <w:rsid w:val="00294A00"/>
    <w:rsid w:val="002965B3"/>
    <w:rsid w:val="002A45C8"/>
    <w:rsid w:val="002B7142"/>
    <w:rsid w:val="002C0A5C"/>
    <w:rsid w:val="002C0C36"/>
    <w:rsid w:val="002D0A08"/>
    <w:rsid w:val="002D2879"/>
    <w:rsid w:val="002E108E"/>
    <w:rsid w:val="002E1257"/>
    <w:rsid w:val="002E214C"/>
    <w:rsid w:val="002E2B4E"/>
    <w:rsid w:val="002E39E1"/>
    <w:rsid w:val="002F2EA7"/>
    <w:rsid w:val="002F54E9"/>
    <w:rsid w:val="002F66A3"/>
    <w:rsid w:val="002F6BDC"/>
    <w:rsid w:val="002F6F65"/>
    <w:rsid w:val="002F770E"/>
    <w:rsid w:val="003059DE"/>
    <w:rsid w:val="00316223"/>
    <w:rsid w:val="00324454"/>
    <w:rsid w:val="00324620"/>
    <w:rsid w:val="00327CC4"/>
    <w:rsid w:val="00332B85"/>
    <w:rsid w:val="003412BD"/>
    <w:rsid w:val="00341754"/>
    <w:rsid w:val="003430AF"/>
    <w:rsid w:val="00343215"/>
    <w:rsid w:val="00353AF5"/>
    <w:rsid w:val="00353E8C"/>
    <w:rsid w:val="00354E0B"/>
    <w:rsid w:val="003601AD"/>
    <w:rsid w:val="00362216"/>
    <w:rsid w:val="00362909"/>
    <w:rsid w:val="00362C24"/>
    <w:rsid w:val="003651EA"/>
    <w:rsid w:val="003661D6"/>
    <w:rsid w:val="00366B72"/>
    <w:rsid w:val="00370A53"/>
    <w:rsid w:val="003723E4"/>
    <w:rsid w:val="00382424"/>
    <w:rsid w:val="00387401"/>
    <w:rsid w:val="003906CF"/>
    <w:rsid w:val="00390BF1"/>
    <w:rsid w:val="00393C3C"/>
    <w:rsid w:val="00394117"/>
    <w:rsid w:val="003944F6"/>
    <w:rsid w:val="003950FE"/>
    <w:rsid w:val="003A0234"/>
    <w:rsid w:val="003B03B8"/>
    <w:rsid w:val="003B0A6C"/>
    <w:rsid w:val="003B1FA9"/>
    <w:rsid w:val="003B64E5"/>
    <w:rsid w:val="003C1905"/>
    <w:rsid w:val="003C228D"/>
    <w:rsid w:val="003C3F00"/>
    <w:rsid w:val="003C5A78"/>
    <w:rsid w:val="003C752E"/>
    <w:rsid w:val="003D0986"/>
    <w:rsid w:val="003D4031"/>
    <w:rsid w:val="003D5532"/>
    <w:rsid w:val="003D7E01"/>
    <w:rsid w:val="003E3D46"/>
    <w:rsid w:val="003E439F"/>
    <w:rsid w:val="003F3B74"/>
    <w:rsid w:val="003F758C"/>
    <w:rsid w:val="00407496"/>
    <w:rsid w:val="00410E46"/>
    <w:rsid w:val="0042433A"/>
    <w:rsid w:val="00424766"/>
    <w:rsid w:val="00426F99"/>
    <w:rsid w:val="004322A6"/>
    <w:rsid w:val="00433B32"/>
    <w:rsid w:val="00435B09"/>
    <w:rsid w:val="00437E26"/>
    <w:rsid w:val="00444CB6"/>
    <w:rsid w:val="00445301"/>
    <w:rsid w:val="00445C74"/>
    <w:rsid w:val="00460619"/>
    <w:rsid w:val="004627D1"/>
    <w:rsid w:val="00462F39"/>
    <w:rsid w:val="004675BC"/>
    <w:rsid w:val="00474366"/>
    <w:rsid w:val="00474C1F"/>
    <w:rsid w:val="00475F3A"/>
    <w:rsid w:val="004760C5"/>
    <w:rsid w:val="004806CC"/>
    <w:rsid w:val="00482C15"/>
    <w:rsid w:val="0048436F"/>
    <w:rsid w:val="004864F6"/>
    <w:rsid w:val="00486A17"/>
    <w:rsid w:val="00490190"/>
    <w:rsid w:val="004924EB"/>
    <w:rsid w:val="0049251D"/>
    <w:rsid w:val="004933A0"/>
    <w:rsid w:val="004A491A"/>
    <w:rsid w:val="004A5C27"/>
    <w:rsid w:val="004A5D56"/>
    <w:rsid w:val="004B2199"/>
    <w:rsid w:val="004B3FDE"/>
    <w:rsid w:val="004C0F1B"/>
    <w:rsid w:val="004C650B"/>
    <w:rsid w:val="004D014B"/>
    <w:rsid w:val="004D0773"/>
    <w:rsid w:val="004D3E4F"/>
    <w:rsid w:val="004D635D"/>
    <w:rsid w:val="004D7861"/>
    <w:rsid w:val="004E4CAF"/>
    <w:rsid w:val="004E6003"/>
    <w:rsid w:val="004E664A"/>
    <w:rsid w:val="004E7BD1"/>
    <w:rsid w:val="004F142B"/>
    <w:rsid w:val="004F245A"/>
    <w:rsid w:val="004F644C"/>
    <w:rsid w:val="00506739"/>
    <w:rsid w:val="00506FD9"/>
    <w:rsid w:val="00511F22"/>
    <w:rsid w:val="00520C89"/>
    <w:rsid w:val="00521F50"/>
    <w:rsid w:val="0053076A"/>
    <w:rsid w:val="00531249"/>
    <w:rsid w:val="0053671F"/>
    <w:rsid w:val="0053747F"/>
    <w:rsid w:val="00541E49"/>
    <w:rsid w:val="0054643A"/>
    <w:rsid w:val="00550FFA"/>
    <w:rsid w:val="00553E1F"/>
    <w:rsid w:val="005541D6"/>
    <w:rsid w:val="00557041"/>
    <w:rsid w:val="00557AEF"/>
    <w:rsid w:val="00561337"/>
    <w:rsid w:val="005632ED"/>
    <w:rsid w:val="005661D5"/>
    <w:rsid w:val="0056789E"/>
    <w:rsid w:val="005702DB"/>
    <w:rsid w:val="00582034"/>
    <w:rsid w:val="00582E41"/>
    <w:rsid w:val="00583A11"/>
    <w:rsid w:val="005949F1"/>
    <w:rsid w:val="005A0AEA"/>
    <w:rsid w:val="005A10EC"/>
    <w:rsid w:val="005A185A"/>
    <w:rsid w:val="005A35E3"/>
    <w:rsid w:val="005A4741"/>
    <w:rsid w:val="005B0B9C"/>
    <w:rsid w:val="005B31D8"/>
    <w:rsid w:val="005B3EF5"/>
    <w:rsid w:val="005B5E55"/>
    <w:rsid w:val="005C1D26"/>
    <w:rsid w:val="005D2442"/>
    <w:rsid w:val="005D3A26"/>
    <w:rsid w:val="005E31E6"/>
    <w:rsid w:val="005E46EF"/>
    <w:rsid w:val="005E4778"/>
    <w:rsid w:val="005F2778"/>
    <w:rsid w:val="005F425D"/>
    <w:rsid w:val="005F5B30"/>
    <w:rsid w:val="00603E50"/>
    <w:rsid w:val="006041C0"/>
    <w:rsid w:val="00605833"/>
    <w:rsid w:val="00606806"/>
    <w:rsid w:val="006072EF"/>
    <w:rsid w:val="006105E0"/>
    <w:rsid w:val="00612270"/>
    <w:rsid w:val="00612865"/>
    <w:rsid w:val="00612A59"/>
    <w:rsid w:val="00622430"/>
    <w:rsid w:val="006238DB"/>
    <w:rsid w:val="006333FB"/>
    <w:rsid w:val="00633EC3"/>
    <w:rsid w:val="00642689"/>
    <w:rsid w:val="00646C97"/>
    <w:rsid w:val="006609CA"/>
    <w:rsid w:val="006625D4"/>
    <w:rsid w:val="00663FB1"/>
    <w:rsid w:val="0066584A"/>
    <w:rsid w:val="00670306"/>
    <w:rsid w:val="00683755"/>
    <w:rsid w:val="00684FDC"/>
    <w:rsid w:val="006A06ED"/>
    <w:rsid w:val="006A288F"/>
    <w:rsid w:val="006B25DF"/>
    <w:rsid w:val="006B7555"/>
    <w:rsid w:val="006C339F"/>
    <w:rsid w:val="006C4285"/>
    <w:rsid w:val="006D2376"/>
    <w:rsid w:val="006D46C3"/>
    <w:rsid w:val="006D577A"/>
    <w:rsid w:val="006D6EF0"/>
    <w:rsid w:val="006E51BE"/>
    <w:rsid w:val="006E5EA4"/>
    <w:rsid w:val="006F5160"/>
    <w:rsid w:val="007000A1"/>
    <w:rsid w:val="007078D4"/>
    <w:rsid w:val="0070793C"/>
    <w:rsid w:val="00713255"/>
    <w:rsid w:val="00717097"/>
    <w:rsid w:val="00720187"/>
    <w:rsid w:val="00723590"/>
    <w:rsid w:val="00733C9F"/>
    <w:rsid w:val="00735B9D"/>
    <w:rsid w:val="00760D22"/>
    <w:rsid w:val="00763FA5"/>
    <w:rsid w:val="00766821"/>
    <w:rsid w:val="00777E31"/>
    <w:rsid w:val="00783D5F"/>
    <w:rsid w:val="007960D0"/>
    <w:rsid w:val="00796871"/>
    <w:rsid w:val="007976FB"/>
    <w:rsid w:val="007A2C7C"/>
    <w:rsid w:val="007A449F"/>
    <w:rsid w:val="007A6B9B"/>
    <w:rsid w:val="007B2957"/>
    <w:rsid w:val="007B694E"/>
    <w:rsid w:val="007B7D4A"/>
    <w:rsid w:val="007C22F5"/>
    <w:rsid w:val="007C3948"/>
    <w:rsid w:val="007D01AB"/>
    <w:rsid w:val="007D1140"/>
    <w:rsid w:val="007D5A1D"/>
    <w:rsid w:val="007E3D2F"/>
    <w:rsid w:val="007E4873"/>
    <w:rsid w:val="007E51EF"/>
    <w:rsid w:val="007E77B1"/>
    <w:rsid w:val="007F33B9"/>
    <w:rsid w:val="007F4568"/>
    <w:rsid w:val="007F7E30"/>
    <w:rsid w:val="00803DFE"/>
    <w:rsid w:val="00804EB0"/>
    <w:rsid w:val="00804FD7"/>
    <w:rsid w:val="008056D5"/>
    <w:rsid w:val="00812433"/>
    <w:rsid w:val="008201F4"/>
    <w:rsid w:val="0082124D"/>
    <w:rsid w:val="0083610F"/>
    <w:rsid w:val="00840C87"/>
    <w:rsid w:val="008453B4"/>
    <w:rsid w:val="00850B83"/>
    <w:rsid w:val="00856B40"/>
    <w:rsid w:val="00857523"/>
    <w:rsid w:val="00861194"/>
    <w:rsid w:val="00871453"/>
    <w:rsid w:val="0087461C"/>
    <w:rsid w:val="0087589F"/>
    <w:rsid w:val="008818F7"/>
    <w:rsid w:val="00881D4A"/>
    <w:rsid w:val="008839A4"/>
    <w:rsid w:val="00883DA6"/>
    <w:rsid w:val="00896F1C"/>
    <w:rsid w:val="008A76FC"/>
    <w:rsid w:val="008B75A8"/>
    <w:rsid w:val="008D338D"/>
    <w:rsid w:val="008D3D51"/>
    <w:rsid w:val="008D7F56"/>
    <w:rsid w:val="008E2A20"/>
    <w:rsid w:val="008F45EC"/>
    <w:rsid w:val="00900EBB"/>
    <w:rsid w:val="00902DC8"/>
    <w:rsid w:val="00904808"/>
    <w:rsid w:val="0091088F"/>
    <w:rsid w:val="00922084"/>
    <w:rsid w:val="00924FCB"/>
    <w:rsid w:val="00925CD3"/>
    <w:rsid w:val="0093753D"/>
    <w:rsid w:val="00942401"/>
    <w:rsid w:val="00945658"/>
    <w:rsid w:val="00945768"/>
    <w:rsid w:val="00946530"/>
    <w:rsid w:val="00954626"/>
    <w:rsid w:val="009612BE"/>
    <w:rsid w:val="0096597E"/>
    <w:rsid w:val="00966231"/>
    <w:rsid w:val="0096727D"/>
    <w:rsid w:val="00971F18"/>
    <w:rsid w:val="00972600"/>
    <w:rsid w:val="009873A9"/>
    <w:rsid w:val="00991CFA"/>
    <w:rsid w:val="009A056B"/>
    <w:rsid w:val="009A0960"/>
    <w:rsid w:val="009A0AFF"/>
    <w:rsid w:val="009A0B77"/>
    <w:rsid w:val="009A2C9C"/>
    <w:rsid w:val="009A76C9"/>
    <w:rsid w:val="009B1F51"/>
    <w:rsid w:val="009B266A"/>
    <w:rsid w:val="009C38E3"/>
    <w:rsid w:val="009C7719"/>
    <w:rsid w:val="009D5292"/>
    <w:rsid w:val="009D58F9"/>
    <w:rsid w:val="009F37F9"/>
    <w:rsid w:val="009F5068"/>
    <w:rsid w:val="00A011BB"/>
    <w:rsid w:val="00A05982"/>
    <w:rsid w:val="00A074F9"/>
    <w:rsid w:val="00A07C0D"/>
    <w:rsid w:val="00A07C29"/>
    <w:rsid w:val="00A1006E"/>
    <w:rsid w:val="00A10A75"/>
    <w:rsid w:val="00A11D33"/>
    <w:rsid w:val="00A11E4D"/>
    <w:rsid w:val="00A11FA8"/>
    <w:rsid w:val="00A203B6"/>
    <w:rsid w:val="00A20FFA"/>
    <w:rsid w:val="00A268CF"/>
    <w:rsid w:val="00A31D22"/>
    <w:rsid w:val="00A472BD"/>
    <w:rsid w:val="00A5799E"/>
    <w:rsid w:val="00A618FB"/>
    <w:rsid w:val="00A61B1A"/>
    <w:rsid w:val="00A63AD1"/>
    <w:rsid w:val="00A7540D"/>
    <w:rsid w:val="00A77DFE"/>
    <w:rsid w:val="00A80E26"/>
    <w:rsid w:val="00A85A0E"/>
    <w:rsid w:val="00A921C8"/>
    <w:rsid w:val="00A93E1E"/>
    <w:rsid w:val="00AA0AF9"/>
    <w:rsid w:val="00AA6647"/>
    <w:rsid w:val="00AB0112"/>
    <w:rsid w:val="00AB1120"/>
    <w:rsid w:val="00AB3191"/>
    <w:rsid w:val="00AB3935"/>
    <w:rsid w:val="00AB7710"/>
    <w:rsid w:val="00AD1179"/>
    <w:rsid w:val="00AD2A4F"/>
    <w:rsid w:val="00AE1EFC"/>
    <w:rsid w:val="00AE6C08"/>
    <w:rsid w:val="00AE752F"/>
    <w:rsid w:val="00AE7A9B"/>
    <w:rsid w:val="00AF278E"/>
    <w:rsid w:val="00AF4263"/>
    <w:rsid w:val="00AF4BB1"/>
    <w:rsid w:val="00AF5A98"/>
    <w:rsid w:val="00B01B5A"/>
    <w:rsid w:val="00B04ECC"/>
    <w:rsid w:val="00B06C1C"/>
    <w:rsid w:val="00B07BCA"/>
    <w:rsid w:val="00B105F9"/>
    <w:rsid w:val="00B114A6"/>
    <w:rsid w:val="00B11662"/>
    <w:rsid w:val="00B14C33"/>
    <w:rsid w:val="00B15A39"/>
    <w:rsid w:val="00B17B10"/>
    <w:rsid w:val="00B17FA4"/>
    <w:rsid w:val="00B21EAF"/>
    <w:rsid w:val="00B22F0F"/>
    <w:rsid w:val="00B23BD8"/>
    <w:rsid w:val="00B2644A"/>
    <w:rsid w:val="00B26D65"/>
    <w:rsid w:val="00B338B8"/>
    <w:rsid w:val="00B40DC5"/>
    <w:rsid w:val="00B42042"/>
    <w:rsid w:val="00B427E6"/>
    <w:rsid w:val="00B5007D"/>
    <w:rsid w:val="00B5498C"/>
    <w:rsid w:val="00B56F4E"/>
    <w:rsid w:val="00B5759F"/>
    <w:rsid w:val="00B62E44"/>
    <w:rsid w:val="00B65EEE"/>
    <w:rsid w:val="00B67E25"/>
    <w:rsid w:val="00B7163D"/>
    <w:rsid w:val="00B77668"/>
    <w:rsid w:val="00B84E04"/>
    <w:rsid w:val="00B87179"/>
    <w:rsid w:val="00B87A71"/>
    <w:rsid w:val="00B92E79"/>
    <w:rsid w:val="00B9333A"/>
    <w:rsid w:val="00B95370"/>
    <w:rsid w:val="00BA36E4"/>
    <w:rsid w:val="00BB1995"/>
    <w:rsid w:val="00BB1E1B"/>
    <w:rsid w:val="00BB323E"/>
    <w:rsid w:val="00BB5263"/>
    <w:rsid w:val="00BC28F6"/>
    <w:rsid w:val="00BC3EB2"/>
    <w:rsid w:val="00BC6E4E"/>
    <w:rsid w:val="00BD2A10"/>
    <w:rsid w:val="00BD5352"/>
    <w:rsid w:val="00BE10A9"/>
    <w:rsid w:val="00BE5D28"/>
    <w:rsid w:val="00BF5079"/>
    <w:rsid w:val="00BF5ED7"/>
    <w:rsid w:val="00BF710E"/>
    <w:rsid w:val="00C03C6E"/>
    <w:rsid w:val="00C16878"/>
    <w:rsid w:val="00C17081"/>
    <w:rsid w:val="00C20851"/>
    <w:rsid w:val="00C215BA"/>
    <w:rsid w:val="00C24345"/>
    <w:rsid w:val="00C25E32"/>
    <w:rsid w:val="00C30D51"/>
    <w:rsid w:val="00C31CEF"/>
    <w:rsid w:val="00C3663C"/>
    <w:rsid w:val="00C36B27"/>
    <w:rsid w:val="00C4190E"/>
    <w:rsid w:val="00C519A4"/>
    <w:rsid w:val="00C57E76"/>
    <w:rsid w:val="00C62137"/>
    <w:rsid w:val="00C64F22"/>
    <w:rsid w:val="00C65076"/>
    <w:rsid w:val="00C73399"/>
    <w:rsid w:val="00C75C94"/>
    <w:rsid w:val="00C81218"/>
    <w:rsid w:val="00C87625"/>
    <w:rsid w:val="00C87C46"/>
    <w:rsid w:val="00C90C03"/>
    <w:rsid w:val="00C92CD0"/>
    <w:rsid w:val="00C93F20"/>
    <w:rsid w:val="00CA1B75"/>
    <w:rsid w:val="00CA1BB5"/>
    <w:rsid w:val="00CA20F9"/>
    <w:rsid w:val="00CA50DF"/>
    <w:rsid w:val="00CA5777"/>
    <w:rsid w:val="00CB091F"/>
    <w:rsid w:val="00CD0442"/>
    <w:rsid w:val="00CD286E"/>
    <w:rsid w:val="00CD4DAF"/>
    <w:rsid w:val="00CD5BB5"/>
    <w:rsid w:val="00CD6EE4"/>
    <w:rsid w:val="00CE0BA8"/>
    <w:rsid w:val="00CE44A1"/>
    <w:rsid w:val="00CE5506"/>
    <w:rsid w:val="00CE7149"/>
    <w:rsid w:val="00CE7F30"/>
    <w:rsid w:val="00CF2CC6"/>
    <w:rsid w:val="00CF4007"/>
    <w:rsid w:val="00CF5391"/>
    <w:rsid w:val="00D03308"/>
    <w:rsid w:val="00D146E3"/>
    <w:rsid w:val="00D226C7"/>
    <w:rsid w:val="00D248B3"/>
    <w:rsid w:val="00D31228"/>
    <w:rsid w:val="00D31446"/>
    <w:rsid w:val="00D44301"/>
    <w:rsid w:val="00D473F1"/>
    <w:rsid w:val="00D50757"/>
    <w:rsid w:val="00D51DBA"/>
    <w:rsid w:val="00D57FDD"/>
    <w:rsid w:val="00D61663"/>
    <w:rsid w:val="00D7223E"/>
    <w:rsid w:val="00D755FD"/>
    <w:rsid w:val="00D826C7"/>
    <w:rsid w:val="00D8353A"/>
    <w:rsid w:val="00D83BE0"/>
    <w:rsid w:val="00D842FF"/>
    <w:rsid w:val="00D84F66"/>
    <w:rsid w:val="00D861C4"/>
    <w:rsid w:val="00D87687"/>
    <w:rsid w:val="00D93057"/>
    <w:rsid w:val="00D9611F"/>
    <w:rsid w:val="00D9775E"/>
    <w:rsid w:val="00DA183B"/>
    <w:rsid w:val="00DA2910"/>
    <w:rsid w:val="00DA79DA"/>
    <w:rsid w:val="00DB255E"/>
    <w:rsid w:val="00DB75F1"/>
    <w:rsid w:val="00DB7F69"/>
    <w:rsid w:val="00DC0422"/>
    <w:rsid w:val="00DC0C57"/>
    <w:rsid w:val="00DC2742"/>
    <w:rsid w:val="00DD236C"/>
    <w:rsid w:val="00DD4D02"/>
    <w:rsid w:val="00DD5493"/>
    <w:rsid w:val="00DD7073"/>
    <w:rsid w:val="00DD7AFF"/>
    <w:rsid w:val="00DE0906"/>
    <w:rsid w:val="00DE0E7C"/>
    <w:rsid w:val="00DE4C52"/>
    <w:rsid w:val="00DE658D"/>
    <w:rsid w:val="00DF369F"/>
    <w:rsid w:val="00E05044"/>
    <w:rsid w:val="00E05CA0"/>
    <w:rsid w:val="00E105D4"/>
    <w:rsid w:val="00E10F52"/>
    <w:rsid w:val="00E123A8"/>
    <w:rsid w:val="00E12851"/>
    <w:rsid w:val="00E138D4"/>
    <w:rsid w:val="00E171DE"/>
    <w:rsid w:val="00E21D7F"/>
    <w:rsid w:val="00E2415A"/>
    <w:rsid w:val="00E267D4"/>
    <w:rsid w:val="00E33EBC"/>
    <w:rsid w:val="00E36FEB"/>
    <w:rsid w:val="00E4337D"/>
    <w:rsid w:val="00E442A9"/>
    <w:rsid w:val="00E4531D"/>
    <w:rsid w:val="00E50B98"/>
    <w:rsid w:val="00E51CBD"/>
    <w:rsid w:val="00E55259"/>
    <w:rsid w:val="00E60178"/>
    <w:rsid w:val="00E6128E"/>
    <w:rsid w:val="00E62B06"/>
    <w:rsid w:val="00E63762"/>
    <w:rsid w:val="00E643A4"/>
    <w:rsid w:val="00E663F5"/>
    <w:rsid w:val="00E719C4"/>
    <w:rsid w:val="00E7290B"/>
    <w:rsid w:val="00E73FFC"/>
    <w:rsid w:val="00E74867"/>
    <w:rsid w:val="00E902F8"/>
    <w:rsid w:val="00E9187E"/>
    <w:rsid w:val="00E94F4D"/>
    <w:rsid w:val="00E95CF1"/>
    <w:rsid w:val="00EA05A0"/>
    <w:rsid w:val="00EA09A8"/>
    <w:rsid w:val="00EA3025"/>
    <w:rsid w:val="00EB05CB"/>
    <w:rsid w:val="00ED369B"/>
    <w:rsid w:val="00ED3C37"/>
    <w:rsid w:val="00ED4ED3"/>
    <w:rsid w:val="00ED572D"/>
    <w:rsid w:val="00ED5C6B"/>
    <w:rsid w:val="00ED7145"/>
    <w:rsid w:val="00EE060C"/>
    <w:rsid w:val="00EE56C4"/>
    <w:rsid w:val="00EF101E"/>
    <w:rsid w:val="00EF23B2"/>
    <w:rsid w:val="00EF29FE"/>
    <w:rsid w:val="00EF5492"/>
    <w:rsid w:val="00F00722"/>
    <w:rsid w:val="00F0479C"/>
    <w:rsid w:val="00F151F6"/>
    <w:rsid w:val="00F15EFD"/>
    <w:rsid w:val="00F2581B"/>
    <w:rsid w:val="00F35F7C"/>
    <w:rsid w:val="00F56FA8"/>
    <w:rsid w:val="00F57374"/>
    <w:rsid w:val="00F57A52"/>
    <w:rsid w:val="00F67358"/>
    <w:rsid w:val="00F7038C"/>
    <w:rsid w:val="00F72E25"/>
    <w:rsid w:val="00F7354E"/>
    <w:rsid w:val="00F73AE6"/>
    <w:rsid w:val="00F81FB4"/>
    <w:rsid w:val="00F8412E"/>
    <w:rsid w:val="00F84162"/>
    <w:rsid w:val="00F85555"/>
    <w:rsid w:val="00F85CBB"/>
    <w:rsid w:val="00F86E71"/>
    <w:rsid w:val="00F91943"/>
    <w:rsid w:val="00F93D02"/>
    <w:rsid w:val="00FA2866"/>
    <w:rsid w:val="00FA2B15"/>
    <w:rsid w:val="00FA2F62"/>
    <w:rsid w:val="00FA5AED"/>
    <w:rsid w:val="00FA5D7F"/>
    <w:rsid w:val="00FA7092"/>
    <w:rsid w:val="00FC1FDB"/>
    <w:rsid w:val="00FC209B"/>
    <w:rsid w:val="00FC3C65"/>
    <w:rsid w:val="00FC502D"/>
    <w:rsid w:val="00FC54EA"/>
    <w:rsid w:val="00FC564A"/>
    <w:rsid w:val="00FD4225"/>
    <w:rsid w:val="00FE03A1"/>
    <w:rsid w:val="00FE654A"/>
    <w:rsid w:val="00FF4588"/>
    <w:rsid w:val="00FF6E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2">
    <w:name w:val="heading 2"/>
    <w:basedOn w:val="Normal"/>
    <w:next w:val="Normal"/>
    <w:link w:val="Ttulo2Char"/>
    <w:uiPriority w:val="9"/>
    <w:unhideWhenUsed/>
    <w:qFormat/>
    <w:rsid w:val="00224A38"/>
    <w:pPr>
      <w:keepNext/>
      <w:keepLines/>
      <w:spacing w:before="200" w:after="0"/>
      <w:outlineLvl w:val="1"/>
    </w:pPr>
    <w:rPr>
      <w:rFonts w:ascii="Cambria" w:eastAsia="Times New Roman" w:hAnsi="Cambria"/>
      <w:b/>
      <w:bCs/>
      <w:color w:val="4F81BD"/>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13255"/>
    <w:pPr>
      <w:ind w:left="720"/>
      <w:contextualSpacing/>
    </w:pPr>
  </w:style>
  <w:style w:type="paragraph" w:customStyle="1" w:styleId="Default">
    <w:name w:val="Default"/>
    <w:rsid w:val="00713255"/>
    <w:pPr>
      <w:autoSpaceDE w:val="0"/>
      <w:autoSpaceDN w:val="0"/>
      <w:adjustRightInd w:val="0"/>
    </w:pPr>
    <w:rPr>
      <w:rFonts w:ascii="Times New Roman" w:hAnsi="Times New Roman"/>
      <w:color w:val="000000"/>
      <w:sz w:val="24"/>
      <w:szCs w:val="24"/>
      <w:lang w:eastAsia="en-US"/>
    </w:rPr>
  </w:style>
  <w:style w:type="character" w:customStyle="1" w:styleId="Ttulo2Char">
    <w:name w:val="Título 2 Char"/>
    <w:link w:val="Ttulo2"/>
    <w:uiPriority w:val="9"/>
    <w:rsid w:val="00224A38"/>
    <w:rPr>
      <w:rFonts w:ascii="Cambria" w:eastAsia="Times New Roman" w:hAnsi="Cambria" w:cs="Times New Roman"/>
      <w:b/>
      <w:bCs/>
      <w:color w:val="4F81BD"/>
      <w:sz w:val="26"/>
      <w:szCs w:val="26"/>
    </w:rPr>
  </w:style>
  <w:style w:type="paragraph" w:styleId="Textodenotaderodap">
    <w:name w:val="footnote text"/>
    <w:basedOn w:val="Normal"/>
    <w:link w:val="TextodenotaderodapChar"/>
    <w:uiPriority w:val="99"/>
    <w:semiHidden/>
    <w:unhideWhenUsed/>
    <w:rsid w:val="00BB323E"/>
    <w:pPr>
      <w:spacing w:after="0" w:line="240" w:lineRule="auto"/>
    </w:pPr>
    <w:rPr>
      <w:sz w:val="20"/>
      <w:szCs w:val="20"/>
    </w:rPr>
  </w:style>
  <w:style w:type="character" w:customStyle="1" w:styleId="TextodenotaderodapChar">
    <w:name w:val="Texto de nota de rodapé Char"/>
    <w:link w:val="Textodenotaderodap"/>
    <w:uiPriority w:val="99"/>
    <w:semiHidden/>
    <w:rsid w:val="00BB323E"/>
    <w:rPr>
      <w:sz w:val="20"/>
      <w:szCs w:val="20"/>
    </w:rPr>
  </w:style>
  <w:style w:type="character" w:styleId="Refdenotaderodap">
    <w:name w:val="footnote reference"/>
    <w:uiPriority w:val="99"/>
    <w:semiHidden/>
    <w:unhideWhenUsed/>
    <w:rsid w:val="00BB323E"/>
    <w:rPr>
      <w:vertAlign w:val="superscript"/>
    </w:rPr>
  </w:style>
  <w:style w:type="table" w:styleId="Tabelacomgrade">
    <w:name w:val="Table Grid"/>
    <w:basedOn w:val="Tabelanormal"/>
    <w:uiPriority w:val="59"/>
    <w:rsid w:val="001460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B2644A"/>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B2644A"/>
    <w:rPr>
      <w:rFonts w:ascii="Tahoma" w:hAnsi="Tahoma" w:cs="Tahoma"/>
      <w:sz w:val="16"/>
      <w:szCs w:val="16"/>
    </w:rPr>
  </w:style>
  <w:style w:type="paragraph" w:styleId="SemEspaamento">
    <w:name w:val="No Spacing"/>
    <w:uiPriority w:val="1"/>
    <w:qFormat/>
    <w:rsid w:val="00945658"/>
    <w:rPr>
      <w:sz w:val="22"/>
      <w:szCs w:val="22"/>
      <w:lang w:eastAsia="en-US"/>
    </w:rPr>
  </w:style>
  <w:style w:type="paragraph" w:styleId="Legenda">
    <w:name w:val="caption"/>
    <w:basedOn w:val="Normal"/>
    <w:next w:val="Normal"/>
    <w:uiPriority w:val="35"/>
    <w:unhideWhenUsed/>
    <w:qFormat/>
    <w:rsid w:val="0053747F"/>
    <w:pPr>
      <w:spacing w:line="240" w:lineRule="auto"/>
    </w:pPr>
    <w:rPr>
      <w:b/>
      <w:bCs/>
      <w:color w:val="4F81BD"/>
      <w:sz w:val="18"/>
      <w:szCs w:val="18"/>
    </w:rPr>
  </w:style>
  <w:style w:type="character" w:styleId="Hyperlink">
    <w:name w:val="Hyperlink"/>
    <w:uiPriority w:val="99"/>
    <w:unhideWhenUsed/>
    <w:rsid w:val="007E4873"/>
    <w:rPr>
      <w:color w:val="0000FF"/>
      <w:u w:val="single"/>
    </w:rPr>
  </w:style>
  <w:style w:type="character" w:styleId="Refdecomentrio">
    <w:name w:val="annotation reference"/>
    <w:uiPriority w:val="99"/>
    <w:semiHidden/>
    <w:unhideWhenUsed/>
    <w:rsid w:val="00C03C6E"/>
    <w:rPr>
      <w:sz w:val="16"/>
      <w:szCs w:val="16"/>
    </w:rPr>
  </w:style>
  <w:style w:type="paragraph" w:styleId="Textodecomentrio">
    <w:name w:val="annotation text"/>
    <w:basedOn w:val="Normal"/>
    <w:link w:val="TextodecomentrioChar"/>
    <w:uiPriority w:val="99"/>
    <w:semiHidden/>
    <w:unhideWhenUsed/>
    <w:rsid w:val="00C03C6E"/>
    <w:rPr>
      <w:sz w:val="20"/>
      <w:szCs w:val="20"/>
    </w:rPr>
  </w:style>
  <w:style w:type="character" w:customStyle="1" w:styleId="TextodecomentrioChar">
    <w:name w:val="Texto de comentário Char"/>
    <w:link w:val="Textodecomentrio"/>
    <w:uiPriority w:val="99"/>
    <w:semiHidden/>
    <w:rsid w:val="00C03C6E"/>
    <w:rPr>
      <w:lang w:eastAsia="en-US"/>
    </w:rPr>
  </w:style>
  <w:style w:type="paragraph" w:styleId="Assuntodocomentrio">
    <w:name w:val="annotation subject"/>
    <w:basedOn w:val="Textodecomentrio"/>
    <w:next w:val="Textodecomentrio"/>
    <w:link w:val="AssuntodocomentrioChar"/>
    <w:uiPriority w:val="99"/>
    <w:semiHidden/>
    <w:unhideWhenUsed/>
    <w:rsid w:val="00C03C6E"/>
    <w:rPr>
      <w:b/>
      <w:bCs/>
    </w:rPr>
  </w:style>
  <w:style w:type="character" w:customStyle="1" w:styleId="AssuntodocomentrioChar">
    <w:name w:val="Assunto do comentário Char"/>
    <w:link w:val="Assuntodocomentrio"/>
    <w:uiPriority w:val="99"/>
    <w:semiHidden/>
    <w:rsid w:val="00C03C6E"/>
    <w:rPr>
      <w:b/>
      <w:bCs/>
      <w:lang w:eastAsia="en-US"/>
    </w:rPr>
  </w:style>
  <w:style w:type="paragraph" w:styleId="Reviso">
    <w:name w:val="Revision"/>
    <w:hidden/>
    <w:uiPriority w:val="99"/>
    <w:semiHidden/>
    <w:rsid w:val="00C03C6E"/>
    <w:rPr>
      <w:sz w:val="22"/>
      <w:szCs w:val="22"/>
      <w:lang w:eastAsia="en-US"/>
    </w:rPr>
  </w:style>
  <w:style w:type="character" w:styleId="nfase">
    <w:name w:val="Emphasis"/>
    <w:uiPriority w:val="20"/>
    <w:qFormat/>
    <w:rsid w:val="00CE44A1"/>
    <w:rPr>
      <w:i/>
      <w:iCs/>
    </w:rPr>
  </w:style>
  <w:style w:type="character" w:styleId="Nmerodelinha">
    <w:name w:val="line number"/>
    <w:uiPriority w:val="99"/>
    <w:semiHidden/>
    <w:unhideWhenUsed/>
    <w:rsid w:val="003C5A78"/>
  </w:style>
  <w:style w:type="paragraph" w:styleId="Cabealho">
    <w:name w:val="header"/>
    <w:basedOn w:val="Normal"/>
    <w:link w:val="CabealhoChar"/>
    <w:uiPriority w:val="99"/>
    <w:unhideWhenUsed/>
    <w:rsid w:val="003C5A78"/>
    <w:pPr>
      <w:tabs>
        <w:tab w:val="center" w:pos="4252"/>
        <w:tab w:val="right" w:pos="8504"/>
      </w:tabs>
    </w:pPr>
  </w:style>
  <w:style w:type="character" w:customStyle="1" w:styleId="CabealhoChar">
    <w:name w:val="Cabeçalho Char"/>
    <w:link w:val="Cabealho"/>
    <w:uiPriority w:val="99"/>
    <w:rsid w:val="003C5A78"/>
    <w:rPr>
      <w:sz w:val="22"/>
      <w:szCs w:val="22"/>
      <w:lang w:eastAsia="en-US"/>
    </w:rPr>
  </w:style>
  <w:style w:type="paragraph" w:styleId="Rodap">
    <w:name w:val="footer"/>
    <w:basedOn w:val="Normal"/>
    <w:link w:val="RodapChar"/>
    <w:uiPriority w:val="99"/>
    <w:unhideWhenUsed/>
    <w:rsid w:val="003C5A78"/>
    <w:pPr>
      <w:tabs>
        <w:tab w:val="center" w:pos="4252"/>
        <w:tab w:val="right" w:pos="8504"/>
      </w:tabs>
    </w:pPr>
  </w:style>
  <w:style w:type="character" w:customStyle="1" w:styleId="RodapChar">
    <w:name w:val="Rodapé Char"/>
    <w:link w:val="Rodap"/>
    <w:uiPriority w:val="99"/>
    <w:rsid w:val="003C5A78"/>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2">
    <w:name w:val="heading 2"/>
    <w:basedOn w:val="Normal"/>
    <w:next w:val="Normal"/>
    <w:link w:val="Ttulo2Char"/>
    <w:uiPriority w:val="9"/>
    <w:unhideWhenUsed/>
    <w:qFormat/>
    <w:rsid w:val="00224A38"/>
    <w:pPr>
      <w:keepNext/>
      <w:keepLines/>
      <w:spacing w:before="200" w:after="0"/>
      <w:outlineLvl w:val="1"/>
    </w:pPr>
    <w:rPr>
      <w:rFonts w:ascii="Cambria" w:eastAsia="Times New Roman" w:hAnsi="Cambria"/>
      <w:b/>
      <w:bCs/>
      <w:color w:val="4F81BD"/>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13255"/>
    <w:pPr>
      <w:ind w:left="720"/>
      <w:contextualSpacing/>
    </w:pPr>
  </w:style>
  <w:style w:type="paragraph" w:customStyle="1" w:styleId="Default">
    <w:name w:val="Default"/>
    <w:rsid w:val="00713255"/>
    <w:pPr>
      <w:autoSpaceDE w:val="0"/>
      <w:autoSpaceDN w:val="0"/>
      <w:adjustRightInd w:val="0"/>
    </w:pPr>
    <w:rPr>
      <w:rFonts w:ascii="Times New Roman" w:hAnsi="Times New Roman"/>
      <w:color w:val="000000"/>
      <w:sz w:val="24"/>
      <w:szCs w:val="24"/>
      <w:lang w:eastAsia="en-US"/>
    </w:rPr>
  </w:style>
  <w:style w:type="character" w:customStyle="1" w:styleId="Ttulo2Char">
    <w:name w:val="Título 2 Char"/>
    <w:link w:val="Ttulo2"/>
    <w:uiPriority w:val="9"/>
    <w:rsid w:val="00224A38"/>
    <w:rPr>
      <w:rFonts w:ascii="Cambria" w:eastAsia="Times New Roman" w:hAnsi="Cambria" w:cs="Times New Roman"/>
      <w:b/>
      <w:bCs/>
      <w:color w:val="4F81BD"/>
      <w:sz w:val="26"/>
      <w:szCs w:val="26"/>
    </w:rPr>
  </w:style>
  <w:style w:type="paragraph" w:styleId="Textodenotaderodap">
    <w:name w:val="footnote text"/>
    <w:basedOn w:val="Normal"/>
    <w:link w:val="TextodenotaderodapChar"/>
    <w:uiPriority w:val="99"/>
    <w:semiHidden/>
    <w:unhideWhenUsed/>
    <w:rsid w:val="00BB323E"/>
    <w:pPr>
      <w:spacing w:after="0" w:line="240" w:lineRule="auto"/>
    </w:pPr>
    <w:rPr>
      <w:sz w:val="20"/>
      <w:szCs w:val="20"/>
    </w:rPr>
  </w:style>
  <w:style w:type="character" w:customStyle="1" w:styleId="TextodenotaderodapChar">
    <w:name w:val="Texto de nota de rodapé Char"/>
    <w:link w:val="Textodenotaderodap"/>
    <w:uiPriority w:val="99"/>
    <w:semiHidden/>
    <w:rsid w:val="00BB323E"/>
    <w:rPr>
      <w:sz w:val="20"/>
      <w:szCs w:val="20"/>
    </w:rPr>
  </w:style>
  <w:style w:type="character" w:styleId="Refdenotaderodap">
    <w:name w:val="footnote reference"/>
    <w:uiPriority w:val="99"/>
    <w:semiHidden/>
    <w:unhideWhenUsed/>
    <w:rsid w:val="00BB323E"/>
    <w:rPr>
      <w:vertAlign w:val="superscript"/>
    </w:rPr>
  </w:style>
  <w:style w:type="table" w:styleId="Tabelacomgrade">
    <w:name w:val="Table Grid"/>
    <w:basedOn w:val="Tabelanormal"/>
    <w:uiPriority w:val="59"/>
    <w:rsid w:val="001460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B2644A"/>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B2644A"/>
    <w:rPr>
      <w:rFonts w:ascii="Tahoma" w:hAnsi="Tahoma" w:cs="Tahoma"/>
      <w:sz w:val="16"/>
      <w:szCs w:val="16"/>
    </w:rPr>
  </w:style>
  <w:style w:type="paragraph" w:styleId="SemEspaamento">
    <w:name w:val="No Spacing"/>
    <w:uiPriority w:val="1"/>
    <w:qFormat/>
    <w:rsid w:val="00945658"/>
    <w:rPr>
      <w:sz w:val="22"/>
      <w:szCs w:val="22"/>
      <w:lang w:eastAsia="en-US"/>
    </w:rPr>
  </w:style>
  <w:style w:type="paragraph" w:styleId="Legenda">
    <w:name w:val="caption"/>
    <w:basedOn w:val="Normal"/>
    <w:next w:val="Normal"/>
    <w:uiPriority w:val="35"/>
    <w:unhideWhenUsed/>
    <w:qFormat/>
    <w:rsid w:val="0053747F"/>
    <w:pPr>
      <w:spacing w:line="240" w:lineRule="auto"/>
    </w:pPr>
    <w:rPr>
      <w:b/>
      <w:bCs/>
      <w:color w:val="4F81BD"/>
      <w:sz w:val="18"/>
      <w:szCs w:val="18"/>
    </w:rPr>
  </w:style>
  <w:style w:type="character" w:styleId="Hyperlink">
    <w:name w:val="Hyperlink"/>
    <w:uiPriority w:val="99"/>
    <w:unhideWhenUsed/>
    <w:rsid w:val="007E4873"/>
    <w:rPr>
      <w:color w:val="0000FF"/>
      <w:u w:val="single"/>
    </w:rPr>
  </w:style>
  <w:style w:type="character" w:styleId="Refdecomentrio">
    <w:name w:val="annotation reference"/>
    <w:uiPriority w:val="99"/>
    <w:semiHidden/>
    <w:unhideWhenUsed/>
    <w:rsid w:val="00C03C6E"/>
    <w:rPr>
      <w:sz w:val="16"/>
      <w:szCs w:val="16"/>
    </w:rPr>
  </w:style>
  <w:style w:type="paragraph" w:styleId="Textodecomentrio">
    <w:name w:val="annotation text"/>
    <w:basedOn w:val="Normal"/>
    <w:link w:val="TextodecomentrioChar"/>
    <w:uiPriority w:val="99"/>
    <w:semiHidden/>
    <w:unhideWhenUsed/>
    <w:rsid w:val="00C03C6E"/>
    <w:rPr>
      <w:sz w:val="20"/>
      <w:szCs w:val="20"/>
    </w:rPr>
  </w:style>
  <w:style w:type="character" w:customStyle="1" w:styleId="TextodecomentrioChar">
    <w:name w:val="Texto de comentário Char"/>
    <w:link w:val="Textodecomentrio"/>
    <w:uiPriority w:val="99"/>
    <w:semiHidden/>
    <w:rsid w:val="00C03C6E"/>
    <w:rPr>
      <w:lang w:eastAsia="en-US"/>
    </w:rPr>
  </w:style>
  <w:style w:type="paragraph" w:styleId="Assuntodocomentrio">
    <w:name w:val="annotation subject"/>
    <w:basedOn w:val="Textodecomentrio"/>
    <w:next w:val="Textodecomentrio"/>
    <w:link w:val="AssuntodocomentrioChar"/>
    <w:uiPriority w:val="99"/>
    <w:semiHidden/>
    <w:unhideWhenUsed/>
    <w:rsid w:val="00C03C6E"/>
    <w:rPr>
      <w:b/>
      <w:bCs/>
    </w:rPr>
  </w:style>
  <w:style w:type="character" w:customStyle="1" w:styleId="AssuntodocomentrioChar">
    <w:name w:val="Assunto do comentário Char"/>
    <w:link w:val="Assuntodocomentrio"/>
    <w:uiPriority w:val="99"/>
    <w:semiHidden/>
    <w:rsid w:val="00C03C6E"/>
    <w:rPr>
      <w:b/>
      <w:bCs/>
      <w:lang w:eastAsia="en-US"/>
    </w:rPr>
  </w:style>
  <w:style w:type="paragraph" w:styleId="Reviso">
    <w:name w:val="Revision"/>
    <w:hidden/>
    <w:uiPriority w:val="99"/>
    <w:semiHidden/>
    <w:rsid w:val="00C03C6E"/>
    <w:rPr>
      <w:sz w:val="22"/>
      <w:szCs w:val="22"/>
      <w:lang w:eastAsia="en-US"/>
    </w:rPr>
  </w:style>
  <w:style w:type="character" w:styleId="nfase">
    <w:name w:val="Emphasis"/>
    <w:uiPriority w:val="20"/>
    <w:qFormat/>
    <w:rsid w:val="00CE44A1"/>
    <w:rPr>
      <w:i/>
      <w:iCs/>
    </w:rPr>
  </w:style>
  <w:style w:type="character" w:styleId="Nmerodelinha">
    <w:name w:val="line number"/>
    <w:uiPriority w:val="99"/>
    <w:semiHidden/>
    <w:unhideWhenUsed/>
    <w:rsid w:val="003C5A78"/>
  </w:style>
  <w:style w:type="paragraph" w:styleId="Cabealho">
    <w:name w:val="header"/>
    <w:basedOn w:val="Normal"/>
    <w:link w:val="CabealhoChar"/>
    <w:uiPriority w:val="99"/>
    <w:unhideWhenUsed/>
    <w:rsid w:val="003C5A78"/>
    <w:pPr>
      <w:tabs>
        <w:tab w:val="center" w:pos="4252"/>
        <w:tab w:val="right" w:pos="8504"/>
      </w:tabs>
    </w:pPr>
  </w:style>
  <w:style w:type="character" w:customStyle="1" w:styleId="CabealhoChar">
    <w:name w:val="Cabeçalho Char"/>
    <w:link w:val="Cabealho"/>
    <w:uiPriority w:val="99"/>
    <w:rsid w:val="003C5A78"/>
    <w:rPr>
      <w:sz w:val="22"/>
      <w:szCs w:val="22"/>
      <w:lang w:eastAsia="en-US"/>
    </w:rPr>
  </w:style>
  <w:style w:type="paragraph" w:styleId="Rodap">
    <w:name w:val="footer"/>
    <w:basedOn w:val="Normal"/>
    <w:link w:val="RodapChar"/>
    <w:uiPriority w:val="99"/>
    <w:unhideWhenUsed/>
    <w:rsid w:val="003C5A78"/>
    <w:pPr>
      <w:tabs>
        <w:tab w:val="center" w:pos="4252"/>
        <w:tab w:val="right" w:pos="8504"/>
      </w:tabs>
    </w:pPr>
  </w:style>
  <w:style w:type="character" w:customStyle="1" w:styleId="RodapChar">
    <w:name w:val="Rodapé Char"/>
    <w:link w:val="Rodap"/>
    <w:uiPriority w:val="99"/>
    <w:rsid w:val="003C5A78"/>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422694">
      <w:bodyDiv w:val="1"/>
      <w:marLeft w:val="0"/>
      <w:marRight w:val="0"/>
      <w:marTop w:val="0"/>
      <w:marBottom w:val="0"/>
      <w:divBdr>
        <w:top w:val="none" w:sz="0" w:space="0" w:color="auto"/>
        <w:left w:val="none" w:sz="0" w:space="0" w:color="auto"/>
        <w:bottom w:val="none" w:sz="0" w:space="0" w:color="auto"/>
        <w:right w:val="none" w:sz="0" w:space="0" w:color="auto"/>
      </w:divBdr>
    </w:div>
    <w:div w:id="403183156">
      <w:bodyDiv w:val="1"/>
      <w:marLeft w:val="0"/>
      <w:marRight w:val="0"/>
      <w:marTop w:val="0"/>
      <w:marBottom w:val="0"/>
      <w:divBdr>
        <w:top w:val="none" w:sz="0" w:space="0" w:color="auto"/>
        <w:left w:val="none" w:sz="0" w:space="0" w:color="auto"/>
        <w:bottom w:val="none" w:sz="0" w:space="0" w:color="auto"/>
        <w:right w:val="none" w:sz="0" w:space="0" w:color="auto"/>
      </w:divBdr>
    </w:div>
    <w:div w:id="498161516">
      <w:bodyDiv w:val="1"/>
      <w:marLeft w:val="0"/>
      <w:marRight w:val="0"/>
      <w:marTop w:val="0"/>
      <w:marBottom w:val="0"/>
      <w:divBdr>
        <w:top w:val="none" w:sz="0" w:space="0" w:color="auto"/>
        <w:left w:val="none" w:sz="0" w:space="0" w:color="auto"/>
        <w:bottom w:val="none" w:sz="0" w:space="0" w:color="auto"/>
        <w:right w:val="none" w:sz="0" w:space="0" w:color="auto"/>
      </w:divBdr>
    </w:div>
    <w:div w:id="643196589">
      <w:bodyDiv w:val="1"/>
      <w:marLeft w:val="0"/>
      <w:marRight w:val="0"/>
      <w:marTop w:val="0"/>
      <w:marBottom w:val="0"/>
      <w:divBdr>
        <w:top w:val="none" w:sz="0" w:space="0" w:color="auto"/>
        <w:left w:val="none" w:sz="0" w:space="0" w:color="auto"/>
        <w:bottom w:val="none" w:sz="0" w:space="0" w:color="auto"/>
        <w:right w:val="none" w:sz="0" w:space="0" w:color="auto"/>
      </w:divBdr>
    </w:div>
    <w:div w:id="777024011">
      <w:bodyDiv w:val="1"/>
      <w:marLeft w:val="0"/>
      <w:marRight w:val="0"/>
      <w:marTop w:val="0"/>
      <w:marBottom w:val="0"/>
      <w:divBdr>
        <w:top w:val="none" w:sz="0" w:space="0" w:color="auto"/>
        <w:left w:val="none" w:sz="0" w:space="0" w:color="auto"/>
        <w:bottom w:val="none" w:sz="0" w:space="0" w:color="auto"/>
        <w:right w:val="none" w:sz="0" w:space="0" w:color="auto"/>
      </w:divBdr>
    </w:div>
    <w:div w:id="962813082">
      <w:bodyDiv w:val="1"/>
      <w:marLeft w:val="0"/>
      <w:marRight w:val="0"/>
      <w:marTop w:val="0"/>
      <w:marBottom w:val="0"/>
      <w:divBdr>
        <w:top w:val="none" w:sz="0" w:space="0" w:color="auto"/>
        <w:left w:val="none" w:sz="0" w:space="0" w:color="auto"/>
        <w:bottom w:val="none" w:sz="0" w:space="0" w:color="auto"/>
        <w:right w:val="none" w:sz="0" w:space="0" w:color="auto"/>
      </w:divBdr>
    </w:div>
    <w:div w:id="1191185566">
      <w:bodyDiv w:val="1"/>
      <w:marLeft w:val="0"/>
      <w:marRight w:val="0"/>
      <w:marTop w:val="0"/>
      <w:marBottom w:val="0"/>
      <w:divBdr>
        <w:top w:val="none" w:sz="0" w:space="0" w:color="auto"/>
        <w:left w:val="none" w:sz="0" w:space="0" w:color="auto"/>
        <w:bottom w:val="none" w:sz="0" w:space="0" w:color="auto"/>
        <w:right w:val="none" w:sz="0" w:space="0" w:color="auto"/>
      </w:divBdr>
    </w:div>
    <w:div w:id="1521778514">
      <w:bodyDiv w:val="1"/>
      <w:marLeft w:val="0"/>
      <w:marRight w:val="0"/>
      <w:marTop w:val="0"/>
      <w:marBottom w:val="0"/>
      <w:divBdr>
        <w:top w:val="none" w:sz="0" w:space="0" w:color="auto"/>
        <w:left w:val="none" w:sz="0" w:space="0" w:color="auto"/>
        <w:bottom w:val="none" w:sz="0" w:space="0" w:color="auto"/>
        <w:right w:val="none" w:sz="0" w:space="0" w:color="auto"/>
      </w:divBdr>
    </w:div>
    <w:div w:id="1869370433">
      <w:bodyDiv w:val="1"/>
      <w:marLeft w:val="0"/>
      <w:marRight w:val="0"/>
      <w:marTop w:val="0"/>
      <w:marBottom w:val="0"/>
      <w:divBdr>
        <w:top w:val="none" w:sz="0" w:space="0" w:color="auto"/>
        <w:left w:val="none" w:sz="0" w:space="0" w:color="auto"/>
        <w:bottom w:val="none" w:sz="0" w:space="0" w:color="auto"/>
        <w:right w:val="none" w:sz="0" w:space="0" w:color="auto"/>
      </w:divBdr>
    </w:div>
    <w:div w:id="1905263597">
      <w:bodyDiv w:val="1"/>
      <w:marLeft w:val="0"/>
      <w:marRight w:val="0"/>
      <w:marTop w:val="0"/>
      <w:marBottom w:val="0"/>
      <w:divBdr>
        <w:top w:val="none" w:sz="0" w:space="0" w:color="auto"/>
        <w:left w:val="none" w:sz="0" w:space="0" w:color="auto"/>
        <w:bottom w:val="none" w:sz="0" w:space="0" w:color="auto"/>
        <w:right w:val="none" w:sz="0" w:space="0" w:color="auto"/>
      </w:divBdr>
      <w:divsChild>
        <w:div w:id="387530814">
          <w:marLeft w:val="0"/>
          <w:marRight w:val="0"/>
          <w:marTop w:val="15"/>
          <w:marBottom w:val="15"/>
          <w:divBdr>
            <w:top w:val="none" w:sz="0" w:space="0" w:color="auto"/>
            <w:left w:val="none" w:sz="0" w:space="0" w:color="auto"/>
            <w:bottom w:val="none" w:sz="0" w:space="0" w:color="auto"/>
            <w:right w:val="none" w:sz="0" w:space="0" w:color="auto"/>
          </w:divBdr>
        </w:div>
      </w:divsChild>
    </w:div>
    <w:div w:id="1990481483">
      <w:bodyDiv w:val="1"/>
      <w:marLeft w:val="0"/>
      <w:marRight w:val="0"/>
      <w:marTop w:val="0"/>
      <w:marBottom w:val="0"/>
      <w:divBdr>
        <w:top w:val="none" w:sz="0" w:space="0" w:color="auto"/>
        <w:left w:val="none" w:sz="0" w:space="0" w:color="auto"/>
        <w:bottom w:val="none" w:sz="0" w:space="0" w:color="auto"/>
        <w:right w:val="none" w:sz="0" w:space="0" w:color="auto"/>
      </w:divBdr>
    </w:div>
    <w:div w:id="208463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www.lem.sssup.it/Dynacom/files/D20_0.pdf" TargetMode="Externa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yperlink" Target="http://lattes.cnpq.br/6878697355639730" TargetMode="External"/><Relationship Id="rId14" Type="http://schemas.openxmlformats.org/officeDocument/2006/relationships/image" Target="media/image6.wmf"/></Relationships>
</file>

<file path=word/_rels/footnotes.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oleObject" Target="embeddings/oleObject3.bin"/><Relationship Id="rId1" Type="http://schemas.openxmlformats.org/officeDocument/2006/relationships/image" Target="media/image3.wmf"/><Relationship Id="rId6" Type="http://schemas.openxmlformats.org/officeDocument/2006/relationships/oleObject" Target="embeddings/oleObject5.bin"/><Relationship Id="rId5" Type="http://schemas.openxmlformats.org/officeDocument/2006/relationships/image" Target="media/image5.wmf"/><Relationship Id="rId4" Type="http://schemas.openxmlformats.org/officeDocument/2006/relationships/oleObject" Target="embeddings/oleObject4.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25E11-B741-4BAC-9E82-4140F279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7236</Words>
  <Characters>39080</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46224</CharactersWithSpaces>
  <SharedDoc>false</SharedDoc>
  <HLinks>
    <vt:vector size="12" baseType="variant">
      <vt:variant>
        <vt:i4>4194350</vt:i4>
      </vt:variant>
      <vt:variant>
        <vt:i4>33</vt:i4>
      </vt:variant>
      <vt:variant>
        <vt:i4>0</vt:i4>
      </vt:variant>
      <vt:variant>
        <vt:i4>5</vt:i4>
      </vt:variant>
      <vt:variant>
        <vt:lpwstr>http://www.lem.sssup.it/Dynacom/files/D20_0.pdf</vt:lpwstr>
      </vt:variant>
      <vt:variant>
        <vt:lpwstr/>
      </vt:variant>
      <vt:variant>
        <vt:i4>2162729</vt:i4>
      </vt:variant>
      <vt:variant>
        <vt:i4>0</vt:i4>
      </vt:variant>
      <vt:variant>
        <vt:i4>0</vt:i4>
      </vt:variant>
      <vt:variant>
        <vt:i4>5</vt:i4>
      </vt:variant>
      <vt:variant>
        <vt:lpwstr>http://lattes.cnpq.br/6878697355639730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Marcelo</cp:lastModifiedBy>
  <cp:revision>2</cp:revision>
  <cp:lastPrinted>2013-01-18T10:09:00Z</cp:lastPrinted>
  <dcterms:created xsi:type="dcterms:W3CDTF">2013-09-19T15:12:00Z</dcterms:created>
  <dcterms:modified xsi:type="dcterms:W3CDTF">2013-09-19T15:12:00Z</dcterms:modified>
</cp:coreProperties>
</file>